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stheme="minorBidi"/>
          <w:kern w:val="2"/>
          <w:sz w:val="21"/>
          <w:szCs w:val="24"/>
          <w:lang w:val="en-US" w:eastAsia="zh-CN" w:bidi="ar-SA"/>
        </w:rPr>
        <w:id w:val="147455530"/>
        <w15:color w:val="DBDBDB"/>
        <w:docPartObj>
          <w:docPartGallery w:val="Table of Contents"/>
          <w:docPartUnique/>
        </w:docPartObj>
      </w:sdtPr>
      <w:sdtEndPr>
        <w:rPr>
          <w:rFonts w:hint="default" w:ascii="Times New Roman" w:hAnsi="Times New Roman" w:eastAsia="宋体" w:cs="Times New Roman"/>
          <w:color w:val="000000" w:themeColor="text1"/>
          <w:spacing w:val="0"/>
          <w:kern w:val="0"/>
          <w:position w:val="0"/>
          <w:sz w:val="21"/>
          <w:szCs w:val="36"/>
          <w:lang w:val="en-US" w:eastAsia="zh-CN" w:bidi="ar-SA"/>
          <w14:textFill>
            <w14:solidFill>
              <w14:schemeClr w14:val="tx1"/>
            </w14:solidFill>
          </w14:textFill>
        </w:rPr>
      </w:sdtEndPr>
      <w:sdtContent>
        <w:p w14:paraId="093186E2">
          <w:pPr>
            <w:spacing w:before="0" w:beforeLines="0" w:after="0" w:afterLines="0" w:line="240" w:lineRule="auto"/>
            <w:ind w:left="0" w:leftChars="0" w:right="0" w:rightChars="0" w:firstLine="0" w:firstLineChars="0"/>
            <w:jc w:val="center"/>
          </w:pPr>
          <w:r>
            <w:rPr>
              <w:rFonts w:ascii="宋体" w:hAnsi="宋体" w:eastAsia="宋体"/>
              <w:sz w:val="21"/>
            </w:rPr>
            <w:t>目录</w:t>
          </w:r>
        </w:p>
        <w:p w14:paraId="55FBE3EE">
          <w:pPr>
            <w:pStyle w:val="8"/>
            <w:tabs>
              <w:tab w:val="right" w:leader="dot" w:pos="8306"/>
            </w:tabs>
          </w:pPr>
          <w:r>
            <w:rPr>
              <w:rFonts w:hint="default" w:ascii="Times New Roman" w:hAnsi="Times New Roman" w:eastAsia="宋体" w:cs="Times New Roman"/>
              <w:b/>
              <w:color w:val="000000" w:themeColor="text1"/>
              <w:spacing w:val="0"/>
              <w:kern w:val="0"/>
              <w:position w:val="0"/>
              <w:sz w:val="36"/>
              <w:szCs w:val="36"/>
              <w:lang w:val="en-US" w:eastAsia="zh-CN"/>
              <w14:textFill>
                <w14:solidFill>
                  <w14:schemeClr w14:val="tx1"/>
                </w14:solidFill>
              </w14:textFill>
            </w:rPr>
            <w:fldChar w:fldCharType="begin"/>
          </w:r>
          <w:r>
            <w:rPr>
              <w:rFonts w:hint="default" w:ascii="Times New Roman" w:hAnsi="Times New Roman" w:eastAsia="宋体" w:cs="Times New Roman"/>
              <w:b/>
              <w:color w:val="000000" w:themeColor="text1"/>
              <w:spacing w:val="0"/>
              <w:kern w:val="0"/>
              <w:position w:val="0"/>
              <w:sz w:val="36"/>
              <w:szCs w:val="36"/>
              <w:lang w:val="en-US" w:eastAsia="zh-CN"/>
              <w14:textFill>
                <w14:solidFill>
                  <w14:schemeClr w14:val="tx1"/>
                </w14:solidFill>
              </w14:textFill>
            </w:rPr>
            <w:instrText xml:space="preserve">TOC \o "1-3" \h \u </w:instrText>
          </w:r>
          <w:r>
            <w:rPr>
              <w:rFonts w:hint="default" w:ascii="Times New Roman" w:hAnsi="Times New Roman" w:eastAsia="宋体" w:cs="Times New Roman"/>
              <w:b/>
              <w:color w:val="000000" w:themeColor="text1"/>
              <w:spacing w:val="0"/>
              <w:kern w:val="0"/>
              <w:position w:val="0"/>
              <w:sz w:val="36"/>
              <w:szCs w:val="36"/>
              <w:lang w:val="en-US" w:eastAsia="zh-CN"/>
              <w14:textFill>
                <w14:solidFill>
                  <w14:schemeClr w14:val="tx1"/>
                </w14:solidFill>
              </w14:textFill>
            </w:rPr>
            <w:fldChar w:fldCharType="separate"/>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_Toc5915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spacing w:val="2"/>
              <w:kern w:val="44"/>
              <w:szCs w:val="44"/>
              <w:lang w:val="en-US" w:eastAsia="zh-CN"/>
            </w:rPr>
            <w:t>1概述</w:t>
          </w:r>
          <w:r>
            <w:tab/>
          </w:r>
          <w:r>
            <w:fldChar w:fldCharType="begin"/>
          </w:r>
          <w:r>
            <w:instrText xml:space="preserve"> PAGEREF _Toc5915 \h </w:instrText>
          </w:r>
          <w:r>
            <w:fldChar w:fldCharType="separate"/>
          </w:r>
          <w:r>
            <w:t>1</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47418A38">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_Toc10150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1.1建设项目背景</w:t>
          </w:r>
          <w:r>
            <w:tab/>
          </w:r>
          <w:r>
            <w:fldChar w:fldCharType="begin"/>
          </w:r>
          <w:r>
            <w:instrText xml:space="preserve"> PAGEREF _Toc10150 \h </w:instrText>
          </w:r>
          <w:r>
            <w:fldChar w:fldCharType="separate"/>
          </w:r>
          <w:r>
            <w:t>1</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08F8DE7D">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_Toc14535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1.2环境影响评价工作过程</w:t>
          </w:r>
          <w:r>
            <w:tab/>
          </w:r>
          <w:r>
            <w:fldChar w:fldCharType="begin"/>
          </w:r>
          <w:r>
            <w:instrText xml:space="preserve"> PAGEREF _Toc14535 \h </w:instrText>
          </w:r>
          <w:r>
            <w:fldChar w:fldCharType="separate"/>
          </w:r>
          <w:r>
            <w:t>1</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465B523E">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_Toc2316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snapToGrid w:val="0"/>
              <w:kern w:val="0"/>
              <w:szCs w:val="28"/>
              <w:lang w:val="en-US" w:eastAsia="zh-CN"/>
            </w:rPr>
            <w:t>1.3 分析判定相关情况</w:t>
          </w:r>
          <w:r>
            <w:tab/>
          </w:r>
          <w:r>
            <w:fldChar w:fldCharType="begin"/>
          </w:r>
          <w:r>
            <w:instrText xml:space="preserve"> PAGEREF _Toc2316 \h </w:instrText>
          </w:r>
          <w:r>
            <w:fldChar w:fldCharType="separate"/>
          </w:r>
          <w:r>
            <w:t>3</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08AD5F43">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_Toc26993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 xml:space="preserve">1.3.1 </w:t>
          </w:r>
          <w:r>
            <w:rPr>
              <w:rFonts w:hint="default" w:ascii="Times New Roman" w:hAnsi="Times New Roman" w:cs="Times New Roman" w:eastAsiaTheme="minorEastAsia"/>
              <w:kern w:val="0"/>
              <w:szCs w:val="24"/>
              <w:lang w:val="en-US" w:eastAsia="zh-CN"/>
            </w:rPr>
            <w:t>产业政策符合性分析</w:t>
          </w:r>
          <w:r>
            <w:tab/>
          </w:r>
          <w:r>
            <w:fldChar w:fldCharType="begin"/>
          </w:r>
          <w:r>
            <w:instrText xml:space="preserve"> PAGEREF _Toc26993 \h </w:instrText>
          </w:r>
          <w:r>
            <w:fldChar w:fldCharType="separate"/>
          </w:r>
          <w:r>
            <w:t>3</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651E4B38">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_Toc22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kern w:val="0"/>
              <w:szCs w:val="24"/>
              <w:lang w:val="en-US" w:eastAsia="zh-CN"/>
            </w:rPr>
            <w:t>1.3.2政策文件的符合性分析</w:t>
          </w:r>
          <w:r>
            <w:tab/>
          </w:r>
          <w:r>
            <w:fldChar w:fldCharType="begin"/>
          </w:r>
          <w:r>
            <w:instrText xml:space="preserve"> PAGEREF _Toc22 \h </w:instrText>
          </w:r>
          <w:r>
            <w:fldChar w:fldCharType="separate"/>
          </w:r>
          <w:r>
            <w:t>4</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0B9F3602">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_Toc21082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1.3.3规划符合性分析</w:t>
          </w:r>
          <w:r>
            <w:tab/>
          </w:r>
          <w:r>
            <w:fldChar w:fldCharType="begin"/>
          </w:r>
          <w:r>
            <w:instrText xml:space="preserve"> PAGEREF _Toc21082 \h </w:instrText>
          </w:r>
          <w:r>
            <w:fldChar w:fldCharType="separate"/>
          </w:r>
          <w:r>
            <w:t>11</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0D7DCF62">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_Toc8160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1.3.4生态环境分区管控符合性分析</w:t>
          </w:r>
          <w:r>
            <w:tab/>
          </w:r>
          <w:r>
            <w:fldChar w:fldCharType="begin"/>
          </w:r>
          <w:r>
            <w:instrText xml:space="preserve"> PAGEREF _Toc8160 \h </w:instrText>
          </w:r>
          <w:r>
            <w:fldChar w:fldCharType="separate"/>
          </w:r>
          <w:r>
            <w:t>13</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679AFE86">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_Toc5517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1.3.5选址符合性分析</w:t>
          </w:r>
          <w:r>
            <w:tab/>
          </w:r>
          <w:r>
            <w:fldChar w:fldCharType="begin"/>
          </w:r>
          <w:r>
            <w:instrText xml:space="preserve"> PAGEREF _Toc5517 \h </w:instrText>
          </w:r>
          <w:r>
            <w:fldChar w:fldCharType="separate"/>
          </w:r>
          <w:r>
            <w:t>16</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65AF850E">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_Toc22591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1.4关注的主要环境问题及环境影响</w:t>
          </w:r>
          <w:r>
            <w:tab/>
          </w:r>
          <w:r>
            <w:fldChar w:fldCharType="begin"/>
          </w:r>
          <w:r>
            <w:instrText xml:space="preserve"> PAGEREF _Toc22591 \h </w:instrText>
          </w:r>
          <w:r>
            <w:fldChar w:fldCharType="separate"/>
          </w:r>
          <w:r>
            <w:t>17</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5650C157">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_Toc10667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snapToGrid w:val="0"/>
              <w:kern w:val="0"/>
              <w:szCs w:val="28"/>
              <w:lang w:val="en-US" w:eastAsia="zh-CN"/>
            </w:rPr>
            <w:t>1.5环境影响评价的主要结论</w:t>
          </w:r>
          <w:r>
            <w:tab/>
          </w:r>
          <w:r>
            <w:fldChar w:fldCharType="begin"/>
          </w:r>
          <w:r>
            <w:instrText xml:space="preserve"> PAGEREF _Toc10667 \h </w:instrText>
          </w:r>
          <w:r>
            <w:fldChar w:fldCharType="separate"/>
          </w:r>
          <w:r>
            <w:t>17</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21E1EB7A">
          <w:pPr>
            <w:pStyle w:val="8"/>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_Toc6861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spacing w:val="2"/>
              <w:kern w:val="44"/>
              <w:szCs w:val="44"/>
              <w:lang w:val="en-US" w:eastAsia="zh-CN"/>
            </w:rPr>
            <w:t>2总则</w:t>
          </w:r>
          <w:r>
            <w:tab/>
          </w:r>
          <w:r>
            <w:fldChar w:fldCharType="begin"/>
          </w:r>
          <w:r>
            <w:instrText xml:space="preserve"> PAGEREF _Toc6861 \h </w:instrText>
          </w:r>
          <w:r>
            <w:fldChar w:fldCharType="separate"/>
          </w:r>
          <w:r>
            <w:t>19</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6D4C6374">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_Toc16745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2.1评价目的与原则</w:t>
          </w:r>
          <w:r>
            <w:tab/>
          </w:r>
          <w:r>
            <w:fldChar w:fldCharType="begin"/>
          </w:r>
          <w:r>
            <w:instrText xml:space="preserve"> PAGEREF _Toc16745 \h </w:instrText>
          </w:r>
          <w:r>
            <w:fldChar w:fldCharType="separate"/>
          </w:r>
          <w:r>
            <w:t>19</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3871A471">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_Toc8449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2.1.1评价目的</w:t>
          </w:r>
          <w:r>
            <w:tab/>
          </w:r>
          <w:r>
            <w:fldChar w:fldCharType="begin"/>
          </w:r>
          <w:r>
            <w:instrText xml:space="preserve"> PAGEREF _Toc8449 \h </w:instrText>
          </w:r>
          <w:r>
            <w:fldChar w:fldCharType="separate"/>
          </w:r>
          <w:r>
            <w:t>19</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4A46DE5A">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_Toc935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2.1.2评价原则</w:t>
          </w:r>
          <w:r>
            <w:tab/>
          </w:r>
          <w:r>
            <w:fldChar w:fldCharType="begin"/>
          </w:r>
          <w:r>
            <w:instrText xml:space="preserve"> PAGEREF _Toc935 \h </w:instrText>
          </w:r>
          <w:r>
            <w:fldChar w:fldCharType="separate"/>
          </w:r>
          <w:r>
            <w:t>19</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7AF6D886">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_Toc9305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snapToGrid w:val="0"/>
              <w:kern w:val="0"/>
              <w:szCs w:val="28"/>
              <w:lang w:val="en-US" w:eastAsia="zh-CN"/>
            </w:rPr>
            <w:t>2.2编制依据</w:t>
          </w:r>
          <w:r>
            <w:tab/>
          </w:r>
          <w:r>
            <w:fldChar w:fldCharType="begin"/>
          </w:r>
          <w:r>
            <w:instrText xml:space="preserve"> PAGEREF _Toc9305 \h </w:instrText>
          </w:r>
          <w:r>
            <w:fldChar w:fldCharType="separate"/>
          </w:r>
          <w:r>
            <w:t>20</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446CC6A6">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_Toc16771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kern w:val="0"/>
              <w:szCs w:val="24"/>
              <w:lang w:val="en-US" w:eastAsia="zh-CN"/>
            </w:rPr>
            <w:t>2.2.1国家法律法规条例</w:t>
          </w:r>
          <w:r>
            <w:tab/>
          </w:r>
          <w:r>
            <w:fldChar w:fldCharType="begin"/>
          </w:r>
          <w:r>
            <w:instrText xml:space="preserve"> PAGEREF _Toc16771 \h </w:instrText>
          </w:r>
          <w:r>
            <w:fldChar w:fldCharType="separate"/>
          </w:r>
          <w:r>
            <w:t>20</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69AF90C6">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_Toc8367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kern w:val="0"/>
              <w:szCs w:val="24"/>
              <w:lang w:val="en-US" w:eastAsia="zh-CN"/>
            </w:rPr>
            <w:t>2.2.2政策性规定及文件</w:t>
          </w:r>
          <w:r>
            <w:tab/>
          </w:r>
          <w:r>
            <w:fldChar w:fldCharType="begin"/>
          </w:r>
          <w:r>
            <w:instrText xml:space="preserve"> PAGEREF _Toc8367 \h </w:instrText>
          </w:r>
          <w:r>
            <w:fldChar w:fldCharType="separate"/>
          </w:r>
          <w:r>
            <w:t>20</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5CC05439">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_Toc482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kern w:val="0"/>
              <w:szCs w:val="24"/>
              <w:lang w:val="en-US" w:eastAsia="zh-CN"/>
            </w:rPr>
            <w:t>2.2.3自治区环境保护和地方有关规划</w:t>
          </w:r>
          <w:r>
            <w:tab/>
          </w:r>
          <w:r>
            <w:fldChar w:fldCharType="begin"/>
          </w:r>
          <w:r>
            <w:instrText xml:space="preserve"> PAGEREF _Toc482 \h </w:instrText>
          </w:r>
          <w:r>
            <w:fldChar w:fldCharType="separate"/>
          </w:r>
          <w:r>
            <w:t>22</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51FB407A">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_Toc14872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kern w:val="0"/>
              <w:szCs w:val="24"/>
              <w:lang w:val="en-US" w:eastAsia="zh-CN"/>
            </w:rPr>
            <w:t>2.2.4技术依据</w:t>
          </w:r>
          <w:r>
            <w:tab/>
          </w:r>
          <w:r>
            <w:fldChar w:fldCharType="begin"/>
          </w:r>
          <w:r>
            <w:instrText xml:space="preserve"> PAGEREF _Toc14872 \h </w:instrText>
          </w:r>
          <w:r>
            <w:fldChar w:fldCharType="separate"/>
          </w:r>
          <w:r>
            <w:t>22</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1DED3A22">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_Toc13876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kern w:val="0"/>
              <w:szCs w:val="24"/>
              <w:lang w:val="en-US" w:eastAsia="zh-CN"/>
            </w:rPr>
            <w:t>2.2.5相关技术文件</w:t>
          </w:r>
          <w:r>
            <w:tab/>
          </w:r>
          <w:r>
            <w:fldChar w:fldCharType="begin"/>
          </w:r>
          <w:r>
            <w:instrText xml:space="preserve"> PAGEREF _Toc13876 \h </w:instrText>
          </w:r>
          <w:r>
            <w:fldChar w:fldCharType="separate"/>
          </w:r>
          <w:r>
            <w:t>23</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04F26108">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_Toc27412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snapToGrid w:val="0"/>
              <w:kern w:val="0"/>
              <w:szCs w:val="28"/>
              <w:lang w:val="en-US" w:eastAsia="zh-CN"/>
            </w:rPr>
            <w:t>2.3环境影响识别与评价因子筛选</w:t>
          </w:r>
          <w:r>
            <w:tab/>
          </w:r>
          <w:r>
            <w:fldChar w:fldCharType="begin"/>
          </w:r>
          <w:r>
            <w:instrText xml:space="preserve"> PAGEREF _Toc27412 \h </w:instrText>
          </w:r>
          <w:r>
            <w:fldChar w:fldCharType="separate"/>
          </w:r>
          <w:r>
            <w:t>23</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6521F0CA">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_Toc19083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kern w:val="0"/>
              <w:szCs w:val="24"/>
              <w:lang w:val="en-US" w:eastAsia="zh-CN"/>
            </w:rPr>
            <w:t>2.3.1环境影响因素识别</w:t>
          </w:r>
          <w:r>
            <w:tab/>
          </w:r>
          <w:r>
            <w:fldChar w:fldCharType="begin"/>
          </w:r>
          <w:r>
            <w:instrText xml:space="preserve"> PAGEREF _Toc19083 \h </w:instrText>
          </w:r>
          <w:r>
            <w:fldChar w:fldCharType="separate"/>
          </w:r>
          <w:r>
            <w:t>23</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5AFDC5B8">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_Toc1230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kern w:val="0"/>
              <w:szCs w:val="24"/>
              <w:lang w:val="en-US" w:eastAsia="zh-CN"/>
            </w:rPr>
            <w:t>2.3.2评价因子筛选</w:t>
          </w:r>
          <w:r>
            <w:tab/>
          </w:r>
          <w:r>
            <w:fldChar w:fldCharType="begin"/>
          </w:r>
          <w:r>
            <w:instrText xml:space="preserve"> PAGEREF _Toc1230 \h </w:instrText>
          </w:r>
          <w:r>
            <w:fldChar w:fldCharType="separate"/>
          </w:r>
          <w:r>
            <w:t>24</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1DE876B8">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_Toc4925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snapToGrid w:val="0"/>
              <w:kern w:val="0"/>
              <w:szCs w:val="28"/>
              <w:lang w:val="en-US" w:eastAsia="zh-CN"/>
            </w:rPr>
            <w:t>2.4评价标准</w:t>
          </w:r>
          <w:r>
            <w:tab/>
          </w:r>
          <w:r>
            <w:fldChar w:fldCharType="begin"/>
          </w:r>
          <w:r>
            <w:instrText xml:space="preserve"> PAGEREF _Toc4925 \h </w:instrText>
          </w:r>
          <w:r>
            <w:fldChar w:fldCharType="separate"/>
          </w:r>
          <w:r>
            <w:t>25</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28662503">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_Toc6840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kern w:val="0"/>
              <w:szCs w:val="24"/>
              <w:lang w:val="en-US" w:eastAsia="zh-CN"/>
            </w:rPr>
            <w:t>2.4.1环境质量标准</w:t>
          </w:r>
          <w:r>
            <w:tab/>
          </w:r>
          <w:r>
            <w:fldChar w:fldCharType="begin"/>
          </w:r>
          <w:r>
            <w:instrText xml:space="preserve"> PAGEREF _Toc6840 \h </w:instrText>
          </w:r>
          <w:r>
            <w:fldChar w:fldCharType="separate"/>
          </w:r>
          <w:r>
            <w:t>25</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2FCD7CB5">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_Toc27808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kern w:val="0"/>
              <w:szCs w:val="24"/>
              <w:lang w:val="en-US" w:eastAsia="zh-CN"/>
            </w:rPr>
            <w:t>2.4.2污染物排放标准</w:t>
          </w:r>
          <w:r>
            <w:tab/>
          </w:r>
          <w:r>
            <w:fldChar w:fldCharType="begin"/>
          </w:r>
          <w:r>
            <w:instrText xml:space="preserve"> PAGEREF _Toc27808 \h </w:instrText>
          </w:r>
          <w:r>
            <w:fldChar w:fldCharType="separate"/>
          </w:r>
          <w:r>
            <w:t>28</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7FD26CAE">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_Toc31700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snapToGrid w:val="0"/>
              <w:kern w:val="0"/>
              <w:szCs w:val="28"/>
              <w:lang w:val="en-US" w:eastAsia="zh-CN"/>
            </w:rPr>
            <w:t>2.5评价工作等级和评价范围</w:t>
          </w:r>
          <w:r>
            <w:tab/>
          </w:r>
          <w:r>
            <w:fldChar w:fldCharType="begin"/>
          </w:r>
          <w:r>
            <w:instrText xml:space="preserve"> PAGEREF _Toc31700 \h </w:instrText>
          </w:r>
          <w:r>
            <w:fldChar w:fldCharType="separate"/>
          </w:r>
          <w:r>
            <w:t>30</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56A95381">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_Toc17827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kern w:val="0"/>
              <w:szCs w:val="24"/>
              <w:lang w:val="en-US" w:eastAsia="zh-CN"/>
            </w:rPr>
            <w:t>2.5.1大气环境评价等级和评价范围</w:t>
          </w:r>
          <w:r>
            <w:tab/>
          </w:r>
          <w:r>
            <w:fldChar w:fldCharType="begin"/>
          </w:r>
          <w:r>
            <w:instrText xml:space="preserve"> PAGEREF _Toc17827 \h </w:instrText>
          </w:r>
          <w:r>
            <w:fldChar w:fldCharType="separate"/>
          </w:r>
          <w:r>
            <w:t>30</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10E9F671">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_Toc12127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kern w:val="0"/>
              <w:szCs w:val="24"/>
              <w:lang w:val="en-US" w:eastAsia="zh-CN"/>
            </w:rPr>
            <w:t>2.5.2地表水环境评价等级和评价范围</w:t>
          </w:r>
          <w:r>
            <w:tab/>
          </w:r>
          <w:r>
            <w:fldChar w:fldCharType="begin"/>
          </w:r>
          <w:r>
            <w:instrText xml:space="preserve"> PAGEREF _Toc12127 \h </w:instrText>
          </w:r>
          <w:r>
            <w:fldChar w:fldCharType="separate"/>
          </w:r>
          <w:r>
            <w:t>33</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5E8B0978">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_Toc21598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kern w:val="0"/>
              <w:szCs w:val="24"/>
              <w:lang w:val="en-US" w:eastAsia="zh-CN"/>
            </w:rPr>
            <w:t>2.5.3地下水环境评价等级和评价范围</w:t>
          </w:r>
          <w:r>
            <w:tab/>
          </w:r>
          <w:r>
            <w:fldChar w:fldCharType="begin"/>
          </w:r>
          <w:r>
            <w:instrText xml:space="preserve"> PAGEREF _Toc21598 \h </w:instrText>
          </w:r>
          <w:r>
            <w:fldChar w:fldCharType="separate"/>
          </w:r>
          <w:r>
            <w:t>34</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2FF8A538">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_Toc22461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kern w:val="0"/>
              <w:szCs w:val="24"/>
              <w:lang w:val="en-US" w:eastAsia="zh-CN"/>
            </w:rPr>
            <w:t>2.5.4声环境</w:t>
          </w:r>
          <w:r>
            <w:tab/>
          </w:r>
          <w:r>
            <w:fldChar w:fldCharType="begin"/>
          </w:r>
          <w:r>
            <w:instrText xml:space="preserve"> PAGEREF _Toc22461 \h </w:instrText>
          </w:r>
          <w:r>
            <w:fldChar w:fldCharType="separate"/>
          </w:r>
          <w:r>
            <w:t>35</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0DAA8C5A">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_Toc27582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2.5.5土壤环境</w:t>
          </w:r>
          <w:r>
            <w:tab/>
          </w:r>
          <w:r>
            <w:fldChar w:fldCharType="begin"/>
          </w:r>
          <w:r>
            <w:instrText xml:space="preserve"> PAGEREF _Toc27582 \h </w:instrText>
          </w:r>
          <w:r>
            <w:fldChar w:fldCharType="separate"/>
          </w:r>
          <w:r>
            <w:t>35</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09D4B0FB">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_Toc13779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2.5.6生态环境</w:t>
          </w:r>
          <w:r>
            <w:tab/>
          </w:r>
          <w:r>
            <w:fldChar w:fldCharType="begin"/>
          </w:r>
          <w:r>
            <w:instrText xml:space="preserve"> PAGEREF _Toc13779 \h </w:instrText>
          </w:r>
          <w:r>
            <w:fldChar w:fldCharType="separate"/>
          </w:r>
          <w:r>
            <w:t>36</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46FDBE9D">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_Toc25596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kern w:val="0"/>
              <w:szCs w:val="24"/>
              <w:lang w:val="en-US" w:eastAsia="zh-CN"/>
            </w:rPr>
            <w:t>2.5.7环境风险评价等级和评价范围</w:t>
          </w:r>
          <w:r>
            <w:tab/>
          </w:r>
          <w:r>
            <w:fldChar w:fldCharType="begin"/>
          </w:r>
          <w:r>
            <w:instrText xml:space="preserve"> PAGEREF _Toc25596 \h </w:instrText>
          </w:r>
          <w:r>
            <w:fldChar w:fldCharType="separate"/>
          </w:r>
          <w:r>
            <w:t>37</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60AB0285">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_Toc6200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snapToGrid w:val="0"/>
              <w:kern w:val="0"/>
              <w:szCs w:val="28"/>
              <w:lang w:val="en-US" w:eastAsia="zh-CN"/>
            </w:rPr>
            <w:t>2.6环境功能区划</w:t>
          </w:r>
          <w:r>
            <w:tab/>
          </w:r>
          <w:r>
            <w:fldChar w:fldCharType="begin"/>
          </w:r>
          <w:r>
            <w:instrText xml:space="preserve"> PAGEREF _Toc6200 \h </w:instrText>
          </w:r>
          <w:r>
            <w:fldChar w:fldCharType="separate"/>
          </w:r>
          <w:r>
            <w:t>38</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555CFDCF">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_Toc21388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snapToGrid w:val="0"/>
              <w:kern w:val="0"/>
              <w:szCs w:val="28"/>
              <w:lang w:val="en-US" w:eastAsia="zh-CN"/>
            </w:rPr>
            <w:t>2.7环境保护目标</w:t>
          </w:r>
          <w:r>
            <w:tab/>
          </w:r>
          <w:r>
            <w:fldChar w:fldCharType="begin"/>
          </w:r>
          <w:r>
            <w:instrText xml:space="preserve"> PAGEREF _Toc21388 \h </w:instrText>
          </w:r>
          <w:r>
            <w:fldChar w:fldCharType="separate"/>
          </w:r>
          <w:r>
            <w:t>39</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7F3E6A92">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_Toc7395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kern w:val="0"/>
              <w:szCs w:val="24"/>
              <w:lang w:val="en-US" w:eastAsia="zh-CN"/>
            </w:rPr>
            <w:t>2.7.1污染物控制目标</w:t>
          </w:r>
          <w:r>
            <w:tab/>
          </w:r>
          <w:r>
            <w:fldChar w:fldCharType="begin"/>
          </w:r>
          <w:r>
            <w:instrText xml:space="preserve"> PAGEREF _Toc7395 \h </w:instrText>
          </w:r>
          <w:r>
            <w:fldChar w:fldCharType="separate"/>
          </w:r>
          <w:r>
            <w:t>39</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7CEB6594">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_Toc1176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kern w:val="0"/>
              <w:szCs w:val="24"/>
              <w:lang w:val="en-US" w:eastAsia="zh-CN"/>
            </w:rPr>
            <w:t>2.7.2环境保护目标</w:t>
          </w:r>
          <w:r>
            <w:tab/>
          </w:r>
          <w:r>
            <w:fldChar w:fldCharType="begin"/>
          </w:r>
          <w:r>
            <w:instrText xml:space="preserve"> PAGEREF _Toc1176 \h </w:instrText>
          </w:r>
          <w:r>
            <w:fldChar w:fldCharType="separate"/>
          </w:r>
          <w:r>
            <w:t>40</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5C77AE9E">
          <w:pPr>
            <w:pStyle w:val="8"/>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_Toc8504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spacing w:val="2"/>
              <w:kern w:val="44"/>
              <w:szCs w:val="44"/>
              <w:lang w:val="en-US" w:eastAsia="zh-CN"/>
            </w:rPr>
            <w:t>3建设项目工程分析</w:t>
          </w:r>
          <w:r>
            <w:tab/>
          </w:r>
          <w:r>
            <w:fldChar w:fldCharType="begin"/>
          </w:r>
          <w:r>
            <w:instrText xml:space="preserve"> PAGEREF _Toc8504 \h </w:instrText>
          </w:r>
          <w:r>
            <w:fldChar w:fldCharType="separate"/>
          </w:r>
          <w:r>
            <w:t>41</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23B24396">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_Toc13131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3.1现有工程回顾分析</w:t>
          </w:r>
          <w:r>
            <w:tab/>
          </w:r>
          <w:r>
            <w:fldChar w:fldCharType="begin"/>
          </w:r>
          <w:r>
            <w:instrText xml:space="preserve"> PAGEREF _Toc13131 \h </w:instrText>
          </w:r>
          <w:r>
            <w:fldChar w:fldCharType="separate"/>
          </w:r>
          <w:r>
            <w:t>41</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5BB2C2EC">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_Toc23468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3.1.1现有项目基本情况</w:t>
          </w:r>
          <w:r>
            <w:tab/>
          </w:r>
          <w:r>
            <w:fldChar w:fldCharType="begin"/>
          </w:r>
          <w:r>
            <w:instrText xml:space="preserve"> PAGEREF _Toc23468 \h </w:instrText>
          </w:r>
          <w:r>
            <w:fldChar w:fldCharType="separate"/>
          </w:r>
          <w:r>
            <w:t>41</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68A07CD8">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_Toc17266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3.1.2现有项目的医疗废物处置能力及类型</w:t>
          </w:r>
          <w:r>
            <w:tab/>
          </w:r>
          <w:r>
            <w:fldChar w:fldCharType="begin"/>
          </w:r>
          <w:r>
            <w:instrText xml:space="preserve"> PAGEREF _Toc17266 \h </w:instrText>
          </w:r>
          <w:r>
            <w:fldChar w:fldCharType="separate"/>
          </w:r>
          <w:r>
            <w:t>44</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4D167EA6">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_Toc13139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3.1.3现有工程原辅材料消耗</w:t>
          </w:r>
          <w:r>
            <w:tab/>
          </w:r>
          <w:r>
            <w:fldChar w:fldCharType="begin"/>
          </w:r>
          <w:r>
            <w:instrText xml:space="preserve"> PAGEREF _Toc13139 \h </w:instrText>
          </w:r>
          <w:r>
            <w:fldChar w:fldCharType="separate"/>
          </w:r>
          <w:r>
            <w:t>47</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0664F912">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_Toc20550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3.1.</w:t>
          </w:r>
          <w:r>
            <w:rPr>
              <w:rFonts w:hint="eastAsia" w:ascii="Times New Roman" w:hAnsi="Times New Roman" w:cs="Times New Roman"/>
              <w:kern w:val="0"/>
              <w:szCs w:val="24"/>
              <w:lang w:val="en-US" w:eastAsia="zh-CN"/>
            </w:rPr>
            <w:t>4</w:t>
          </w:r>
          <w:r>
            <w:rPr>
              <w:rFonts w:hint="eastAsia" w:ascii="Times New Roman" w:hAnsi="Times New Roman" w:cs="Times New Roman" w:eastAsiaTheme="minorEastAsia"/>
              <w:kern w:val="0"/>
              <w:szCs w:val="24"/>
              <w:lang w:val="en-US" w:eastAsia="zh-CN"/>
            </w:rPr>
            <w:t>现有工程生产工艺流程</w:t>
          </w:r>
          <w:r>
            <w:tab/>
          </w:r>
          <w:r>
            <w:fldChar w:fldCharType="begin"/>
          </w:r>
          <w:r>
            <w:instrText xml:space="preserve"> PAGEREF _Toc20550 \h </w:instrText>
          </w:r>
          <w:r>
            <w:fldChar w:fldCharType="separate"/>
          </w:r>
          <w:r>
            <w:t>47</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70270E52">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_Toc19735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3.1.</w:t>
          </w:r>
          <w:r>
            <w:rPr>
              <w:rFonts w:hint="eastAsia" w:ascii="Times New Roman" w:hAnsi="Times New Roman" w:cs="Times New Roman"/>
              <w:kern w:val="0"/>
              <w:szCs w:val="24"/>
              <w:lang w:val="en-US" w:eastAsia="zh-CN"/>
            </w:rPr>
            <w:t>5</w:t>
          </w:r>
          <w:r>
            <w:rPr>
              <w:rFonts w:hint="eastAsia" w:ascii="Times New Roman" w:hAnsi="Times New Roman" w:cs="Times New Roman" w:eastAsiaTheme="minorEastAsia"/>
              <w:kern w:val="0"/>
              <w:szCs w:val="24"/>
              <w:lang w:val="en-US" w:eastAsia="zh-CN"/>
            </w:rPr>
            <w:t>现有工程平面布置</w:t>
          </w:r>
          <w:r>
            <w:tab/>
          </w:r>
          <w:r>
            <w:fldChar w:fldCharType="begin"/>
          </w:r>
          <w:r>
            <w:instrText xml:space="preserve"> PAGEREF _Toc19735 \h </w:instrText>
          </w:r>
          <w:r>
            <w:fldChar w:fldCharType="separate"/>
          </w:r>
          <w:r>
            <w:t>52</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39031838">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_Toc20312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3.1.</w:t>
          </w:r>
          <w:r>
            <w:rPr>
              <w:rFonts w:hint="eastAsia" w:ascii="Times New Roman" w:hAnsi="Times New Roman" w:cs="Times New Roman"/>
              <w:kern w:val="0"/>
              <w:szCs w:val="24"/>
              <w:lang w:val="en-US" w:eastAsia="zh-CN"/>
            </w:rPr>
            <w:t>6</w:t>
          </w:r>
          <w:r>
            <w:rPr>
              <w:rFonts w:hint="eastAsia" w:ascii="Times New Roman" w:hAnsi="Times New Roman" w:cs="Times New Roman" w:eastAsiaTheme="minorEastAsia"/>
              <w:kern w:val="0"/>
              <w:szCs w:val="24"/>
              <w:lang w:val="en-US" w:eastAsia="zh-CN"/>
            </w:rPr>
            <w:t>现有项目的环保手续履行情况</w:t>
          </w:r>
          <w:r>
            <w:tab/>
          </w:r>
          <w:r>
            <w:fldChar w:fldCharType="begin"/>
          </w:r>
          <w:r>
            <w:instrText xml:space="preserve"> PAGEREF _Toc20312 \h </w:instrText>
          </w:r>
          <w:r>
            <w:fldChar w:fldCharType="separate"/>
          </w:r>
          <w:r>
            <w:t>52</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0034BE58">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_Toc17256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3.1.</w:t>
          </w:r>
          <w:r>
            <w:rPr>
              <w:rFonts w:hint="eastAsia" w:ascii="Times New Roman" w:hAnsi="Times New Roman" w:cs="Times New Roman"/>
              <w:kern w:val="0"/>
              <w:szCs w:val="24"/>
              <w:lang w:val="en-US" w:eastAsia="zh-CN"/>
            </w:rPr>
            <w:t>7</w:t>
          </w:r>
          <w:r>
            <w:rPr>
              <w:rFonts w:hint="eastAsia" w:ascii="Times New Roman" w:hAnsi="Times New Roman" w:cs="Times New Roman" w:eastAsiaTheme="minorEastAsia"/>
              <w:kern w:val="0"/>
              <w:szCs w:val="24"/>
              <w:lang w:val="en-US" w:eastAsia="zh-CN"/>
            </w:rPr>
            <w:t>现有项目的污染物排放情况汇总</w:t>
          </w:r>
          <w:r>
            <w:tab/>
          </w:r>
          <w:r>
            <w:fldChar w:fldCharType="begin"/>
          </w:r>
          <w:r>
            <w:instrText xml:space="preserve"> PAGEREF _Toc17256 \h </w:instrText>
          </w:r>
          <w:r>
            <w:fldChar w:fldCharType="separate"/>
          </w:r>
          <w:r>
            <w:t>53</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39CA9AE1">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_Toc2031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3.1.</w:t>
          </w:r>
          <w:r>
            <w:rPr>
              <w:rFonts w:hint="eastAsia" w:ascii="Times New Roman" w:hAnsi="Times New Roman" w:cs="Times New Roman"/>
              <w:kern w:val="0"/>
              <w:szCs w:val="24"/>
              <w:lang w:val="en-US" w:eastAsia="zh-CN"/>
            </w:rPr>
            <w:t>8</w:t>
          </w:r>
          <w:r>
            <w:rPr>
              <w:rFonts w:hint="eastAsia" w:ascii="Times New Roman" w:hAnsi="Times New Roman" w:cs="Times New Roman" w:eastAsiaTheme="minorEastAsia"/>
              <w:kern w:val="0"/>
              <w:szCs w:val="24"/>
              <w:lang w:val="en-US" w:eastAsia="zh-CN"/>
            </w:rPr>
            <w:t>现有项目存在的主要环境问题</w:t>
          </w:r>
          <w:r>
            <w:tab/>
          </w:r>
          <w:r>
            <w:fldChar w:fldCharType="begin"/>
          </w:r>
          <w:r>
            <w:instrText xml:space="preserve"> PAGEREF _Toc2031 \h </w:instrText>
          </w:r>
          <w:r>
            <w:fldChar w:fldCharType="separate"/>
          </w:r>
          <w:r>
            <w:t>56</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7CD43063">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_Toc25763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3.1.</w:t>
          </w:r>
          <w:r>
            <w:rPr>
              <w:rFonts w:hint="eastAsia" w:ascii="Times New Roman" w:hAnsi="Times New Roman" w:cs="Times New Roman"/>
              <w:kern w:val="0"/>
              <w:szCs w:val="24"/>
              <w:lang w:val="en-US" w:eastAsia="zh-CN"/>
            </w:rPr>
            <w:t>9</w:t>
          </w:r>
          <w:r>
            <w:rPr>
              <w:rFonts w:hint="eastAsia" w:ascii="Times New Roman" w:hAnsi="Times New Roman" w:cs="Times New Roman" w:eastAsiaTheme="minorEastAsia"/>
              <w:kern w:val="0"/>
              <w:szCs w:val="24"/>
              <w:lang w:val="en-US" w:eastAsia="zh-CN"/>
            </w:rPr>
            <w:t>“以老带新”措施</w:t>
          </w:r>
          <w:r>
            <w:tab/>
          </w:r>
          <w:r>
            <w:fldChar w:fldCharType="begin"/>
          </w:r>
          <w:r>
            <w:instrText xml:space="preserve"> PAGEREF _Toc25763 \h </w:instrText>
          </w:r>
          <w:r>
            <w:fldChar w:fldCharType="separate"/>
          </w:r>
          <w:r>
            <w:t>57</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3303B0EC">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_Toc27233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3.2扩建项目概况</w:t>
          </w:r>
          <w:r>
            <w:tab/>
          </w:r>
          <w:r>
            <w:fldChar w:fldCharType="begin"/>
          </w:r>
          <w:r>
            <w:instrText xml:space="preserve"> PAGEREF _Toc27233 \h </w:instrText>
          </w:r>
          <w:r>
            <w:fldChar w:fldCharType="separate"/>
          </w:r>
          <w:r>
            <w:t>57</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39ADAF8D">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_Toc30085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3.2.1项目基本情况</w:t>
          </w:r>
          <w:r>
            <w:tab/>
          </w:r>
          <w:r>
            <w:fldChar w:fldCharType="begin"/>
          </w:r>
          <w:r>
            <w:instrText xml:space="preserve"> PAGEREF _Toc30085 \h </w:instrText>
          </w:r>
          <w:r>
            <w:fldChar w:fldCharType="separate"/>
          </w:r>
          <w:r>
            <w:t>57</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6EDC726D">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_Toc28462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3.2.2项目组成与建设内容</w:t>
          </w:r>
          <w:r>
            <w:tab/>
          </w:r>
          <w:r>
            <w:fldChar w:fldCharType="begin"/>
          </w:r>
          <w:r>
            <w:instrText xml:space="preserve"> PAGEREF _Toc28462 \h </w:instrText>
          </w:r>
          <w:r>
            <w:fldChar w:fldCharType="separate"/>
          </w:r>
          <w:r>
            <w:t>57</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543E581B">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_Toc8293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3.2.3总平面布置</w:t>
          </w:r>
          <w:r>
            <w:tab/>
          </w:r>
          <w:r>
            <w:fldChar w:fldCharType="begin"/>
          </w:r>
          <w:r>
            <w:instrText xml:space="preserve"> PAGEREF _Toc8293 \h </w:instrText>
          </w:r>
          <w:r>
            <w:fldChar w:fldCharType="separate"/>
          </w:r>
          <w:r>
            <w:t>58</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08CD9EDA">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_Toc9182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3.2.4主要设备及原辅材料</w:t>
          </w:r>
          <w:r>
            <w:tab/>
          </w:r>
          <w:r>
            <w:fldChar w:fldCharType="begin"/>
          </w:r>
          <w:r>
            <w:instrText xml:space="preserve"> PAGEREF _Toc9182 \h </w:instrText>
          </w:r>
          <w:r>
            <w:fldChar w:fldCharType="separate"/>
          </w:r>
          <w:r>
            <w:t>59</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58B3CB2E">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_Toc16136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3.3公用工程</w:t>
          </w:r>
          <w:r>
            <w:tab/>
          </w:r>
          <w:r>
            <w:fldChar w:fldCharType="begin"/>
          </w:r>
          <w:r>
            <w:instrText xml:space="preserve"> PAGEREF _Toc16136 \h </w:instrText>
          </w:r>
          <w:r>
            <w:fldChar w:fldCharType="separate"/>
          </w:r>
          <w:r>
            <w:t>61</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5A259E3E">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_Toc31737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3.3.1给水</w:t>
          </w:r>
          <w:r>
            <w:tab/>
          </w:r>
          <w:r>
            <w:fldChar w:fldCharType="begin"/>
          </w:r>
          <w:r>
            <w:instrText xml:space="preserve"> PAGEREF _Toc31737 \h </w:instrText>
          </w:r>
          <w:r>
            <w:fldChar w:fldCharType="separate"/>
          </w:r>
          <w:r>
            <w:t>61</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67991677">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_Toc23629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3.3.2排水</w:t>
          </w:r>
          <w:r>
            <w:tab/>
          </w:r>
          <w:r>
            <w:fldChar w:fldCharType="begin"/>
          </w:r>
          <w:r>
            <w:instrText xml:space="preserve"> PAGEREF _Toc23629 \h </w:instrText>
          </w:r>
          <w:r>
            <w:fldChar w:fldCharType="separate"/>
          </w:r>
          <w:r>
            <w:t>63</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40A8AE84">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_Toc28302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3.3.3供配电</w:t>
          </w:r>
          <w:r>
            <w:tab/>
          </w:r>
          <w:r>
            <w:fldChar w:fldCharType="begin"/>
          </w:r>
          <w:r>
            <w:instrText xml:space="preserve"> PAGEREF _Toc28302 \h </w:instrText>
          </w:r>
          <w:r>
            <w:fldChar w:fldCharType="separate"/>
          </w:r>
          <w:r>
            <w:t>63</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54AD7816">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_Toc29700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3.3.4供暖</w:t>
          </w:r>
          <w:r>
            <w:tab/>
          </w:r>
          <w:r>
            <w:fldChar w:fldCharType="begin"/>
          </w:r>
          <w:r>
            <w:instrText xml:space="preserve"> PAGEREF _Toc29700 \h </w:instrText>
          </w:r>
          <w:r>
            <w:fldChar w:fldCharType="separate"/>
          </w:r>
          <w:r>
            <w:t>63</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36FA42D8">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_Toc27941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3.3.5劳动定员与工作制度</w:t>
          </w:r>
          <w:r>
            <w:tab/>
          </w:r>
          <w:r>
            <w:fldChar w:fldCharType="begin"/>
          </w:r>
          <w:r>
            <w:instrText xml:space="preserve"> PAGEREF _Toc27941 \h </w:instrText>
          </w:r>
          <w:r>
            <w:fldChar w:fldCharType="separate"/>
          </w:r>
          <w:r>
            <w:t>64</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4570D6A5">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_Toc27306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3.4工程分析</w:t>
          </w:r>
          <w:r>
            <w:tab/>
          </w:r>
          <w:r>
            <w:fldChar w:fldCharType="begin"/>
          </w:r>
          <w:r>
            <w:instrText xml:space="preserve"> PAGEREF _Toc27306 \h </w:instrText>
          </w:r>
          <w:r>
            <w:fldChar w:fldCharType="separate"/>
          </w:r>
          <w:r>
            <w:t>64</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789D6599">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_Toc26385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3.4.1项目医疗垃圾来源、储运情况</w:t>
          </w:r>
          <w:r>
            <w:tab/>
          </w:r>
          <w:r>
            <w:fldChar w:fldCharType="begin"/>
          </w:r>
          <w:r>
            <w:instrText xml:space="preserve"> PAGEREF _Toc26385 \h </w:instrText>
          </w:r>
          <w:r>
            <w:fldChar w:fldCharType="separate"/>
          </w:r>
          <w:r>
            <w:t>64</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077A2D19">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_Toc17382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highlight w:val="none"/>
              <w:lang w:val="en-US" w:eastAsia="zh-CN"/>
            </w:rPr>
            <w:t>3.4.2医疗废物处理工艺方案</w:t>
          </w:r>
          <w:r>
            <w:tab/>
          </w:r>
          <w:r>
            <w:fldChar w:fldCharType="begin"/>
          </w:r>
          <w:r>
            <w:instrText xml:space="preserve"> PAGEREF _Toc17382 \h </w:instrText>
          </w:r>
          <w:r>
            <w:fldChar w:fldCharType="separate"/>
          </w:r>
          <w:r>
            <w:t>71</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64129C85">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_Toc25723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3.4.3工艺流程分析</w:t>
          </w:r>
          <w:r>
            <w:tab/>
          </w:r>
          <w:r>
            <w:fldChar w:fldCharType="begin"/>
          </w:r>
          <w:r>
            <w:instrText xml:space="preserve"> PAGEREF _Toc25723 \h </w:instrText>
          </w:r>
          <w:r>
            <w:fldChar w:fldCharType="separate"/>
          </w:r>
          <w:r>
            <w:t>75</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3FD0A05F">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_Toc5616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3.</w:t>
          </w:r>
          <w:r>
            <w:rPr>
              <w:rFonts w:hint="eastAsia" w:ascii="Times New Roman" w:hAnsi="Times New Roman" w:cs="Times New Roman"/>
              <w:kern w:val="0"/>
              <w:szCs w:val="24"/>
              <w:lang w:val="en-US" w:eastAsia="zh-CN"/>
            </w:rPr>
            <w:t>4</w:t>
          </w:r>
          <w:r>
            <w:rPr>
              <w:rFonts w:hint="eastAsia" w:ascii="Times New Roman" w:hAnsi="Times New Roman" w:cs="Times New Roman" w:eastAsiaTheme="minorEastAsia"/>
              <w:kern w:val="0"/>
              <w:szCs w:val="24"/>
              <w:lang w:val="en-US" w:eastAsia="zh-CN"/>
            </w:rPr>
            <w:t>.</w:t>
          </w:r>
          <w:r>
            <w:rPr>
              <w:rFonts w:hint="eastAsia" w:ascii="Times New Roman" w:hAnsi="Times New Roman" w:cs="Times New Roman"/>
              <w:kern w:val="0"/>
              <w:szCs w:val="24"/>
              <w:lang w:val="en-US" w:eastAsia="zh-CN"/>
            </w:rPr>
            <w:t>4</w:t>
          </w:r>
          <w:r>
            <w:rPr>
              <w:rFonts w:hint="eastAsia" w:ascii="Times New Roman" w:hAnsi="Times New Roman" w:cs="Times New Roman" w:eastAsiaTheme="minorEastAsia"/>
              <w:kern w:val="0"/>
              <w:szCs w:val="24"/>
              <w:lang w:val="en-US" w:eastAsia="zh-CN"/>
            </w:rPr>
            <w:t>主要物料平衡分析</w:t>
          </w:r>
          <w:r>
            <w:tab/>
          </w:r>
          <w:r>
            <w:fldChar w:fldCharType="begin"/>
          </w:r>
          <w:r>
            <w:instrText xml:space="preserve"> PAGEREF _Toc5616 \h </w:instrText>
          </w:r>
          <w:r>
            <w:fldChar w:fldCharType="separate"/>
          </w:r>
          <w:r>
            <w:t>88</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468322E7">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_Toc24223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3.</w:t>
          </w:r>
          <w:r>
            <w:rPr>
              <w:rFonts w:hint="eastAsia" w:ascii="Times New Roman" w:hAnsi="Times New Roman" w:cs="Times New Roman"/>
              <w:snapToGrid w:val="0"/>
              <w:kern w:val="0"/>
              <w:szCs w:val="28"/>
              <w:lang w:val="en-US" w:eastAsia="zh-CN"/>
            </w:rPr>
            <w:t>5</w:t>
          </w:r>
          <w:r>
            <w:rPr>
              <w:rFonts w:hint="eastAsia" w:ascii="Times New Roman" w:hAnsi="Times New Roman" w:cs="Times New Roman" w:eastAsiaTheme="minorEastAsia"/>
              <w:snapToGrid w:val="0"/>
              <w:kern w:val="0"/>
              <w:szCs w:val="28"/>
              <w:lang w:val="en-US" w:eastAsia="zh-CN"/>
            </w:rPr>
            <w:t>污染源及污染物排放分析</w:t>
          </w:r>
          <w:r>
            <w:tab/>
          </w:r>
          <w:r>
            <w:fldChar w:fldCharType="begin"/>
          </w:r>
          <w:r>
            <w:instrText xml:space="preserve"> PAGEREF _Toc24223 \h </w:instrText>
          </w:r>
          <w:r>
            <w:fldChar w:fldCharType="separate"/>
          </w:r>
          <w:r>
            <w:t>90</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165E521A">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_Toc26968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3.</w:t>
          </w:r>
          <w:r>
            <w:rPr>
              <w:rFonts w:hint="eastAsia" w:ascii="Times New Roman" w:hAnsi="Times New Roman" w:cs="Times New Roman"/>
              <w:kern w:val="0"/>
              <w:szCs w:val="24"/>
              <w:lang w:val="en-US" w:eastAsia="zh-CN"/>
            </w:rPr>
            <w:t>5</w:t>
          </w:r>
          <w:r>
            <w:rPr>
              <w:rFonts w:hint="eastAsia" w:ascii="Times New Roman" w:hAnsi="Times New Roman" w:cs="Times New Roman" w:eastAsiaTheme="minorEastAsia"/>
              <w:kern w:val="0"/>
              <w:szCs w:val="24"/>
              <w:lang w:val="en-US" w:eastAsia="zh-CN"/>
            </w:rPr>
            <w:t>.1废气污染源及污染排放</w:t>
          </w:r>
          <w:r>
            <w:tab/>
          </w:r>
          <w:r>
            <w:fldChar w:fldCharType="begin"/>
          </w:r>
          <w:r>
            <w:instrText xml:space="preserve"> PAGEREF _Toc26968 \h </w:instrText>
          </w:r>
          <w:r>
            <w:fldChar w:fldCharType="separate"/>
          </w:r>
          <w:r>
            <w:t>90</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20FD95F9">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_Toc26383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kern w:val="0"/>
              <w:szCs w:val="24"/>
              <w:lang w:val="en-US" w:eastAsia="zh-CN"/>
            </w:rPr>
            <w:t>3.</w:t>
          </w:r>
          <w:r>
            <w:rPr>
              <w:rFonts w:hint="eastAsia" w:ascii="Times New Roman" w:hAnsi="Times New Roman" w:cs="Times New Roman"/>
              <w:kern w:val="0"/>
              <w:szCs w:val="24"/>
              <w:lang w:val="en-US" w:eastAsia="zh-CN"/>
            </w:rPr>
            <w:t>5</w:t>
          </w:r>
          <w:r>
            <w:rPr>
              <w:rFonts w:hint="default" w:ascii="Times New Roman" w:hAnsi="Times New Roman" w:cs="Times New Roman" w:eastAsiaTheme="minorEastAsia"/>
              <w:kern w:val="0"/>
              <w:szCs w:val="24"/>
              <w:lang w:val="en-US" w:eastAsia="zh-CN"/>
            </w:rPr>
            <w:t xml:space="preserve">.2 </w:t>
          </w:r>
          <w:r>
            <w:rPr>
              <w:rFonts w:hint="eastAsia" w:ascii="Times New Roman" w:hAnsi="Times New Roman" w:cs="Times New Roman" w:eastAsiaTheme="minorEastAsia"/>
              <w:kern w:val="0"/>
              <w:szCs w:val="24"/>
              <w:lang w:val="en-US" w:eastAsia="zh-CN"/>
            </w:rPr>
            <w:t>废水污染源及排放量</w:t>
          </w:r>
          <w:r>
            <w:tab/>
          </w:r>
          <w:r>
            <w:fldChar w:fldCharType="begin"/>
          </w:r>
          <w:r>
            <w:instrText xml:space="preserve"> PAGEREF _Toc26383 \h </w:instrText>
          </w:r>
          <w:r>
            <w:fldChar w:fldCharType="separate"/>
          </w:r>
          <w:r>
            <w:t>95</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4EC58378">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_Toc28601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kern w:val="0"/>
              <w:szCs w:val="24"/>
              <w:lang w:val="en-US" w:eastAsia="zh-CN"/>
            </w:rPr>
            <w:t>3.</w:t>
          </w:r>
          <w:r>
            <w:rPr>
              <w:rFonts w:hint="eastAsia" w:ascii="Times New Roman" w:hAnsi="Times New Roman" w:cs="Times New Roman"/>
              <w:kern w:val="0"/>
              <w:szCs w:val="24"/>
              <w:lang w:val="en-US" w:eastAsia="zh-CN"/>
            </w:rPr>
            <w:t>5</w:t>
          </w:r>
          <w:r>
            <w:rPr>
              <w:rFonts w:hint="default" w:ascii="Times New Roman" w:hAnsi="Times New Roman" w:cs="Times New Roman" w:eastAsiaTheme="minorEastAsia"/>
              <w:kern w:val="0"/>
              <w:szCs w:val="24"/>
              <w:lang w:val="en-US" w:eastAsia="zh-CN"/>
            </w:rPr>
            <w:t xml:space="preserve">.3 </w:t>
          </w:r>
          <w:r>
            <w:rPr>
              <w:rFonts w:hint="eastAsia" w:ascii="Times New Roman" w:hAnsi="Times New Roman" w:cs="Times New Roman" w:eastAsiaTheme="minorEastAsia"/>
              <w:kern w:val="0"/>
              <w:szCs w:val="24"/>
              <w:lang w:val="en-US" w:eastAsia="zh-CN"/>
            </w:rPr>
            <w:t>噪声</w:t>
          </w:r>
          <w:r>
            <w:tab/>
          </w:r>
          <w:r>
            <w:fldChar w:fldCharType="begin"/>
          </w:r>
          <w:r>
            <w:instrText xml:space="preserve"> PAGEREF _Toc28601 \h </w:instrText>
          </w:r>
          <w:r>
            <w:fldChar w:fldCharType="separate"/>
          </w:r>
          <w:r>
            <w:t>98</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0DEC00C5">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_Toc32250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kern w:val="0"/>
              <w:szCs w:val="24"/>
              <w:lang w:val="en-US" w:eastAsia="zh-CN"/>
            </w:rPr>
            <w:t>3.</w:t>
          </w:r>
          <w:r>
            <w:rPr>
              <w:rFonts w:hint="eastAsia" w:ascii="Times New Roman" w:hAnsi="Times New Roman" w:cs="Times New Roman"/>
              <w:kern w:val="0"/>
              <w:szCs w:val="24"/>
              <w:lang w:val="en-US" w:eastAsia="zh-CN"/>
            </w:rPr>
            <w:t>5</w:t>
          </w:r>
          <w:r>
            <w:rPr>
              <w:rFonts w:hint="default" w:ascii="Times New Roman" w:hAnsi="Times New Roman" w:cs="Times New Roman" w:eastAsiaTheme="minorEastAsia"/>
              <w:kern w:val="0"/>
              <w:szCs w:val="24"/>
              <w:lang w:val="en-US" w:eastAsia="zh-CN"/>
            </w:rPr>
            <w:t xml:space="preserve">.4 </w:t>
          </w:r>
          <w:r>
            <w:rPr>
              <w:rFonts w:hint="eastAsia" w:ascii="Times New Roman" w:hAnsi="Times New Roman" w:cs="Times New Roman" w:eastAsiaTheme="minorEastAsia"/>
              <w:kern w:val="0"/>
              <w:szCs w:val="24"/>
              <w:lang w:val="en-US" w:eastAsia="zh-CN"/>
            </w:rPr>
            <w:t>固体废弃物</w:t>
          </w:r>
          <w:r>
            <w:tab/>
          </w:r>
          <w:r>
            <w:fldChar w:fldCharType="begin"/>
          </w:r>
          <w:r>
            <w:instrText xml:space="preserve"> PAGEREF _Toc32250 \h </w:instrText>
          </w:r>
          <w:r>
            <w:fldChar w:fldCharType="separate"/>
          </w:r>
          <w:r>
            <w:t>98</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47AB6AAB">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_Toc4453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snapToGrid w:val="0"/>
              <w:kern w:val="0"/>
              <w:szCs w:val="28"/>
              <w:lang w:val="en-US" w:eastAsia="zh-CN"/>
            </w:rPr>
            <w:t>3.</w:t>
          </w:r>
          <w:r>
            <w:rPr>
              <w:rFonts w:hint="eastAsia" w:ascii="Times New Roman" w:hAnsi="Times New Roman" w:cs="Times New Roman"/>
              <w:snapToGrid w:val="0"/>
              <w:kern w:val="0"/>
              <w:szCs w:val="28"/>
              <w:lang w:val="en-US" w:eastAsia="zh-CN"/>
            </w:rPr>
            <w:t>6</w:t>
          </w:r>
          <w:r>
            <w:rPr>
              <w:rFonts w:hint="default" w:ascii="Times New Roman" w:hAnsi="Times New Roman" w:cs="Times New Roman" w:eastAsiaTheme="minorEastAsia"/>
              <w:snapToGrid w:val="0"/>
              <w:kern w:val="0"/>
              <w:szCs w:val="28"/>
              <w:lang w:val="en-US" w:eastAsia="zh-CN"/>
            </w:rPr>
            <w:t xml:space="preserve"> </w:t>
          </w:r>
          <w:r>
            <w:rPr>
              <w:rFonts w:hint="eastAsia" w:ascii="Times New Roman" w:hAnsi="Times New Roman" w:cs="Times New Roman" w:eastAsiaTheme="minorEastAsia"/>
              <w:snapToGrid w:val="0"/>
              <w:kern w:val="0"/>
              <w:szCs w:val="28"/>
              <w:lang w:val="en-US" w:eastAsia="zh-CN"/>
            </w:rPr>
            <w:t>污染物排放情况汇总</w:t>
          </w:r>
          <w:r>
            <w:tab/>
          </w:r>
          <w:r>
            <w:fldChar w:fldCharType="begin"/>
          </w:r>
          <w:r>
            <w:instrText xml:space="preserve"> PAGEREF _Toc4453 \h </w:instrText>
          </w:r>
          <w:r>
            <w:fldChar w:fldCharType="separate"/>
          </w:r>
          <w:r>
            <w:t>101</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2006D632">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_Toc14285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3.</w:t>
          </w:r>
          <w:r>
            <w:rPr>
              <w:rFonts w:hint="eastAsia" w:ascii="Times New Roman" w:hAnsi="Times New Roman" w:cs="Times New Roman"/>
              <w:snapToGrid w:val="0"/>
              <w:kern w:val="0"/>
              <w:szCs w:val="28"/>
              <w:lang w:val="en-US" w:eastAsia="zh-CN"/>
            </w:rPr>
            <w:t>7</w:t>
          </w:r>
          <w:r>
            <w:rPr>
              <w:rFonts w:hint="eastAsia" w:ascii="Times New Roman" w:hAnsi="Times New Roman" w:cs="Times New Roman" w:eastAsiaTheme="minorEastAsia"/>
              <w:snapToGrid w:val="0"/>
              <w:kern w:val="0"/>
              <w:szCs w:val="28"/>
              <w:lang w:val="en-US" w:eastAsia="zh-CN"/>
            </w:rPr>
            <w:t>清洁生产</w:t>
          </w:r>
          <w:r>
            <w:tab/>
          </w:r>
          <w:r>
            <w:fldChar w:fldCharType="begin"/>
          </w:r>
          <w:r>
            <w:instrText xml:space="preserve"> PAGEREF _Toc14285 \h </w:instrText>
          </w:r>
          <w:r>
            <w:fldChar w:fldCharType="separate"/>
          </w:r>
          <w:r>
            <w:t>102</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49C43879">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_Toc4363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3.</w:t>
          </w:r>
          <w:r>
            <w:rPr>
              <w:rFonts w:hint="eastAsia" w:ascii="Times New Roman" w:hAnsi="Times New Roman" w:cs="Times New Roman"/>
              <w:kern w:val="0"/>
              <w:szCs w:val="24"/>
              <w:lang w:val="en-US" w:eastAsia="zh-CN"/>
            </w:rPr>
            <w:t>7</w:t>
          </w:r>
          <w:r>
            <w:rPr>
              <w:rFonts w:hint="eastAsia" w:ascii="Times New Roman" w:hAnsi="Times New Roman" w:cs="Times New Roman" w:eastAsiaTheme="minorEastAsia"/>
              <w:kern w:val="0"/>
              <w:szCs w:val="24"/>
              <w:lang w:val="en-US" w:eastAsia="zh-CN"/>
            </w:rPr>
            <w:t>.1处理方法分析</w:t>
          </w:r>
          <w:r>
            <w:tab/>
          </w:r>
          <w:r>
            <w:fldChar w:fldCharType="begin"/>
          </w:r>
          <w:r>
            <w:instrText xml:space="preserve"> PAGEREF _Toc4363 \h </w:instrText>
          </w:r>
          <w:r>
            <w:fldChar w:fldCharType="separate"/>
          </w:r>
          <w:r>
            <w:t>102</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02500FFC">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_Toc5281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kern w:val="0"/>
              <w:szCs w:val="24"/>
              <w:lang w:val="en-US" w:eastAsia="zh-CN"/>
            </w:rPr>
            <w:t>3.</w:t>
          </w:r>
          <w:r>
            <w:rPr>
              <w:rFonts w:hint="eastAsia" w:ascii="Times New Roman" w:hAnsi="Times New Roman" w:cs="Times New Roman"/>
              <w:kern w:val="0"/>
              <w:szCs w:val="24"/>
              <w:lang w:val="en-US" w:eastAsia="zh-CN"/>
            </w:rPr>
            <w:t>7</w:t>
          </w:r>
          <w:r>
            <w:rPr>
              <w:rFonts w:hint="default" w:ascii="Times New Roman" w:hAnsi="Times New Roman" w:cs="Times New Roman" w:eastAsiaTheme="minorEastAsia"/>
              <w:kern w:val="0"/>
              <w:szCs w:val="24"/>
              <w:lang w:val="en-US" w:eastAsia="zh-CN"/>
            </w:rPr>
            <w:t xml:space="preserve">.2 </w:t>
          </w:r>
          <w:r>
            <w:rPr>
              <w:rFonts w:hint="eastAsia" w:ascii="Times New Roman" w:hAnsi="Times New Roman" w:cs="Times New Roman" w:eastAsiaTheme="minorEastAsia"/>
              <w:kern w:val="0"/>
              <w:szCs w:val="24"/>
              <w:lang w:val="en-US" w:eastAsia="zh-CN"/>
            </w:rPr>
            <w:t>设备主要工艺参数比较</w:t>
          </w:r>
          <w:r>
            <w:tab/>
          </w:r>
          <w:r>
            <w:fldChar w:fldCharType="begin"/>
          </w:r>
          <w:r>
            <w:instrText xml:space="preserve"> PAGEREF _Toc5281 \h </w:instrText>
          </w:r>
          <w:r>
            <w:fldChar w:fldCharType="separate"/>
          </w:r>
          <w:r>
            <w:t>102</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2FB66DC5">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_Toc15838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3.</w:t>
          </w:r>
          <w:r>
            <w:rPr>
              <w:rFonts w:hint="eastAsia" w:ascii="Times New Roman" w:hAnsi="Times New Roman" w:cs="Times New Roman"/>
              <w:kern w:val="0"/>
              <w:szCs w:val="24"/>
              <w:lang w:val="en-US" w:eastAsia="zh-CN"/>
            </w:rPr>
            <w:t>7</w:t>
          </w:r>
          <w:r>
            <w:rPr>
              <w:rFonts w:hint="eastAsia" w:ascii="Times New Roman" w:hAnsi="Times New Roman" w:cs="Times New Roman" w:eastAsiaTheme="minorEastAsia"/>
              <w:kern w:val="0"/>
              <w:szCs w:val="24"/>
              <w:lang w:val="en-US" w:eastAsia="zh-CN"/>
            </w:rPr>
            <w:t>.3污染控制</w:t>
          </w:r>
          <w:r>
            <w:tab/>
          </w:r>
          <w:r>
            <w:fldChar w:fldCharType="begin"/>
          </w:r>
          <w:r>
            <w:instrText xml:space="preserve"> PAGEREF _Toc15838 \h </w:instrText>
          </w:r>
          <w:r>
            <w:fldChar w:fldCharType="separate"/>
          </w:r>
          <w:r>
            <w:t>103</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21F973F0">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_Toc16469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3.</w:t>
          </w:r>
          <w:r>
            <w:rPr>
              <w:rFonts w:hint="eastAsia" w:ascii="Times New Roman" w:hAnsi="Times New Roman" w:cs="Times New Roman"/>
              <w:snapToGrid w:val="0"/>
              <w:kern w:val="0"/>
              <w:szCs w:val="28"/>
              <w:lang w:val="en-US" w:eastAsia="zh-CN"/>
            </w:rPr>
            <w:t>8</w:t>
          </w:r>
          <w:r>
            <w:rPr>
              <w:rFonts w:hint="eastAsia" w:ascii="Times New Roman" w:hAnsi="Times New Roman" w:cs="Times New Roman" w:eastAsiaTheme="minorEastAsia"/>
              <w:snapToGrid w:val="0"/>
              <w:kern w:val="0"/>
              <w:szCs w:val="28"/>
              <w:lang w:val="en-US" w:eastAsia="zh-CN"/>
            </w:rPr>
            <w:t>总量控制</w:t>
          </w:r>
          <w:r>
            <w:tab/>
          </w:r>
          <w:r>
            <w:fldChar w:fldCharType="begin"/>
          </w:r>
          <w:r>
            <w:instrText xml:space="preserve"> PAGEREF _Toc16469 \h </w:instrText>
          </w:r>
          <w:r>
            <w:fldChar w:fldCharType="separate"/>
          </w:r>
          <w:r>
            <w:t>105</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00C74B71">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_Toc12249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3.</w:t>
          </w:r>
          <w:r>
            <w:rPr>
              <w:rFonts w:hint="eastAsia" w:ascii="Times New Roman" w:hAnsi="Times New Roman" w:cs="Times New Roman"/>
              <w:kern w:val="0"/>
              <w:szCs w:val="24"/>
              <w:lang w:val="en-US" w:eastAsia="zh-CN"/>
            </w:rPr>
            <w:t>8</w:t>
          </w:r>
          <w:r>
            <w:rPr>
              <w:rFonts w:hint="eastAsia" w:ascii="Times New Roman" w:hAnsi="Times New Roman" w:cs="Times New Roman" w:eastAsiaTheme="minorEastAsia"/>
              <w:kern w:val="0"/>
              <w:szCs w:val="24"/>
              <w:lang w:val="en-US" w:eastAsia="zh-CN"/>
            </w:rPr>
            <w:t>.1总量控制因子</w:t>
          </w:r>
          <w:r>
            <w:tab/>
          </w:r>
          <w:r>
            <w:fldChar w:fldCharType="begin"/>
          </w:r>
          <w:r>
            <w:instrText xml:space="preserve"> PAGEREF _Toc12249 \h </w:instrText>
          </w:r>
          <w:r>
            <w:fldChar w:fldCharType="separate"/>
          </w:r>
          <w:r>
            <w:t>105</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4F005BA3">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_Toc26695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3.8.2企业现有工程总量指标</w:t>
          </w:r>
          <w:r>
            <w:tab/>
          </w:r>
          <w:r>
            <w:fldChar w:fldCharType="begin"/>
          </w:r>
          <w:r>
            <w:instrText xml:space="preserve"> PAGEREF _Toc26695 \h </w:instrText>
          </w:r>
          <w:r>
            <w:fldChar w:fldCharType="separate"/>
          </w:r>
          <w:r>
            <w:t>105</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07EB6CD9">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_Toc9981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3.</w:t>
          </w:r>
          <w:r>
            <w:rPr>
              <w:rFonts w:hint="eastAsia" w:ascii="Times New Roman" w:hAnsi="Times New Roman" w:cs="Times New Roman"/>
              <w:kern w:val="0"/>
              <w:szCs w:val="24"/>
              <w:lang w:val="en-US" w:eastAsia="zh-CN"/>
            </w:rPr>
            <w:t>8</w:t>
          </w:r>
          <w:r>
            <w:rPr>
              <w:rFonts w:hint="eastAsia" w:ascii="Times New Roman" w:hAnsi="Times New Roman" w:cs="Times New Roman" w:eastAsiaTheme="minorEastAsia"/>
              <w:kern w:val="0"/>
              <w:szCs w:val="24"/>
              <w:lang w:val="en-US" w:eastAsia="zh-CN"/>
            </w:rPr>
            <w:t>.</w:t>
          </w:r>
          <w:r>
            <w:rPr>
              <w:rFonts w:hint="eastAsia" w:ascii="Times New Roman" w:hAnsi="Times New Roman" w:cs="Times New Roman"/>
              <w:kern w:val="0"/>
              <w:szCs w:val="24"/>
              <w:lang w:val="en-US" w:eastAsia="zh-CN"/>
            </w:rPr>
            <w:t>3</w:t>
          </w:r>
          <w:r>
            <w:rPr>
              <w:rFonts w:hint="eastAsia" w:ascii="Times New Roman" w:hAnsi="Times New Roman" w:cs="Times New Roman" w:eastAsiaTheme="minorEastAsia"/>
              <w:kern w:val="0"/>
              <w:szCs w:val="24"/>
              <w:lang w:val="en-US" w:eastAsia="zh-CN"/>
            </w:rPr>
            <w:t>污染物排放总量控制建议指标</w:t>
          </w:r>
          <w:r>
            <w:tab/>
          </w:r>
          <w:r>
            <w:fldChar w:fldCharType="begin"/>
          </w:r>
          <w:r>
            <w:instrText xml:space="preserve"> PAGEREF _Toc9981 \h </w:instrText>
          </w:r>
          <w:r>
            <w:fldChar w:fldCharType="separate"/>
          </w:r>
          <w:r>
            <w:t>105</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72F52C87">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_Toc31753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3.9全厂“三本账变化情况”</w:t>
          </w:r>
          <w:r>
            <w:tab/>
          </w:r>
          <w:r>
            <w:fldChar w:fldCharType="begin"/>
          </w:r>
          <w:r>
            <w:instrText xml:space="preserve"> PAGEREF _Toc31753 \h </w:instrText>
          </w:r>
          <w:r>
            <w:fldChar w:fldCharType="separate"/>
          </w:r>
          <w:r>
            <w:t>106</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4DB3DC04">
          <w:pPr>
            <w:pStyle w:val="8"/>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_Toc11724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spacing w:val="2"/>
              <w:kern w:val="44"/>
              <w:szCs w:val="44"/>
              <w:lang w:val="en-US" w:eastAsia="zh-CN"/>
            </w:rPr>
            <w:t>4环境现状调查与评价</w:t>
          </w:r>
          <w:r>
            <w:tab/>
          </w:r>
          <w:r>
            <w:fldChar w:fldCharType="begin"/>
          </w:r>
          <w:r>
            <w:instrText xml:space="preserve"> PAGEREF _Toc11724 \h </w:instrText>
          </w:r>
          <w:r>
            <w:fldChar w:fldCharType="separate"/>
          </w:r>
          <w:r>
            <w:t>108</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04601A63">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_Toc6275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4.1自然环境现状调查与评价</w:t>
          </w:r>
          <w:r>
            <w:tab/>
          </w:r>
          <w:r>
            <w:fldChar w:fldCharType="begin"/>
          </w:r>
          <w:r>
            <w:instrText xml:space="preserve"> PAGEREF _Toc6275 \h </w:instrText>
          </w:r>
          <w:r>
            <w:fldChar w:fldCharType="separate"/>
          </w:r>
          <w:r>
            <w:t>108</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0F09F642">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_Toc24649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4.1.1地理位置</w:t>
          </w:r>
          <w:r>
            <w:tab/>
          </w:r>
          <w:r>
            <w:fldChar w:fldCharType="begin"/>
          </w:r>
          <w:r>
            <w:instrText xml:space="preserve"> PAGEREF _Toc24649 \h </w:instrText>
          </w:r>
          <w:r>
            <w:fldChar w:fldCharType="separate"/>
          </w:r>
          <w:r>
            <w:t>108</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5F3AC7B8">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_Toc6499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4.1.2地形、地貌</w:t>
          </w:r>
          <w:r>
            <w:tab/>
          </w:r>
          <w:r>
            <w:fldChar w:fldCharType="begin"/>
          </w:r>
          <w:r>
            <w:instrText xml:space="preserve"> PAGEREF _Toc6499 \h </w:instrText>
          </w:r>
          <w:r>
            <w:fldChar w:fldCharType="separate"/>
          </w:r>
          <w:r>
            <w:t>108</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05A2DC0A">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_Toc1091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4.1.3地质特征</w:t>
          </w:r>
          <w:r>
            <w:tab/>
          </w:r>
          <w:r>
            <w:fldChar w:fldCharType="begin"/>
          </w:r>
          <w:r>
            <w:instrText xml:space="preserve"> PAGEREF _Toc1091 \h </w:instrText>
          </w:r>
          <w:r>
            <w:fldChar w:fldCharType="separate"/>
          </w:r>
          <w:r>
            <w:t>109</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4C9E344D">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_Toc27337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4.1.4气候、气象</w:t>
          </w:r>
          <w:r>
            <w:tab/>
          </w:r>
          <w:r>
            <w:fldChar w:fldCharType="begin"/>
          </w:r>
          <w:r>
            <w:instrText xml:space="preserve"> PAGEREF _Toc27337 \h </w:instrText>
          </w:r>
          <w:r>
            <w:fldChar w:fldCharType="separate"/>
          </w:r>
          <w:r>
            <w:t>110</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648BAB46">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_Toc17593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4.1.5水系、水文</w:t>
          </w:r>
          <w:r>
            <w:tab/>
          </w:r>
          <w:r>
            <w:fldChar w:fldCharType="begin"/>
          </w:r>
          <w:r>
            <w:instrText xml:space="preserve"> PAGEREF _Toc17593 \h </w:instrText>
          </w:r>
          <w:r>
            <w:fldChar w:fldCharType="separate"/>
          </w:r>
          <w:r>
            <w:t>111</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2F854455">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_Toc17805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4.1.6植物及生物多样性</w:t>
          </w:r>
          <w:r>
            <w:tab/>
          </w:r>
          <w:r>
            <w:fldChar w:fldCharType="begin"/>
          </w:r>
          <w:r>
            <w:instrText xml:space="preserve"> PAGEREF _Toc17805 \h </w:instrText>
          </w:r>
          <w:r>
            <w:fldChar w:fldCharType="separate"/>
          </w:r>
          <w:r>
            <w:t>112</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5F0DD6B4">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_Toc12696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4.2社会环境简况</w:t>
          </w:r>
          <w:r>
            <w:tab/>
          </w:r>
          <w:r>
            <w:fldChar w:fldCharType="begin"/>
          </w:r>
          <w:r>
            <w:instrText xml:space="preserve"> PAGEREF _Toc12696 \h </w:instrText>
          </w:r>
          <w:r>
            <w:fldChar w:fldCharType="separate"/>
          </w:r>
          <w:r>
            <w:t>113</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72C0A2D9">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_Toc4761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4.2.1行政区域</w:t>
          </w:r>
          <w:r>
            <w:tab/>
          </w:r>
          <w:r>
            <w:fldChar w:fldCharType="begin"/>
          </w:r>
          <w:r>
            <w:instrText xml:space="preserve"> PAGEREF _Toc4761 \h </w:instrText>
          </w:r>
          <w:r>
            <w:fldChar w:fldCharType="separate"/>
          </w:r>
          <w:r>
            <w:t>113</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76EB6EA2">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_Toc28188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4.2.2阿斯兰巴格工业园区</w:t>
          </w:r>
          <w:r>
            <w:tab/>
          </w:r>
          <w:r>
            <w:fldChar w:fldCharType="begin"/>
          </w:r>
          <w:r>
            <w:instrText xml:space="preserve"> PAGEREF _Toc28188 \h </w:instrText>
          </w:r>
          <w:r>
            <w:fldChar w:fldCharType="separate"/>
          </w:r>
          <w:r>
            <w:t>114</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16A65344">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_Toc22059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4.3环境空气质量现状评价</w:t>
          </w:r>
          <w:r>
            <w:tab/>
          </w:r>
          <w:r>
            <w:fldChar w:fldCharType="begin"/>
          </w:r>
          <w:r>
            <w:instrText xml:space="preserve"> PAGEREF _Toc22059 \h </w:instrText>
          </w:r>
          <w:r>
            <w:fldChar w:fldCharType="separate"/>
          </w:r>
          <w:r>
            <w:t>123</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2D070584">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_Toc2981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4.3.1区域环境空气质量达标判定</w:t>
          </w:r>
          <w:r>
            <w:tab/>
          </w:r>
          <w:r>
            <w:fldChar w:fldCharType="begin"/>
          </w:r>
          <w:r>
            <w:instrText xml:space="preserve"> PAGEREF _Toc2981 \h </w:instrText>
          </w:r>
          <w:r>
            <w:fldChar w:fldCharType="separate"/>
          </w:r>
          <w:r>
            <w:t>123</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3D280FA0">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_Toc18934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kern w:val="0"/>
              <w:szCs w:val="24"/>
              <w:lang w:val="en-US" w:eastAsia="zh-CN"/>
            </w:rPr>
            <w:t>4.</w:t>
          </w:r>
          <w:r>
            <w:rPr>
              <w:rFonts w:hint="eastAsia" w:ascii="Times New Roman" w:hAnsi="Times New Roman" w:cs="Times New Roman"/>
              <w:kern w:val="0"/>
              <w:szCs w:val="24"/>
              <w:lang w:val="en-US" w:eastAsia="zh-CN"/>
            </w:rPr>
            <w:t>3</w:t>
          </w:r>
          <w:r>
            <w:rPr>
              <w:rFonts w:hint="default" w:ascii="Times New Roman" w:hAnsi="Times New Roman" w:cs="Times New Roman" w:eastAsiaTheme="minorEastAsia"/>
              <w:kern w:val="0"/>
              <w:szCs w:val="24"/>
              <w:lang w:val="en-US" w:eastAsia="zh-CN"/>
            </w:rPr>
            <w:t>.</w:t>
          </w:r>
          <w:r>
            <w:rPr>
              <w:rFonts w:hint="eastAsia" w:ascii="Times New Roman" w:hAnsi="Times New Roman" w:cs="Times New Roman"/>
              <w:kern w:val="0"/>
              <w:szCs w:val="24"/>
              <w:lang w:val="en-US" w:eastAsia="zh-CN"/>
            </w:rPr>
            <w:t>2</w:t>
          </w:r>
          <w:r>
            <w:rPr>
              <w:rFonts w:hint="default" w:ascii="Times New Roman" w:hAnsi="Times New Roman" w:cs="Times New Roman" w:eastAsiaTheme="minorEastAsia"/>
              <w:kern w:val="0"/>
              <w:szCs w:val="24"/>
              <w:lang w:val="en-US" w:eastAsia="zh-CN"/>
            </w:rPr>
            <w:t>大气环境现状调查及评价</w:t>
          </w:r>
          <w:r>
            <w:tab/>
          </w:r>
          <w:r>
            <w:fldChar w:fldCharType="begin"/>
          </w:r>
          <w:r>
            <w:instrText xml:space="preserve"> PAGEREF _Toc18934 \h </w:instrText>
          </w:r>
          <w:r>
            <w:fldChar w:fldCharType="separate"/>
          </w:r>
          <w:r>
            <w:t>123</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1AB07A50">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_Toc15288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kern w:val="0"/>
              <w:szCs w:val="24"/>
              <w:lang w:val="en-US" w:eastAsia="zh-CN"/>
            </w:rPr>
            <w:t>4.</w:t>
          </w:r>
          <w:r>
            <w:rPr>
              <w:rFonts w:hint="eastAsia" w:ascii="Times New Roman" w:hAnsi="Times New Roman" w:cs="Times New Roman"/>
              <w:kern w:val="0"/>
              <w:szCs w:val="24"/>
              <w:lang w:val="en-US" w:eastAsia="zh-CN"/>
            </w:rPr>
            <w:t>3</w:t>
          </w:r>
          <w:r>
            <w:rPr>
              <w:rFonts w:hint="default" w:ascii="Times New Roman" w:hAnsi="Times New Roman" w:cs="Times New Roman" w:eastAsiaTheme="minorEastAsia"/>
              <w:kern w:val="0"/>
              <w:szCs w:val="24"/>
              <w:lang w:val="en-US" w:eastAsia="zh-CN"/>
            </w:rPr>
            <w:t>.</w:t>
          </w:r>
          <w:r>
            <w:rPr>
              <w:rFonts w:hint="eastAsia" w:ascii="Times New Roman" w:hAnsi="Times New Roman" w:cs="Times New Roman"/>
              <w:kern w:val="0"/>
              <w:szCs w:val="24"/>
              <w:lang w:val="en-US" w:eastAsia="zh-CN"/>
            </w:rPr>
            <w:t>3</w:t>
          </w:r>
          <w:r>
            <w:rPr>
              <w:rFonts w:hint="default" w:ascii="Times New Roman" w:hAnsi="Times New Roman" w:cs="Times New Roman" w:eastAsiaTheme="minorEastAsia"/>
              <w:kern w:val="0"/>
              <w:szCs w:val="24"/>
              <w:lang w:val="en-US" w:eastAsia="zh-CN"/>
            </w:rPr>
            <w:t>声环境现状调查与评价</w:t>
          </w:r>
          <w:r>
            <w:tab/>
          </w:r>
          <w:r>
            <w:fldChar w:fldCharType="begin"/>
          </w:r>
          <w:r>
            <w:instrText xml:space="preserve"> PAGEREF _Toc15288 \h </w:instrText>
          </w:r>
          <w:r>
            <w:fldChar w:fldCharType="separate"/>
          </w:r>
          <w:r>
            <w:t>125</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63971609">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_Toc17787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kern w:val="0"/>
              <w:szCs w:val="24"/>
              <w:lang w:val="en-US" w:eastAsia="zh-CN"/>
            </w:rPr>
            <w:t>4.</w:t>
          </w:r>
          <w:r>
            <w:rPr>
              <w:rFonts w:hint="eastAsia" w:ascii="Times New Roman" w:hAnsi="Times New Roman" w:cs="Times New Roman"/>
              <w:kern w:val="0"/>
              <w:szCs w:val="24"/>
              <w:lang w:val="en-US" w:eastAsia="zh-CN"/>
            </w:rPr>
            <w:t>3.4</w:t>
          </w:r>
          <w:r>
            <w:rPr>
              <w:rFonts w:hint="default" w:ascii="Times New Roman" w:hAnsi="Times New Roman" w:cs="Times New Roman" w:eastAsiaTheme="minorEastAsia"/>
              <w:kern w:val="0"/>
              <w:szCs w:val="24"/>
              <w:lang w:val="en-US" w:eastAsia="zh-CN"/>
            </w:rPr>
            <w:t>土壤环境质量现状与评价</w:t>
          </w:r>
          <w:r>
            <w:tab/>
          </w:r>
          <w:r>
            <w:fldChar w:fldCharType="begin"/>
          </w:r>
          <w:r>
            <w:instrText xml:space="preserve"> PAGEREF _Toc17787 \h </w:instrText>
          </w:r>
          <w:r>
            <w:fldChar w:fldCharType="separate"/>
          </w:r>
          <w:r>
            <w:t>126</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283C52BB">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_Toc7046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kern w:val="0"/>
              <w:szCs w:val="24"/>
              <w:lang w:val="en-US" w:eastAsia="zh-CN"/>
            </w:rPr>
            <w:t>4.</w:t>
          </w:r>
          <w:r>
            <w:rPr>
              <w:rFonts w:hint="eastAsia" w:ascii="Times New Roman" w:hAnsi="Times New Roman" w:cs="Times New Roman"/>
              <w:kern w:val="0"/>
              <w:szCs w:val="24"/>
              <w:lang w:val="en-US" w:eastAsia="zh-CN"/>
            </w:rPr>
            <w:t>3</w:t>
          </w:r>
          <w:r>
            <w:rPr>
              <w:rFonts w:hint="default" w:ascii="Times New Roman" w:hAnsi="Times New Roman" w:cs="Times New Roman" w:eastAsiaTheme="minorEastAsia"/>
              <w:kern w:val="0"/>
              <w:szCs w:val="24"/>
              <w:lang w:val="en-US" w:eastAsia="zh-CN"/>
            </w:rPr>
            <w:t>.</w:t>
          </w:r>
          <w:r>
            <w:rPr>
              <w:rFonts w:hint="eastAsia" w:ascii="Times New Roman" w:hAnsi="Times New Roman" w:cs="Times New Roman"/>
              <w:kern w:val="0"/>
              <w:szCs w:val="24"/>
              <w:lang w:val="en-US" w:eastAsia="zh-CN"/>
            </w:rPr>
            <w:t>5</w:t>
          </w:r>
          <w:r>
            <w:rPr>
              <w:rFonts w:hint="eastAsia" w:ascii="Times New Roman" w:hAnsi="Times New Roman" w:cs="Times New Roman" w:eastAsiaTheme="minorEastAsia"/>
              <w:kern w:val="0"/>
              <w:szCs w:val="24"/>
              <w:lang w:val="en-US" w:eastAsia="zh-CN"/>
            </w:rPr>
            <w:t>地下水</w:t>
          </w:r>
          <w:r>
            <w:rPr>
              <w:rFonts w:hint="default" w:ascii="Times New Roman" w:hAnsi="Times New Roman" w:cs="Times New Roman" w:eastAsiaTheme="minorEastAsia"/>
              <w:kern w:val="0"/>
              <w:szCs w:val="24"/>
              <w:lang w:val="en-US" w:eastAsia="zh-CN"/>
            </w:rPr>
            <w:t>环境质量现状与评价</w:t>
          </w:r>
          <w:r>
            <w:tab/>
          </w:r>
          <w:r>
            <w:fldChar w:fldCharType="begin"/>
          </w:r>
          <w:r>
            <w:instrText xml:space="preserve"> PAGEREF _Toc7046 \h </w:instrText>
          </w:r>
          <w:r>
            <w:fldChar w:fldCharType="separate"/>
          </w:r>
          <w:r>
            <w:t>131</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1C580A9C">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_Toc19994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kern w:val="0"/>
              <w:szCs w:val="24"/>
              <w:lang w:val="en-US" w:eastAsia="zh-CN"/>
            </w:rPr>
            <w:t>4.</w:t>
          </w:r>
          <w:r>
            <w:rPr>
              <w:rFonts w:hint="eastAsia" w:ascii="Times New Roman" w:hAnsi="Times New Roman" w:cs="Times New Roman"/>
              <w:kern w:val="0"/>
              <w:szCs w:val="24"/>
              <w:lang w:val="en-US" w:eastAsia="zh-CN"/>
            </w:rPr>
            <w:t>3</w:t>
          </w:r>
          <w:r>
            <w:rPr>
              <w:rFonts w:hint="default" w:ascii="Times New Roman" w:hAnsi="Times New Roman" w:cs="Times New Roman" w:eastAsiaTheme="minorEastAsia"/>
              <w:kern w:val="0"/>
              <w:szCs w:val="24"/>
              <w:lang w:val="en-US" w:eastAsia="zh-CN"/>
            </w:rPr>
            <w:t>.</w:t>
          </w:r>
          <w:r>
            <w:rPr>
              <w:rFonts w:hint="eastAsia" w:ascii="Times New Roman" w:hAnsi="Times New Roman" w:cs="Times New Roman"/>
              <w:kern w:val="0"/>
              <w:szCs w:val="24"/>
              <w:lang w:val="en-US" w:eastAsia="zh-CN"/>
            </w:rPr>
            <w:t>6</w:t>
          </w:r>
          <w:r>
            <w:rPr>
              <w:rFonts w:hint="default" w:ascii="Times New Roman" w:hAnsi="Times New Roman" w:cs="Times New Roman" w:eastAsiaTheme="minorEastAsia"/>
              <w:kern w:val="0"/>
              <w:szCs w:val="24"/>
              <w:lang w:val="en-US" w:eastAsia="zh-CN"/>
            </w:rPr>
            <w:t>生态环境质量现状调查分析</w:t>
          </w:r>
          <w:r>
            <w:tab/>
          </w:r>
          <w:r>
            <w:fldChar w:fldCharType="begin"/>
          </w:r>
          <w:r>
            <w:instrText xml:space="preserve"> PAGEREF _Toc19994 \h </w:instrText>
          </w:r>
          <w:r>
            <w:fldChar w:fldCharType="separate"/>
          </w:r>
          <w:r>
            <w:t>132</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4AD6A8A4">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_Toc11314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snapToGrid w:val="0"/>
              <w:kern w:val="0"/>
              <w:szCs w:val="28"/>
              <w:lang w:val="en-US" w:eastAsia="zh-CN"/>
            </w:rPr>
            <w:t>4.</w:t>
          </w:r>
          <w:r>
            <w:rPr>
              <w:rFonts w:hint="eastAsia" w:ascii="Times New Roman" w:hAnsi="Times New Roman" w:cs="Times New Roman"/>
              <w:snapToGrid w:val="0"/>
              <w:kern w:val="0"/>
              <w:szCs w:val="28"/>
              <w:lang w:val="en-US" w:eastAsia="zh-CN"/>
            </w:rPr>
            <w:t>4</w:t>
          </w:r>
          <w:r>
            <w:rPr>
              <w:rFonts w:hint="default" w:ascii="Times New Roman" w:hAnsi="Times New Roman" w:cs="Times New Roman" w:eastAsiaTheme="minorEastAsia"/>
              <w:snapToGrid w:val="0"/>
              <w:kern w:val="0"/>
              <w:szCs w:val="28"/>
              <w:lang w:val="en-US" w:eastAsia="zh-CN"/>
            </w:rPr>
            <w:t>区域污染源调查</w:t>
          </w:r>
          <w:r>
            <w:tab/>
          </w:r>
          <w:r>
            <w:fldChar w:fldCharType="begin"/>
          </w:r>
          <w:r>
            <w:instrText xml:space="preserve"> PAGEREF _Toc11314 \h </w:instrText>
          </w:r>
          <w:r>
            <w:fldChar w:fldCharType="separate"/>
          </w:r>
          <w:r>
            <w:t>134</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1AC12528">
          <w:pPr>
            <w:pStyle w:val="8"/>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_Toc13473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spacing w:val="2"/>
              <w:kern w:val="44"/>
              <w:szCs w:val="44"/>
              <w:lang w:val="en-US" w:eastAsia="zh-CN"/>
            </w:rPr>
            <w:t>5环境影响预测与评价</w:t>
          </w:r>
          <w:r>
            <w:tab/>
          </w:r>
          <w:r>
            <w:fldChar w:fldCharType="begin"/>
          </w:r>
          <w:r>
            <w:instrText xml:space="preserve"> PAGEREF _Toc13473 \h </w:instrText>
          </w:r>
          <w:r>
            <w:fldChar w:fldCharType="separate"/>
          </w:r>
          <w:r>
            <w:t>135</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101D536D">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_Toc26273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5.1施工期环境影响预测与评价</w:t>
          </w:r>
          <w:r>
            <w:tab/>
          </w:r>
          <w:r>
            <w:fldChar w:fldCharType="begin"/>
          </w:r>
          <w:r>
            <w:instrText xml:space="preserve"> PAGEREF _Toc26273 \h </w:instrText>
          </w:r>
          <w:r>
            <w:fldChar w:fldCharType="separate"/>
          </w:r>
          <w:r>
            <w:t>135</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799517A0">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_Toc5224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5.1.1大气环境影响分析</w:t>
          </w:r>
          <w:r>
            <w:tab/>
          </w:r>
          <w:r>
            <w:fldChar w:fldCharType="begin"/>
          </w:r>
          <w:r>
            <w:instrText xml:space="preserve"> PAGEREF _Toc5224 \h </w:instrText>
          </w:r>
          <w:r>
            <w:fldChar w:fldCharType="separate"/>
          </w:r>
          <w:r>
            <w:t>135</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7F7D2A9B">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_Toc3758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highlight w:val="none"/>
              <w:lang w:val="en-US" w:eastAsia="zh-CN"/>
            </w:rPr>
            <w:t>5.1.2水环境影响分析</w:t>
          </w:r>
          <w:r>
            <w:tab/>
          </w:r>
          <w:r>
            <w:fldChar w:fldCharType="begin"/>
          </w:r>
          <w:r>
            <w:instrText xml:space="preserve"> PAGEREF _Toc3758 \h </w:instrText>
          </w:r>
          <w:r>
            <w:fldChar w:fldCharType="separate"/>
          </w:r>
          <w:r>
            <w:t>136</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260EE181">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_Toc26684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5.1.3声环境影响分析</w:t>
          </w:r>
          <w:r>
            <w:tab/>
          </w:r>
          <w:r>
            <w:fldChar w:fldCharType="begin"/>
          </w:r>
          <w:r>
            <w:instrText xml:space="preserve"> PAGEREF _Toc26684 \h </w:instrText>
          </w:r>
          <w:r>
            <w:fldChar w:fldCharType="separate"/>
          </w:r>
          <w:r>
            <w:t>137</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1C8C784A">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_Toc19362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5.1.4生态环境影响分析</w:t>
          </w:r>
          <w:r>
            <w:tab/>
          </w:r>
          <w:r>
            <w:fldChar w:fldCharType="begin"/>
          </w:r>
          <w:r>
            <w:instrText xml:space="preserve"> PAGEREF _Toc19362 \h </w:instrText>
          </w:r>
          <w:r>
            <w:fldChar w:fldCharType="separate"/>
          </w:r>
          <w:r>
            <w:t>138</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3CB33B24">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_Toc20278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kern w:val="0"/>
              <w:szCs w:val="24"/>
              <w:lang w:val="en-US" w:eastAsia="zh-CN"/>
            </w:rPr>
            <w:t>5.1.5</w:t>
          </w:r>
          <w:r>
            <w:rPr>
              <w:rFonts w:hint="eastAsia" w:ascii="Times New Roman" w:hAnsi="Times New Roman" w:cs="Times New Roman" w:eastAsiaTheme="minorEastAsia"/>
              <w:kern w:val="0"/>
              <w:szCs w:val="24"/>
              <w:lang w:val="en-US" w:eastAsia="zh-CN"/>
            </w:rPr>
            <w:t>水土流失影响分析</w:t>
          </w:r>
          <w:r>
            <w:tab/>
          </w:r>
          <w:r>
            <w:fldChar w:fldCharType="begin"/>
          </w:r>
          <w:r>
            <w:instrText xml:space="preserve"> PAGEREF _Toc20278 \h </w:instrText>
          </w:r>
          <w:r>
            <w:fldChar w:fldCharType="separate"/>
          </w:r>
          <w:r>
            <w:t>138</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33FAD66F">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_Toc29501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eastAsia="华文中宋" w:cs="Times New Roman"/>
              <w:snapToGrid w:val="0"/>
              <w:kern w:val="0"/>
              <w:szCs w:val="28"/>
              <w:lang w:val="en-US" w:eastAsia="zh-CN"/>
            </w:rPr>
            <w:t xml:space="preserve">5.2 </w:t>
          </w:r>
          <w:r>
            <w:rPr>
              <w:rFonts w:hint="eastAsia" w:ascii="Times New Roman" w:hAnsi="Times New Roman" w:eastAsia="华文中宋" w:cs="Times New Roman"/>
              <w:snapToGrid w:val="0"/>
              <w:kern w:val="0"/>
              <w:szCs w:val="28"/>
              <w:lang w:val="en-US" w:eastAsia="zh-CN"/>
            </w:rPr>
            <w:t>营运期大气环境影响预测与评价</w:t>
          </w:r>
          <w:r>
            <w:tab/>
          </w:r>
          <w:r>
            <w:fldChar w:fldCharType="begin"/>
          </w:r>
          <w:r>
            <w:instrText xml:space="preserve"> PAGEREF _Toc29501 \h </w:instrText>
          </w:r>
          <w:r>
            <w:fldChar w:fldCharType="separate"/>
          </w:r>
          <w:r>
            <w:t>138</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09526AD0">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_Toc17486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eastAsia="华文中宋" w:cs="Times New Roman"/>
              <w:kern w:val="0"/>
              <w:szCs w:val="24"/>
              <w:lang w:val="en-US" w:eastAsia="zh-CN"/>
            </w:rPr>
            <w:t xml:space="preserve">5.2.1 </w:t>
          </w:r>
          <w:r>
            <w:rPr>
              <w:rFonts w:hint="eastAsia" w:ascii="Times New Roman" w:hAnsi="Times New Roman" w:eastAsia="华文中宋" w:cs="Times New Roman"/>
              <w:kern w:val="0"/>
              <w:szCs w:val="24"/>
              <w:lang w:val="en-US" w:eastAsia="zh-CN"/>
            </w:rPr>
            <w:t>大气环境影响预测条件</w:t>
          </w:r>
          <w:r>
            <w:tab/>
          </w:r>
          <w:r>
            <w:fldChar w:fldCharType="begin"/>
          </w:r>
          <w:r>
            <w:instrText xml:space="preserve"> PAGEREF _Toc17486 \h </w:instrText>
          </w:r>
          <w:r>
            <w:fldChar w:fldCharType="separate"/>
          </w:r>
          <w:r>
            <w:t>138</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6359B93B">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_Toc32092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kern w:val="0"/>
              <w:szCs w:val="24"/>
              <w:lang w:val="en-US" w:eastAsia="en-US"/>
            </w:rPr>
            <w:t>5.2.</w:t>
          </w:r>
          <w:r>
            <w:rPr>
              <w:rFonts w:hint="eastAsia" w:ascii="Times New Roman" w:hAnsi="Times New Roman" w:cs="Times New Roman" w:eastAsiaTheme="minorEastAsia"/>
              <w:kern w:val="0"/>
              <w:szCs w:val="24"/>
              <w:lang w:val="en-US" w:eastAsia="zh-CN"/>
            </w:rPr>
            <w:t>2</w:t>
          </w:r>
          <w:r>
            <w:rPr>
              <w:rFonts w:hint="default" w:ascii="Times New Roman" w:hAnsi="Times New Roman" w:cs="Times New Roman" w:eastAsiaTheme="minorEastAsia"/>
              <w:kern w:val="0"/>
              <w:szCs w:val="24"/>
              <w:lang w:val="en-US" w:eastAsia="en-US"/>
            </w:rPr>
            <w:t xml:space="preserve"> 大气污染物浓度预测结果</w:t>
          </w:r>
          <w:r>
            <w:tab/>
          </w:r>
          <w:r>
            <w:fldChar w:fldCharType="begin"/>
          </w:r>
          <w:r>
            <w:instrText xml:space="preserve"> PAGEREF _Toc32092 \h </w:instrText>
          </w:r>
          <w:r>
            <w:fldChar w:fldCharType="separate"/>
          </w:r>
          <w:r>
            <w:t>150</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3D1ADD37">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_Toc25184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kern w:val="0"/>
              <w:szCs w:val="24"/>
              <w:lang w:val="en-US" w:eastAsia="en-US"/>
            </w:rPr>
            <w:t>5.2.</w:t>
          </w:r>
          <w:r>
            <w:rPr>
              <w:rFonts w:hint="eastAsia" w:ascii="Times New Roman" w:hAnsi="Times New Roman" w:cs="Times New Roman" w:eastAsiaTheme="minorEastAsia"/>
              <w:kern w:val="0"/>
              <w:szCs w:val="24"/>
              <w:lang w:val="en-US" w:eastAsia="zh-CN"/>
            </w:rPr>
            <w:t>3</w:t>
          </w:r>
          <w:r>
            <w:rPr>
              <w:rFonts w:hint="default" w:ascii="Times New Roman" w:hAnsi="Times New Roman" w:cs="Times New Roman" w:eastAsiaTheme="minorEastAsia"/>
              <w:kern w:val="0"/>
              <w:szCs w:val="24"/>
              <w:lang w:val="en-US" w:eastAsia="en-US"/>
            </w:rPr>
            <w:t xml:space="preserve"> 大气环境防护距离</w:t>
          </w:r>
          <w:r>
            <w:tab/>
          </w:r>
          <w:r>
            <w:fldChar w:fldCharType="begin"/>
          </w:r>
          <w:r>
            <w:instrText xml:space="preserve"> PAGEREF _Toc25184 \h </w:instrText>
          </w:r>
          <w:r>
            <w:fldChar w:fldCharType="separate"/>
          </w:r>
          <w:r>
            <w:t>169</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7D9244FB">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_Toc1017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kern w:val="0"/>
              <w:szCs w:val="24"/>
              <w:lang w:val="en-US" w:eastAsia="zh-CN"/>
            </w:rPr>
            <w:t>5.2.</w:t>
          </w:r>
          <w:r>
            <w:rPr>
              <w:rFonts w:hint="eastAsia" w:ascii="Times New Roman" w:hAnsi="Times New Roman" w:cs="Times New Roman" w:eastAsiaTheme="minorEastAsia"/>
              <w:kern w:val="0"/>
              <w:szCs w:val="24"/>
              <w:lang w:val="en-US" w:eastAsia="zh-CN"/>
            </w:rPr>
            <w:t>4</w:t>
          </w:r>
          <w:r>
            <w:rPr>
              <w:rFonts w:hint="default" w:ascii="Times New Roman" w:hAnsi="Times New Roman" w:cs="Times New Roman" w:eastAsiaTheme="minorEastAsia"/>
              <w:kern w:val="0"/>
              <w:szCs w:val="24"/>
              <w:lang w:val="en-US" w:eastAsia="en-US"/>
            </w:rPr>
            <w:t>污染源排放量核算</w:t>
          </w:r>
          <w:r>
            <w:tab/>
          </w:r>
          <w:r>
            <w:fldChar w:fldCharType="begin"/>
          </w:r>
          <w:r>
            <w:instrText xml:space="preserve"> PAGEREF _Toc1017 \h </w:instrText>
          </w:r>
          <w:r>
            <w:fldChar w:fldCharType="separate"/>
          </w:r>
          <w:r>
            <w:t>169</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5AE002A3">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_Toc27057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kern w:val="0"/>
              <w:szCs w:val="24"/>
              <w:lang w:val="en-US" w:eastAsia="en-US"/>
            </w:rPr>
            <w:t>5.2.</w:t>
          </w:r>
          <w:r>
            <w:rPr>
              <w:rFonts w:hint="eastAsia" w:ascii="Times New Roman" w:hAnsi="Times New Roman" w:cs="Times New Roman" w:eastAsiaTheme="minorEastAsia"/>
              <w:kern w:val="0"/>
              <w:szCs w:val="24"/>
              <w:lang w:val="en-US" w:eastAsia="zh-CN"/>
            </w:rPr>
            <w:t>5</w:t>
          </w:r>
          <w:r>
            <w:rPr>
              <w:rFonts w:hint="default" w:ascii="Times New Roman" w:hAnsi="Times New Roman" w:cs="Times New Roman" w:eastAsiaTheme="minorEastAsia"/>
              <w:kern w:val="0"/>
              <w:szCs w:val="24"/>
              <w:lang w:val="en-US" w:eastAsia="en-US"/>
            </w:rPr>
            <w:t xml:space="preserve"> 区域环境质量变化评价</w:t>
          </w:r>
          <w:r>
            <w:tab/>
          </w:r>
          <w:r>
            <w:fldChar w:fldCharType="begin"/>
          </w:r>
          <w:r>
            <w:instrText xml:space="preserve"> PAGEREF _Toc27057 \h </w:instrText>
          </w:r>
          <w:r>
            <w:fldChar w:fldCharType="separate"/>
          </w:r>
          <w:r>
            <w:t>170</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506CD68F">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_Toc25521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5.2.6卫生防护距离</w:t>
          </w:r>
          <w:r>
            <w:tab/>
          </w:r>
          <w:r>
            <w:fldChar w:fldCharType="begin"/>
          </w:r>
          <w:r>
            <w:instrText xml:space="preserve"> PAGEREF _Toc25521 \h </w:instrText>
          </w:r>
          <w:r>
            <w:fldChar w:fldCharType="separate"/>
          </w:r>
          <w:r>
            <w:t>171</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7969C1EF">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_Toc5163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eastAsia="华文中宋" w:cs="Times New Roman"/>
              <w:snapToGrid w:val="0"/>
              <w:kern w:val="0"/>
              <w:szCs w:val="28"/>
              <w:lang w:val="en-US" w:eastAsia="zh-CN"/>
            </w:rPr>
            <w:t>5.3运营期地表水环境影响评价</w:t>
          </w:r>
          <w:r>
            <w:tab/>
          </w:r>
          <w:r>
            <w:fldChar w:fldCharType="begin"/>
          </w:r>
          <w:r>
            <w:instrText xml:space="preserve"> PAGEREF _Toc5163 \h </w:instrText>
          </w:r>
          <w:r>
            <w:fldChar w:fldCharType="separate"/>
          </w:r>
          <w:r>
            <w:t>173</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47CCE139">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_Toc1917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eastAsia="华文中宋" w:cs="Times New Roman"/>
              <w:kern w:val="0"/>
              <w:szCs w:val="24"/>
              <w:lang w:val="en-US" w:eastAsia="zh-CN"/>
            </w:rPr>
            <w:t>5.3.1本项目地表水环境影响分析</w:t>
          </w:r>
          <w:r>
            <w:tab/>
          </w:r>
          <w:r>
            <w:fldChar w:fldCharType="begin"/>
          </w:r>
          <w:r>
            <w:instrText xml:space="preserve"> PAGEREF _Toc1917 \h </w:instrText>
          </w:r>
          <w:r>
            <w:fldChar w:fldCharType="separate"/>
          </w:r>
          <w:r>
            <w:t>173</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6E95054F">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_Toc16054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5.3.</w:t>
          </w:r>
          <w:r>
            <w:rPr>
              <w:rFonts w:hint="eastAsia" w:ascii="Times New Roman" w:hAnsi="Times New Roman" w:cs="Times New Roman"/>
              <w:kern w:val="0"/>
              <w:szCs w:val="24"/>
              <w:lang w:val="en-US" w:eastAsia="zh-CN"/>
            </w:rPr>
            <w:t>2</w:t>
          </w:r>
          <w:r>
            <w:rPr>
              <w:rFonts w:hint="eastAsia" w:ascii="Times New Roman" w:hAnsi="Times New Roman" w:cs="Times New Roman" w:eastAsiaTheme="minorEastAsia"/>
              <w:kern w:val="0"/>
              <w:szCs w:val="24"/>
              <w:lang w:val="en-US" w:eastAsia="zh-CN"/>
            </w:rPr>
            <w:t>地表水环境影响自查表</w:t>
          </w:r>
          <w:r>
            <w:tab/>
          </w:r>
          <w:r>
            <w:fldChar w:fldCharType="begin"/>
          </w:r>
          <w:r>
            <w:instrText xml:space="preserve"> PAGEREF _Toc16054 \h </w:instrText>
          </w:r>
          <w:r>
            <w:fldChar w:fldCharType="separate"/>
          </w:r>
          <w:r>
            <w:t>173</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08D7959C">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_Toc18228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eastAsia="华文中宋" w:cs="Times New Roman"/>
              <w:snapToGrid w:val="0"/>
              <w:kern w:val="0"/>
              <w:szCs w:val="28"/>
              <w:lang w:val="en-US" w:eastAsia="zh-CN"/>
            </w:rPr>
            <w:t>5.4运营期声环境影响分析</w:t>
          </w:r>
          <w:r>
            <w:tab/>
          </w:r>
          <w:r>
            <w:fldChar w:fldCharType="begin"/>
          </w:r>
          <w:r>
            <w:instrText xml:space="preserve"> PAGEREF _Toc18228 \h </w:instrText>
          </w:r>
          <w:r>
            <w:fldChar w:fldCharType="separate"/>
          </w:r>
          <w:r>
            <w:t>176</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4E24A500">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_Toc15915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eastAsia="华文中宋" w:cs="Times New Roman"/>
              <w:kern w:val="0"/>
              <w:szCs w:val="24"/>
              <w:lang w:val="en-US" w:eastAsia="zh-CN"/>
            </w:rPr>
            <w:t>5.4.1预测范围及预测点</w:t>
          </w:r>
          <w:r>
            <w:tab/>
          </w:r>
          <w:r>
            <w:fldChar w:fldCharType="begin"/>
          </w:r>
          <w:r>
            <w:instrText xml:space="preserve"> PAGEREF _Toc15915 \h </w:instrText>
          </w:r>
          <w:r>
            <w:fldChar w:fldCharType="separate"/>
          </w:r>
          <w:r>
            <w:t>176</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03E7C77C">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_Toc5921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eastAsia="华文中宋" w:cs="Times New Roman"/>
              <w:kern w:val="0"/>
              <w:szCs w:val="24"/>
              <w:lang w:val="en-US" w:eastAsia="zh-CN"/>
            </w:rPr>
            <w:t>5.4.2预测方法及执行标准</w:t>
          </w:r>
          <w:r>
            <w:tab/>
          </w:r>
          <w:r>
            <w:fldChar w:fldCharType="begin"/>
          </w:r>
          <w:r>
            <w:instrText xml:space="preserve"> PAGEREF _Toc5921 \h </w:instrText>
          </w:r>
          <w:r>
            <w:fldChar w:fldCharType="separate"/>
          </w:r>
          <w:r>
            <w:t>176</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07321920">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_Toc17697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eastAsia="华文中宋" w:cs="Times New Roman"/>
              <w:kern w:val="0"/>
              <w:szCs w:val="24"/>
              <w:lang w:val="en-US" w:eastAsia="zh-CN"/>
            </w:rPr>
            <w:t>5.4.3预测模式及参数</w:t>
          </w:r>
          <w:r>
            <w:tab/>
          </w:r>
          <w:r>
            <w:fldChar w:fldCharType="begin"/>
          </w:r>
          <w:r>
            <w:instrText xml:space="preserve"> PAGEREF _Toc17697 \h </w:instrText>
          </w:r>
          <w:r>
            <w:fldChar w:fldCharType="separate"/>
          </w:r>
          <w:r>
            <w:t>176</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46251BA1">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_Toc31017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eastAsia="华文中宋" w:cs="Times New Roman"/>
              <w:kern w:val="0"/>
              <w:szCs w:val="24"/>
              <w:lang w:val="en-US" w:eastAsia="zh-CN"/>
            </w:rPr>
            <w:t>5.4.4噪声源强</w:t>
          </w:r>
          <w:r>
            <w:tab/>
          </w:r>
          <w:r>
            <w:fldChar w:fldCharType="begin"/>
          </w:r>
          <w:r>
            <w:instrText xml:space="preserve"> PAGEREF _Toc31017 \h </w:instrText>
          </w:r>
          <w:r>
            <w:fldChar w:fldCharType="separate"/>
          </w:r>
          <w:r>
            <w:t>177</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30DEB6D3">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_Toc10470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eastAsia="华文中宋" w:cs="Times New Roman"/>
              <w:kern w:val="0"/>
              <w:szCs w:val="24"/>
              <w:lang w:val="en-US" w:eastAsia="zh-CN"/>
            </w:rPr>
            <w:t>5.4.5预测结果</w:t>
          </w:r>
          <w:r>
            <w:tab/>
          </w:r>
          <w:r>
            <w:fldChar w:fldCharType="begin"/>
          </w:r>
          <w:r>
            <w:instrText xml:space="preserve"> PAGEREF _Toc10470 \h </w:instrText>
          </w:r>
          <w:r>
            <w:fldChar w:fldCharType="separate"/>
          </w:r>
          <w:r>
            <w:t>179</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3DCB8559">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_Toc25696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eastAsia="华文中宋" w:cs="Times New Roman"/>
              <w:kern w:val="0"/>
              <w:szCs w:val="24"/>
              <w:lang w:val="en-US" w:eastAsia="zh-CN"/>
            </w:rPr>
            <w:t>5.4.6声环境影响评价自查表</w:t>
          </w:r>
          <w:r>
            <w:tab/>
          </w:r>
          <w:r>
            <w:fldChar w:fldCharType="begin"/>
          </w:r>
          <w:r>
            <w:instrText xml:space="preserve"> PAGEREF _Toc25696 \h </w:instrText>
          </w:r>
          <w:r>
            <w:fldChar w:fldCharType="separate"/>
          </w:r>
          <w:r>
            <w:t>179</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697B602A">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_Toc1878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5.5运营期地下水环境影响评价</w:t>
          </w:r>
          <w:r>
            <w:tab/>
          </w:r>
          <w:r>
            <w:fldChar w:fldCharType="begin"/>
          </w:r>
          <w:r>
            <w:instrText xml:space="preserve"> PAGEREF _Toc1878 \h </w:instrText>
          </w:r>
          <w:r>
            <w:fldChar w:fldCharType="separate"/>
          </w:r>
          <w:r>
            <w:t>180</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45EBBC2C">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_Toc15862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5.5.1评价区水文地质概况</w:t>
          </w:r>
          <w:r>
            <w:tab/>
          </w:r>
          <w:r>
            <w:fldChar w:fldCharType="begin"/>
          </w:r>
          <w:r>
            <w:instrText xml:space="preserve"> PAGEREF _Toc15862 \h </w:instrText>
          </w:r>
          <w:r>
            <w:fldChar w:fldCharType="separate"/>
          </w:r>
          <w:r>
            <w:t>180</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1C33016B">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_Toc7293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5.5.2地下水环境预测与评价</w:t>
          </w:r>
          <w:r>
            <w:tab/>
          </w:r>
          <w:r>
            <w:fldChar w:fldCharType="begin"/>
          </w:r>
          <w:r>
            <w:instrText xml:space="preserve"> PAGEREF _Toc7293 \h </w:instrText>
          </w:r>
          <w:r>
            <w:fldChar w:fldCharType="separate"/>
          </w:r>
          <w:r>
            <w:t>184</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3E94138C">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_Toc5862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5.5.</w:t>
          </w:r>
          <w:r>
            <w:rPr>
              <w:rFonts w:hint="eastAsia" w:ascii="Times New Roman" w:hAnsi="Times New Roman" w:cs="Times New Roman"/>
              <w:kern w:val="0"/>
              <w:szCs w:val="24"/>
              <w:lang w:val="en-US" w:eastAsia="zh-CN"/>
            </w:rPr>
            <w:t>3</w:t>
          </w:r>
          <w:r>
            <w:rPr>
              <w:rFonts w:hint="eastAsia" w:ascii="Times New Roman" w:hAnsi="Times New Roman" w:cs="Times New Roman" w:eastAsiaTheme="minorEastAsia"/>
              <w:kern w:val="0"/>
              <w:szCs w:val="24"/>
              <w:lang w:val="en-US" w:eastAsia="zh-CN"/>
            </w:rPr>
            <w:t>地下水环境影响预测评价结论</w:t>
          </w:r>
          <w:r>
            <w:tab/>
          </w:r>
          <w:r>
            <w:fldChar w:fldCharType="begin"/>
          </w:r>
          <w:r>
            <w:instrText xml:space="preserve"> PAGEREF _Toc5862 \h </w:instrText>
          </w:r>
          <w:r>
            <w:fldChar w:fldCharType="separate"/>
          </w:r>
          <w:r>
            <w:t>191</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6E666BBD">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_Toc19996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5.</w:t>
          </w:r>
          <w:r>
            <w:rPr>
              <w:rFonts w:hint="eastAsia" w:ascii="Times New Roman" w:hAnsi="Times New Roman" w:cs="Times New Roman"/>
              <w:snapToGrid w:val="0"/>
              <w:kern w:val="0"/>
              <w:szCs w:val="28"/>
              <w:lang w:val="en-US" w:eastAsia="zh-CN"/>
            </w:rPr>
            <w:t>6</w:t>
          </w:r>
          <w:r>
            <w:rPr>
              <w:rFonts w:hint="eastAsia" w:ascii="Times New Roman" w:hAnsi="Times New Roman" w:cs="Times New Roman" w:eastAsiaTheme="minorEastAsia"/>
              <w:snapToGrid w:val="0"/>
              <w:kern w:val="0"/>
              <w:szCs w:val="28"/>
              <w:lang w:val="en-US" w:eastAsia="zh-CN"/>
            </w:rPr>
            <w:t>运营期固</w:t>
          </w:r>
          <w:r>
            <w:rPr>
              <w:rFonts w:hint="eastAsia" w:ascii="Times New Roman" w:hAnsi="Times New Roman" w:cs="Times New Roman"/>
              <w:snapToGrid w:val="0"/>
              <w:kern w:val="0"/>
              <w:szCs w:val="28"/>
              <w:lang w:val="en-US" w:eastAsia="zh-CN"/>
            </w:rPr>
            <w:t>体</w:t>
          </w:r>
          <w:r>
            <w:rPr>
              <w:rFonts w:hint="eastAsia" w:ascii="Times New Roman" w:hAnsi="Times New Roman" w:cs="Times New Roman" w:eastAsiaTheme="minorEastAsia"/>
              <w:snapToGrid w:val="0"/>
              <w:kern w:val="0"/>
              <w:szCs w:val="28"/>
              <w:lang w:val="en-US" w:eastAsia="zh-CN"/>
            </w:rPr>
            <w:t>废物环境影响分析</w:t>
          </w:r>
          <w:r>
            <w:tab/>
          </w:r>
          <w:r>
            <w:fldChar w:fldCharType="begin"/>
          </w:r>
          <w:r>
            <w:instrText xml:space="preserve"> PAGEREF _Toc19996 \h </w:instrText>
          </w:r>
          <w:r>
            <w:fldChar w:fldCharType="separate"/>
          </w:r>
          <w:r>
            <w:t>191</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2856824A">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_Toc15316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5.</w:t>
          </w:r>
          <w:r>
            <w:rPr>
              <w:rFonts w:hint="eastAsia" w:ascii="Times New Roman" w:hAnsi="Times New Roman" w:cs="Times New Roman"/>
              <w:kern w:val="0"/>
              <w:szCs w:val="24"/>
              <w:lang w:val="en-US" w:eastAsia="zh-CN"/>
            </w:rPr>
            <w:t>6</w:t>
          </w:r>
          <w:r>
            <w:rPr>
              <w:rFonts w:hint="eastAsia" w:ascii="Times New Roman" w:hAnsi="Times New Roman" w:cs="Times New Roman" w:eastAsiaTheme="minorEastAsia"/>
              <w:kern w:val="0"/>
              <w:szCs w:val="24"/>
              <w:lang w:val="en-US" w:eastAsia="zh-CN"/>
            </w:rPr>
            <w:t>.1固体废物产生及处置情况</w:t>
          </w:r>
          <w:r>
            <w:tab/>
          </w:r>
          <w:r>
            <w:fldChar w:fldCharType="begin"/>
          </w:r>
          <w:r>
            <w:instrText xml:space="preserve"> PAGEREF _Toc15316 \h </w:instrText>
          </w:r>
          <w:r>
            <w:fldChar w:fldCharType="separate"/>
          </w:r>
          <w:r>
            <w:t>191</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308F3580">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_Toc25743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5.</w:t>
          </w:r>
          <w:r>
            <w:rPr>
              <w:rFonts w:hint="eastAsia" w:ascii="Times New Roman" w:hAnsi="Times New Roman" w:cs="Times New Roman"/>
              <w:kern w:val="0"/>
              <w:szCs w:val="24"/>
              <w:lang w:val="en-US" w:eastAsia="zh-CN"/>
            </w:rPr>
            <w:t>6</w:t>
          </w:r>
          <w:r>
            <w:rPr>
              <w:rFonts w:hint="eastAsia" w:ascii="Times New Roman" w:hAnsi="Times New Roman" w:cs="Times New Roman" w:eastAsiaTheme="minorEastAsia"/>
              <w:kern w:val="0"/>
              <w:szCs w:val="24"/>
              <w:lang w:val="en-US" w:eastAsia="zh-CN"/>
            </w:rPr>
            <w:t>.2固体废物厂内暂存污染防治措施及影响分析</w:t>
          </w:r>
          <w:r>
            <w:tab/>
          </w:r>
          <w:r>
            <w:fldChar w:fldCharType="begin"/>
          </w:r>
          <w:r>
            <w:instrText xml:space="preserve"> PAGEREF _Toc25743 \h </w:instrText>
          </w:r>
          <w:r>
            <w:fldChar w:fldCharType="separate"/>
          </w:r>
          <w:r>
            <w:t>192</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4B130587">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_Toc20715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5.</w:t>
          </w:r>
          <w:r>
            <w:rPr>
              <w:rFonts w:hint="eastAsia" w:ascii="Times New Roman" w:hAnsi="Times New Roman" w:cs="Times New Roman"/>
              <w:kern w:val="0"/>
              <w:szCs w:val="24"/>
              <w:lang w:val="en-US" w:eastAsia="zh-CN"/>
            </w:rPr>
            <w:t>6</w:t>
          </w:r>
          <w:r>
            <w:rPr>
              <w:rFonts w:hint="eastAsia" w:ascii="Times New Roman" w:hAnsi="Times New Roman" w:cs="Times New Roman" w:eastAsiaTheme="minorEastAsia"/>
              <w:kern w:val="0"/>
              <w:szCs w:val="24"/>
              <w:lang w:val="en-US" w:eastAsia="zh-CN"/>
            </w:rPr>
            <w:t>.3固体废物处置措施及环境影响分析</w:t>
          </w:r>
          <w:r>
            <w:tab/>
          </w:r>
          <w:r>
            <w:fldChar w:fldCharType="begin"/>
          </w:r>
          <w:r>
            <w:instrText xml:space="preserve"> PAGEREF _Toc20715 \h </w:instrText>
          </w:r>
          <w:r>
            <w:fldChar w:fldCharType="separate"/>
          </w:r>
          <w:r>
            <w:t>193</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5258E85A">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_Toc25506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5.</w:t>
          </w:r>
          <w:r>
            <w:rPr>
              <w:rFonts w:hint="eastAsia" w:ascii="Times New Roman" w:hAnsi="Times New Roman" w:cs="Times New Roman"/>
              <w:kern w:val="0"/>
              <w:szCs w:val="24"/>
              <w:lang w:val="en-US" w:eastAsia="zh-CN"/>
            </w:rPr>
            <w:t>6.</w:t>
          </w:r>
          <w:r>
            <w:rPr>
              <w:rFonts w:hint="eastAsia" w:ascii="Times New Roman" w:hAnsi="Times New Roman" w:cs="Times New Roman" w:eastAsiaTheme="minorEastAsia"/>
              <w:kern w:val="0"/>
              <w:szCs w:val="24"/>
              <w:lang w:val="en-US" w:eastAsia="zh-CN"/>
            </w:rPr>
            <w:t>4固体废物环境影响分析</w:t>
          </w:r>
          <w:r>
            <w:tab/>
          </w:r>
          <w:r>
            <w:fldChar w:fldCharType="begin"/>
          </w:r>
          <w:r>
            <w:instrText xml:space="preserve"> PAGEREF _Toc25506 \h </w:instrText>
          </w:r>
          <w:r>
            <w:fldChar w:fldCharType="separate"/>
          </w:r>
          <w:r>
            <w:t>193</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0F0E52BF">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_Toc16842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5.</w:t>
          </w:r>
          <w:r>
            <w:rPr>
              <w:rFonts w:hint="eastAsia" w:ascii="Times New Roman" w:hAnsi="Times New Roman" w:cs="Times New Roman"/>
              <w:snapToGrid w:val="0"/>
              <w:kern w:val="0"/>
              <w:szCs w:val="28"/>
              <w:lang w:val="en-US" w:eastAsia="zh-CN"/>
            </w:rPr>
            <w:t>7</w:t>
          </w:r>
          <w:r>
            <w:rPr>
              <w:rFonts w:hint="eastAsia" w:ascii="Times New Roman" w:hAnsi="Times New Roman" w:cs="Times New Roman" w:eastAsiaTheme="minorEastAsia"/>
              <w:snapToGrid w:val="0"/>
              <w:kern w:val="0"/>
              <w:szCs w:val="28"/>
              <w:lang w:val="en-US" w:eastAsia="zh-CN"/>
            </w:rPr>
            <w:t>运营期土壤环境影响评价</w:t>
          </w:r>
          <w:r>
            <w:tab/>
          </w:r>
          <w:r>
            <w:fldChar w:fldCharType="begin"/>
          </w:r>
          <w:r>
            <w:instrText xml:space="preserve"> PAGEREF _Toc16842 \h </w:instrText>
          </w:r>
          <w:r>
            <w:fldChar w:fldCharType="separate"/>
          </w:r>
          <w:r>
            <w:t>194</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7DB572C6">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_Toc19290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5.</w:t>
          </w:r>
          <w:r>
            <w:rPr>
              <w:rFonts w:hint="eastAsia" w:ascii="Times New Roman" w:hAnsi="Times New Roman" w:cs="Times New Roman"/>
              <w:kern w:val="0"/>
              <w:szCs w:val="24"/>
              <w:lang w:val="en-US" w:eastAsia="zh-CN"/>
            </w:rPr>
            <w:t>7</w:t>
          </w:r>
          <w:r>
            <w:rPr>
              <w:rFonts w:hint="eastAsia" w:ascii="Times New Roman" w:hAnsi="Times New Roman" w:cs="Times New Roman" w:eastAsiaTheme="minorEastAsia"/>
              <w:kern w:val="0"/>
              <w:szCs w:val="24"/>
              <w:lang w:val="en-US" w:eastAsia="zh-CN"/>
            </w:rPr>
            <w:t>.1预测评价范围</w:t>
          </w:r>
          <w:r>
            <w:tab/>
          </w:r>
          <w:r>
            <w:fldChar w:fldCharType="begin"/>
          </w:r>
          <w:r>
            <w:instrText xml:space="preserve"> PAGEREF _Toc19290 \h </w:instrText>
          </w:r>
          <w:r>
            <w:fldChar w:fldCharType="separate"/>
          </w:r>
          <w:r>
            <w:t>194</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2A907A77">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_Toc19904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5.</w:t>
          </w:r>
          <w:r>
            <w:rPr>
              <w:rFonts w:hint="eastAsia" w:ascii="Times New Roman" w:hAnsi="Times New Roman" w:cs="Times New Roman"/>
              <w:kern w:val="0"/>
              <w:szCs w:val="24"/>
              <w:lang w:val="en-US" w:eastAsia="zh-CN"/>
            </w:rPr>
            <w:t>7</w:t>
          </w:r>
          <w:r>
            <w:rPr>
              <w:rFonts w:hint="eastAsia" w:ascii="Times New Roman" w:hAnsi="Times New Roman" w:cs="Times New Roman" w:eastAsiaTheme="minorEastAsia"/>
              <w:kern w:val="0"/>
              <w:szCs w:val="24"/>
              <w:lang w:val="en-US" w:eastAsia="zh-CN"/>
            </w:rPr>
            <w:t>.2预测评价时段</w:t>
          </w:r>
          <w:r>
            <w:tab/>
          </w:r>
          <w:r>
            <w:fldChar w:fldCharType="begin"/>
          </w:r>
          <w:r>
            <w:instrText xml:space="preserve"> PAGEREF _Toc19904 \h </w:instrText>
          </w:r>
          <w:r>
            <w:fldChar w:fldCharType="separate"/>
          </w:r>
          <w:r>
            <w:t>194</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20B92D71">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_Toc1984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5.</w:t>
          </w:r>
          <w:r>
            <w:rPr>
              <w:rFonts w:hint="eastAsia" w:ascii="Times New Roman" w:hAnsi="Times New Roman" w:cs="Times New Roman"/>
              <w:kern w:val="0"/>
              <w:szCs w:val="24"/>
              <w:lang w:val="en-US" w:eastAsia="zh-CN"/>
            </w:rPr>
            <w:t>7</w:t>
          </w:r>
          <w:r>
            <w:rPr>
              <w:rFonts w:hint="eastAsia" w:ascii="Times New Roman" w:hAnsi="Times New Roman" w:cs="Times New Roman" w:eastAsiaTheme="minorEastAsia"/>
              <w:kern w:val="0"/>
              <w:szCs w:val="24"/>
              <w:lang w:val="en-US" w:eastAsia="zh-CN"/>
            </w:rPr>
            <w:t>.3影响因素及预测情景</w:t>
          </w:r>
          <w:r>
            <w:tab/>
          </w:r>
          <w:r>
            <w:fldChar w:fldCharType="begin"/>
          </w:r>
          <w:r>
            <w:instrText xml:space="preserve"> PAGEREF _Toc1984 \h </w:instrText>
          </w:r>
          <w:r>
            <w:fldChar w:fldCharType="separate"/>
          </w:r>
          <w:r>
            <w:t>195</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11FDDE38">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_Toc31452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5.</w:t>
          </w:r>
          <w:r>
            <w:rPr>
              <w:rFonts w:hint="eastAsia" w:ascii="Times New Roman" w:hAnsi="Times New Roman" w:cs="Times New Roman"/>
              <w:kern w:val="0"/>
              <w:szCs w:val="24"/>
              <w:lang w:val="en-US" w:eastAsia="zh-CN"/>
            </w:rPr>
            <w:t>7</w:t>
          </w:r>
          <w:r>
            <w:rPr>
              <w:rFonts w:hint="eastAsia" w:ascii="Times New Roman" w:hAnsi="Times New Roman" w:cs="Times New Roman" w:eastAsiaTheme="minorEastAsia"/>
              <w:kern w:val="0"/>
              <w:szCs w:val="24"/>
              <w:lang w:val="en-US" w:eastAsia="zh-CN"/>
            </w:rPr>
            <w:t>.4土壤环境影响预测</w:t>
          </w:r>
          <w:r>
            <w:tab/>
          </w:r>
          <w:r>
            <w:fldChar w:fldCharType="begin"/>
          </w:r>
          <w:r>
            <w:instrText xml:space="preserve"> PAGEREF _Toc31452 \h </w:instrText>
          </w:r>
          <w:r>
            <w:fldChar w:fldCharType="separate"/>
          </w:r>
          <w:r>
            <w:t>196</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053BE8DB">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_Toc20515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5.</w:t>
          </w:r>
          <w:r>
            <w:rPr>
              <w:rFonts w:hint="eastAsia" w:ascii="Times New Roman" w:hAnsi="Times New Roman" w:cs="Times New Roman"/>
              <w:kern w:val="0"/>
              <w:szCs w:val="24"/>
              <w:lang w:val="en-US" w:eastAsia="zh-CN"/>
            </w:rPr>
            <w:t>7</w:t>
          </w:r>
          <w:r>
            <w:rPr>
              <w:rFonts w:hint="eastAsia" w:ascii="Times New Roman" w:hAnsi="Times New Roman" w:cs="Times New Roman" w:eastAsiaTheme="minorEastAsia"/>
              <w:kern w:val="0"/>
              <w:szCs w:val="24"/>
              <w:lang w:val="en-US" w:eastAsia="zh-CN"/>
            </w:rPr>
            <w:t>.</w:t>
          </w:r>
          <w:r>
            <w:rPr>
              <w:rFonts w:hint="eastAsia" w:ascii="Times New Roman" w:hAnsi="Times New Roman" w:cs="Times New Roman"/>
              <w:kern w:val="0"/>
              <w:szCs w:val="24"/>
              <w:lang w:val="en-US" w:eastAsia="zh-CN"/>
            </w:rPr>
            <w:t>5</w:t>
          </w:r>
          <w:r>
            <w:rPr>
              <w:rFonts w:hint="eastAsia" w:ascii="Times New Roman" w:hAnsi="Times New Roman" w:cs="Times New Roman" w:eastAsiaTheme="minorEastAsia"/>
              <w:kern w:val="0"/>
              <w:szCs w:val="24"/>
              <w:lang w:val="en-US" w:eastAsia="zh-CN"/>
            </w:rPr>
            <w:t>评价结论</w:t>
          </w:r>
          <w:r>
            <w:tab/>
          </w:r>
          <w:r>
            <w:fldChar w:fldCharType="begin"/>
          </w:r>
          <w:r>
            <w:instrText xml:space="preserve"> PAGEREF _Toc20515 \h </w:instrText>
          </w:r>
          <w:r>
            <w:fldChar w:fldCharType="separate"/>
          </w:r>
          <w:r>
            <w:t>200</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00F2574A">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_Toc20135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5.</w:t>
          </w:r>
          <w:r>
            <w:rPr>
              <w:rFonts w:hint="eastAsia" w:ascii="Times New Roman" w:hAnsi="Times New Roman" w:cs="Times New Roman"/>
              <w:kern w:val="0"/>
              <w:szCs w:val="24"/>
              <w:lang w:val="en-US" w:eastAsia="zh-CN"/>
            </w:rPr>
            <w:t>7.6</w:t>
          </w:r>
          <w:r>
            <w:rPr>
              <w:rFonts w:hint="eastAsia" w:ascii="Times New Roman" w:hAnsi="Times New Roman" w:cs="Times New Roman" w:eastAsiaTheme="minorEastAsia"/>
              <w:kern w:val="0"/>
              <w:szCs w:val="24"/>
              <w:lang w:val="en-US" w:eastAsia="zh-CN"/>
            </w:rPr>
            <w:t>土壤环境影响评价自查表</w:t>
          </w:r>
          <w:r>
            <w:tab/>
          </w:r>
          <w:r>
            <w:fldChar w:fldCharType="begin"/>
          </w:r>
          <w:r>
            <w:instrText xml:space="preserve"> PAGEREF _Toc20135 \h </w:instrText>
          </w:r>
          <w:r>
            <w:fldChar w:fldCharType="separate"/>
          </w:r>
          <w:r>
            <w:t>201</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6C0BF547">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_Toc31102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5.8环境风险评价</w:t>
          </w:r>
          <w:r>
            <w:tab/>
          </w:r>
          <w:r>
            <w:fldChar w:fldCharType="begin"/>
          </w:r>
          <w:r>
            <w:instrText xml:space="preserve"> PAGEREF _Toc31102 \h </w:instrText>
          </w:r>
          <w:r>
            <w:fldChar w:fldCharType="separate"/>
          </w:r>
          <w:r>
            <w:t>203</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6202B1ED">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_Toc24960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5.8.1</w:t>
          </w:r>
          <w:r>
            <w:rPr>
              <w:rFonts w:hint="eastAsia" w:ascii="Times New Roman" w:hAnsi="Times New Roman" w:cs="Times New Roman"/>
              <w:kern w:val="0"/>
              <w:szCs w:val="24"/>
              <w:lang w:val="en-US" w:eastAsia="zh-CN"/>
            </w:rPr>
            <w:t>环境风险分析</w:t>
          </w:r>
          <w:r>
            <w:tab/>
          </w:r>
          <w:r>
            <w:fldChar w:fldCharType="begin"/>
          </w:r>
          <w:r>
            <w:instrText xml:space="preserve"> PAGEREF _Toc24960 \h </w:instrText>
          </w:r>
          <w:r>
            <w:fldChar w:fldCharType="separate"/>
          </w:r>
          <w:r>
            <w:t>203</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4CEF8555">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_Toc7384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5.8.2环境风险分析</w:t>
          </w:r>
          <w:r>
            <w:tab/>
          </w:r>
          <w:r>
            <w:fldChar w:fldCharType="begin"/>
          </w:r>
          <w:r>
            <w:instrText xml:space="preserve"> PAGEREF _Toc7384 \h </w:instrText>
          </w:r>
          <w:r>
            <w:fldChar w:fldCharType="separate"/>
          </w:r>
          <w:r>
            <w:t>207</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70700DE5">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_Toc18920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5.8.3环境风险防范措施及应急要求</w:t>
          </w:r>
          <w:r>
            <w:tab/>
          </w:r>
          <w:r>
            <w:fldChar w:fldCharType="begin"/>
          </w:r>
          <w:r>
            <w:instrText xml:space="preserve"> PAGEREF _Toc18920 \h </w:instrText>
          </w:r>
          <w:r>
            <w:fldChar w:fldCharType="separate"/>
          </w:r>
          <w:r>
            <w:t>209</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16642CFF">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_Toc14810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5.8.4 小结</w:t>
          </w:r>
          <w:r>
            <w:tab/>
          </w:r>
          <w:r>
            <w:fldChar w:fldCharType="begin"/>
          </w:r>
          <w:r>
            <w:instrText xml:space="preserve"> PAGEREF _Toc14810 \h </w:instrText>
          </w:r>
          <w:r>
            <w:fldChar w:fldCharType="separate"/>
          </w:r>
          <w:r>
            <w:t>217</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17050D0B">
          <w:pPr>
            <w:pStyle w:val="8"/>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_Toc1873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spacing w:val="2"/>
              <w:kern w:val="44"/>
              <w:szCs w:val="44"/>
              <w:lang w:val="en-US" w:eastAsia="zh-CN"/>
            </w:rPr>
            <w:t>6环境保护措施</w:t>
          </w:r>
          <w:r>
            <w:tab/>
          </w:r>
          <w:r>
            <w:fldChar w:fldCharType="begin"/>
          </w:r>
          <w:r>
            <w:instrText xml:space="preserve"> PAGEREF _Toc1873 \h </w:instrText>
          </w:r>
          <w:r>
            <w:fldChar w:fldCharType="separate"/>
          </w:r>
          <w:r>
            <w:t>218</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76FBE5D9">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_Toc32501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6.1施工期污染防治措施</w:t>
          </w:r>
          <w:r>
            <w:tab/>
          </w:r>
          <w:r>
            <w:fldChar w:fldCharType="begin"/>
          </w:r>
          <w:r>
            <w:instrText xml:space="preserve"> PAGEREF _Toc32501 \h </w:instrText>
          </w:r>
          <w:r>
            <w:fldChar w:fldCharType="separate"/>
          </w:r>
          <w:r>
            <w:t>218</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1AB07775">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_Toc4129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6.1.1大气污染防治措施</w:t>
          </w:r>
          <w:r>
            <w:tab/>
          </w:r>
          <w:r>
            <w:fldChar w:fldCharType="begin"/>
          </w:r>
          <w:r>
            <w:instrText xml:space="preserve"> PAGEREF _Toc4129 \h </w:instrText>
          </w:r>
          <w:r>
            <w:fldChar w:fldCharType="separate"/>
          </w:r>
          <w:r>
            <w:t>218</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366AD56A">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_Toc27590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6.1.2废水污染防治措施</w:t>
          </w:r>
          <w:r>
            <w:tab/>
          </w:r>
          <w:r>
            <w:fldChar w:fldCharType="begin"/>
          </w:r>
          <w:r>
            <w:instrText xml:space="preserve"> PAGEREF _Toc27590 \h </w:instrText>
          </w:r>
          <w:r>
            <w:fldChar w:fldCharType="separate"/>
          </w:r>
          <w:r>
            <w:t>219</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52B83833">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_Toc1287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6.1.3噪声污染防治措施</w:t>
          </w:r>
          <w:r>
            <w:tab/>
          </w:r>
          <w:r>
            <w:fldChar w:fldCharType="begin"/>
          </w:r>
          <w:r>
            <w:instrText xml:space="preserve"> PAGEREF _Toc1287 \h </w:instrText>
          </w:r>
          <w:r>
            <w:fldChar w:fldCharType="separate"/>
          </w:r>
          <w:r>
            <w:t>219</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1C980586">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_Toc26532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6.1.4固体废物污染防治措施</w:t>
          </w:r>
          <w:r>
            <w:tab/>
          </w:r>
          <w:r>
            <w:fldChar w:fldCharType="begin"/>
          </w:r>
          <w:r>
            <w:instrText xml:space="preserve"> PAGEREF _Toc26532 \h </w:instrText>
          </w:r>
          <w:r>
            <w:fldChar w:fldCharType="separate"/>
          </w:r>
          <w:r>
            <w:t>220</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1F02780C">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_Toc23518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6.2运营期污染防治措施</w:t>
          </w:r>
          <w:r>
            <w:tab/>
          </w:r>
          <w:r>
            <w:fldChar w:fldCharType="begin"/>
          </w:r>
          <w:r>
            <w:instrText xml:space="preserve"> PAGEREF _Toc23518 \h </w:instrText>
          </w:r>
          <w:r>
            <w:fldChar w:fldCharType="separate"/>
          </w:r>
          <w:r>
            <w:t>220</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25F47AEC">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_Toc30065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6.2.1</w:t>
          </w:r>
          <w:r>
            <w:rPr>
              <w:rFonts w:hint="eastAsia" w:ascii="Times New Roman" w:hAnsi="Times New Roman" w:cs="Times New Roman"/>
              <w:kern w:val="0"/>
              <w:szCs w:val="24"/>
              <w:lang w:val="en-US" w:eastAsia="zh-CN"/>
            </w:rPr>
            <w:t>大气污染防治</w:t>
          </w:r>
          <w:r>
            <w:rPr>
              <w:rFonts w:hint="eastAsia" w:ascii="Times New Roman" w:hAnsi="Times New Roman" w:cs="Times New Roman" w:eastAsiaTheme="minorEastAsia"/>
              <w:kern w:val="0"/>
              <w:szCs w:val="24"/>
              <w:lang w:val="en-US" w:eastAsia="zh-CN"/>
            </w:rPr>
            <w:t>措施及其可行性分析</w:t>
          </w:r>
          <w:r>
            <w:tab/>
          </w:r>
          <w:r>
            <w:fldChar w:fldCharType="begin"/>
          </w:r>
          <w:r>
            <w:instrText xml:space="preserve"> PAGEREF _Toc30065 \h </w:instrText>
          </w:r>
          <w:r>
            <w:fldChar w:fldCharType="separate"/>
          </w:r>
          <w:r>
            <w:t>220</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6778170E">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_Toc9895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6.2.2运营期废水污染防治措施及其可行性分析</w:t>
          </w:r>
          <w:r>
            <w:tab/>
          </w:r>
          <w:r>
            <w:fldChar w:fldCharType="begin"/>
          </w:r>
          <w:r>
            <w:instrText xml:space="preserve"> PAGEREF _Toc9895 \h </w:instrText>
          </w:r>
          <w:r>
            <w:fldChar w:fldCharType="separate"/>
          </w:r>
          <w:r>
            <w:t>225</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45DF9B85">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_Toc14120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6.2.3运营期地下水污染防治措施及其可行性分析</w:t>
          </w:r>
          <w:r>
            <w:tab/>
          </w:r>
          <w:r>
            <w:fldChar w:fldCharType="begin"/>
          </w:r>
          <w:r>
            <w:instrText xml:space="preserve"> PAGEREF _Toc14120 \h </w:instrText>
          </w:r>
          <w:r>
            <w:fldChar w:fldCharType="separate"/>
          </w:r>
          <w:r>
            <w:t>229</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1D0D4D14">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_Toc32617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6.2.4运营期噪声污染防治措施及其可行性分析</w:t>
          </w:r>
          <w:r>
            <w:tab/>
          </w:r>
          <w:r>
            <w:fldChar w:fldCharType="begin"/>
          </w:r>
          <w:r>
            <w:instrText xml:space="preserve"> PAGEREF _Toc32617 \h </w:instrText>
          </w:r>
          <w:r>
            <w:fldChar w:fldCharType="separate"/>
          </w:r>
          <w:r>
            <w:t>233</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308938C2">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_Toc18119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6.2.5运营期固体废物污染防治措施及其可行性分析</w:t>
          </w:r>
          <w:r>
            <w:tab/>
          </w:r>
          <w:r>
            <w:fldChar w:fldCharType="begin"/>
          </w:r>
          <w:r>
            <w:instrText xml:space="preserve"> PAGEREF _Toc18119 \h </w:instrText>
          </w:r>
          <w:r>
            <w:fldChar w:fldCharType="separate"/>
          </w:r>
          <w:r>
            <w:t>235</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37EC02C4">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_Toc10231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6.2.6土壤环境保护措施</w:t>
          </w:r>
          <w:r>
            <w:tab/>
          </w:r>
          <w:r>
            <w:fldChar w:fldCharType="begin"/>
          </w:r>
          <w:r>
            <w:instrText xml:space="preserve"> PAGEREF _Toc10231 \h </w:instrText>
          </w:r>
          <w:r>
            <w:fldChar w:fldCharType="separate"/>
          </w:r>
          <w:r>
            <w:t>240</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53A3AE48">
          <w:pPr>
            <w:pStyle w:val="8"/>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_Toc22395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spacing w:val="2"/>
              <w:kern w:val="44"/>
              <w:szCs w:val="44"/>
              <w:lang w:val="en-US" w:eastAsia="zh-CN"/>
            </w:rPr>
            <w:t>7环境影响经济损益分析</w:t>
          </w:r>
          <w:r>
            <w:tab/>
          </w:r>
          <w:r>
            <w:fldChar w:fldCharType="begin"/>
          </w:r>
          <w:r>
            <w:instrText xml:space="preserve"> PAGEREF _Toc22395 \h </w:instrText>
          </w:r>
          <w:r>
            <w:fldChar w:fldCharType="separate"/>
          </w:r>
          <w:r>
            <w:t>242</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172F0DD0">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_Toc9444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7.1环境经济损益分析</w:t>
          </w:r>
          <w:r>
            <w:tab/>
          </w:r>
          <w:r>
            <w:fldChar w:fldCharType="begin"/>
          </w:r>
          <w:r>
            <w:instrText xml:space="preserve"> PAGEREF _Toc9444 \h </w:instrText>
          </w:r>
          <w:r>
            <w:fldChar w:fldCharType="separate"/>
          </w:r>
          <w:r>
            <w:t>242</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2367107C">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_Toc26939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7.2社会效益分析</w:t>
          </w:r>
          <w:r>
            <w:tab/>
          </w:r>
          <w:r>
            <w:fldChar w:fldCharType="begin"/>
          </w:r>
          <w:r>
            <w:instrText xml:space="preserve"> PAGEREF _Toc26939 \h </w:instrText>
          </w:r>
          <w:r>
            <w:fldChar w:fldCharType="separate"/>
          </w:r>
          <w:r>
            <w:t>242</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3529918D">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_Toc5429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7.3环保投资估算</w:t>
          </w:r>
          <w:r>
            <w:tab/>
          </w:r>
          <w:r>
            <w:fldChar w:fldCharType="begin"/>
          </w:r>
          <w:r>
            <w:instrText xml:space="preserve"> PAGEREF _Toc5429 \h </w:instrText>
          </w:r>
          <w:r>
            <w:fldChar w:fldCharType="separate"/>
          </w:r>
          <w:r>
            <w:t>242</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7B9ACBD8">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_Toc27190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7.4综合分析</w:t>
          </w:r>
          <w:r>
            <w:tab/>
          </w:r>
          <w:r>
            <w:fldChar w:fldCharType="begin"/>
          </w:r>
          <w:r>
            <w:instrText xml:space="preserve"> PAGEREF _Toc27190 \h </w:instrText>
          </w:r>
          <w:r>
            <w:fldChar w:fldCharType="separate"/>
          </w:r>
          <w:r>
            <w:t>243</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63B9BE76">
          <w:pPr>
            <w:pStyle w:val="8"/>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_Toc21652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spacing w:val="2"/>
              <w:kern w:val="44"/>
              <w:szCs w:val="44"/>
              <w:lang w:val="en-US" w:eastAsia="zh-CN"/>
            </w:rPr>
            <w:t>8环境管理及环境监测</w:t>
          </w:r>
          <w:r>
            <w:tab/>
          </w:r>
          <w:r>
            <w:fldChar w:fldCharType="begin"/>
          </w:r>
          <w:r>
            <w:instrText xml:space="preserve"> PAGEREF _Toc21652 \h </w:instrText>
          </w:r>
          <w:r>
            <w:fldChar w:fldCharType="separate"/>
          </w:r>
          <w:r>
            <w:t>245</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20458343">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_Toc15556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8.1环境管理</w:t>
          </w:r>
          <w:r>
            <w:tab/>
          </w:r>
          <w:r>
            <w:fldChar w:fldCharType="begin"/>
          </w:r>
          <w:r>
            <w:instrText xml:space="preserve"> PAGEREF _Toc15556 \h </w:instrText>
          </w:r>
          <w:r>
            <w:fldChar w:fldCharType="separate"/>
          </w:r>
          <w:r>
            <w:t>245</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072A9507">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_Toc9224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8.1.1环境管理机构与职责</w:t>
          </w:r>
          <w:r>
            <w:tab/>
          </w:r>
          <w:r>
            <w:fldChar w:fldCharType="begin"/>
          </w:r>
          <w:r>
            <w:instrText xml:space="preserve"> PAGEREF _Toc9224 \h </w:instrText>
          </w:r>
          <w:r>
            <w:fldChar w:fldCharType="separate"/>
          </w:r>
          <w:r>
            <w:t>245</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1350503C">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_Toc3506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8.1.2环境管理制度</w:t>
          </w:r>
          <w:r>
            <w:tab/>
          </w:r>
          <w:r>
            <w:fldChar w:fldCharType="begin"/>
          </w:r>
          <w:r>
            <w:instrText xml:space="preserve"> PAGEREF _Toc3506 \h </w:instrText>
          </w:r>
          <w:r>
            <w:fldChar w:fldCharType="separate"/>
          </w:r>
          <w:r>
            <w:t>246</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175E1556">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_Toc13696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8.1.3环境保护教育</w:t>
          </w:r>
          <w:r>
            <w:tab/>
          </w:r>
          <w:r>
            <w:fldChar w:fldCharType="begin"/>
          </w:r>
          <w:r>
            <w:instrText xml:space="preserve"> PAGEREF _Toc13696 \h </w:instrText>
          </w:r>
          <w:r>
            <w:fldChar w:fldCharType="separate"/>
          </w:r>
          <w:r>
            <w:t>246</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0C0705E7">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_Toc1573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8.1.4环境管理措施</w:t>
          </w:r>
          <w:r>
            <w:tab/>
          </w:r>
          <w:r>
            <w:fldChar w:fldCharType="begin"/>
          </w:r>
          <w:r>
            <w:instrText xml:space="preserve"> PAGEREF _Toc1573 \h </w:instrText>
          </w:r>
          <w:r>
            <w:fldChar w:fldCharType="separate"/>
          </w:r>
          <w:r>
            <w:t>246</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24A65576">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_Toc6327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8.2污染物排放清单</w:t>
          </w:r>
          <w:r>
            <w:tab/>
          </w:r>
          <w:r>
            <w:fldChar w:fldCharType="begin"/>
          </w:r>
          <w:r>
            <w:instrText xml:space="preserve"> PAGEREF _Toc6327 \h </w:instrText>
          </w:r>
          <w:r>
            <w:fldChar w:fldCharType="separate"/>
          </w:r>
          <w:r>
            <w:t>247</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09ACA50D">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_Toc32109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8.3环境监测</w:t>
          </w:r>
          <w:r>
            <w:tab/>
          </w:r>
          <w:r>
            <w:fldChar w:fldCharType="begin"/>
          </w:r>
          <w:r>
            <w:instrText xml:space="preserve"> PAGEREF _Toc32109 \h </w:instrText>
          </w:r>
          <w:r>
            <w:fldChar w:fldCharType="separate"/>
          </w:r>
          <w:r>
            <w:t>248</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0A0EA0F3">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_Toc15419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8.3.1排污口规范化管理</w:t>
          </w:r>
          <w:r>
            <w:tab/>
          </w:r>
          <w:r>
            <w:fldChar w:fldCharType="begin"/>
          </w:r>
          <w:r>
            <w:instrText xml:space="preserve"> PAGEREF _Toc15419 \h </w:instrText>
          </w:r>
          <w:r>
            <w:fldChar w:fldCharType="separate"/>
          </w:r>
          <w:r>
            <w:t>248</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6BA2545C">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_Toc12914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8.</w:t>
          </w:r>
          <w:r>
            <w:rPr>
              <w:rFonts w:hint="eastAsia" w:ascii="Times New Roman" w:hAnsi="Times New Roman" w:cs="Times New Roman"/>
              <w:kern w:val="0"/>
              <w:szCs w:val="24"/>
              <w:lang w:val="en-US" w:eastAsia="zh-CN"/>
            </w:rPr>
            <w:t>3.2</w:t>
          </w:r>
          <w:r>
            <w:rPr>
              <w:rFonts w:hint="eastAsia" w:ascii="Times New Roman" w:hAnsi="Times New Roman" w:cs="Times New Roman" w:eastAsiaTheme="minorEastAsia"/>
              <w:kern w:val="0"/>
              <w:szCs w:val="24"/>
              <w:lang w:val="en-US" w:eastAsia="zh-CN"/>
            </w:rPr>
            <w:t>排放口监测点位</w:t>
          </w:r>
          <w:r>
            <w:tab/>
          </w:r>
          <w:r>
            <w:fldChar w:fldCharType="begin"/>
          </w:r>
          <w:r>
            <w:instrText xml:space="preserve"> PAGEREF _Toc12914 \h </w:instrText>
          </w:r>
          <w:r>
            <w:fldChar w:fldCharType="separate"/>
          </w:r>
          <w:r>
            <w:t>250</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4C4D41E7">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_Toc2969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kern w:val="0"/>
              <w:szCs w:val="24"/>
              <w:lang w:val="en-US" w:eastAsia="zh-CN"/>
            </w:rPr>
            <w:t>8.</w:t>
          </w:r>
          <w:r>
            <w:rPr>
              <w:rFonts w:hint="eastAsia" w:ascii="Times New Roman" w:hAnsi="Times New Roman" w:cs="Times New Roman"/>
              <w:kern w:val="0"/>
              <w:szCs w:val="24"/>
              <w:lang w:val="en-US" w:eastAsia="zh-CN"/>
            </w:rPr>
            <w:t>3.3</w:t>
          </w:r>
          <w:r>
            <w:rPr>
              <w:rFonts w:hint="default" w:ascii="Times New Roman" w:hAnsi="Times New Roman" w:cs="Times New Roman" w:eastAsiaTheme="minorEastAsia"/>
              <w:kern w:val="0"/>
              <w:szCs w:val="24"/>
              <w:lang w:val="en-US" w:eastAsia="zh-CN"/>
            </w:rPr>
            <w:t>环境信息公开制度</w:t>
          </w:r>
          <w:r>
            <w:tab/>
          </w:r>
          <w:r>
            <w:fldChar w:fldCharType="begin"/>
          </w:r>
          <w:r>
            <w:instrText xml:space="preserve"> PAGEREF _Toc2969 \h </w:instrText>
          </w:r>
          <w:r>
            <w:fldChar w:fldCharType="separate"/>
          </w:r>
          <w:r>
            <w:t>251</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24A21CA5">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_Toc4527 </w:instrText>
          </w:r>
          <w:r>
            <w:rPr>
              <w:rFonts w:hint="default" w:ascii="Times New Roman" w:hAnsi="Times New Roman" w:eastAsia="宋体" w:cs="Times New Roman"/>
              <w:spacing w:val="0"/>
              <w:kern w:val="0"/>
              <w:position w:val="0"/>
              <w:szCs w:val="36"/>
              <w:lang w:val="en-US" w:eastAsia="zh-CN"/>
            </w:rPr>
            <w:fldChar w:fldCharType="separate"/>
          </w:r>
          <w:r>
            <w:rPr>
              <w:rFonts w:hint="default" w:ascii="Times New Roman" w:hAnsi="Times New Roman" w:cs="Times New Roman" w:eastAsiaTheme="minorEastAsia"/>
              <w:kern w:val="0"/>
              <w:szCs w:val="24"/>
              <w:lang w:val="en-US" w:eastAsia="zh-CN"/>
            </w:rPr>
            <w:t>8.</w:t>
          </w:r>
          <w:r>
            <w:rPr>
              <w:rFonts w:hint="eastAsia" w:ascii="Times New Roman" w:hAnsi="Times New Roman" w:cs="Times New Roman"/>
              <w:kern w:val="0"/>
              <w:szCs w:val="24"/>
              <w:lang w:val="en-US" w:eastAsia="zh-CN"/>
            </w:rPr>
            <w:t>3.4</w:t>
          </w:r>
          <w:r>
            <w:rPr>
              <w:rFonts w:hint="default" w:ascii="Times New Roman" w:hAnsi="Times New Roman" w:cs="Times New Roman" w:eastAsiaTheme="minorEastAsia"/>
              <w:kern w:val="0"/>
              <w:szCs w:val="24"/>
              <w:lang w:val="en-US" w:eastAsia="zh-CN"/>
            </w:rPr>
            <w:t>排污许可证制度</w:t>
          </w:r>
          <w:r>
            <w:tab/>
          </w:r>
          <w:r>
            <w:fldChar w:fldCharType="begin"/>
          </w:r>
          <w:r>
            <w:instrText xml:space="preserve"> PAGEREF _Toc4527 \h </w:instrText>
          </w:r>
          <w:r>
            <w:fldChar w:fldCharType="separate"/>
          </w:r>
          <w:r>
            <w:t>253</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126B6823">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_Toc15358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8.3.</w:t>
          </w:r>
          <w:r>
            <w:rPr>
              <w:rFonts w:hint="eastAsia" w:ascii="Times New Roman" w:hAnsi="Times New Roman" w:cs="Times New Roman"/>
              <w:kern w:val="0"/>
              <w:szCs w:val="24"/>
              <w:lang w:val="en-US" w:eastAsia="zh-CN"/>
            </w:rPr>
            <w:t>5</w:t>
          </w:r>
          <w:r>
            <w:rPr>
              <w:rFonts w:hint="eastAsia" w:ascii="Times New Roman" w:hAnsi="Times New Roman" w:cs="Times New Roman" w:eastAsiaTheme="minorEastAsia"/>
              <w:kern w:val="0"/>
              <w:szCs w:val="24"/>
              <w:lang w:val="en-US" w:eastAsia="zh-CN"/>
            </w:rPr>
            <w:t>自行</w:t>
          </w:r>
          <w:r>
            <w:rPr>
              <w:rFonts w:hint="eastAsia" w:ascii="Times New Roman" w:hAnsi="Times New Roman" w:cs="Times New Roman"/>
              <w:kern w:val="0"/>
              <w:szCs w:val="24"/>
              <w:lang w:val="en-US" w:eastAsia="zh-CN"/>
            </w:rPr>
            <w:t>监测</w:t>
          </w:r>
          <w:r>
            <w:rPr>
              <w:rFonts w:hint="eastAsia" w:ascii="Times New Roman" w:hAnsi="Times New Roman" w:cs="Times New Roman" w:eastAsiaTheme="minorEastAsia"/>
              <w:kern w:val="0"/>
              <w:szCs w:val="24"/>
              <w:lang w:val="en-US" w:eastAsia="zh-CN"/>
            </w:rPr>
            <w:t>计划</w:t>
          </w:r>
          <w:r>
            <w:tab/>
          </w:r>
          <w:r>
            <w:fldChar w:fldCharType="begin"/>
          </w:r>
          <w:r>
            <w:instrText xml:space="preserve"> PAGEREF _Toc15358 \h </w:instrText>
          </w:r>
          <w:r>
            <w:fldChar w:fldCharType="separate"/>
          </w:r>
          <w:r>
            <w:t>259</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531D558C">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_Toc29648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8.3.</w:t>
          </w:r>
          <w:r>
            <w:rPr>
              <w:rFonts w:hint="eastAsia" w:ascii="Times New Roman" w:hAnsi="Times New Roman" w:cs="Times New Roman"/>
              <w:kern w:val="0"/>
              <w:szCs w:val="24"/>
              <w:lang w:val="en-US" w:eastAsia="zh-CN"/>
            </w:rPr>
            <w:t>6</w:t>
          </w:r>
          <w:r>
            <w:rPr>
              <w:rFonts w:hint="eastAsia" w:ascii="Times New Roman" w:hAnsi="Times New Roman" w:cs="Times New Roman" w:eastAsiaTheme="minorEastAsia"/>
              <w:kern w:val="0"/>
              <w:szCs w:val="24"/>
              <w:lang w:val="en-US" w:eastAsia="zh-CN"/>
            </w:rPr>
            <w:t>环境质量监测</w:t>
          </w:r>
          <w:r>
            <w:tab/>
          </w:r>
          <w:r>
            <w:fldChar w:fldCharType="begin"/>
          </w:r>
          <w:r>
            <w:instrText xml:space="preserve"> PAGEREF _Toc29648 \h </w:instrText>
          </w:r>
          <w:r>
            <w:fldChar w:fldCharType="separate"/>
          </w:r>
          <w:r>
            <w:t>260</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609A2D1E">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_Toc8909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8.3.</w:t>
          </w:r>
          <w:r>
            <w:rPr>
              <w:rFonts w:hint="eastAsia" w:ascii="Times New Roman" w:hAnsi="Times New Roman" w:cs="Times New Roman"/>
              <w:kern w:val="0"/>
              <w:szCs w:val="24"/>
              <w:lang w:val="en-US" w:eastAsia="zh-CN"/>
            </w:rPr>
            <w:t>7</w:t>
          </w:r>
          <w:r>
            <w:rPr>
              <w:rFonts w:hint="eastAsia" w:ascii="Times New Roman" w:hAnsi="Times New Roman" w:cs="Times New Roman" w:eastAsiaTheme="minorEastAsia"/>
              <w:kern w:val="0"/>
              <w:szCs w:val="24"/>
              <w:lang w:val="en-US" w:eastAsia="zh-CN"/>
            </w:rPr>
            <w:t>环境保护“三同时”验收</w:t>
          </w:r>
          <w:r>
            <w:tab/>
          </w:r>
          <w:r>
            <w:fldChar w:fldCharType="begin"/>
          </w:r>
          <w:r>
            <w:instrText xml:space="preserve"> PAGEREF _Toc8909 \h </w:instrText>
          </w:r>
          <w:r>
            <w:fldChar w:fldCharType="separate"/>
          </w:r>
          <w:r>
            <w:t>261</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14B2E7F4">
          <w:pPr>
            <w:pStyle w:val="8"/>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_Toc25197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spacing w:val="2"/>
              <w:kern w:val="44"/>
              <w:szCs w:val="44"/>
              <w:lang w:val="en-US" w:eastAsia="zh-CN"/>
            </w:rPr>
            <w:t>9环境影响评价结论</w:t>
          </w:r>
          <w:r>
            <w:tab/>
          </w:r>
          <w:r>
            <w:fldChar w:fldCharType="begin"/>
          </w:r>
          <w:r>
            <w:instrText xml:space="preserve"> PAGEREF _Toc25197 \h </w:instrText>
          </w:r>
          <w:r>
            <w:fldChar w:fldCharType="separate"/>
          </w:r>
          <w:r>
            <w:t>264</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5959E175">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_Toc3577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9.1项目概况</w:t>
          </w:r>
          <w:r>
            <w:tab/>
          </w:r>
          <w:r>
            <w:fldChar w:fldCharType="begin"/>
          </w:r>
          <w:r>
            <w:instrText xml:space="preserve"> PAGEREF _Toc3577 \h </w:instrText>
          </w:r>
          <w:r>
            <w:fldChar w:fldCharType="separate"/>
          </w:r>
          <w:r>
            <w:t>264</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3E851860">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_Toc7036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9.2环境质量现状</w:t>
          </w:r>
          <w:r>
            <w:tab/>
          </w:r>
          <w:r>
            <w:fldChar w:fldCharType="begin"/>
          </w:r>
          <w:r>
            <w:instrText xml:space="preserve"> PAGEREF _Toc7036 \h </w:instrText>
          </w:r>
          <w:r>
            <w:fldChar w:fldCharType="separate"/>
          </w:r>
          <w:r>
            <w:t>264</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277199A9">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_Toc5162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9.2.1环境空气</w:t>
          </w:r>
          <w:r>
            <w:tab/>
          </w:r>
          <w:r>
            <w:fldChar w:fldCharType="begin"/>
          </w:r>
          <w:r>
            <w:instrText xml:space="preserve"> PAGEREF _Toc5162 \h </w:instrText>
          </w:r>
          <w:r>
            <w:fldChar w:fldCharType="separate"/>
          </w:r>
          <w:r>
            <w:t>264</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2A2E0ECE">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_Toc4461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9.2.2地下水</w:t>
          </w:r>
          <w:r>
            <w:tab/>
          </w:r>
          <w:r>
            <w:fldChar w:fldCharType="begin"/>
          </w:r>
          <w:r>
            <w:instrText xml:space="preserve"> PAGEREF _Toc4461 \h </w:instrText>
          </w:r>
          <w:r>
            <w:fldChar w:fldCharType="separate"/>
          </w:r>
          <w:r>
            <w:t>264</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149BFD53">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_Toc17131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9.2.3环境噪声</w:t>
          </w:r>
          <w:r>
            <w:tab/>
          </w:r>
          <w:r>
            <w:fldChar w:fldCharType="begin"/>
          </w:r>
          <w:r>
            <w:instrText xml:space="preserve"> PAGEREF _Toc17131 \h </w:instrText>
          </w:r>
          <w:r>
            <w:fldChar w:fldCharType="separate"/>
          </w:r>
          <w:r>
            <w:t>265</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188DD6C7">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_Toc21775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9.2.4土壤环境</w:t>
          </w:r>
          <w:r>
            <w:tab/>
          </w:r>
          <w:r>
            <w:fldChar w:fldCharType="begin"/>
          </w:r>
          <w:r>
            <w:instrText xml:space="preserve"> PAGEREF _Toc21775 \h </w:instrText>
          </w:r>
          <w:r>
            <w:fldChar w:fldCharType="separate"/>
          </w:r>
          <w:r>
            <w:t>265</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712D878D">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_Toc889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9.3污染防治措施</w:t>
          </w:r>
          <w:r>
            <w:tab/>
          </w:r>
          <w:r>
            <w:fldChar w:fldCharType="begin"/>
          </w:r>
          <w:r>
            <w:instrText xml:space="preserve"> PAGEREF _Toc889 \h </w:instrText>
          </w:r>
          <w:r>
            <w:fldChar w:fldCharType="separate"/>
          </w:r>
          <w:r>
            <w:t>265</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00AA2B0B">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_Toc32683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9.3.1施工期</w:t>
          </w:r>
          <w:r>
            <w:tab/>
          </w:r>
          <w:r>
            <w:fldChar w:fldCharType="begin"/>
          </w:r>
          <w:r>
            <w:instrText xml:space="preserve"> PAGEREF _Toc32683 \h </w:instrText>
          </w:r>
          <w:r>
            <w:fldChar w:fldCharType="separate"/>
          </w:r>
          <w:r>
            <w:t>265</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6FF86F0F">
          <w:pPr>
            <w:pStyle w:val="6"/>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_Toc4849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kern w:val="0"/>
              <w:szCs w:val="24"/>
              <w:lang w:val="en-US" w:eastAsia="zh-CN"/>
            </w:rPr>
            <w:t>9.3.2运营期</w:t>
          </w:r>
          <w:r>
            <w:tab/>
          </w:r>
          <w:r>
            <w:fldChar w:fldCharType="begin"/>
          </w:r>
          <w:r>
            <w:instrText xml:space="preserve"> PAGEREF _Toc4849 \h </w:instrText>
          </w:r>
          <w:r>
            <w:fldChar w:fldCharType="separate"/>
          </w:r>
          <w:r>
            <w:t>265</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19B62A24">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_Toc9984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9.4公众参与情况</w:t>
          </w:r>
          <w:r>
            <w:tab/>
          </w:r>
          <w:r>
            <w:fldChar w:fldCharType="begin"/>
          </w:r>
          <w:r>
            <w:instrText xml:space="preserve"> PAGEREF _Toc9984 \h </w:instrText>
          </w:r>
          <w:r>
            <w:fldChar w:fldCharType="separate"/>
          </w:r>
          <w:r>
            <w:t>269</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22946187">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_Toc4322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9.5总量控制</w:t>
          </w:r>
          <w:r>
            <w:tab/>
          </w:r>
          <w:r>
            <w:fldChar w:fldCharType="begin"/>
          </w:r>
          <w:r>
            <w:instrText xml:space="preserve"> PAGEREF _Toc4322 \h </w:instrText>
          </w:r>
          <w:r>
            <w:fldChar w:fldCharType="separate"/>
          </w:r>
          <w:r>
            <w:t>269</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1FF1A677">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_Toc29180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9.6环境影响评价结论</w:t>
          </w:r>
          <w:r>
            <w:tab/>
          </w:r>
          <w:r>
            <w:fldChar w:fldCharType="begin"/>
          </w:r>
          <w:r>
            <w:instrText xml:space="preserve"> PAGEREF _Toc29180 \h </w:instrText>
          </w:r>
          <w:r>
            <w:fldChar w:fldCharType="separate"/>
          </w:r>
          <w:r>
            <w:t>270</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5E8C0A57">
          <w:pPr>
            <w:pStyle w:val="11"/>
            <w:tabs>
              <w:tab w:val="right" w:leader="dot" w:pos="8306"/>
            </w:tabs>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begin"/>
          </w:r>
          <w:r>
            <w:rPr>
              <w:rFonts w:hint="default" w:ascii="Times New Roman" w:hAnsi="Times New Roman" w:eastAsia="宋体" w:cs="Times New Roman"/>
              <w:spacing w:val="0"/>
              <w:kern w:val="0"/>
              <w:position w:val="0"/>
              <w:szCs w:val="36"/>
              <w:lang w:val="en-US" w:eastAsia="zh-CN"/>
            </w:rPr>
            <w:instrText xml:space="preserve"> HYPERLINK \l _Toc32667 </w:instrText>
          </w:r>
          <w:r>
            <w:rPr>
              <w:rFonts w:hint="default" w:ascii="Times New Roman" w:hAnsi="Times New Roman" w:eastAsia="宋体" w:cs="Times New Roman"/>
              <w:spacing w:val="0"/>
              <w:kern w:val="0"/>
              <w:position w:val="0"/>
              <w:szCs w:val="36"/>
              <w:lang w:val="en-US" w:eastAsia="zh-CN"/>
            </w:rPr>
            <w:fldChar w:fldCharType="separate"/>
          </w:r>
          <w:r>
            <w:rPr>
              <w:rFonts w:hint="eastAsia" w:ascii="Times New Roman" w:hAnsi="Times New Roman" w:cs="Times New Roman" w:eastAsiaTheme="minorEastAsia"/>
              <w:snapToGrid w:val="0"/>
              <w:kern w:val="0"/>
              <w:szCs w:val="28"/>
              <w:lang w:val="en-US" w:eastAsia="zh-CN"/>
            </w:rPr>
            <w:t>9.7要求与建议</w:t>
          </w:r>
          <w:r>
            <w:tab/>
          </w:r>
          <w:r>
            <w:fldChar w:fldCharType="begin"/>
          </w:r>
          <w:r>
            <w:instrText xml:space="preserve"> PAGEREF _Toc32667 \h </w:instrText>
          </w:r>
          <w:r>
            <w:fldChar w:fldCharType="separate"/>
          </w:r>
          <w:r>
            <w:t>270</w:t>
          </w:r>
          <w:r>
            <w:fldChar w:fldCharType="end"/>
          </w: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p w14:paraId="2E709950">
          <w:pPr>
            <w:spacing w:line="360" w:lineRule="auto"/>
            <w:jc w:val="center"/>
            <w:rPr>
              <w:rFonts w:hint="default" w:ascii="Times New Roman" w:hAnsi="Times New Roman" w:eastAsia="宋体" w:cs="Times New Roman"/>
              <w:color w:val="000000" w:themeColor="text1"/>
              <w:spacing w:val="0"/>
              <w:kern w:val="0"/>
              <w:position w:val="0"/>
              <w:sz w:val="21"/>
              <w:szCs w:val="36"/>
              <w:lang w:val="en-US" w:eastAsia="zh-CN" w:bidi="ar-SA"/>
              <w14:textFill>
                <w14:solidFill>
                  <w14:schemeClr w14:val="tx1"/>
                </w14:solidFill>
              </w14:textFill>
            </w:rPr>
          </w:pPr>
          <w:r>
            <w:rPr>
              <w:rFonts w:hint="default" w:ascii="Times New Roman" w:hAnsi="Times New Roman" w:eastAsia="宋体" w:cs="Times New Roman"/>
              <w:color w:val="000000" w:themeColor="text1"/>
              <w:spacing w:val="0"/>
              <w:kern w:val="0"/>
              <w:position w:val="0"/>
              <w:szCs w:val="36"/>
              <w:lang w:val="en-US" w:eastAsia="zh-CN"/>
              <w14:textFill>
                <w14:solidFill>
                  <w14:schemeClr w14:val="tx1"/>
                </w14:solidFill>
              </w14:textFill>
            </w:rPr>
            <w:fldChar w:fldCharType="end"/>
          </w:r>
        </w:p>
      </w:sdtContent>
    </w:sdt>
    <w:p w14:paraId="7BAC0FE8">
      <w:pPr>
        <w:spacing w:line="360" w:lineRule="auto"/>
        <w:jc w:val="center"/>
        <w:rPr>
          <w:rFonts w:hint="default" w:ascii="Times New Roman" w:hAnsi="Times New Roman" w:eastAsia="宋体" w:cs="Times New Roman"/>
          <w:color w:val="000000" w:themeColor="text1"/>
          <w:spacing w:val="0"/>
          <w:kern w:val="0"/>
          <w:position w:val="0"/>
          <w:sz w:val="21"/>
          <w:szCs w:val="36"/>
          <w:lang w:val="en-US" w:eastAsia="zh-CN" w:bidi="ar-SA"/>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1F8A4C9C">
      <w:pPr>
        <w:pStyle w:val="2"/>
        <w:keepNext/>
        <w:keepLines/>
        <w:pageBreakBefore/>
        <w:spacing w:before="241" w:beforeLines="50" w:after="241" w:afterLines="50" w:line="560" w:lineRule="exact"/>
        <w:ind w:left="554" w:hanging="555" w:hangingChars="152"/>
        <w:jc w:val="both"/>
        <w:rPr>
          <w:rFonts w:hint="eastAsia" w:ascii="Times New Roman" w:hAnsi="Times New Roman" w:cs="Times New Roman" w:eastAsiaTheme="minorEastAsia"/>
          <w:snapToGrid w:val="0"/>
          <w:spacing w:val="2"/>
          <w:kern w:val="44"/>
          <w:sz w:val="36"/>
          <w:szCs w:val="44"/>
          <w:lang w:val="en-US" w:eastAsia="zh-CN"/>
        </w:rPr>
        <w:sectPr>
          <w:footerReference r:id="rId3" w:type="default"/>
          <w:pgSz w:w="11906" w:h="16838"/>
          <w:pgMar w:top="1440" w:right="1800" w:bottom="1440" w:left="1800" w:header="851" w:footer="992" w:gutter="0"/>
          <w:pgNumType w:fmt="decimal" w:start="1"/>
          <w:cols w:space="425" w:num="1"/>
          <w:docGrid w:type="lines" w:linePitch="312" w:charSpace="0"/>
        </w:sectPr>
      </w:pPr>
      <w:bookmarkStart w:id="0" w:name="_Toc5915"/>
      <w:bookmarkStart w:id="1" w:name="_Toc29"/>
    </w:p>
    <w:p w14:paraId="0B919A87">
      <w:pPr>
        <w:pStyle w:val="2"/>
        <w:keepNext/>
        <w:keepLines/>
        <w:pageBreakBefore/>
        <w:spacing w:before="241" w:beforeLines="50" w:after="241" w:afterLines="50" w:line="560" w:lineRule="exact"/>
        <w:ind w:left="554" w:hanging="555" w:hangingChars="152"/>
        <w:jc w:val="both"/>
        <w:rPr>
          <w:rFonts w:hint="eastAsia" w:ascii="Times New Roman" w:hAnsi="Times New Roman" w:cs="Times New Roman" w:eastAsiaTheme="minorEastAsia"/>
          <w:snapToGrid w:val="0"/>
          <w:spacing w:val="2"/>
          <w:kern w:val="44"/>
          <w:sz w:val="36"/>
          <w:szCs w:val="44"/>
          <w:lang w:val="en-US" w:eastAsia="zh-CN"/>
        </w:rPr>
      </w:pPr>
      <w:r>
        <w:rPr>
          <w:rFonts w:hint="eastAsia" w:ascii="Times New Roman" w:hAnsi="Times New Roman" w:cs="Times New Roman" w:eastAsiaTheme="minorEastAsia"/>
          <w:snapToGrid w:val="0"/>
          <w:spacing w:val="2"/>
          <w:kern w:val="44"/>
          <w:sz w:val="36"/>
          <w:szCs w:val="44"/>
          <w:lang w:val="en-US" w:eastAsia="zh-CN"/>
        </w:rPr>
        <w:t>1概述</w:t>
      </w:r>
      <w:bookmarkEnd w:id="0"/>
      <w:bookmarkEnd w:id="1"/>
    </w:p>
    <w:p w14:paraId="1D7E8C34">
      <w:pPr>
        <w:pStyle w:val="3"/>
        <w:spacing w:before="120" w:after="120" w:line="500" w:lineRule="exact"/>
        <w:ind w:left="375" w:hanging="375" w:firstLineChars="0"/>
        <w:contextualSpacing/>
        <w:rPr>
          <w:rFonts w:hint="eastAsia" w:ascii="Times New Roman" w:hAnsi="Times New Roman" w:cs="Times New Roman" w:eastAsiaTheme="minorEastAsia"/>
          <w:snapToGrid w:val="0"/>
          <w:kern w:val="0"/>
          <w:sz w:val="28"/>
          <w:szCs w:val="28"/>
          <w:lang w:val="en-US" w:eastAsia="zh-CN"/>
        </w:rPr>
      </w:pPr>
      <w:bookmarkStart w:id="2" w:name="_Toc10150"/>
      <w:bookmarkStart w:id="3" w:name="_Toc28735"/>
      <w:r>
        <w:rPr>
          <w:rFonts w:hint="eastAsia" w:ascii="Times New Roman" w:hAnsi="Times New Roman" w:cs="Times New Roman" w:eastAsiaTheme="minorEastAsia"/>
          <w:snapToGrid w:val="0"/>
          <w:kern w:val="0"/>
          <w:sz w:val="28"/>
          <w:szCs w:val="28"/>
          <w:lang w:val="en-US" w:eastAsia="zh-CN"/>
        </w:rPr>
        <w:t>1.1建设项目背景</w:t>
      </w:r>
      <w:bookmarkEnd w:id="2"/>
      <w:bookmarkEnd w:id="3"/>
    </w:p>
    <w:p w14:paraId="5E63AB5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医疗废物是指医疗卫生机构在医疗、预防、保健以及其他相关活动中产生的具有直接或者间接感染性、毒性以及其他危害性的废物。主要包括传染性废物、病理废物、利器废物、制药废物、基因污染物、化学品废物和放射性废物等。医疗废物具有极强的传染性、生物毒性和腐蚀性</w:t>
      </w:r>
      <w:r>
        <w:rPr>
          <w:rFonts w:hint="eastAsia" w:ascii="Times New Roman" w:hAnsi="Times New Roman" w:cs="Times New Roman" w:eastAsiaTheme="minorEastAsia"/>
          <w:sz w:val="24"/>
          <w:lang w:val="en-US" w:eastAsia="zh-CN"/>
        </w:rPr>
        <w:t>，若</w:t>
      </w:r>
      <w:r>
        <w:rPr>
          <w:rFonts w:hint="default" w:ascii="Times New Roman" w:hAnsi="Times New Roman" w:cs="Times New Roman" w:eastAsiaTheme="minorEastAsia"/>
          <w:sz w:val="24"/>
          <w:lang w:val="en-US" w:eastAsia="zh-CN"/>
        </w:rPr>
        <w:t>排放管理不严或处理不当</w:t>
      </w:r>
      <w:r>
        <w:rPr>
          <w:rFonts w:hint="eastAsia" w:ascii="Times New Roman" w:hAnsi="Times New Roman" w:cs="Times New Roman" w:eastAsiaTheme="minorEastAsia"/>
          <w:sz w:val="24"/>
          <w:lang w:val="en-US" w:eastAsia="zh-CN"/>
        </w:rPr>
        <w:t>，会</w:t>
      </w:r>
      <w:r>
        <w:rPr>
          <w:rFonts w:hint="default" w:ascii="Times New Roman" w:hAnsi="Times New Roman" w:cs="Times New Roman" w:eastAsiaTheme="minorEastAsia"/>
          <w:sz w:val="24"/>
          <w:lang w:val="en-US" w:eastAsia="zh-CN"/>
        </w:rPr>
        <w:t>被风扬起或被雨水淋湿，造成对水体、大气、土壤的污染及对人体的直接危害。与生活垃圾类废弃物不同，医疗废物由于携带病菌的数量巨大、种类繁多</w:t>
      </w:r>
      <w:r>
        <w:rPr>
          <w:rFonts w:hint="eastAsia" w:ascii="Times New Roman" w:hAnsi="Times New Roman" w:cs="Times New Roman"/>
          <w:sz w:val="24"/>
          <w:lang w:val="en-US" w:eastAsia="zh-CN"/>
        </w:rPr>
        <w:t>，</w:t>
      </w:r>
      <w:r>
        <w:rPr>
          <w:rFonts w:hint="default" w:ascii="Times New Roman" w:hAnsi="Times New Roman" w:cs="Times New Roman" w:eastAsiaTheme="minorEastAsia"/>
          <w:sz w:val="24"/>
          <w:lang w:val="en-US" w:eastAsia="zh-CN"/>
        </w:rPr>
        <w:t>具有空间传染、急性传染、</w:t>
      </w:r>
      <w:r>
        <w:rPr>
          <w:rFonts w:hint="eastAsia" w:ascii="Times New Roman" w:hAnsi="Times New Roman" w:cs="Times New Roman" w:eastAsiaTheme="minorEastAsia"/>
          <w:sz w:val="24"/>
          <w:lang w:val="en-US" w:eastAsia="zh-CN"/>
        </w:rPr>
        <w:t>交叉感染</w:t>
      </w:r>
      <w:r>
        <w:rPr>
          <w:rFonts w:hint="default" w:ascii="Times New Roman" w:hAnsi="Times New Roman" w:cs="Times New Roman" w:eastAsiaTheme="minorEastAsia"/>
          <w:sz w:val="24"/>
          <w:lang w:val="en-US" w:eastAsia="zh-CN"/>
        </w:rPr>
        <w:t>和潜伏传染等特征，其危害性更大。</w:t>
      </w:r>
    </w:p>
    <w:p w14:paraId="5092A6D3">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2020年4月30日</w:t>
      </w:r>
      <w:r>
        <w:rPr>
          <w:rFonts w:hint="eastAsia" w:ascii="Times New Roman" w:hAnsi="Times New Roman" w:cs="Times New Roman" w:eastAsiaTheme="minorEastAsia"/>
          <w:sz w:val="24"/>
          <w:lang w:val="en-US" w:eastAsia="zh-CN"/>
        </w:rPr>
        <w:t>，国家</w:t>
      </w:r>
      <w:r>
        <w:rPr>
          <w:rFonts w:hint="default" w:ascii="Times New Roman" w:hAnsi="Times New Roman" w:cs="Times New Roman" w:eastAsiaTheme="minorEastAsia"/>
          <w:sz w:val="24"/>
          <w:lang w:val="en-US" w:eastAsia="zh-CN"/>
        </w:rPr>
        <w:t>发展改革委、国家卫生健康委、生态环境部联合发布《关于印发</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医疗废物集中处置设施能力建设实施方案</w:t>
      </w:r>
      <w:r>
        <w:rPr>
          <w:rFonts w:hint="eastAsia" w:ascii="Times New Roman" w:hAnsi="Times New Roman" w:cs="Times New Roman" w:eastAsiaTheme="minorEastAsia"/>
          <w:sz w:val="24"/>
          <w:lang w:val="en-US" w:eastAsia="zh-CN"/>
        </w:rPr>
        <w:t>〉的通知》（</w:t>
      </w:r>
      <w:r>
        <w:rPr>
          <w:rFonts w:hint="default" w:ascii="Times New Roman" w:hAnsi="Times New Roman" w:cs="Times New Roman" w:eastAsiaTheme="minorEastAsia"/>
          <w:sz w:val="24"/>
          <w:lang w:val="en-US" w:eastAsia="zh-CN"/>
        </w:rPr>
        <w:t>发改环资</w:t>
      </w:r>
      <w:r>
        <w:rPr>
          <w:rFonts w:hint="eastAsia" w:ascii="Times New Roman" w:hAnsi="Times New Roman" w:cs="Times New Roman" w:eastAsiaTheme="minorEastAsia"/>
          <w:sz w:val="24"/>
          <w:lang w:val="en-US" w:eastAsia="zh-CN"/>
        </w:rPr>
        <w:t>〔2020〕696号）</w:t>
      </w:r>
      <w:r>
        <w:rPr>
          <w:rFonts w:hint="default" w:ascii="Times New Roman" w:hAnsi="Times New Roman" w:cs="Times New Roman" w:eastAsiaTheme="minorEastAsia"/>
          <w:sz w:val="24"/>
          <w:lang w:val="en-US" w:eastAsia="zh-CN"/>
        </w:rPr>
        <w:t>，文件提出</w:t>
      </w:r>
      <w:r>
        <w:rPr>
          <w:rFonts w:hint="eastAsia" w:ascii="Times New Roman" w:hAnsi="Times New Roman" w:cs="Times New Roman"/>
          <w:sz w:val="24"/>
          <w:lang w:val="en-US" w:eastAsia="zh-CN"/>
        </w:rPr>
        <w:t>，</w:t>
      </w:r>
      <w:r>
        <w:rPr>
          <w:rFonts w:hint="default" w:ascii="Times New Roman" w:hAnsi="Times New Roman" w:cs="Times New Roman" w:eastAsiaTheme="minorEastAsia"/>
          <w:sz w:val="24"/>
          <w:lang w:val="en-US" w:eastAsia="zh-CN"/>
        </w:rPr>
        <w:t>为认真贯彻落实习近平总书记关于加快补齐医疗废物、危险废物收集处理设施方面短板的重要指示精神，深入贯彻落实党中央、国务院决策部署，加强医疗废物管理，防止疾病传播，保护生态环境，保障人民群众生命健康</w:t>
      </w:r>
      <w:r>
        <w:rPr>
          <w:rFonts w:hint="eastAsia" w:ascii="Times New Roman" w:hAnsi="Times New Roman" w:cs="Times New Roman" w:eastAsiaTheme="minorEastAsia"/>
          <w:sz w:val="24"/>
          <w:lang w:val="en-US" w:eastAsia="zh-CN"/>
        </w:rPr>
        <w:t>，必</w:t>
      </w:r>
      <w:r>
        <w:rPr>
          <w:rFonts w:hint="default" w:ascii="Times New Roman" w:hAnsi="Times New Roman" w:cs="Times New Roman" w:eastAsiaTheme="minorEastAsia"/>
          <w:sz w:val="24"/>
          <w:lang w:val="en-US" w:eastAsia="zh-CN"/>
        </w:rPr>
        <w:t>须健全医疗废物收集转运处置体系，推动现有处置能力扩能提质，补齐处置能力缺口，提升治理能力现代化，推动形成与全面建成小康社会相适应的医疗废物处置体系。</w:t>
      </w:r>
    </w:p>
    <w:p w14:paraId="5419CAC4">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因此根据文件要求，为了改善和消除</w:t>
      </w:r>
      <w:r>
        <w:rPr>
          <w:rFonts w:hint="eastAsia" w:ascii="Times New Roman" w:hAnsi="Times New Roman" w:cs="Times New Roman" w:eastAsiaTheme="minorEastAsia"/>
          <w:sz w:val="24"/>
          <w:lang w:val="en-US" w:eastAsia="zh-CN"/>
        </w:rPr>
        <w:t>莎车县</w:t>
      </w:r>
      <w:r>
        <w:rPr>
          <w:rFonts w:hint="default" w:ascii="Times New Roman" w:hAnsi="Times New Roman" w:cs="Times New Roman" w:eastAsiaTheme="minorEastAsia"/>
          <w:sz w:val="24"/>
          <w:lang w:val="en-US" w:eastAsia="zh-CN"/>
        </w:rPr>
        <w:t>医疗垃圾产生的危害，</w:t>
      </w:r>
      <w:r>
        <w:rPr>
          <w:rFonts w:hint="eastAsia" w:ascii="Times New Roman" w:hAnsi="Times New Roman" w:cs="Times New Roman" w:eastAsiaTheme="minorEastAsia"/>
          <w:sz w:val="24"/>
          <w:lang w:val="en-US" w:eastAsia="zh-CN"/>
        </w:rPr>
        <w:t>莎车县海纳环保科技开发有限公司</w:t>
      </w:r>
      <w:r>
        <w:rPr>
          <w:rFonts w:hint="default" w:ascii="Times New Roman" w:hAnsi="Times New Roman" w:cs="Times New Roman" w:eastAsiaTheme="minorEastAsia"/>
          <w:sz w:val="24"/>
          <w:lang w:val="en-US" w:eastAsia="zh-CN"/>
        </w:rPr>
        <w:t>拟投资建设医疗垃圾集中焚烧处置设施</w:t>
      </w:r>
      <w:r>
        <w:rPr>
          <w:rFonts w:hint="eastAsia" w:ascii="Times New Roman" w:hAnsi="Times New Roman" w:cs="Times New Roman" w:eastAsiaTheme="minorEastAsia"/>
          <w:sz w:val="24"/>
          <w:lang w:val="en-US" w:eastAsia="zh-CN"/>
        </w:rPr>
        <w:t>（设计处置规模2t/d）</w:t>
      </w:r>
      <w:r>
        <w:rPr>
          <w:rFonts w:hint="default" w:ascii="Times New Roman" w:hAnsi="Times New Roman" w:cs="Times New Roman" w:eastAsiaTheme="minorEastAsia"/>
          <w:sz w:val="24"/>
          <w:lang w:val="en-US" w:eastAsia="zh-CN"/>
        </w:rPr>
        <w:t>一座</w:t>
      </w:r>
      <w:r>
        <w:rPr>
          <w:rFonts w:hint="eastAsia" w:ascii="Times New Roman" w:hAnsi="Times New Roman" w:cs="Times New Roman" w:eastAsiaTheme="minorEastAsia"/>
          <w:sz w:val="24"/>
          <w:lang w:val="en-US" w:eastAsia="zh-CN"/>
        </w:rPr>
        <w:t>，主要承担莎车县及周边各县医疗机构的感染性废物和损伤性医疗废物的处置。</w:t>
      </w:r>
    </w:p>
    <w:p w14:paraId="6C2C1189">
      <w:pPr>
        <w:pStyle w:val="3"/>
        <w:spacing w:before="120" w:after="120" w:line="500" w:lineRule="exact"/>
        <w:ind w:left="375" w:hanging="375" w:firstLineChars="0"/>
        <w:contextualSpacing/>
        <w:rPr>
          <w:rFonts w:hint="eastAsia" w:ascii="Times New Roman" w:hAnsi="Times New Roman" w:cs="Times New Roman" w:eastAsiaTheme="minorEastAsia"/>
          <w:snapToGrid w:val="0"/>
          <w:kern w:val="0"/>
          <w:sz w:val="28"/>
          <w:szCs w:val="28"/>
          <w:lang w:val="en-US" w:eastAsia="zh-CN"/>
        </w:rPr>
      </w:pPr>
      <w:bookmarkStart w:id="4" w:name="_Toc14535"/>
      <w:r>
        <w:rPr>
          <w:rFonts w:hint="eastAsia" w:ascii="Times New Roman" w:hAnsi="Times New Roman" w:cs="Times New Roman" w:eastAsiaTheme="minorEastAsia"/>
          <w:snapToGrid w:val="0"/>
          <w:kern w:val="0"/>
          <w:sz w:val="28"/>
          <w:szCs w:val="28"/>
          <w:lang w:val="en-US" w:eastAsia="zh-CN"/>
        </w:rPr>
        <w:t>1.2环境影响评价工作过程</w:t>
      </w:r>
      <w:bookmarkEnd w:id="4"/>
    </w:p>
    <w:p w14:paraId="01503D65">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根据《中华人民共和国环境保护法》《建设项目环境保护管理条例》和《中华人民共和国环境影响评价法》中有关规定和要求，该建设项目需进行环境影响评价。本项目属于《建设项目环境影响评价分类管理名录》（2021年）中</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四十</w:t>
      </w:r>
      <w:r>
        <w:rPr>
          <w:rFonts w:hint="eastAsia" w:ascii="Times New Roman" w:hAnsi="Times New Roman" w:cs="Times New Roman" w:eastAsiaTheme="minorEastAsia"/>
          <w:sz w:val="24"/>
          <w:lang w:val="en-US" w:eastAsia="zh-CN"/>
        </w:rPr>
        <w:t>七</w:t>
      </w: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生态保护和环境治理业</w:t>
      </w: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102医疗废物处置、病死及病害动物无害化处理－医疗废物集中处置（单纯收集、贮存的除外）”</w:t>
      </w:r>
      <w:r>
        <w:rPr>
          <w:rFonts w:hint="default" w:ascii="Times New Roman" w:hAnsi="Times New Roman" w:cs="Times New Roman" w:eastAsiaTheme="minorEastAsia"/>
          <w:sz w:val="24"/>
          <w:lang w:val="en-US" w:eastAsia="zh-CN"/>
        </w:rPr>
        <w:t>的范畴，须编制环境影响报告书。</w:t>
      </w:r>
    </w:p>
    <w:p w14:paraId="6B8451D0">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莎车县海纳环保科技开发有限公司</w:t>
      </w:r>
      <w:r>
        <w:rPr>
          <w:rFonts w:hint="default" w:ascii="Times New Roman" w:hAnsi="Times New Roman" w:cs="Times New Roman" w:eastAsiaTheme="minorEastAsia"/>
          <w:sz w:val="24"/>
          <w:lang w:val="en-US" w:eastAsia="zh-CN"/>
        </w:rPr>
        <w:t>委托</w:t>
      </w:r>
      <w:r>
        <w:rPr>
          <w:rFonts w:hint="eastAsia" w:ascii="Times New Roman" w:hAnsi="Times New Roman" w:cs="Times New Roman" w:eastAsiaTheme="minorEastAsia"/>
          <w:sz w:val="24"/>
          <w:lang w:val="en-US" w:eastAsia="zh-CN"/>
        </w:rPr>
        <w:t>新疆领畅环保科技有限公司</w:t>
      </w:r>
      <w:r>
        <w:rPr>
          <w:rFonts w:hint="default" w:ascii="Times New Roman" w:hAnsi="Times New Roman" w:cs="Times New Roman" w:eastAsiaTheme="minorEastAsia"/>
          <w:sz w:val="24"/>
          <w:lang w:val="en-US" w:eastAsia="zh-CN"/>
        </w:rPr>
        <w:t>编制</w:t>
      </w:r>
      <w:r>
        <w:rPr>
          <w:rFonts w:hint="eastAsia" w:ascii="Times New Roman" w:hAnsi="Times New Roman" w:cs="Times New Roman" w:eastAsiaTheme="minorEastAsia"/>
          <w:sz w:val="24"/>
          <w:lang w:val="en-US" w:eastAsia="zh-CN"/>
        </w:rPr>
        <w:t>《莎车县海纳环保科技开发有限公司莎车县医疗废物处置中心扩建项目</w:t>
      </w:r>
      <w:r>
        <w:rPr>
          <w:rFonts w:hint="default" w:ascii="Times New Roman" w:hAnsi="Times New Roman" w:cs="Times New Roman" w:eastAsiaTheme="minorEastAsia"/>
          <w:sz w:val="24"/>
          <w:lang w:val="en-US" w:eastAsia="zh-CN"/>
        </w:rPr>
        <w:t>环境影响报告书》。接受委托后，</w:t>
      </w:r>
      <w:r>
        <w:rPr>
          <w:rFonts w:hint="eastAsia" w:ascii="Times New Roman" w:hAnsi="Times New Roman" w:cs="Times New Roman" w:eastAsiaTheme="minorEastAsia"/>
          <w:sz w:val="24"/>
          <w:lang w:val="en-US" w:eastAsia="zh-CN"/>
        </w:rPr>
        <w:t>评价</w:t>
      </w:r>
      <w:r>
        <w:rPr>
          <w:rFonts w:hint="default" w:ascii="Times New Roman" w:hAnsi="Times New Roman" w:cs="Times New Roman" w:eastAsiaTheme="minorEastAsia"/>
          <w:sz w:val="24"/>
          <w:lang w:val="en-US" w:eastAsia="zh-CN"/>
        </w:rPr>
        <w:t>单位立即开展了现场踏勘、收集资料工作，对评价区域范围的环境现状进行了调查，收集了当地地质、气候气象资料以及与项目有关文件和技术资料，并依据国家有关环境影响评价规范、技术导则等要求编制完成了本环境影响报告书。在报上级生态环境主管部门审批后，将作为该项目在运营期全过程的环境保护管理依据。</w:t>
      </w:r>
    </w:p>
    <w:p w14:paraId="70E371C5">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环境影响评价一般分为三个阶段，即调查分析和工作方案制定阶段，分析论证和预测评价阶段，环境影响报告书编制阶段。</w:t>
      </w:r>
    </w:p>
    <w:p w14:paraId="52F48DBF">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（1）前期准备、调研和工作方案阶段</w:t>
      </w:r>
    </w:p>
    <w:p w14:paraId="5E92D4A9">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评价单位接受环评委托后，进行了现场踏勘和资料收集工作，根据国家政策以及环境影响评价技术导则、规范的要求，开展该项目的环境影响评价工作。通过初步的工程分析以及环境现状调查，识别本项目的环境影响因素，筛选主要的环境影响评价因子，明确评价重点和环境保护目标，确定环境影响评价的范围、工作等级和评价标准，最后制订工作方案。</w:t>
      </w:r>
    </w:p>
    <w:p w14:paraId="1DD867F1">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（2）分析论证和预测评价阶段</w:t>
      </w:r>
    </w:p>
    <w:p w14:paraId="63FDEC07">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在准备阶段的基础上，做进一步的工程分析，进行充分的环境现状调查、监测并开展环境质量现状评价，之后根据污染源强和环境现状资料进行环境影响预测及评价。</w:t>
      </w:r>
    </w:p>
    <w:p w14:paraId="77816189">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（3）环境影响评价文件编制阶段</w:t>
      </w:r>
    </w:p>
    <w:p w14:paraId="5EAE8C81">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汇总、分析论证和预测评价阶段工作所得的各种资料、数据，根据项目的环境影响、法律法规和标准</w:t>
      </w:r>
      <w:r>
        <w:rPr>
          <w:rFonts w:hint="eastAsia" w:ascii="Times New Roman" w:hAnsi="Times New Roman" w:cs="Times New Roman" w:eastAsiaTheme="minorEastAsia"/>
          <w:sz w:val="24"/>
          <w:lang w:val="en-US" w:eastAsia="zh-CN"/>
        </w:rPr>
        <w:t>等</w:t>
      </w:r>
      <w:r>
        <w:rPr>
          <w:rFonts w:hint="default" w:ascii="Times New Roman" w:hAnsi="Times New Roman" w:cs="Times New Roman" w:eastAsiaTheme="minorEastAsia"/>
          <w:sz w:val="24"/>
          <w:lang w:val="en-US" w:eastAsia="zh-CN"/>
        </w:rPr>
        <w:t>要求，提出减少环境污染的管理措施和工程措施。从环境保护的角度确定项目建设的可行性，给出评价结论和提出进一步减缓环境影响的建议，并最终完成环境影响报告书编制。</w:t>
      </w:r>
    </w:p>
    <w:p w14:paraId="6F14A7F1">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环境影响评价的工作程序，见图</w:t>
      </w:r>
      <w:r>
        <w:rPr>
          <w:rFonts w:hint="eastAsia" w:ascii="Times New Roman" w:hAnsi="Times New Roman" w:cs="Times New Roman" w:eastAsiaTheme="minorEastAsia"/>
          <w:sz w:val="24"/>
          <w:lang w:val="en-US" w:eastAsia="zh-CN"/>
        </w:rPr>
        <w:t>1.2-1</w:t>
      </w:r>
      <w:r>
        <w:rPr>
          <w:rFonts w:hint="default" w:ascii="Times New Roman" w:hAnsi="Times New Roman" w:cs="Times New Roman" w:eastAsiaTheme="minorEastAsia"/>
          <w:sz w:val="24"/>
          <w:lang w:val="en-US" w:eastAsia="zh-CN"/>
        </w:rPr>
        <w:t>。</w:t>
      </w:r>
    </w:p>
    <w:p w14:paraId="331710D5">
      <w:pPr>
        <w:numPr>
          <w:ilvl w:val="0"/>
          <w:numId w:val="0"/>
        </w:numPr>
        <w:spacing w:line="360" w:lineRule="auto"/>
        <w:rPr>
          <w:rFonts w:hint="default" w:ascii="Times New Roman" w:hAnsi="Times New Roman" w:cs="Times New Roman"/>
        </w:rPr>
      </w:pPr>
      <w:r>
        <w:rPr>
          <w:rFonts w:hint="default" w:ascii="Times New Roman" w:hAnsi="Times New Roman" w:cs="Times New Roman"/>
        </w:rPr>
        <w:drawing>
          <wp:inline distT="0" distB="0" distL="114300" distR="114300">
            <wp:extent cx="5271770" cy="7223125"/>
            <wp:effectExtent l="0" t="0" r="5080" b="158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71770" cy="7223125"/>
                    </a:xfrm>
                    <a:prstGeom prst="rect">
                      <a:avLst/>
                    </a:prstGeom>
                    <a:noFill/>
                    <a:ln>
                      <a:noFill/>
                    </a:ln>
                  </pic:spPr>
                </pic:pic>
              </a:graphicData>
            </a:graphic>
          </wp:inline>
        </w:drawing>
      </w:r>
    </w:p>
    <w:p w14:paraId="3C9DC228">
      <w:pPr>
        <w:snapToGrid w:val="0"/>
        <w:spacing w:before="241" w:beforeLines="50"/>
        <w:ind w:firstLine="949" w:firstLineChars="4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图</w:t>
      </w:r>
      <w:r>
        <w:rPr>
          <w:rFonts w:hint="eastAsia" w:ascii="Times New Roman" w:hAnsi="Times New Roman" w:cs="Times New Roman" w:eastAsiaTheme="minorEastAsia"/>
          <w:b/>
          <w:szCs w:val="21"/>
          <w:lang w:val="en-US" w:eastAsia="zh-CN"/>
        </w:rPr>
        <w:t>1.2-1</w:t>
      </w:r>
      <w:r>
        <w:rPr>
          <w:rFonts w:hint="default" w:ascii="Times New Roman" w:hAnsi="Times New Roman" w:cs="Times New Roman" w:eastAsiaTheme="minorEastAsia"/>
          <w:b/>
          <w:szCs w:val="21"/>
          <w:lang w:val="en-US" w:eastAsia="zh-CN"/>
        </w:rPr>
        <w:t xml:space="preserve">  环境影响评价工作程序图</w:t>
      </w:r>
    </w:p>
    <w:p w14:paraId="050F085D">
      <w:pPr>
        <w:pStyle w:val="3"/>
        <w:spacing w:before="120" w:after="120" w:line="500" w:lineRule="exact"/>
        <w:ind w:left="375" w:hanging="375" w:firstLineChars="0"/>
        <w:contextualSpacing/>
        <w:rPr>
          <w:rFonts w:hint="default" w:ascii="Times New Roman" w:hAnsi="Times New Roman" w:cs="Times New Roman" w:eastAsiaTheme="minorEastAsia"/>
          <w:snapToGrid w:val="0"/>
          <w:kern w:val="0"/>
          <w:sz w:val="28"/>
          <w:szCs w:val="28"/>
          <w:lang w:val="en-US" w:eastAsia="zh-CN"/>
        </w:rPr>
      </w:pPr>
      <w:bookmarkStart w:id="5" w:name="_Toc2316"/>
      <w:r>
        <w:rPr>
          <w:rFonts w:hint="default" w:ascii="Times New Roman" w:hAnsi="Times New Roman" w:cs="Times New Roman" w:eastAsiaTheme="minorEastAsia"/>
          <w:snapToGrid w:val="0"/>
          <w:kern w:val="0"/>
          <w:sz w:val="28"/>
          <w:szCs w:val="28"/>
          <w:lang w:val="en-US" w:eastAsia="zh-CN"/>
        </w:rPr>
        <w:t>1.3 分析判定相关情况</w:t>
      </w:r>
      <w:bookmarkEnd w:id="5"/>
    </w:p>
    <w:p w14:paraId="48876634">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6" w:name="_Toc26993"/>
      <w:r>
        <w:rPr>
          <w:rFonts w:hint="eastAsia" w:ascii="Times New Roman" w:hAnsi="Times New Roman" w:cs="Times New Roman" w:eastAsiaTheme="minorEastAsia"/>
          <w:kern w:val="0"/>
          <w:sz w:val="24"/>
          <w:szCs w:val="24"/>
          <w:lang w:val="en-US" w:eastAsia="zh-CN"/>
        </w:rPr>
        <w:t xml:space="preserve">1.3.1 </w:t>
      </w:r>
      <w:r>
        <w:rPr>
          <w:rFonts w:hint="default" w:ascii="Times New Roman" w:hAnsi="Times New Roman" w:cs="Times New Roman" w:eastAsiaTheme="minorEastAsia"/>
          <w:kern w:val="0"/>
          <w:sz w:val="24"/>
          <w:szCs w:val="24"/>
          <w:lang w:val="en-US" w:eastAsia="zh-CN"/>
        </w:rPr>
        <w:t>产业政策符合性分析</w:t>
      </w:r>
      <w:bookmarkEnd w:id="6"/>
    </w:p>
    <w:p w14:paraId="164A5A9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本项目为</w:t>
      </w:r>
      <w:r>
        <w:rPr>
          <w:rFonts w:hint="eastAsia" w:ascii="Times New Roman" w:hAnsi="Times New Roman" w:cs="Times New Roman" w:eastAsiaTheme="minorEastAsia"/>
          <w:sz w:val="24"/>
          <w:lang w:val="en-US" w:eastAsia="zh-CN"/>
        </w:rPr>
        <w:t>医疗废物焚烧项目</w:t>
      </w: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处置能力为2t/天，处理量小于500kg/小时。但本项目废气通过采取</w:t>
      </w:r>
      <w:r>
        <w:rPr>
          <w:rFonts w:hint="eastAsia" w:ascii="Times New Roman" w:hAnsi="Times New Roman" w:cs="Times New Roman" w:eastAsiaTheme="minorEastAsia"/>
          <w:sz w:val="24"/>
          <w:highlight w:val="none"/>
          <w:lang w:val="en-US" w:eastAsia="zh-CN"/>
        </w:rPr>
        <w:t>“3T+E”燃烧控制+</w:t>
      </w:r>
      <w:r>
        <w:rPr>
          <w:rFonts w:hint="eastAsia" w:ascii="Times New Roman" w:hAnsi="Times New Roman" w:cs="Times New Roman" w:eastAsiaTheme="minorEastAsia"/>
          <w:sz w:val="24"/>
          <w:lang w:val="en-US" w:eastAsia="zh-CN"/>
        </w:rPr>
        <w:t>SNCR脱硝+旋风除尘+急冷塔+干法脱酸（消石灰喷射）+活性炭喷射+布袋除尘器+湿法喷淋脱酸（5%氢氧化钠）等措施治理后，</w:t>
      </w:r>
      <w:r>
        <w:rPr>
          <w:rFonts w:hint="eastAsia" w:ascii="Times New Roman" w:hAnsi="Times New Roman" w:cs="Times New Roman"/>
          <w:sz w:val="24"/>
          <w:lang w:val="en-US" w:eastAsia="zh-CN"/>
        </w:rPr>
        <w:t>类比同类型项目</w:t>
      </w:r>
      <w:r>
        <w:rPr>
          <w:rFonts w:hint="eastAsia" w:ascii="Times New Roman" w:hAnsi="Times New Roman" w:cs="Times New Roman" w:eastAsiaTheme="minorEastAsia"/>
          <w:sz w:val="24"/>
          <w:lang w:val="en-US" w:eastAsia="zh-CN"/>
        </w:rPr>
        <w:t>可达到《医疗废物处理处置污染控制标准》（GB39707-2020）规定的污染物排放要求，不属于《产业结构调整指导目录（2024年本）》中限制类。</w:t>
      </w:r>
      <w:r>
        <w:rPr>
          <w:rFonts w:hint="default" w:ascii="Times New Roman" w:hAnsi="Times New Roman" w:cs="Times New Roman" w:eastAsiaTheme="minorEastAsia"/>
          <w:sz w:val="24"/>
          <w:lang w:val="en-US" w:eastAsia="zh-CN"/>
        </w:rPr>
        <w:t>属于《产业结构调整指导目录（2024年本）》中第一类鼓励类</w:t>
      </w:r>
      <w:r>
        <w:rPr>
          <w:rFonts w:hint="eastAsia" w:ascii="Times New Roman" w:hAnsi="Times New Roman" w:cs="Times New Roman" w:eastAsiaTheme="minorEastAsia"/>
          <w:sz w:val="24"/>
          <w:lang w:val="en-US" w:eastAsia="zh-CN"/>
        </w:rPr>
        <w:t>四十二</w:t>
      </w: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环境保护与资源节约综合利用</w:t>
      </w: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6危险废弃物处置</w:t>
      </w: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危险废物（含医疗废物）无害化处置和高效利用技术设备开发制造、利用处置中心建设和（或）运营，</w:t>
      </w:r>
      <w:r>
        <w:rPr>
          <w:rFonts w:hint="default" w:ascii="Times New Roman" w:hAnsi="Times New Roman" w:cs="Times New Roman" w:eastAsiaTheme="minorEastAsia"/>
          <w:sz w:val="24"/>
          <w:lang w:val="en-US" w:eastAsia="zh-CN"/>
        </w:rPr>
        <w:t>因此，本项目属于鼓励类，符合产业政策的要求。</w:t>
      </w:r>
    </w:p>
    <w:p w14:paraId="57212BC9">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7" w:name="_Toc32581"/>
      <w:bookmarkStart w:id="8" w:name="_Toc22"/>
      <w:r>
        <w:rPr>
          <w:rFonts w:hint="default" w:ascii="Times New Roman" w:hAnsi="Times New Roman" w:cs="Times New Roman" w:eastAsiaTheme="minorEastAsia"/>
          <w:kern w:val="0"/>
          <w:sz w:val="24"/>
          <w:szCs w:val="24"/>
          <w:lang w:val="en-US" w:eastAsia="zh-CN"/>
        </w:rPr>
        <w:t>1.3.2政策文件的符合性分析</w:t>
      </w:r>
      <w:bookmarkEnd w:id="7"/>
      <w:bookmarkEnd w:id="8"/>
    </w:p>
    <w:p w14:paraId="2D5F313D">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1.3.2.1与《新疆维吾尔自治区危险废物污染环境防治办法》符合性分析</w:t>
      </w:r>
    </w:p>
    <w:p w14:paraId="48F6955C">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该防治办法提出</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鼓励社会力量多渠道投资，开展危险废物污染环境防治的科学研究和技术开发，促进危险废物污染环境防治相关产业发展。因此，本项目属于医疗废物集中处置，符合其要求。</w:t>
      </w:r>
    </w:p>
    <w:p w14:paraId="1F0698CF">
      <w:pPr>
        <w:adjustRightInd w:val="0"/>
        <w:snapToGrid w:val="0"/>
        <w:spacing w:line="500" w:lineRule="exact"/>
        <w:jc w:val="left"/>
        <w:rPr>
          <w:rFonts w:hint="default"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1.3.2.2</w:t>
      </w:r>
      <w:r>
        <w:rPr>
          <w:rFonts w:hint="default" w:ascii="Times New Roman" w:hAnsi="Times New Roman" w:cs="Times New Roman" w:eastAsiaTheme="minorEastAsia"/>
          <w:b/>
          <w:bCs/>
          <w:sz w:val="24"/>
          <w:lang w:val="en-US" w:eastAsia="zh-CN"/>
        </w:rPr>
        <w:t>与《全国危险废物和医疗废物处置设施建设规划》符合性分析</w:t>
      </w:r>
    </w:p>
    <w:p w14:paraId="6DFB8015">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（1）运送车。</w:t>
      </w:r>
      <w:r>
        <w:rPr>
          <w:rFonts w:hint="default" w:ascii="Times New Roman" w:hAnsi="Times New Roman" w:cs="Times New Roman" w:eastAsiaTheme="minorEastAsia"/>
          <w:sz w:val="24"/>
          <w:highlight w:val="none"/>
          <w:lang w:val="en-US" w:eastAsia="zh-CN"/>
        </w:rPr>
        <w:t>危险废物和医疗废物运输车辆应使用有明显标识的专用车辆单独收集、密闭运输，禁止混装其他物品，禁止使用敞开式车辆。医疗废物运送车车厢应具备周转箱固定装置，车厢内部材料、强度、气密性能、隔热性能、液体防渗、污水排出等必须符合环保要求，有条件的可以设置冷藏功能、自动装卸功能。在高温天气、运输距离较长时，有条件的应对高感染性医疗临床废物实行一次性包装、冷藏运输，禁止使用垃圾压缩车运送医疗废物。</w:t>
      </w:r>
    </w:p>
    <w:p w14:paraId="1FB37C0A">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（2）焚烧炉。</w:t>
      </w:r>
      <w:r>
        <w:rPr>
          <w:rFonts w:hint="default" w:ascii="Times New Roman" w:hAnsi="Times New Roman" w:cs="Times New Roman" w:eastAsiaTheme="minorEastAsia"/>
          <w:sz w:val="24"/>
          <w:highlight w:val="none"/>
          <w:lang w:val="en-US" w:eastAsia="zh-CN"/>
        </w:rPr>
        <w:t>焚烧炉必须配备自动控制和监测系统，在线显示运行工况和尾气排放参数，并能够自动反馈，对进料速率等工艺参数进行自动调节，确保焚烧炉出口烟气中氧气含量达到</w:t>
      </w:r>
      <w:r>
        <w:rPr>
          <w:rFonts w:hint="eastAsia" w:ascii="Times New Roman" w:hAnsi="Times New Roman" w:cs="Times New Roman"/>
          <w:sz w:val="24"/>
          <w:highlight w:val="none"/>
          <w:lang w:val="en-US" w:eastAsia="zh-CN"/>
        </w:rPr>
        <w:t>6%—10%（</w:t>
      </w:r>
      <w:r>
        <w:rPr>
          <w:rFonts w:hint="default" w:ascii="Times New Roman" w:hAnsi="Times New Roman" w:cs="Times New Roman" w:eastAsiaTheme="minorEastAsia"/>
          <w:sz w:val="24"/>
          <w:highlight w:val="none"/>
          <w:lang w:val="en-US" w:eastAsia="zh-CN"/>
        </w:rPr>
        <w:t>干烟气</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，焚烧温度高于850℃</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一燃室</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和1100℃</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二燃室</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，焚烧残渣的热灼减率小于5%，焚毁去除率大于99.99%</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烟气在二燃室1100℃以上停留时间大于2秒。医疗废物焚烧处置设施必须实现自动、密闭、连续进料，自动清渣、清灰。</w:t>
      </w:r>
    </w:p>
    <w:p w14:paraId="04136D7C">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本项目运输车辆均采用专用车辆，且做到密闭运输</w:t>
      </w:r>
      <w:r>
        <w:rPr>
          <w:rFonts w:hint="eastAsia" w:ascii="Times New Roman" w:hAnsi="Times New Roman" w:cs="Times New Roman"/>
          <w:sz w:val="24"/>
          <w:highlight w:val="none"/>
          <w:lang w:val="en-US" w:eastAsia="zh-CN"/>
        </w:rPr>
        <w:t>，禁止</w:t>
      </w:r>
      <w:r>
        <w:rPr>
          <w:rFonts w:hint="default" w:ascii="Times New Roman" w:hAnsi="Times New Roman" w:cs="Times New Roman" w:eastAsiaTheme="minorEastAsia"/>
          <w:sz w:val="24"/>
          <w:highlight w:val="none"/>
          <w:lang w:val="en-US" w:eastAsia="zh-CN"/>
        </w:rPr>
        <w:t>混装其他物品</w:t>
      </w:r>
      <w:r>
        <w:rPr>
          <w:rFonts w:hint="eastAsia"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在高温</w:t>
      </w:r>
      <w:r>
        <w:rPr>
          <w:rFonts w:hint="default" w:ascii="Times New Roman" w:hAnsi="Times New Roman" w:cs="Times New Roman" w:eastAsiaTheme="minorEastAsia"/>
          <w:sz w:val="24"/>
          <w:highlight w:val="none"/>
          <w:lang w:val="en-US" w:eastAsia="zh-CN"/>
        </w:rPr>
        <w:t>天气运距较长时</w:t>
      </w:r>
      <w:r>
        <w:rPr>
          <w:rFonts w:hint="eastAsia" w:ascii="Times New Roman" w:hAnsi="Times New Roman" w:cs="Times New Roman"/>
          <w:sz w:val="24"/>
          <w:highlight w:val="none"/>
          <w:lang w:val="en-US" w:eastAsia="zh-CN"/>
        </w:rPr>
        <w:t>，采用</w:t>
      </w:r>
      <w:r>
        <w:rPr>
          <w:rFonts w:hint="default" w:ascii="Times New Roman" w:hAnsi="Times New Roman" w:cs="Times New Roman" w:eastAsiaTheme="minorEastAsia"/>
          <w:sz w:val="24"/>
          <w:highlight w:val="none"/>
          <w:lang w:val="en-US" w:eastAsia="zh-CN"/>
        </w:rPr>
        <w:t>一次性包装冷藏运输方式。本项目焚烧工艺处理规模为</w:t>
      </w:r>
      <w:r>
        <w:rPr>
          <w:rFonts w:hint="eastAsia" w:ascii="Times New Roman" w:hAnsi="Times New Roman" w:cs="Times New Roman" w:eastAsiaTheme="minorEastAsia"/>
          <w:sz w:val="24"/>
          <w:highlight w:val="none"/>
          <w:lang w:val="en-US" w:eastAsia="zh-CN"/>
        </w:rPr>
        <w:t>2t</w:t>
      </w:r>
      <w:r>
        <w:rPr>
          <w:rFonts w:hint="default" w:ascii="Times New Roman" w:hAnsi="Times New Roman" w:cs="Times New Roman" w:eastAsiaTheme="minorEastAsia"/>
          <w:sz w:val="24"/>
          <w:highlight w:val="none"/>
          <w:lang w:val="en-US" w:eastAsia="zh-CN"/>
        </w:rPr>
        <w:t>/d。医疗废物处置设施均能满足以上技术要求，并认真落实建设情况</w:t>
      </w:r>
      <w:r>
        <w:rPr>
          <w:rFonts w:hint="eastAsia" w:ascii="Times New Roman" w:hAnsi="Times New Roman" w:cs="Times New Roman" w:eastAsiaTheme="minorEastAsia"/>
          <w:sz w:val="24"/>
          <w:highlight w:val="none"/>
          <w:lang w:val="en-US" w:eastAsia="zh-CN"/>
        </w:rPr>
        <w:t>。</w:t>
      </w:r>
    </w:p>
    <w:p w14:paraId="70382FA0">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1.3.2.</w:t>
      </w:r>
      <w:r>
        <w:rPr>
          <w:rFonts w:hint="eastAsia" w:ascii="Times New Roman" w:hAnsi="Times New Roman" w:cs="Times New Roman"/>
          <w:b/>
          <w:bCs/>
          <w:sz w:val="24"/>
          <w:lang w:val="en-US" w:eastAsia="zh-CN"/>
        </w:rPr>
        <w:t>3</w:t>
      </w:r>
      <w:r>
        <w:rPr>
          <w:rFonts w:hint="eastAsia" w:ascii="Times New Roman" w:hAnsi="Times New Roman" w:cs="Times New Roman" w:eastAsiaTheme="minorEastAsia"/>
          <w:b/>
          <w:bCs/>
          <w:sz w:val="24"/>
          <w:lang w:val="en-US" w:eastAsia="zh-CN"/>
        </w:rPr>
        <w:t>与《关于开展医疗机构废弃物专项整治工作的通知》的相符性分析</w:t>
      </w:r>
    </w:p>
    <w:p w14:paraId="58FFA58F">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《关于开展医疗机构废弃物专项整治工作的通知》（国卫办医函〔</w:t>
      </w:r>
      <w:r>
        <w:rPr>
          <w:rFonts w:hint="default" w:ascii="Times New Roman" w:hAnsi="Times New Roman" w:cs="Times New Roman" w:eastAsiaTheme="minorEastAsia"/>
          <w:sz w:val="24"/>
          <w:highlight w:val="none"/>
          <w:lang w:val="en-US" w:eastAsia="zh-CN"/>
        </w:rPr>
        <w:t>2020</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389</w:t>
      </w:r>
      <w:r>
        <w:rPr>
          <w:rFonts w:hint="eastAsia" w:ascii="Times New Roman" w:hAnsi="Times New Roman" w:cs="Times New Roman" w:eastAsiaTheme="minorEastAsia"/>
          <w:sz w:val="24"/>
          <w:highlight w:val="none"/>
          <w:lang w:val="en-US" w:eastAsia="zh-CN"/>
        </w:rPr>
        <w:t>号）中提出：“通过开展多部门联合专项整治，进一步提高医疗机构内部废弃物的规范化管理水平，增强医疗废物集中处置能力，规范医疗机构生活垃圾和输液瓶（袋）的回收处置渠道，实现医疗机构废弃物处置的定点定向、闭环管理。以专项整治为抓手，严厉打击涉及医疗废物的违法犯罪行为，曝光一批违法机构，惩处一批不法分子，斩断医疗废弃物黑产业链，保护人体健康和生态环境。”</w:t>
      </w:r>
    </w:p>
    <w:p w14:paraId="572AF6B3">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本项目的建设，实现了医疗机构废弃物处置的定点定向，避免发生医疗废弃物黑产业链，保护人体健康和生态环境。本项目的建设符合《关于开展医疗机构废弃物专项整治工作的通知》的工作目标。</w:t>
      </w:r>
    </w:p>
    <w:p w14:paraId="0A626A2F">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1.3.2.</w:t>
      </w:r>
      <w:r>
        <w:rPr>
          <w:rFonts w:hint="eastAsia" w:ascii="Times New Roman" w:hAnsi="Times New Roman" w:cs="Times New Roman"/>
          <w:b/>
          <w:bCs/>
          <w:sz w:val="24"/>
          <w:lang w:val="en-US" w:eastAsia="zh-CN"/>
        </w:rPr>
        <w:t>4</w:t>
      </w:r>
      <w:r>
        <w:rPr>
          <w:rFonts w:hint="eastAsia" w:ascii="Times New Roman" w:hAnsi="Times New Roman" w:cs="Times New Roman" w:eastAsiaTheme="minorEastAsia"/>
          <w:b/>
          <w:bCs/>
          <w:sz w:val="24"/>
          <w:lang w:val="en-US" w:eastAsia="zh-CN"/>
        </w:rPr>
        <w:t>与《医疗废物集中处理设施能力建设实施方案》的相符性分析</w:t>
      </w:r>
    </w:p>
    <w:p w14:paraId="00A8AC3F">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《医疗废物集中处理设施能力建设实施方案》（发改环资〔</w:t>
      </w:r>
      <w:r>
        <w:rPr>
          <w:rFonts w:hint="default" w:ascii="Times New Roman" w:hAnsi="Times New Roman" w:cs="Times New Roman" w:eastAsiaTheme="minorEastAsia"/>
          <w:sz w:val="24"/>
          <w:highlight w:val="none"/>
          <w:lang w:val="en-US" w:eastAsia="zh-CN"/>
        </w:rPr>
        <w:t>2020</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696</w:t>
      </w:r>
      <w:r>
        <w:rPr>
          <w:rFonts w:hint="eastAsia" w:ascii="Times New Roman" w:hAnsi="Times New Roman" w:cs="Times New Roman" w:eastAsiaTheme="minorEastAsia"/>
          <w:sz w:val="24"/>
          <w:highlight w:val="none"/>
          <w:lang w:val="en-US" w:eastAsia="zh-CN"/>
        </w:rPr>
        <w:t>号）中提出：“争取</w:t>
      </w:r>
      <w:r>
        <w:rPr>
          <w:rFonts w:hint="default" w:ascii="Times New Roman" w:hAnsi="Times New Roman" w:cs="Times New Roman" w:eastAsiaTheme="minorEastAsia"/>
          <w:sz w:val="24"/>
          <w:highlight w:val="none"/>
          <w:lang w:val="en-US" w:eastAsia="zh-CN"/>
        </w:rPr>
        <w:t>1-2</w:t>
      </w:r>
      <w:r>
        <w:rPr>
          <w:rFonts w:hint="eastAsia" w:ascii="Times New Roman" w:hAnsi="Times New Roman" w:cs="Times New Roman" w:eastAsiaTheme="minorEastAsia"/>
          <w:sz w:val="24"/>
          <w:highlight w:val="none"/>
          <w:lang w:val="en-US" w:eastAsia="zh-CN"/>
        </w:rPr>
        <w:t>年内尽快实现大城市、特大城市具备充足应急处理能力；每个地级以上城市至少建成</w:t>
      </w:r>
      <w:r>
        <w:rPr>
          <w:rFonts w:hint="default" w:ascii="Times New Roman" w:hAnsi="Times New Roman" w:cs="Times New Roman" w:eastAsiaTheme="minorEastAsia"/>
          <w:sz w:val="24"/>
          <w:highlight w:val="none"/>
          <w:lang w:val="en-US" w:eastAsia="zh-CN"/>
        </w:rPr>
        <w:t>1</w:t>
      </w:r>
      <w:r>
        <w:rPr>
          <w:rFonts w:hint="eastAsia" w:ascii="Times New Roman" w:hAnsi="Times New Roman" w:cs="Times New Roman" w:eastAsiaTheme="minorEastAsia"/>
          <w:sz w:val="24"/>
          <w:highlight w:val="none"/>
          <w:lang w:val="en-US" w:eastAsia="zh-CN"/>
        </w:rPr>
        <w:t>个符合运行要求的医疗废物集中处置设施；每个县（市）都建成医疗废物收集转运处置体系，实现县级以上医疗废物全收集、全处理，并逐步覆盖到建制镇，争取农村地区医疗废物得到规范处置。</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医疗废物处置设施超负荷、高负荷的地市要进行医疗废物处置设施提标改造，提升处置能力。”</w:t>
      </w:r>
    </w:p>
    <w:p w14:paraId="0AF3BB95">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本项目的建设解决了莎车县医疗废物处置能力不足的问题；本项目的建设将完善当地社会基础设施，保障人身健康安全，符合《医疗废物集中处理设施能力建设实施方案》的要求。</w:t>
      </w:r>
    </w:p>
    <w:p w14:paraId="21F13AA5">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1.3.2.</w:t>
      </w:r>
      <w:r>
        <w:rPr>
          <w:rFonts w:hint="eastAsia" w:ascii="Times New Roman" w:hAnsi="Times New Roman" w:cs="Times New Roman"/>
          <w:b/>
          <w:bCs/>
          <w:sz w:val="24"/>
          <w:lang w:val="en-US" w:eastAsia="zh-CN"/>
        </w:rPr>
        <w:t>5</w:t>
      </w:r>
      <w:r>
        <w:rPr>
          <w:rFonts w:hint="eastAsia" w:ascii="Times New Roman" w:hAnsi="Times New Roman" w:cs="Times New Roman" w:eastAsiaTheme="minorEastAsia"/>
          <w:b/>
          <w:bCs/>
          <w:sz w:val="24"/>
          <w:lang w:val="en-US" w:eastAsia="zh-CN"/>
        </w:rPr>
        <w:t>与《关于印发医疗机构废弃物综合治理工作方案的通知》相符性</w:t>
      </w:r>
    </w:p>
    <w:p w14:paraId="025BD747">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《关于印发医疗机构废弃物综合治理工作方案的通知》</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国卫医发〔</w:t>
      </w:r>
      <w:r>
        <w:rPr>
          <w:rFonts w:hint="default" w:ascii="Times New Roman" w:hAnsi="Times New Roman" w:cs="Times New Roman" w:eastAsiaTheme="minorEastAsia"/>
          <w:sz w:val="24"/>
          <w:highlight w:val="none"/>
          <w:lang w:val="en-US" w:eastAsia="zh-CN"/>
        </w:rPr>
        <w:t>2020</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3</w:t>
      </w:r>
      <w:r>
        <w:rPr>
          <w:rFonts w:hint="eastAsia" w:ascii="Times New Roman" w:hAnsi="Times New Roman" w:cs="Times New Roman" w:eastAsiaTheme="minorEastAsia"/>
          <w:sz w:val="24"/>
          <w:highlight w:val="none"/>
          <w:lang w:val="en-US" w:eastAsia="zh-CN"/>
        </w:rPr>
        <w:t>号</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中提出：“加强集中处置设施建设。各省份全面摸查医疗废物集中处置设施建设情况，要在</w:t>
      </w:r>
      <w:r>
        <w:rPr>
          <w:rFonts w:hint="default" w:ascii="Times New Roman" w:hAnsi="Times New Roman" w:cs="Times New Roman" w:eastAsiaTheme="minorEastAsia"/>
          <w:sz w:val="24"/>
          <w:highlight w:val="none"/>
          <w:lang w:val="en-US" w:eastAsia="zh-CN"/>
        </w:rPr>
        <w:t>2020</w:t>
      </w:r>
      <w:r>
        <w:rPr>
          <w:rFonts w:hint="eastAsia" w:ascii="Times New Roman" w:hAnsi="Times New Roman" w:cs="Times New Roman" w:eastAsiaTheme="minorEastAsia"/>
          <w:sz w:val="24"/>
          <w:highlight w:val="none"/>
          <w:lang w:val="en-US" w:eastAsia="zh-CN"/>
        </w:rPr>
        <w:t>年底前实现每个地级以上城市至少建成</w:t>
      </w:r>
      <w:r>
        <w:rPr>
          <w:rFonts w:hint="default" w:ascii="Times New Roman" w:hAnsi="Times New Roman" w:cs="Times New Roman" w:eastAsiaTheme="minorEastAsia"/>
          <w:sz w:val="24"/>
          <w:highlight w:val="none"/>
          <w:lang w:val="en-US" w:eastAsia="zh-CN"/>
        </w:rPr>
        <w:t>1</w:t>
      </w:r>
      <w:r>
        <w:rPr>
          <w:rFonts w:hint="eastAsia" w:ascii="Times New Roman" w:hAnsi="Times New Roman" w:cs="Times New Roman" w:eastAsiaTheme="minorEastAsia"/>
          <w:sz w:val="24"/>
          <w:highlight w:val="none"/>
          <w:lang w:val="en-US" w:eastAsia="zh-CN"/>
        </w:rPr>
        <w:t>个符合运行要求的医疗废物集中处置设施；到</w:t>
      </w:r>
      <w:r>
        <w:rPr>
          <w:rFonts w:hint="default" w:ascii="Times New Roman" w:hAnsi="Times New Roman" w:cs="Times New Roman" w:eastAsiaTheme="minorEastAsia"/>
          <w:sz w:val="24"/>
          <w:highlight w:val="none"/>
          <w:lang w:val="en-US" w:eastAsia="zh-CN"/>
        </w:rPr>
        <w:t>2022</w:t>
      </w:r>
      <w:r>
        <w:rPr>
          <w:rFonts w:hint="eastAsia" w:ascii="Times New Roman" w:hAnsi="Times New Roman" w:cs="Times New Roman" w:eastAsiaTheme="minorEastAsia"/>
          <w:sz w:val="24"/>
          <w:highlight w:val="none"/>
          <w:lang w:val="en-US" w:eastAsia="zh-CN"/>
        </w:rPr>
        <w:t>年</w:t>
      </w:r>
      <w:r>
        <w:rPr>
          <w:rFonts w:hint="default" w:ascii="Times New Roman" w:hAnsi="Times New Roman" w:cs="Times New Roman" w:eastAsiaTheme="minorEastAsia"/>
          <w:sz w:val="24"/>
          <w:highlight w:val="none"/>
          <w:lang w:val="en-US" w:eastAsia="zh-CN"/>
        </w:rPr>
        <w:t>6</w:t>
      </w:r>
      <w:r>
        <w:rPr>
          <w:rFonts w:hint="eastAsia" w:ascii="Times New Roman" w:hAnsi="Times New Roman" w:cs="Times New Roman" w:eastAsiaTheme="minorEastAsia"/>
          <w:sz w:val="24"/>
          <w:highlight w:val="none"/>
          <w:lang w:val="en-US" w:eastAsia="zh-CN"/>
        </w:rPr>
        <w:t>月底前，综合考虑地理位置分布、服务人口等因素设置区域性收集、中转或处置医疗废物设施，实现每个县（市）都建成医疗废物收集转运处置体系。鼓励发展医疗废物移动处置设施和预处理设施，为偏远基层提供就地处置服务。通过引进新技术、更新设备设施等措施，优化处置方式，补齐短板，大幅度提升现有医疗废物集中处置设施的处置能力，对各类医疗废物进行规范处置。探索建立医疗废物跨区域集中处置的协作机制和利益补偿机制。”</w:t>
      </w:r>
    </w:p>
    <w:p w14:paraId="2EC88F29">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的建设大幅度提升了喀什地区医疗废物集中处置设施的处置能力，项目的建设将完善当地社会基础设施，保证人民人身健康安全。符合《关于印发医疗机构废弃物综合治理工作方案的通知》中加强集中处置设施建设要求。</w:t>
      </w:r>
    </w:p>
    <w:p w14:paraId="10B4D564">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1.3.2.</w:t>
      </w:r>
      <w:r>
        <w:rPr>
          <w:rFonts w:hint="eastAsia" w:ascii="Times New Roman" w:hAnsi="Times New Roman" w:cs="Times New Roman"/>
          <w:b/>
          <w:bCs/>
          <w:sz w:val="24"/>
          <w:lang w:val="en-US" w:eastAsia="zh-CN"/>
        </w:rPr>
        <w:t>6</w:t>
      </w:r>
      <w:r>
        <w:rPr>
          <w:rFonts w:hint="eastAsia" w:ascii="Times New Roman" w:hAnsi="Times New Roman" w:cs="Times New Roman" w:eastAsiaTheme="minorEastAsia"/>
          <w:b/>
          <w:bCs/>
          <w:sz w:val="24"/>
          <w:lang w:val="en-US" w:eastAsia="zh-CN"/>
        </w:rPr>
        <w:t>与《国务院办公厅关于印发强化危险废物监管和利用处置能力改革实施方案的通知》</w:t>
      </w:r>
      <w:r>
        <w:rPr>
          <w:rFonts w:hint="eastAsia" w:ascii="Times New Roman" w:hAnsi="Times New Roman" w:cs="Times New Roman"/>
          <w:b/>
          <w:bCs/>
          <w:sz w:val="24"/>
          <w:lang w:val="en-US" w:eastAsia="zh-CN"/>
        </w:rPr>
        <w:t>（</w:t>
      </w:r>
      <w:r>
        <w:rPr>
          <w:rFonts w:hint="eastAsia" w:ascii="Times New Roman" w:hAnsi="Times New Roman" w:cs="Times New Roman" w:eastAsiaTheme="minorEastAsia"/>
          <w:b/>
          <w:bCs/>
          <w:sz w:val="24"/>
          <w:lang w:val="en-US" w:eastAsia="zh-CN"/>
        </w:rPr>
        <w:t>国办函〔</w:t>
      </w:r>
      <w:r>
        <w:rPr>
          <w:rFonts w:hint="default" w:ascii="Times New Roman" w:hAnsi="Times New Roman" w:cs="Times New Roman" w:eastAsiaTheme="minorEastAsia"/>
          <w:b/>
          <w:bCs/>
          <w:sz w:val="24"/>
          <w:lang w:val="en-US" w:eastAsia="zh-CN"/>
        </w:rPr>
        <w:t>202</w:t>
      </w:r>
      <w:r>
        <w:rPr>
          <w:rFonts w:hint="eastAsia" w:ascii="Times New Roman" w:hAnsi="Times New Roman" w:cs="Times New Roman" w:eastAsiaTheme="minorEastAsia"/>
          <w:b/>
          <w:bCs/>
          <w:sz w:val="24"/>
          <w:lang w:val="en-US" w:eastAsia="zh-CN"/>
        </w:rPr>
        <w:t>1〕</w:t>
      </w:r>
      <w:r>
        <w:rPr>
          <w:rFonts w:hint="default" w:ascii="Times New Roman" w:hAnsi="Times New Roman" w:cs="Times New Roman" w:eastAsiaTheme="minorEastAsia"/>
          <w:b/>
          <w:bCs/>
          <w:sz w:val="24"/>
          <w:lang w:val="en-US" w:eastAsia="zh-CN"/>
        </w:rPr>
        <w:t>47</w:t>
      </w:r>
      <w:r>
        <w:rPr>
          <w:rFonts w:hint="eastAsia" w:ascii="Times New Roman" w:hAnsi="Times New Roman" w:cs="Times New Roman" w:eastAsiaTheme="minorEastAsia"/>
          <w:b/>
          <w:bCs/>
          <w:sz w:val="24"/>
          <w:lang w:val="en-US" w:eastAsia="zh-CN"/>
        </w:rPr>
        <w:t>号</w:t>
      </w:r>
      <w:r>
        <w:rPr>
          <w:rFonts w:hint="eastAsia" w:ascii="Times New Roman" w:hAnsi="Times New Roman" w:cs="Times New Roman"/>
          <w:b/>
          <w:bCs/>
          <w:sz w:val="24"/>
          <w:lang w:val="en-US" w:eastAsia="zh-CN"/>
        </w:rPr>
        <w:t>）</w:t>
      </w:r>
      <w:r>
        <w:rPr>
          <w:rFonts w:hint="eastAsia" w:ascii="Times New Roman" w:hAnsi="Times New Roman" w:cs="Times New Roman" w:eastAsiaTheme="minorEastAsia"/>
          <w:b/>
          <w:bCs/>
          <w:sz w:val="24"/>
          <w:lang w:val="en-US" w:eastAsia="zh-CN"/>
        </w:rPr>
        <w:t>相符性</w:t>
      </w:r>
    </w:p>
    <w:p w14:paraId="2F80D632">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《国务院办公厅关于印发强化危险废物监管和利用处置能力改革实施方案的通知》</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国办函〔</w:t>
      </w:r>
      <w:r>
        <w:rPr>
          <w:rFonts w:hint="default" w:ascii="Times New Roman" w:hAnsi="Times New Roman" w:cs="Times New Roman" w:eastAsiaTheme="minorEastAsia"/>
          <w:sz w:val="24"/>
          <w:highlight w:val="none"/>
          <w:lang w:val="en-US" w:eastAsia="zh-CN"/>
        </w:rPr>
        <w:t>202</w:t>
      </w:r>
      <w:r>
        <w:rPr>
          <w:rFonts w:hint="eastAsia" w:ascii="Times New Roman" w:hAnsi="Times New Roman" w:cs="Times New Roman" w:eastAsiaTheme="minorEastAsia"/>
          <w:sz w:val="24"/>
          <w:highlight w:val="none"/>
          <w:lang w:val="en-US" w:eastAsia="zh-CN"/>
        </w:rPr>
        <w:t>1〕</w:t>
      </w:r>
      <w:r>
        <w:rPr>
          <w:rFonts w:hint="default" w:ascii="Times New Roman" w:hAnsi="Times New Roman" w:cs="Times New Roman" w:eastAsiaTheme="minorEastAsia"/>
          <w:sz w:val="24"/>
          <w:highlight w:val="none"/>
          <w:lang w:val="en-US" w:eastAsia="zh-CN"/>
        </w:rPr>
        <w:t>47</w:t>
      </w:r>
      <w:r>
        <w:rPr>
          <w:rFonts w:hint="eastAsia" w:ascii="Times New Roman" w:hAnsi="Times New Roman" w:cs="Times New Roman" w:eastAsiaTheme="minorEastAsia"/>
          <w:sz w:val="24"/>
          <w:highlight w:val="none"/>
          <w:lang w:val="en-US" w:eastAsia="zh-CN"/>
        </w:rPr>
        <w:t>号</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中提出：“提升市域内医疗废物处置能力。各地级以上城市应尽快建成至少一个符合运行要求的医疗废物集中处置设施。</w:t>
      </w:r>
      <w:r>
        <w:rPr>
          <w:rFonts w:hint="default" w:ascii="Times New Roman" w:hAnsi="Times New Roman" w:cs="Times New Roman" w:eastAsiaTheme="minorEastAsia"/>
          <w:sz w:val="24"/>
          <w:highlight w:val="none"/>
          <w:lang w:val="en-US" w:eastAsia="zh-CN"/>
        </w:rPr>
        <w:t>2022</w:t>
      </w:r>
      <w:r>
        <w:rPr>
          <w:rFonts w:hint="eastAsia" w:ascii="Times New Roman" w:hAnsi="Times New Roman" w:cs="Times New Roman" w:eastAsiaTheme="minorEastAsia"/>
          <w:sz w:val="24"/>
          <w:highlight w:val="none"/>
          <w:lang w:val="en-US" w:eastAsia="zh-CN"/>
        </w:rPr>
        <w:t>年</w:t>
      </w:r>
      <w:r>
        <w:rPr>
          <w:rFonts w:hint="default" w:ascii="Times New Roman" w:hAnsi="Times New Roman" w:cs="Times New Roman" w:eastAsiaTheme="minorEastAsia"/>
          <w:sz w:val="24"/>
          <w:highlight w:val="none"/>
          <w:lang w:val="en-US" w:eastAsia="zh-CN"/>
        </w:rPr>
        <w:t>6</w:t>
      </w:r>
      <w:r>
        <w:rPr>
          <w:rFonts w:hint="eastAsia" w:ascii="Times New Roman" w:hAnsi="Times New Roman" w:cs="Times New Roman" w:eastAsiaTheme="minorEastAsia"/>
          <w:sz w:val="24"/>
          <w:highlight w:val="none"/>
          <w:lang w:val="en-US" w:eastAsia="zh-CN"/>
        </w:rPr>
        <w:t>月底前，实现各县（市）都建成医疗废物收集转运处置体系</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鼓励发展移动式医疗废物处置设施，为偏远基层提供就地处置服务。加强医疗废物分类管理，做好源头分类，促进规范处置”。</w:t>
      </w:r>
    </w:p>
    <w:p w14:paraId="5552B296">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本项目的建设提升了</w:t>
      </w:r>
      <w:r>
        <w:rPr>
          <w:rFonts w:hint="eastAsia" w:ascii="Times New Roman" w:hAnsi="Times New Roman" w:cs="Times New Roman"/>
          <w:sz w:val="24"/>
          <w:highlight w:val="none"/>
          <w:lang w:val="en-US" w:eastAsia="zh-CN"/>
        </w:rPr>
        <w:t>莎车县</w:t>
      </w:r>
      <w:r>
        <w:rPr>
          <w:rFonts w:hint="eastAsia" w:ascii="Times New Roman" w:hAnsi="Times New Roman" w:cs="Times New Roman" w:eastAsiaTheme="minorEastAsia"/>
          <w:sz w:val="24"/>
          <w:highlight w:val="none"/>
          <w:lang w:val="en-US" w:eastAsia="zh-CN"/>
        </w:rPr>
        <w:t>医疗废物处置能力，改善了医疗卫生行业环境状况，本项目的建设将完善当地社会基础设施，保证人民人身健康安全。故本项目的建设符合《国务院办公厅关于印发强化危险废物监管和利用处置能力改革实施方案的通知》</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国办函〔</w:t>
      </w:r>
      <w:r>
        <w:rPr>
          <w:rFonts w:hint="default" w:ascii="Times New Roman" w:hAnsi="Times New Roman" w:cs="Times New Roman" w:eastAsiaTheme="minorEastAsia"/>
          <w:sz w:val="24"/>
          <w:highlight w:val="none"/>
          <w:lang w:val="en-US" w:eastAsia="zh-CN"/>
        </w:rPr>
        <w:t>202</w:t>
      </w:r>
      <w:r>
        <w:rPr>
          <w:rFonts w:hint="eastAsia" w:ascii="Times New Roman" w:hAnsi="Times New Roman" w:cs="Times New Roman" w:eastAsiaTheme="minorEastAsia"/>
          <w:sz w:val="24"/>
          <w:highlight w:val="none"/>
          <w:lang w:val="en-US" w:eastAsia="zh-CN"/>
        </w:rPr>
        <w:t>1〕</w:t>
      </w:r>
      <w:r>
        <w:rPr>
          <w:rFonts w:hint="default" w:ascii="Times New Roman" w:hAnsi="Times New Roman" w:cs="Times New Roman" w:eastAsiaTheme="minorEastAsia"/>
          <w:sz w:val="24"/>
          <w:highlight w:val="none"/>
          <w:lang w:val="en-US" w:eastAsia="zh-CN"/>
        </w:rPr>
        <w:t>47</w:t>
      </w:r>
      <w:r>
        <w:rPr>
          <w:rFonts w:hint="eastAsia" w:ascii="Times New Roman" w:hAnsi="Times New Roman" w:cs="Times New Roman" w:eastAsiaTheme="minorEastAsia"/>
          <w:sz w:val="24"/>
          <w:highlight w:val="none"/>
          <w:lang w:val="en-US" w:eastAsia="zh-CN"/>
        </w:rPr>
        <w:t>号</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中提出的要求。</w:t>
      </w:r>
    </w:p>
    <w:p w14:paraId="370E2F8F">
      <w:pPr>
        <w:adjustRightInd w:val="0"/>
        <w:snapToGrid w:val="0"/>
        <w:spacing w:line="500" w:lineRule="exact"/>
        <w:jc w:val="left"/>
        <w:rPr>
          <w:rFonts w:hint="default"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1.3.2.</w:t>
      </w:r>
      <w:r>
        <w:rPr>
          <w:rFonts w:hint="eastAsia" w:ascii="Times New Roman" w:hAnsi="Times New Roman" w:cs="Times New Roman"/>
          <w:b/>
          <w:bCs/>
          <w:sz w:val="24"/>
          <w:lang w:val="en-US" w:eastAsia="zh-CN"/>
        </w:rPr>
        <w:t>7</w:t>
      </w:r>
      <w:r>
        <w:rPr>
          <w:rFonts w:hint="eastAsia" w:ascii="Times New Roman" w:hAnsi="Times New Roman" w:cs="Times New Roman" w:eastAsiaTheme="minorEastAsia"/>
          <w:b/>
          <w:bCs/>
          <w:sz w:val="24"/>
          <w:lang w:val="en-US" w:eastAsia="zh-CN"/>
        </w:rPr>
        <w:t>与《关于进一步加强我区危险废物和医疗废物监督管理工作的意见》相符性</w:t>
      </w:r>
    </w:p>
    <w:p w14:paraId="2FF000C8">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《关于进一步加强我区危险废物和医疗废物监督管理工作的意见》（新政办发〔</w:t>
      </w:r>
      <w:r>
        <w:rPr>
          <w:rFonts w:hint="default" w:ascii="Times New Roman" w:hAnsi="Times New Roman" w:cs="Times New Roman" w:eastAsiaTheme="minorEastAsia"/>
          <w:sz w:val="24"/>
          <w:highlight w:val="none"/>
          <w:lang w:val="en-US" w:eastAsia="zh-CN"/>
        </w:rPr>
        <w:t>2014</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38</w:t>
      </w:r>
      <w:r>
        <w:rPr>
          <w:rFonts w:hint="eastAsia" w:ascii="Times New Roman" w:hAnsi="Times New Roman" w:cs="Times New Roman" w:eastAsiaTheme="minorEastAsia"/>
          <w:sz w:val="24"/>
          <w:highlight w:val="none"/>
          <w:lang w:val="en-US" w:eastAsia="zh-CN"/>
        </w:rPr>
        <w:t>号）中提出：“加强基础能力建设。加强固体废物管理机构建设，制定地州市级固体废物管理机构能力建设标准，指导和督促地州市固体废物管理机构标准化建设。规划建设危险废物处置设施，配备专业技术人员。加强从业人员业务培训，提高危险废物监管人员依法行政能力和执法水平。医疗废物处置设施由地州市政府统筹规划建设。区域内已有国家投资建设的医疗废物处置设施，当地政府应做好相关保障工作，确保设施正常运行；区域内没有国家投资且需要增加医疗废物处置设施的，由地州市级财政解决。”</w:t>
      </w:r>
    </w:p>
    <w:p w14:paraId="1F1B44B3">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本项目的建设将完善当地社会基础设施，保证人民人身健康安全。故本项目的建设符合加强基础能力建设的要求。</w:t>
      </w:r>
    </w:p>
    <w:p w14:paraId="0F4723FD">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1.3.2.</w:t>
      </w:r>
      <w:r>
        <w:rPr>
          <w:rFonts w:hint="eastAsia" w:ascii="Times New Roman" w:hAnsi="Times New Roman" w:cs="Times New Roman"/>
          <w:b/>
          <w:bCs/>
          <w:sz w:val="24"/>
          <w:lang w:val="en-US" w:eastAsia="zh-CN"/>
        </w:rPr>
        <w:t>8</w:t>
      </w:r>
      <w:r>
        <w:rPr>
          <w:rFonts w:hint="eastAsia" w:ascii="Times New Roman" w:hAnsi="Times New Roman" w:cs="Times New Roman" w:eastAsiaTheme="minorEastAsia"/>
          <w:b/>
          <w:bCs/>
          <w:sz w:val="24"/>
          <w:lang w:val="en-US" w:eastAsia="zh-CN"/>
        </w:rPr>
        <w:t>与《医疗废物处理处置污染控制标准》（GB39707-2020）的符合性分析</w:t>
      </w:r>
    </w:p>
    <w:p w14:paraId="52DFF509">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本项目与《医疗废物处理处置污染控制标准》（GB39707-2020）的符合性分析见下表：</w:t>
      </w:r>
    </w:p>
    <w:p w14:paraId="52029DD5">
      <w:pPr>
        <w:snapToGrid w:val="0"/>
        <w:spacing w:before="241" w:beforeLines="50"/>
        <w:jc w:val="both"/>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表1.3-1  本项目与《医疗废物处理处置污染控制标准》（GB39707-2020）的符合性分析</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1"/>
        <w:gridCol w:w="3995"/>
        <w:gridCol w:w="3028"/>
        <w:gridCol w:w="848"/>
      </w:tblGrid>
      <w:tr w14:paraId="15169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vAlign w:val="center"/>
          </w:tcPr>
          <w:p w14:paraId="7A8E533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序号</w:t>
            </w:r>
          </w:p>
        </w:tc>
        <w:tc>
          <w:tcPr>
            <w:tcW w:w="3995" w:type="dxa"/>
            <w:vAlign w:val="center"/>
          </w:tcPr>
          <w:p w14:paraId="18C166B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文件要求</w:t>
            </w:r>
          </w:p>
        </w:tc>
        <w:tc>
          <w:tcPr>
            <w:tcW w:w="3028" w:type="dxa"/>
            <w:vAlign w:val="center"/>
          </w:tcPr>
          <w:p w14:paraId="589B8CB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项目情况</w:t>
            </w:r>
          </w:p>
        </w:tc>
        <w:tc>
          <w:tcPr>
            <w:tcW w:w="848" w:type="dxa"/>
            <w:vAlign w:val="center"/>
          </w:tcPr>
          <w:p w14:paraId="7B775FF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符合性</w:t>
            </w:r>
          </w:p>
        </w:tc>
      </w:tr>
      <w:tr w14:paraId="760DD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vAlign w:val="center"/>
          </w:tcPr>
          <w:p w14:paraId="1D4D71C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w:t>
            </w:r>
          </w:p>
        </w:tc>
        <w:tc>
          <w:tcPr>
            <w:tcW w:w="3995" w:type="dxa"/>
            <w:vAlign w:val="center"/>
          </w:tcPr>
          <w:p w14:paraId="040F75B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医疗废物处理处置设施选址应符合生态环境保护法律法规及相关法定规划要求，并应综合考虑设施服务区域、交通运输、地质环境等基本要素，确保设施处于长期相对稳定的环境。鼓励医疗废物处理处置设施选址临近生活垃圾集中处置设施，依托生活垃圾集中处置设施处置医疗废物焚烧残渣和经消毒处理的医疗废物。</w:t>
            </w:r>
          </w:p>
        </w:tc>
        <w:tc>
          <w:tcPr>
            <w:tcW w:w="3028" w:type="dxa"/>
            <w:vAlign w:val="center"/>
          </w:tcPr>
          <w:p w14:paraId="1610C29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本项目位于莎车县阿斯兰巴格工业园区西南侧莎车县海纳环保科技开发有限公司厂区内，选址符合生态环境保护法律法规及相关法定规划的要求。</w:t>
            </w:r>
          </w:p>
        </w:tc>
        <w:tc>
          <w:tcPr>
            <w:tcW w:w="848" w:type="dxa"/>
            <w:vAlign w:val="center"/>
          </w:tcPr>
          <w:p w14:paraId="767D599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符合</w:t>
            </w:r>
          </w:p>
        </w:tc>
      </w:tr>
      <w:tr w14:paraId="7D667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vAlign w:val="center"/>
          </w:tcPr>
          <w:p w14:paraId="67280B7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w:t>
            </w:r>
          </w:p>
        </w:tc>
        <w:tc>
          <w:tcPr>
            <w:tcW w:w="3995" w:type="dxa"/>
            <w:vAlign w:val="center"/>
          </w:tcPr>
          <w:p w14:paraId="4E9C91A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处理处置设施选址不应位于国务院和国务院有关主管部门及省、自治区、直辖市人民政府划定的生态保护红线区域、永久基本农田集中区域和其他需要特别保护的区域内。</w:t>
            </w:r>
          </w:p>
        </w:tc>
        <w:tc>
          <w:tcPr>
            <w:tcW w:w="3028" w:type="dxa"/>
            <w:vAlign w:val="center"/>
          </w:tcPr>
          <w:p w14:paraId="6D45E95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建设单位厂址不在生态保护红线区域、永久基本农田集中区域和其他需要特别保护的区域内。</w:t>
            </w:r>
          </w:p>
        </w:tc>
        <w:tc>
          <w:tcPr>
            <w:tcW w:w="848" w:type="dxa"/>
            <w:vAlign w:val="center"/>
          </w:tcPr>
          <w:p w14:paraId="6938A9A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符合</w:t>
            </w:r>
          </w:p>
        </w:tc>
      </w:tr>
      <w:tr w14:paraId="2E588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vAlign w:val="center"/>
          </w:tcPr>
          <w:p w14:paraId="4AA5767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w:t>
            </w:r>
          </w:p>
        </w:tc>
        <w:tc>
          <w:tcPr>
            <w:tcW w:w="3995" w:type="dxa"/>
            <w:vAlign w:val="center"/>
          </w:tcPr>
          <w:p w14:paraId="1E7B85E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处理处置设施厂址应与敏感目标之间设置一定的防护距离，防护距离应根据厂址条件、处理处置技术工艺、污染物排放特征及其扩散因素等综合确定，并应满足环境影响评价文件及审批意见要求。</w:t>
            </w:r>
          </w:p>
        </w:tc>
        <w:tc>
          <w:tcPr>
            <w:tcW w:w="3028" w:type="dxa"/>
            <w:vAlign w:val="center"/>
          </w:tcPr>
          <w:p w14:paraId="301B427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建设单位与最近居民区的直线距离为</w:t>
            </w:r>
            <w:r>
              <w:rPr>
                <w:rFonts w:hint="default" w:ascii="Times New Roman" w:hAnsi="Times New Roman" w:cs="Times New Roman" w:eastAsiaTheme="minorEastAsia"/>
                <w:szCs w:val="21"/>
                <w:lang w:val="en-US" w:eastAsia="zh-CN"/>
              </w:rPr>
              <w:t>1615m</w:t>
            </w:r>
            <w:r>
              <w:rPr>
                <w:rFonts w:hint="eastAsia" w:ascii="Times New Roman" w:hAnsi="Times New Roman" w:cs="Times New Roman" w:eastAsiaTheme="minorEastAsia"/>
                <w:szCs w:val="21"/>
                <w:lang w:val="en-US" w:eastAsia="zh-CN"/>
              </w:rPr>
              <w:t>；厂址周围</w:t>
            </w:r>
            <w:r>
              <w:rPr>
                <w:rFonts w:hint="default" w:ascii="Times New Roman" w:hAnsi="Times New Roman" w:cs="Times New Roman" w:eastAsiaTheme="minorEastAsia"/>
                <w:szCs w:val="21"/>
                <w:lang w:val="en-US" w:eastAsia="zh-CN"/>
              </w:rPr>
              <w:t>3230m</w:t>
            </w:r>
            <w:r>
              <w:rPr>
                <w:rFonts w:hint="eastAsia" w:ascii="Times New Roman" w:hAnsi="Times New Roman" w:cs="Times New Roman" w:eastAsiaTheme="minorEastAsia"/>
                <w:szCs w:val="21"/>
                <w:lang w:val="en-US" w:eastAsia="zh-CN"/>
              </w:rPr>
              <w:t>以内无地表水；建设单位周边</w:t>
            </w:r>
            <w:r>
              <w:rPr>
                <w:rFonts w:hint="default" w:ascii="Times New Roman" w:hAnsi="Times New Roman" w:cs="Times New Roman" w:eastAsiaTheme="minorEastAsia"/>
                <w:szCs w:val="21"/>
                <w:lang w:val="en-US" w:eastAsia="zh-CN"/>
              </w:rPr>
              <w:t>1</w:t>
            </w:r>
            <w:r>
              <w:rPr>
                <w:rFonts w:hint="eastAsia" w:ascii="Times New Roman" w:hAnsi="Times New Roman" w:cs="Times New Roman" w:eastAsiaTheme="minorEastAsia"/>
                <w:szCs w:val="21"/>
                <w:lang w:val="en-US" w:eastAsia="zh-CN"/>
              </w:rPr>
              <w:t>公里以内无食品、药品等企业。本项目不位于居民中心区常年最大风频上风向。</w:t>
            </w:r>
          </w:p>
        </w:tc>
        <w:tc>
          <w:tcPr>
            <w:tcW w:w="848" w:type="dxa"/>
            <w:vAlign w:val="center"/>
          </w:tcPr>
          <w:p w14:paraId="0BF62F5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符合</w:t>
            </w:r>
          </w:p>
        </w:tc>
      </w:tr>
      <w:tr w14:paraId="0D6EA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vAlign w:val="center"/>
          </w:tcPr>
          <w:p w14:paraId="3ED898B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w:t>
            </w:r>
          </w:p>
        </w:tc>
        <w:tc>
          <w:tcPr>
            <w:tcW w:w="3995" w:type="dxa"/>
            <w:vAlign w:val="center"/>
          </w:tcPr>
          <w:p w14:paraId="28946C3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医疗废物处理处置设施运行期间，应建立运行情况记录制度，如实记载运行情况。运行记录至少应包括医疗废物来源、种类、数量、贮存和处理处置信息，设施运行及工艺参数信息，环境监测数据，残渣、残余物和经消毒处理的医疗废物的去向及其数量等。</w:t>
            </w:r>
          </w:p>
        </w:tc>
        <w:tc>
          <w:tcPr>
            <w:tcW w:w="3028" w:type="dxa"/>
            <w:vAlign w:val="center"/>
          </w:tcPr>
          <w:p w14:paraId="16CE8B4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建设单位已建立了运行情况记录制度，对医疗废物来源、种类、数量、贮存和处置信息，设施运行及工艺参数信息，环境监测数据，残渣、残余物和经消毒处理的医疗废物的去向及其数量等进行了记录。</w:t>
            </w:r>
          </w:p>
        </w:tc>
        <w:tc>
          <w:tcPr>
            <w:tcW w:w="848" w:type="dxa"/>
            <w:vAlign w:val="center"/>
          </w:tcPr>
          <w:p w14:paraId="6CDB489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符合</w:t>
            </w:r>
          </w:p>
        </w:tc>
      </w:tr>
      <w:tr w14:paraId="3C203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vAlign w:val="center"/>
          </w:tcPr>
          <w:p w14:paraId="6290EEE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w:t>
            </w:r>
          </w:p>
        </w:tc>
        <w:tc>
          <w:tcPr>
            <w:tcW w:w="3995" w:type="dxa"/>
            <w:vAlign w:val="center"/>
          </w:tcPr>
          <w:p w14:paraId="2428D71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医疗废物在进入消毒处理设施或焚烧设施前不应进行开包或破碎。</w:t>
            </w:r>
          </w:p>
        </w:tc>
        <w:tc>
          <w:tcPr>
            <w:tcW w:w="3028" w:type="dxa"/>
            <w:vAlign w:val="center"/>
          </w:tcPr>
          <w:p w14:paraId="3BF0F4A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建设单位收集的医疗废物在进入焚烧设施前均不进行开包或破碎。</w:t>
            </w:r>
          </w:p>
        </w:tc>
        <w:tc>
          <w:tcPr>
            <w:tcW w:w="848" w:type="dxa"/>
            <w:vAlign w:val="center"/>
          </w:tcPr>
          <w:p w14:paraId="1FA7130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符合</w:t>
            </w:r>
          </w:p>
        </w:tc>
      </w:tr>
      <w:tr w14:paraId="776EF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vAlign w:val="center"/>
          </w:tcPr>
          <w:p w14:paraId="424B42E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w:t>
            </w:r>
          </w:p>
        </w:tc>
        <w:tc>
          <w:tcPr>
            <w:tcW w:w="3995" w:type="dxa"/>
            <w:vAlign w:val="center"/>
          </w:tcPr>
          <w:p w14:paraId="33EAF95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处理处置单位应编制环境应急预案，并定期组织应急演练。</w:t>
            </w:r>
          </w:p>
        </w:tc>
        <w:tc>
          <w:tcPr>
            <w:tcW w:w="3028" w:type="dxa"/>
            <w:vAlign w:val="center"/>
          </w:tcPr>
          <w:p w14:paraId="4784D13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建设单位已编制了环境应急预案，在喀什地区生态环境局莎车县分局进行了备案，并定期组织了应急演练。本项目投产前建设单位将对应急预案进行修订。</w:t>
            </w:r>
          </w:p>
        </w:tc>
        <w:tc>
          <w:tcPr>
            <w:tcW w:w="848" w:type="dxa"/>
            <w:vAlign w:val="center"/>
          </w:tcPr>
          <w:p w14:paraId="2831C4E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符合</w:t>
            </w:r>
          </w:p>
        </w:tc>
      </w:tr>
      <w:tr w14:paraId="44D0B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vAlign w:val="center"/>
          </w:tcPr>
          <w:p w14:paraId="6E7E45A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w:t>
            </w:r>
          </w:p>
        </w:tc>
        <w:tc>
          <w:tcPr>
            <w:tcW w:w="3995" w:type="dxa"/>
            <w:vAlign w:val="center"/>
          </w:tcPr>
          <w:p w14:paraId="2830EB3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医疗废物处理处置单位应依据有关法律、《环境监测管理办法》和</w:t>
            </w:r>
            <w:r>
              <w:rPr>
                <w:rFonts w:hint="default" w:ascii="Times New Roman" w:hAnsi="Times New Roman" w:cs="Times New Roman" w:eastAsiaTheme="minorEastAsia"/>
                <w:szCs w:val="21"/>
                <w:lang w:val="en-US" w:eastAsia="zh-CN"/>
              </w:rPr>
              <w:t>HJ819</w:t>
            </w:r>
            <w:r>
              <w:rPr>
                <w:rFonts w:hint="eastAsia" w:ascii="Times New Roman" w:hAnsi="Times New Roman" w:cs="Times New Roman" w:eastAsiaTheme="minorEastAsia"/>
                <w:szCs w:val="21"/>
                <w:lang w:val="en-US" w:eastAsia="zh-CN"/>
              </w:rPr>
              <w:t>等规定，建立企业监测制度，制订监测方案，对污染物排放状况及其对周边环境质量的影响开展自行监测，保存原始监测记录，并公布监测结果。</w:t>
            </w:r>
          </w:p>
        </w:tc>
        <w:tc>
          <w:tcPr>
            <w:tcW w:w="3028" w:type="dxa"/>
            <w:vAlign w:val="center"/>
          </w:tcPr>
          <w:p w14:paraId="2DD0E06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建设单位已按照环评报告中提出的监测计划对污染物排放状况开展了自行监测，并保存原始监测记录，向公众公布了监测结果。</w:t>
            </w:r>
          </w:p>
        </w:tc>
        <w:tc>
          <w:tcPr>
            <w:tcW w:w="848" w:type="dxa"/>
            <w:vAlign w:val="center"/>
          </w:tcPr>
          <w:p w14:paraId="08E30AF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符合</w:t>
            </w:r>
          </w:p>
        </w:tc>
      </w:tr>
    </w:tbl>
    <w:p w14:paraId="1892FB14">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1.3.2.</w:t>
      </w:r>
      <w:r>
        <w:rPr>
          <w:rFonts w:hint="eastAsia" w:ascii="Times New Roman" w:hAnsi="Times New Roman" w:cs="Times New Roman"/>
          <w:b/>
          <w:bCs/>
          <w:sz w:val="24"/>
          <w:lang w:val="en-US" w:eastAsia="zh-CN"/>
        </w:rPr>
        <w:t>9</w:t>
      </w:r>
      <w:r>
        <w:rPr>
          <w:rFonts w:hint="eastAsia" w:ascii="Times New Roman" w:hAnsi="Times New Roman" w:cs="Times New Roman" w:eastAsiaTheme="minorEastAsia"/>
          <w:b/>
          <w:bCs/>
          <w:sz w:val="24"/>
          <w:lang w:val="en-US" w:eastAsia="zh-CN"/>
        </w:rPr>
        <w:t>与《中华人民共和国大气污染防治法》相符性分析</w:t>
      </w:r>
    </w:p>
    <w:p w14:paraId="73466782">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本项目与《中华人民共和国大气污染防治法》的符合性分析见下表：</w:t>
      </w:r>
    </w:p>
    <w:p w14:paraId="0B5C571E">
      <w:pPr>
        <w:snapToGrid w:val="0"/>
        <w:spacing w:before="241" w:beforeLines="50"/>
        <w:ind w:firstLine="949" w:firstLineChars="450"/>
        <w:jc w:val="both"/>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表1.3-2  项目与《中华人民共和国大气污染防治法》的符合性分析</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4364"/>
        <w:gridCol w:w="2577"/>
        <w:gridCol w:w="876"/>
      </w:tblGrid>
      <w:tr w14:paraId="7E406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26C735CC">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序号</w:t>
            </w:r>
          </w:p>
        </w:tc>
        <w:tc>
          <w:tcPr>
            <w:tcW w:w="4364" w:type="dxa"/>
            <w:vAlign w:val="center"/>
          </w:tcPr>
          <w:p w14:paraId="0E8E837E">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文件要求</w:t>
            </w:r>
          </w:p>
        </w:tc>
        <w:tc>
          <w:tcPr>
            <w:tcW w:w="2577" w:type="dxa"/>
            <w:vAlign w:val="center"/>
          </w:tcPr>
          <w:p w14:paraId="5E221D17">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项目情况</w:t>
            </w:r>
          </w:p>
        </w:tc>
        <w:tc>
          <w:tcPr>
            <w:tcW w:w="876" w:type="dxa"/>
            <w:vAlign w:val="center"/>
          </w:tcPr>
          <w:p w14:paraId="4D8DC4F6">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符合性</w:t>
            </w:r>
          </w:p>
        </w:tc>
      </w:tr>
      <w:tr w14:paraId="3DA9D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3C9069BA">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1</w:t>
            </w:r>
          </w:p>
        </w:tc>
        <w:tc>
          <w:tcPr>
            <w:tcW w:w="4364" w:type="dxa"/>
            <w:vAlign w:val="center"/>
          </w:tcPr>
          <w:p w14:paraId="7296143E">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第十八条 企事业单位和其他生产经营者建设对大气环境有影响的项目，应当依法进行环境影响评价、公开环境影响评价文件；向大气排放污染物的，应当符合大气污染物排放标准，遵守重点大气污染物排放总量控制要求。</w:t>
            </w:r>
          </w:p>
        </w:tc>
        <w:tc>
          <w:tcPr>
            <w:tcW w:w="2577" w:type="dxa"/>
            <w:vAlign w:val="center"/>
          </w:tcPr>
          <w:p w14:paraId="14835A4F">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本项目正在进行环境影响评价，并公开了环境影响评价文件。本项目排放的大气污染物均符合大气污染物排放标准，并遵守重点大气污染物排放总量控制要求。</w:t>
            </w:r>
          </w:p>
        </w:tc>
        <w:tc>
          <w:tcPr>
            <w:tcW w:w="876" w:type="dxa"/>
            <w:vAlign w:val="center"/>
          </w:tcPr>
          <w:p w14:paraId="34904768">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符合</w:t>
            </w:r>
          </w:p>
        </w:tc>
      </w:tr>
      <w:tr w14:paraId="09A16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0EA9B179">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2</w:t>
            </w:r>
          </w:p>
        </w:tc>
        <w:tc>
          <w:tcPr>
            <w:tcW w:w="4364" w:type="dxa"/>
            <w:vAlign w:val="center"/>
          </w:tcPr>
          <w:p w14:paraId="372D3314">
            <w:pPr>
              <w:spacing w:line="300" w:lineRule="exact"/>
              <w:jc w:val="center"/>
              <w:rPr>
                <w:rFonts w:hint="default" w:ascii="Times New Roman" w:hAnsi="Times New Roman" w:eastAsia="华文中宋" w:cs="Times New Roman"/>
                <w:szCs w:val="21"/>
                <w:lang w:val="en-US" w:eastAsia="zh-CN"/>
              </w:rPr>
            </w:pPr>
            <w:r>
              <w:rPr>
                <w:rFonts w:hint="default" w:ascii="Times New Roman" w:hAnsi="Times New Roman" w:eastAsia="华文中宋" w:cs="Times New Roman"/>
                <w:szCs w:val="21"/>
                <w:lang w:val="en-US" w:eastAsia="zh-CN"/>
              </w:rPr>
              <w:t>第十九条 排放工业废气或者本法第七十八条规定名录中所列有毒有害大气污染物的企业事业单位、集中供热设施的燃煤热源生产运营单位以及其他依法实行排污许可管理的单位，应当取得排污许可证。排污许可的具体办法和实施步骤由国务院规定。</w:t>
            </w:r>
          </w:p>
        </w:tc>
        <w:tc>
          <w:tcPr>
            <w:tcW w:w="2577" w:type="dxa"/>
            <w:vAlign w:val="center"/>
          </w:tcPr>
          <w:p w14:paraId="5D8AB999">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建设单位于2025年4月14日办理了排污许可证，本项目投产前，将对排污许可证办理变更手续。</w:t>
            </w:r>
          </w:p>
        </w:tc>
        <w:tc>
          <w:tcPr>
            <w:tcW w:w="876" w:type="dxa"/>
            <w:vAlign w:val="center"/>
          </w:tcPr>
          <w:p w14:paraId="4CE99415">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符合</w:t>
            </w:r>
          </w:p>
        </w:tc>
      </w:tr>
      <w:tr w14:paraId="70BA0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23E7155A">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3</w:t>
            </w:r>
          </w:p>
        </w:tc>
        <w:tc>
          <w:tcPr>
            <w:tcW w:w="4364" w:type="dxa"/>
            <w:vAlign w:val="center"/>
          </w:tcPr>
          <w:p w14:paraId="427639A9">
            <w:pPr>
              <w:spacing w:line="300" w:lineRule="exact"/>
              <w:jc w:val="center"/>
              <w:rPr>
                <w:rFonts w:hint="default" w:ascii="Times New Roman" w:hAnsi="Times New Roman" w:eastAsia="华文中宋" w:cs="Times New Roman"/>
                <w:szCs w:val="21"/>
                <w:lang w:val="en-US" w:eastAsia="zh-CN"/>
              </w:rPr>
            </w:pPr>
            <w:r>
              <w:rPr>
                <w:rFonts w:hint="default" w:ascii="Times New Roman" w:hAnsi="Times New Roman" w:eastAsia="华文中宋" w:cs="Times New Roman"/>
                <w:szCs w:val="21"/>
                <w:lang w:val="en-US" w:eastAsia="zh-CN"/>
              </w:rPr>
              <w:t>第二十条 企业事业单位和其他生产经营者向大气排放污染物的，应当依照法律法规和国务院生态环境主管部门的规定设置大气污染物排放口。</w:t>
            </w:r>
          </w:p>
        </w:tc>
        <w:tc>
          <w:tcPr>
            <w:tcW w:w="2577" w:type="dxa"/>
            <w:vAlign w:val="center"/>
          </w:tcPr>
          <w:p w14:paraId="718AC465">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本项目投产前，将按照规定设置大气污染物排放口。</w:t>
            </w:r>
          </w:p>
        </w:tc>
        <w:tc>
          <w:tcPr>
            <w:tcW w:w="876" w:type="dxa"/>
            <w:vAlign w:val="center"/>
          </w:tcPr>
          <w:p w14:paraId="25F60BB4">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符合</w:t>
            </w:r>
          </w:p>
        </w:tc>
      </w:tr>
      <w:tr w14:paraId="2E518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1F85F3BD">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4</w:t>
            </w:r>
          </w:p>
        </w:tc>
        <w:tc>
          <w:tcPr>
            <w:tcW w:w="4364" w:type="dxa"/>
            <w:vAlign w:val="center"/>
          </w:tcPr>
          <w:p w14:paraId="64774558">
            <w:pPr>
              <w:spacing w:line="300" w:lineRule="exact"/>
              <w:jc w:val="center"/>
              <w:rPr>
                <w:rFonts w:hint="default" w:ascii="Times New Roman" w:hAnsi="Times New Roman" w:eastAsia="华文中宋" w:cs="Times New Roman"/>
                <w:szCs w:val="21"/>
                <w:lang w:val="en-US" w:eastAsia="zh-CN"/>
              </w:rPr>
            </w:pPr>
            <w:r>
              <w:rPr>
                <w:rFonts w:hint="default" w:ascii="Times New Roman" w:hAnsi="Times New Roman" w:eastAsia="华文中宋" w:cs="Times New Roman"/>
                <w:szCs w:val="21"/>
                <w:lang w:val="en-US" w:eastAsia="zh-CN"/>
              </w:rPr>
              <w:t>第二十一条 国家对重点大气污染物排放实行总量控制。省、自治区、直辖市人民政府应当按照国务院下达的总量控制目标，控制或者削减本行政区域的重点大气污染物排放总量。</w:t>
            </w:r>
          </w:p>
        </w:tc>
        <w:tc>
          <w:tcPr>
            <w:tcW w:w="2577" w:type="dxa"/>
            <w:vAlign w:val="center"/>
          </w:tcPr>
          <w:p w14:paraId="039B5009">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本项目已在报告中计算并申请废气排放总量控制指标，废气污染物排放总量指标由生态环境行政主管部门确认。</w:t>
            </w:r>
          </w:p>
        </w:tc>
        <w:tc>
          <w:tcPr>
            <w:tcW w:w="876" w:type="dxa"/>
            <w:vAlign w:val="center"/>
          </w:tcPr>
          <w:p w14:paraId="2D759E5A">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符合</w:t>
            </w:r>
          </w:p>
        </w:tc>
      </w:tr>
      <w:tr w14:paraId="3544E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1B3CAC68">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5</w:t>
            </w:r>
          </w:p>
        </w:tc>
        <w:tc>
          <w:tcPr>
            <w:tcW w:w="4364" w:type="dxa"/>
            <w:vAlign w:val="center"/>
          </w:tcPr>
          <w:p w14:paraId="19E44827">
            <w:pPr>
              <w:spacing w:line="300" w:lineRule="exact"/>
              <w:jc w:val="center"/>
              <w:rPr>
                <w:rFonts w:hint="default" w:ascii="Times New Roman" w:hAnsi="Times New Roman" w:eastAsia="华文中宋" w:cs="Times New Roman"/>
                <w:szCs w:val="21"/>
                <w:lang w:val="en-US" w:eastAsia="zh-CN"/>
              </w:rPr>
            </w:pPr>
            <w:r>
              <w:rPr>
                <w:rFonts w:hint="default" w:ascii="Times New Roman" w:hAnsi="Times New Roman" w:eastAsia="华文中宋" w:cs="Times New Roman"/>
                <w:szCs w:val="21"/>
                <w:lang w:val="en-US" w:eastAsia="zh-CN"/>
              </w:rPr>
              <w:t>第二十四条 企业事业单位和其他生产经营者应当按照国家有关规定和监测规范，对其排放的工业废气和本法第七十八条规定名录中所列有毒有害大气污染物进行监测，并保存原始监测记录。其中，重点排污单位应当安装、使用大气污染物排放自动监测设备，与生态环境主管部门的监控设备联网，保证监测设备正常运行并依法公开排放信息。</w:t>
            </w:r>
          </w:p>
        </w:tc>
        <w:tc>
          <w:tcPr>
            <w:tcW w:w="2577" w:type="dxa"/>
            <w:vAlign w:val="center"/>
          </w:tcPr>
          <w:p w14:paraId="7C0DD46A">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建设单位将按照环评要求对排放的大气污染物进行定期监测，并保存原始监测记录。</w:t>
            </w:r>
          </w:p>
        </w:tc>
        <w:tc>
          <w:tcPr>
            <w:tcW w:w="876" w:type="dxa"/>
            <w:vAlign w:val="center"/>
          </w:tcPr>
          <w:p w14:paraId="47D2369B">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符合</w:t>
            </w:r>
          </w:p>
        </w:tc>
      </w:tr>
      <w:tr w14:paraId="6127D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3C67B909">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6</w:t>
            </w:r>
          </w:p>
        </w:tc>
        <w:tc>
          <w:tcPr>
            <w:tcW w:w="4364" w:type="dxa"/>
            <w:vAlign w:val="center"/>
          </w:tcPr>
          <w:p w14:paraId="161984C7">
            <w:pPr>
              <w:spacing w:line="300" w:lineRule="exact"/>
              <w:jc w:val="center"/>
              <w:rPr>
                <w:rFonts w:hint="default" w:ascii="Times New Roman" w:hAnsi="Times New Roman" w:eastAsia="华文中宋" w:cs="Times New Roman"/>
                <w:szCs w:val="21"/>
                <w:lang w:val="en-US" w:eastAsia="zh-CN"/>
              </w:rPr>
            </w:pPr>
            <w:r>
              <w:rPr>
                <w:rFonts w:hint="default" w:ascii="Times New Roman" w:hAnsi="Times New Roman" w:eastAsia="华文中宋" w:cs="Times New Roman"/>
                <w:szCs w:val="21"/>
                <w:lang w:val="en-US" w:eastAsia="zh-CN"/>
              </w:rPr>
              <w:t>第六十九条 建设单位应当将防治扬尘污染的费用列入工程造价，并在施工承包合同中明确施工单位扬尘污染防治责任。施工单位应当制定具体的施工扬尘污染防治实施方案。施工单位应当在施工工地设置硬质围挡，并采取覆盖、分段作业、择时施工、洒水抑尘、冲洗地面和车辆等有效防尘降尘措施。建筑土方、工程渣土、建筑垃圾应当及时清运</w:t>
            </w:r>
            <w:r>
              <w:rPr>
                <w:rFonts w:hint="eastAsia" w:ascii="Times New Roman" w:hAnsi="Times New Roman" w:eastAsia="华文中宋" w:cs="Times New Roman"/>
                <w:szCs w:val="21"/>
                <w:lang w:val="en-US" w:eastAsia="zh-CN"/>
              </w:rPr>
              <w:t>；</w:t>
            </w:r>
            <w:r>
              <w:rPr>
                <w:rFonts w:hint="default" w:ascii="Times New Roman" w:hAnsi="Times New Roman" w:eastAsia="华文中宋" w:cs="Times New Roman"/>
                <w:szCs w:val="21"/>
                <w:lang w:val="en-US" w:eastAsia="zh-CN"/>
              </w:rPr>
              <w:t>在场地内堆存的，应当采用密闭式防尘网遮盖。工程渣土、建筑垃圾应当进行资源化处理。施工单位应当在施工工地公示扬尘污染防治措施、负责人、扬尘监督管理主管部门等信息。</w:t>
            </w:r>
          </w:p>
        </w:tc>
        <w:tc>
          <w:tcPr>
            <w:tcW w:w="2577" w:type="dxa"/>
            <w:vAlign w:val="center"/>
          </w:tcPr>
          <w:p w14:paraId="75ECC962">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本项目施工期将严格按照《新疆维吾尔自治区大气污染防治条例》和《建筑工程施工现场扬尘污染防治标准》（</w:t>
            </w:r>
            <w:r>
              <w:rPr>
                <w:rFonts w:hint="default" w:ascii="Times New Roman" w:hAnsi="Times New Roman" w:eastAsia="华文中宋" w:cs="Times New Roman"/>
                <w:szCs w:val="21"/>
                <w:lang w:val="en-US" w:eastAsia="zh-CN"/>
              </w:rPr>
              <w:t>XJJ119-2020</w:t>
            </w:r>
            <w:r>
              <w:rPr>
                <w:rFonts w:hint="eastAsia" w:ascii="Times New Roman" w:hAnsi="Times New Roman" w:eastAsia="华文中宋" w:cs="Times New Roman"/>
                <w:szCs w:val="21"/>
                <w:lang w:val="en-US" w:eastAsia="zh-CN"/>
              </w:rPr>
              <w:t>）中对施工工地扬尘污染的相关整治措施要求，做好扬尘防护工作。</w:t>
            </w:r>
          </w:p>
        </w:tc>
        <w:tc>
          <w:tcPr>
            <w:tcW w:w="876" w:type="dxa"/>
            <w:vAlign w:val="center"/>
          </w:tcPr>
          <w:p w14:paraId="59F6F856">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符合</w:t>
            </w:r>
          </w:p>
        </w:tc>
      </w:tr>
    </w:tbl>
    <w:p w14:paraId="3ECB1B1A">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1.3.2.1</w:t>
      </w:r>
      <w:r>
        <w:rPr>
          <w:rFonts w:hint="eastAsia" w:ascii="Times New Roman" w:hAnsi="Times New Roman" w:cs="Times New Roman"/>
          <w:b/>
          <w:bCs/>
          <w:sz w:val="24"/>
          <w:lang w:val="en-US" w:eastAsia="zh-CN"/>
        </w:rPr>
        <w:t>0</w:t>
      </w:r>
      <w:r>
        <w:rPr>
          <w:rFonts w:hint="eastAsia" w:ascii="Times New Roman" w:hAnsi="Times New Roman" w:cs="Times New Roman" w:eastAsiaTheme="minorEastAsia"/>
          <w:b/>
          <w:bCs/>
          <w:sz w:val="24"/>
          <w:lang w:val="en-US" w:eastAsia="zh-CN"/>
        </w:rPr>
        <w:t>与《国务院关于印发</w:t>
      </w:r>
      <w:r>
        <w:rPr>
          <w:rFonts w:hint="eastAsia" w:ascii="Times New Roman" w:hAnsi="Times New Roman" w:cs="Times New Roman"/>
          <w:b/>
          <w:bCs/>
          <w:sz w:val="24"/>
          <w:lang w:val="en-US" w:eastAsia="zh-CN"/>
        </w:rPr>
        <w:t>〈</w:t>
      </w:r>
      <w:r>
        <w:rPr>
          <w:rFonts w:hint="eastAsia" w:ascii="Times New Roman" w:hAnsi="Times New Roman" w:cs="Times New Roman" w:eastAsiaTheme="minorEastAsia"/>
          <w:b/>
          <w:bCs/>
          <w:sz w:val="24"/>
          <w:lang w:val="en-US" w:eastAsia="zh-CN"/>
        </w:rPr>
        <w:t>空气质量持续改善行动计划</w:t>
      </w:r>
      <w:r>
        <w:rPr>
          <w:rFonts w:hint="eastAsia" w:ascii="Times New Roman" w:hAnsi="Times New Roman" w:cs="Times New Roman"/>
          <w:b/>
          <w:bCs/>
          <w:sz w:val="24"/>
          <w:lang w:val="en-US" w:eastAsia="zh-CN"/>
        </w:rPr>
        <w:t>〉的通知》</w:t>
      </w:r>
      <w:r>
        <w:rPr>
          <w:rFonts w:hint="eastAsia" w:ascii="Times New Roman" w:hAnsi="Times New Roman" w:cs="Times New Roman" w:eastAsiaTheme="minorEastAsia"/>
          <w:b/>
          <w:bCs/>
          <w:sz w:val="24"/>
          <w:lang w:val="en-US" w:eastAsia="zh-CN"/>
        </w:rPr>
        <w:t>（国发〔</w:t>
      </w:r>
      <w:r>
        <w:rPr>
          <w:rFonts w:hint="default" w:ascii="Times New Roman" w:hAnsi="Times New Roman" w:cs="Times New Roman" w:eastAsiaTheme="minorEastAsia"/>
          <w:b/>
          <w:bCs/>
          <w:sz w:val="24"/>
          <w:lang w:val="en-US" w:eastAsia="zh-CN"/>
        </w:rPr>
        <w:t>2023</w:t>
      </w:r>
      <w:r>
        <w:rPr>
          <w:rFonts w:hint="eastAsia" w:ascii="Times New Roman" w:hAnsi="Times New Roman" w:cs="Times New Roman" w:eastAsiaTheme="minorEastAsia"/>
          <w:b/>
          <w:bCs/>
          <w:sz w:val="24"/>
          <w:lang w:val="en-US" w:eastAsia="zh-CN"/>
        </w:rPr>
        <w:t>〕24号）相符性分析</w:t>
      </w:r>
    </w:p>
    <w:p w14:paraId="2209407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本项目与《国务院关于印发〈空气质量持续改善行动计划〉的通知》（国发〔</w:t>
      </w:r>
      <w:r>
        <w:rPr>
          <w:rFonts w:hint="default" w:ascii="Times New Roman" w:hAnsi="Times New Roman" w:cs="Times New Roman" w:eastAsiaTheme="minorEastAsia"/>
          <w:sz w:val="24"/>
          <w:lang w:val="en-US" w:eastAsia="zh-CN"/>
        </w:rPr>
        <w:t>2023</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24</w:t>
      </w:r>
      <w:r>
        <w:rPr>
          <w:rFonts w:hint="eastAsia" w:ascii="Times New Roman" w:hAnsi="Times New Roman" w:cs="Times New Roman" w:eastAsiaTheme="minorEastAsia"/>
          <w:sz w:val="24"/>
          <w:lang w:val="en-US" w:eastAsia="zh-CN"/>
        </w:rPr>
        <w:t>号）的符合性分析见下表：</w:t>
      </w:r>
    </w:p>
    <w:p w14:paraId="4898294D">
      <w:pPr>
        <w:adjustRightInd w:val="0"/>
        <w:snapToGrid w:val="0"/>
        <w:spacing w:before="250" w:beforeLines="50"/>
        <w:jc w:val="center"/>
        <w:rPr>
          <w:rFonts w:hint="eastAsia" w:ascii="Times New Roman" w:hAnsi="Times New Roman" w:eastAsia="华文中宋" w:cs="Times New Roman"/>
          <w:b/>
          <w:szCs w:val="21"/>
          <w:lang w:val="en-US" w:eastAsia="zh-CN"/>
        </w:rPr>
      </w:pPr>
      <w:r>
        <w:rPr>
          <w:rFonts w:hint="eastAsia" w:ascii="Times New Roman" w:hAnsi="Times New Roman" w:eastAsia="华文中宋" w:cs="Times New Roman"/>
          <w:b/>
          <w:szCs w:val="21"/>
          <w:lang w:val="en-US" w:eastAsia="zh-CN"/>
        </w:rPr>
        <w:t>表1.3-3  项目与《国务院关于印发〈空气质量持续改善行动计划〉的通知》（国发〔</w:t>
      </w:r>
      <w:r>
        <w:rPr>
          <w:rFonts w:hint="default" w:ascii="Times New Roman" w:hAnsi="Times New Roman" w:eastAsia="华文中宋" w:cs="Times New Roman"/>
          <w:b/>
          <w:szCs w:val="21"/>
          <w:lang w:val="en-US" w:eastAsia="zh-CN"/>
        </w:rPr>
        <w:t>2023</w:t>
      </w:r>
      <w:r>
        <w:rPr>
          <w:rFonts w:hint="eastAsia" w:ascii="Times New Roman" w:hAnsi="Times New Roman" w:eastAsia="华文中宋" w:cs="Times New Roman"/>
          <w:b/>
          <w:szCs w:val="21"/>
          <w:lang w:val="en-US" w:eastAsia="zh-CN"/>
        </w:rPr>
        <w:t>〕24号）的符合性分析</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33"/>
        <w:gridCol w:w="3013"/>
        <w:gridCol w:w="876"/>
      </w:tblGrid>
      <w:tr w14:paraId="47B9E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33" w:type="dxa"/>
            <w:vAlign w:val="center"/>
          </w:tcPr>
          <w:p w14:paraId="52873A8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文件要求</w:t>
            </w:r>
          </w:p>
        </w:tc>
        <w:tc>
          <w:tcPr>
            <w:tcW w:w="3013" w:type="dxa"/>
            <w:vAlign w:val="center"/>
          </w:tcPr>
          <w:p w14:paraId="6B1BDBC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项目情况</w:t>
            </w:r>
          </w:p>
        </w:tc>
        <w:tc>
          <w:tcPr>
            <w:tcW w:w="876" w:type="dxa"/>
            <w:vAlign w:val="center"/>
          </w:tcPr>
          <w:p w14:paraId="4E96189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符合性</w:t>
            </w:r>
          </w:p>
        </w:tc>
      </w:tr>
      <w:tr w14:paraId="5351B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33" w:type="dxa"/>
            <w:vAlign w:val="center"/>
          </w:tcPr>
          <w:p w14:paraId="25AB531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坚决遏制高耗能、高排放、低水平项目盲目上马。新改扩建项目严格落实国家产业规划、产业政策、生态环境分区管控方案、规划环评、项目环评、节能审查、产能置换、重点污染物总量控制、污染物排放区域削减、碳排放达峰目标等相关要求，原则上采用清洁运输方式。</w:t>
            </w:r>
          </w:p>
        </w:tc>
        <w:tc>
          <w:tcPr>
            <w:tcW w:w="3013" w:type="dxa"/>
            <w:vAlign w:val="center"/>
          </w:tcPr>
          <w:p w14:paraId="2201A2F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本项目为医疗废物集中处置的建设项目，不属于高耗能、高排放、低水平项目。本项目的实施可以提升莎车县现有医疗废物集中处置能力，符合国家产业规划、产业政策的要求。</w:t>
            </w:r>
          </w:p>
        </w:tc>
        <w:tc>
          <w:tcPr>
            <w:tcW w:w="876" w:type="dxa"/>
            <w:vAlign w:val="center"/>
          </w:tcPr>
          <w:p w14:paraId="686E735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符合</w:t>
            </w:r>
          </w:p>
        </w:tc>
      </w:tr>
    </w:tbl>
    <w:p w14:paraId="46DB2616">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1.3.2.1</w:t>
      </w:r>
      <w:r>
        <w:rPr>
          <w:rFonts w:hint="eastAsia" w:ascii="Times New Roman" w:hAnsi="Times New Roman" w:cs="Times New Roman"/>
          <w:b/>
          <w:bCs/>
          <w:sz w:val="24"/>
          <w:lang w:val="en-US" w:eastAsia="zh-CN"/>
        </w:rPr>
        <w:t>1</w:t>
      </w:r>
      <w:r>
        <w:rPr>
          <w:rFonts w:hint="eastAsia" w:ascii="Times New Roman" w:hAnsi="Times New Roman" w:cs="Times New Roman" w:eastAsiaTheme="minorEastAsia"/>
          <w:b/>
          <w:bCs/>
          <w:sz w:val="24"/>
          <w:lang w:val="en-US" w:eastAsia="zh-CN"/>
        </w:rPr>
        <w:t>与《新疆维吾尔自治区大气污染防治条例》相符性分析</w:t>
      </w:r>
    </w:p>
    <w:p w14:paraId="3C6DE6DE">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本项目与《新疆维吾尔自治区大气污染防治条例》的符合性分析见下表：</w:t>
      </w:r>
    </w:p>
    <w:p w14:paraId="42C72D0B">
      <w:pPr>
        <w:snapToGrid w:val="0"/>
        <w:spacing w:before="241" w:beforeLines="50"/>
        <w:jc w:val="center"/>
        <w:rPr>
          <w:rFonts w:hint="default"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表1.3-4 项目与《新疆维吾尔自治区大气污染防治条例》的符合性分析</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4727"/>
        <w:gridCol w:w="2242"/>
        <w:gridCol w:w="889"/>
      </w:tblGrid>
      <w:tr w14:paraId="3114B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vAlign w:val="center"/>
          </w:tcPr>
          <w:p w14:paraId="5DBF579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序号</w:t>
            </w:r>
          </w:p>
        </w:tc>
        <w:tc>
          <w:tcPr>
            <w:tcW w:w="4727" w:type="dxa"/>
            <w:vAlign w:val="center"/>
          </w:tcPr>
          <w:p w14:paraId="239B6A0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文件要求</w:t>
            </w:r>
          </w:p>
        </w:tc>
        <w:tc>
          <w:tcPr>
            <w:tcW w:w="2242" w:type="dxa"/>
            <w:vAlign w:val="center"/>
          </w:tcPr>
          <w:p w14:paraId="4196DC9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项目情况</w:t>
            </w:r>
          </w:p>
        </w:tc>
        <w:tc>
          <w:tcPr>
            <w:tcW w:w="889" w:type="dxa"/>
            <w:vAlign w:val="center"/>
          </w:tcPr>
          <w:p w14:paraId="1AAE7C8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符合性</w:t>
            </w:r>
          </w:p>
        </w:tc>
      </w:tr>
      <w:tr w14:paraId="5F937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vAlign w:val="center"/>
          </w:tcPr>
          <w:p w14:paraId="712579B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w:t>
            </w:r>
          </w:p>
        </w:tc>
        <w:tc>
          <w:tcPr>
            <w:tcW w:w="4727" w:type="dxa"/>
            <w:vAlign w:val="center"/>
          </w:tcPr>
          <w:p w14:paraId="7B66AC8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第十三条 自治区对重点大气污染物排放实行总量控制制度。</w:t>
            </w:r>
          </w:p>
          <w:p w14:paraId="66EDCE9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自治区人民政府按照国家规定，控制或者削减自治区的重点大气污染物排放总量。</w:t>
            </w:r>
          </w:p>
          <w:p w14:paraId="5CD5AD1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自治区人民政府可以根据大气环境质量状况和大气污染防治工作需要，对国家重点大气污染物之外的其他大气污染物排放实行总量控制或者削减。</w:t>
            </w:r>
          </w:p>
        </w:tc>
        <w:tc>
          <w:tcPr>
            <w:tcW w:w="2242" w:type="dxa"/>
            <w:vAlign w:val="center"/>
          </w:tcPr>
          <w:p w14:paraId="388F0FA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本项目已在报告中计算并申请废气总量控制指标，废气污染物排放总量指标具体由生态环境行政主管部门确认。</w:t>
            </w:r>
          </w:p>
        </w:tc>
        <w:tc>
          <w:tcPr>
            <w:tcW w:w="889" w:type="dxa"/>
            <w:vAlign w:val="center"/>
          </w:tcPr>
          <w:p w14:paraId="61BDC4B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符合</w:t>
            </w:r>
          </w:p>
        </w:tc>
      </w:tr>
      <w:tr w14:paraId="51C4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vAlign w:val="center"/>
          </w:tcPr>
          <w:p w14:paraId="57D24A4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w:t>
            </w:r>
          </w:p>
        </w:tc>
        <w:tc>
          <w:tcPr>
            <w:tcW w:w="4727" w:type="dxa"/>
            <w:vAlign w:val="center"/>
          </w:tcPr>
          <w:p w14:paraId="71E26A7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第十六条 自治区对大气污染物实行排污许可管理制度。</w:t>
            </w:r>
          </w:p>
          <w:p w14:paraId="1E09820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向大气排放工业废气或者排放国家规定的有毒有害大气污染物的企业事业单位、集中供热设施的燃煤热源生产运营单位，以及其他依法实行排污许可管理的单位，应当依法取得排污许可证。</w:t>
            </w:r>
          </w:p>
          <w:p w14:paraId="14EA707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向大气排放污染物的排污单位，应当按照国家和自治区的规定，设置大气污染物排放口，并明确其标志。</w:t>
            </w:r>
          </w:p>
        </w:tc>
        <w:tc>
          <w:tcPr>
            <w:tcW w:w="2242" w:type="dxa"/>
            <w:vAlign w:val="center"/>
          </w:tcPr>
          <w:p w14:paraId="4A1A5D12">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建设单位于2025年4月14日办理了排污许可证，本项目投产前，将办理排污许可证变更手续。</w:t>
            </w:r>
          </w:p>
          <w:p w14:paraId="0373DA3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本项目投产前，将按照规定设置大气污染排放口。</w:t>
            </w:r>
          </w:p>
        </w:tc>
        <w:tc>
          <w:tcPr>
            <w:tcW w:w="889" w:type="dxa"/>
            <w:vAlign w:val="center"/>
          </w:tcPr>
          <w:p w14:paraId="231A448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符合</w:t>
            </w:r>
          </w:p>
        </w:tc>
      </w:tr>
      <w:tr w14:paraId="18826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vAlign w:val="center"/>
          </w:tcPr>
          <w:p w14:paraId="059D2D5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w:t>
            </w:r>
          </w:p>
        </w:tc>
        <w:tc>
          <w:tcPr>
            <w:tcW w:w="4727" w:type="dxa"/>
            <w:vAlign w:val="center"/>
          </w:tcPr>
          <w:p w14:paraId="05DB4C2C">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第十八条 向大气排放污染物的企业事业单位和其他生产经营者，应当按照国家有关规定和监测规范，自行或者委托有资质的监测机构监测大气污染物排放情况，并保存原始监测数据记录。</w:t>
            </w:r>
          </w:p>
          <w:p w14:paraId="48FA5D4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重点排污单位应当安装、使用大气污染物排放自动监测设备，与生态环境主管部门的监控平台联网，保证监测设备正常运行，并依法公开排放信息。</w:t>
            </w:r>
          </w:p>
        </w:tc>
        <w:tc>
          <w:tcPr>
            <w:tcW w:w="2242" w:type="dxa"/>
            <w:vAlign w:val="center"/>
          </w:tcPr>
          <w:p w14:paraId="391E82D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建设单位将按照环评要求对排放的大气污染物进行定期监测，并保存原始监测数据备查。</w:t>
            </w:r>
          </w:p>
        </w:tc>
        <w:tc>
          <w:tcPr>
            <w:tcW w:w="889" w:type="dxa"/>
            <w:vAlign w:val="center"/>
          </w:tcPr>
          <w:p w14:paraId="7767EE8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符合</w:t>
            </w:r>
          </w:p>
        </w:tc>
      </w:tr>
      <w:tr w14:paraId="47CAA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vAlign w:val="center"/>
          </w:tcPr>
          <w:p w14:paraId="335AD1D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w:t>
            </w:r>
          </w:p>
        </w:tc>
        <w:tc>
          <w:tcPr>
            <w:tcW w:w="4727" w:type="dxa"/>
            <w:vAlign w:val="center"/>
          </w:tcPr>
          <w:p w14:paraId="6462AD1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第二十七条 禁止在自治区行政区域内引进能（水）耗不符合相关国家标准中准入值要求且污染物排放和环境风险防控不符合国家（地方）标准及有关产业准入条件的高污染（排放）、高能（水）耗、高环境风险的工业项目。自治区人民政府应当制定或者适时修订高污染（排放）、高能（水）耗、高环境风险项目认定标准，并向社会公布。</w:t>
            </w:r>
          </w:p>
        </w:tc>
        <w:tc>
          <w:tcPr>
            <w:tcW w:w="2242" w:type="dxa"/>
            <w:vAlign w:val="center"/>
          </w:tcPr>
          <w:p w14:paraId="3A946F2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本项目废水依托现有的污水处理站处理后，回用于车间清洗消毒及冷却用水，不外排。本项目不属于高污染（排放）、高能（水）耗、高环境风险的工业项目。</w:t>
            </w:r>
          </w:p>
        </w:tc>
        <w:tc>
          <w:tcPr>
            <w:tcW w:w="889" w:type="dxa"/>
            <w:vAlign w:val="center"/>
          </w:tcPr>
          <w:p w14:paraId="253A1E9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符合</w:t>
            </w:r>
          </w:p>
        </w:tc>
      </w:tr>
      <w:tr w14:paraId="1B518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vAlign w:val="center"/>
          </w:tcPr>
          <w:p w14:paraId="2804098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w:t>
            </w:r>
          </w:p>
        </w:tc>
        <w:tc>
          <w:tcPr>
            <w:tcW w:w="4727" w:type="dxa"/>
            <w:vAlign w:val="center"/>
          </w:tcPr>
          <w:p w14:paraId="6FE9993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第三十八条 房屋建筑、市政基础设施建设和城市规划区内水利工程等可能产生扬尘污染活动的施工现场，施工单位应当采取下列防尘措施：</w:t>
            </w:r>
          </w:p>
          <w:p w14:paraId="30C2D4C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（一）建设工程开工前，按照标准在施工现场周边设置围挡，并对围挡进行维护；</w:t>
            </w:r>
          </w:p>
          <w:p w14:paraId="50CFF20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（二）在施工现场出入口公示施工现场负责人、环保监督员、扬尘污染主要控制措施、举报电话等信息；</w:t>
            </w:r>
          </w:p>
          <w:p w14:paraId="681D742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（三）对施工现场内主要道路和物料堆放场地进行硬化，对其他裸露场地进行覆盖或者临时绿化，对土方进行集中堆放，并采取覆盖或者密闭等措施；</w:t>
            </w:r>
          </w:p>
          <w:p w14:paraId="0711EA8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（四）施工现场出口处应当设置车辆冲洗设施，施工车辆冲洗干净后方可上路行驶；</w:t>
            </w:r>
          </w:p>
          <w:p w14:paraId="7954D37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（五）道路挖掘施工过程中，及时覆盖破损路面，并采取洒水等措施防治扬尘污染；道路挖掘施工完成后应当及时修复路面；临时便道应当进行硬化处理，并定时洒水；</w:t>
            </w:r>
          </w:p>
          <w:p w14:paraId="6AEAC02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（六）及时对施工现场进行清理和平整，不得从高处向下倾倒或者抛洒各类物料和建筑垃圾。拆除建（构）筑物，应当配备防风抑尘设备，进行湿法作业。</w:t>
            </w:r>
          </w:p>
        </w:tc>
        <w:tc>
          <w:tcPr>
            <w:tcW w:w="2242" w:type="dxa"/>
            <w:vAlign w:val="center"/>
          </w:tcPr>
          <w:p w14:paraId="4CF1F31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本项目施工期将严格按照《新疆维吾尔自治区大气污染防治条例》和《建筑工程施工现场扬尘污染防治标准》（</w:t>
            </w:r>
            <w:r>
              <w:rPr>
                <w:rFonts w:hint="default" w:ascii="Times New Roman" w:hAnsi="Times New Roman" w:cs="Times New Roman" w:eastAsiaTheme="minorEastAsia"/>
                <w:szCs w:val="21"/>
                <w:lang w:val="en-US" w:eastAsia="zh-CN"/>
              </w:rPr>
              <w:t>XJJ119-2020</w:t>
            </w:r>
            <w:r>
              <w:rPr>
                <w:rFonts w:hint="eastAsia" w:ascii="Times New Roman" w:hAnsi="Times New Roman" w:cs="Times New Roman" w:eastAsiaTheme="minorEastAsia"/>
                <w:szCs w:val="21"/>
                <w:lang w:val="en-US" w:eastAsia="zh-CN"/>
              </w:rPr>
              <w:t>）中对施工工地扬尘污染的相关整治措施要求，做好扬尘防护工作。</w:t>
            </w:r>
          </w:p>
        </w:tc>
        <w:tc>
          <w:tcPr>
            <w:tcW w:w="889" w:type="dxa"/>
            <w:vAlign w:val="center"/>
          </w:tcPr>
          <w:p w14:paraId="6CACF77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符合</w:t>
            </w:r>
          </w:p>
        </w:tc>
      </w:tr>
    </w:tbl>
    <w:p w14:paraId="3177BADB">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9" w:name="_Toc21082"/>
      <w:r>
        <w:rPr>
          <w:rFonts w:hint="eastAsia" w:ascii="Times New Roman" w:hAnsi="Times New Roman" w:cs="Times New Roman" w:eastAsiaTheme="minorEastAsia"/>
          <w:kern w:val="0"/>
          <w:sz w:val="24"/>
          <w:szCs w:val="24"/>
          <w:lang w:val="en-US" w:eastAsia="zh-CN"/>
        </w:rPr>
        <w:t>1.3.3规划符合性分析</w:t>
      </w:r>
      <w:bookmarkEnd w:id="9"/>
    </w:p>
    <w:p w14:paraId="254CC112">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1.3.3.1与《新疆生态环境保护“十四五”规划》符合性分析</w:t>
      </w:r>
    </w:p>
    <w:p w14:paraId="0E888AE1">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健全国土空间开发保护制度。完善国土空间规划体系，划定并严格落实“三区三线”，明晰生态、农业、城镇三类空间及生态保护红线、永久基本农田、城镇开发边界三条控制线，持续优化城市化地区、农产品产区、生态功能区布局。合理确定新增建设用地规模，严格控制建设项目土地使用标准，提高资源利用效率。</w:t>
      </w:r>
    </w:p>
    <w:p w14:paraId="7E73D455">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加大涉气污染物的治理力度。基于现有烟气污染物控制装备，推进工业烟气中二氧化硫、汞、铅、砷、镉等多种非常规污染物强效脱除技术研发应用。有效控制烟气脱硝和氨法脱硫过程氨逃逸，做好消耗臭氧层物质淘汰和氢氟碳化物管理。</w:t>
      </w:r>
    </w:p>
    <w:p w14:paraId="2C0E15C7">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本项目选址位于莎车县阿斯兰巴格工业园区西南侧莎车县海纳环保科技开发有限公司厂区内，用地性质为工业用地，项目用地性质符合莎车县总体规划要求。本项目废气治理设施采取</w:t>
      </w:r>
      <w:r>
        <w:rPr>
          <w:rFonts w:hint="eastAsia" w:ascii="Times New Roman" w:hAnsi="Times New Roman" w:cs="Times New Roman" w:eastAsiaTheme="minorEastAsia"/>
          <w:sz w:val="24"/>
          <w:highlight w:val="none"/>
          <w:lang w:val="en-US" w:eastAsia="zh-CN"/>
        </w:rPr>
        <w:t>“3T+E”燃烧控制+</w:t>
      </w:r>
      <w:r>
        <w:rPr>
          <w:rFonts w:hint="eastAsia" w:ascii="Times New Roman" w:hAnsi="Times New Roman" w:cs="Times New Roman" w:eastAsiaTheme="minorEastAsia"/>
          <w:sz w:val="24"/>
          <w:lang w:val="en-US" w:eastAsia="zh-CN"/>
        </w:rPr>
        <w:t>SNCR脱硝+</w:t>
      </w:r>
      <w:r>
        <w:rPr>
          <w:rFonts w:hint="eastAsia" w:ascii="Times New Roman" w:hAnsi="Times New Roman" w:cs="Times New Roman"/>
          <w:sz w:val="24"/>
          <w:lang w:val="en-US" w:eastAsia="zh-CN"/>
        </w:rPr>
        <w:t>旋风除尘+</w:t>
      </w:r>
      <w:r>
        <w:rPr>
          <w:rFonts w:hint="eastAsia" w:ascii="Times New Roman" w:hAnsi="Times New Roman" w:cs="Times New Roman" w:eastAsiaTheme="minorEastAsia"/>
          <w:sz w:val="24"/>
          <w:lang w:val="en-US" w:eastAsia="zh-CN"/>
        </w:rPr>
        <w:t>急冷塔+干法脱酸（消石灰喷射）+活性炭喷射+布袋除尘器+湿法喷淋脱酸（5%氢氧化钠），确保达标排放。</w:t>
      </w:r>
    </w:p>
    <w:p w14:paraId="64160293">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1.3.3.2与《喀什地区生态环境保护“十四五”规划》符合性分析</w:t>
      </w:r>
    </w:p>
    <w:p w14:paraId="1A81B841">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sz w:val="24"/>
          <w:highlight w:val="none"/>
          <w:lang w:val="en-US" w:eastAsia="zh-CN"/>
        </w:rPr>
        <w:t>本</w:t>
      </w:r>
      <w:r>
        <w:rPr>
          <w:rFonts w:hint="eastAsia" w:ascii="Times New Roman" w:hAnsi="Times New Roman" w:cs="Times New Roman" w:eastAsiaTheme="minorEastAsia"/>
          <w:sz w:val="24"/>
          <w:highlight w:val="none"/>
          <w:lang w:val="en-US" w:eastAsia="zh-CN"/>
        </w:rPr>
        <w:t>扩建项目符合“推进产业转型升级”的要求，且不属于“两高”项目，对能源消耗量较小；本项目用水满足各县（市）“三条红线”用水指标，符合资源利用上限的要求，符合“完善绿色发展机制”的要求。</w:t>
      </w:r>
    </w:p>
    <w:p w14:paraId="0E65C226">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本项目排放的废水依托建设单位现有的污水处理站</w:t>
      </w:r>
      <w:r>
        <w:rPr>
          <w:rFonts w:hint="eastAsia" w:ascii="Times New Roman" w:hAnsi="Times New Roman" w:cs="Times New Roman"/>
          <w:sz w:val="24"/>
          <w:highlight w:val="none"/>
          <w:lang w:val="en-US" w:eastAsia="zh-CN"/>
        </w:rPr>
        <w:t>处置，经处置</w:t>
      </w:r>
      <w:r>
        <w:rPr>
          <w:rFonts w:hint="eastAsia" w:ascii="Times New Roman" w:hAnsi="Times New Roman" w:cs="Times New Roman" w:eastAsiaTheme="minorEastAsia"/>
          <w:sz w:val="24"/>
          <w:highlight w:val="none"/>
          <w:lang w:val="en-US" w:eastAsia="zh-CN"/>
        </w:rPr>
        <w:t>后的各类污染物排放浓度可以达到《医疗机构水污染</w:t>
      </w:r>
      <w:r>
        <w:rPr>
          <w:rFonts w:hint="eastAsia" w:ascii="Times New Roman" w:hAnsi="Times New Roman" w:cs="Times New Roman"/>
          <w:sz w:val="24"/>
          <w:highlight w:val="none"/>
          <w:lang w:val="en-US" w:eastAsia="zh-CN"/>
        </w:rPr>
        <w:t>物</w:t>
      </w:r>
      <w:r>
        <w:rPr>
          <w:rFonts w:hint="eastAsia" w:ascii="Times New Roman" w:hAnsi="Times New Roman" w:cs="Times New Roman" w:eastAsiaTheme="minorEastAsia"/>
          <w:sz w:val="24"/>
          <w:highlight w:val="none"/>
          <w:lang w:val="en-US" w:eastAsia="zh-CN"/>
        </w:rPr>
        <w:t>排放标准》（</w:t>
      </w:r>
      <w:r>
        <w:rPr>
          <w:rFonts w:hint="default" w:ascii="Times New Roman" w:hAnsi="Times New Roman" w:cs="Times New Roman" w:eastAsiaTheme="minorEastAsia"/>
          <w:sz w:val="24"/>
          <w:highlight w:val="none"/>
          <w:lang w:val="en-US" w:eastAsia="zh-CN"/>
        </w:rPr>
        <w:t>GB18466-2005</w:t>
      </w:r>
      <w:r>
        <w:rPr>
          <w:rFonts w:hint="eastAsia" w:ascii="Times New Roman" w:hAnsi="Times New Roman" w:cs="Times New Roman" w:eastAsiaTheme="minorEastAsia"/>
          <w:sz w:val="24"/>
          <w:highlight w:val="none"/>
          <w:lang w:val="en-US" w:eastAsia="zh-CN"/>
        </w:rPr>
        <w:t>）表</w:t>
      </w:r>
      <w:r>
        <w:rPr>
          <w:rFonts w:hint="default" w:ascii="Times New Roman" w:hAnsi="Times New Roman" w:cs="Times New Roman" w:eastAsiaTheme="minorEastAsia"/>
          <w:sz w:val="24"/>
          <w:highlight w:val="none"/>
          <w:lang w:val="en-US" w:eastAsia="zh-CN"/>
        </w:rPr>
        <w:t>2</w:t>
      </w:r>
      <w:r>
        <w:rPr>
          <w:rFonts w:hint="eastAsia" w:ascii="Times New Roman" w:hAnsi="Times New Roman" w:cs="Times New Roman" w:eastAsiaTheme="minorEastAsia"/>
          <w:sz w:val="24"/>
          <w:highlight w:val="none"/>
          <w:lang w:val="en-US" w:eastAsia="zh-CN"/>
        </w:rPr>
        <w:t>预处理标准和《城市污水再生利用工业用水水质》（</w:t>
      </w:r>
      <w:r>
        <w:rPr>
          <w:rFonts w:hint="eastAsia" w:ascii="Times New Roman" w:hAnsi="Times New Roman" w:cs="Times New Roman"/>
          <w:sz w:val="24"/>
          <w:highlight w:val="none"/>
          <w:lang w:val="en-US" w:eastAsia="zh-CN"/>
        </w:rPr>
        <w:t>GB/T 19923-2024</w:t>
      </w:r>
      <w:r>
        <w:rPr>
          <w:rFonts w:hint="eastAsia" w:ascii="Times New Roman" w:hAnsi="Times New Roman" w:cs="Times New Roman" w:eastAsiaTheme="minorEastAsia"/>
          <w:sz w:val="24"/>
          <w:highlight w:val="none"/>
          <w:lang w:val="en-US" w:eastAsia="zh-CN"/>
        </w:rPr>
        <w:t>）的标准，处理后的废水进入回用水池，回用于清洗消毒，不外排。</w:t>
      </w:r>
    </w:p>
    <w:p w14:paraId="21E84372">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本项目符合国家清洁生产水平要求，本项目排放的废气、废水、噪声和固废均采取有效治理措施，污染物排放满足相关排放标准要求。</w:t>
      </w:r>
    </w:p>
    <w:p w14:paraId="65284B48">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综上所述，本项目符合《喀什地区生态环境保护“十四五”规划》相关要求。</w:t>
      </w:r>
    </w:p>
    <w:p w14:paraId="7364BBC3">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1.3.3.3与《莎车工业园区国土空间专项规划</w:t>
      </w:r>
      <w:r>
        <w:rPr>
          <w:rFonts w:hint="eastAsia" w:ascii="Times New Roman" w:hAnsi="Times New Roman" w:cs="Times New Roman"/>
          <w:b/>
          <w:bCs/>
          <w:sz w:val="24"/>
          <w:lang w:val="en-US" w:eastAsia="zh-CN"/>
        </w:rPr>
        <w:t>（</w:t>
      </w:r>
      <w:r>
        <w:rPr>
          <w:rFonts w:hint="eastAsia" w:ascii="Times New Roman" w:hAnsi="Times New Roman" w:cs="Times New Roman" w:eastAsiaTheme="minorEastAsia"/>
          <w:b/>
          <w:bCs/>
          <w:sz w:val="24"/>
          <w:lang w:val="en-US" w:eastAsia="zh-CN"/>
        </w:rPr>
        <w:t>2023-2035年</w:t>
      </w:r>
      <w:r>
        <w:rPr>
          <w:rFonts w:hint="eastAsia" w:ascii="Times New Roman" w:hAnsi="Times New Roman" w:cs="Times New Roman"/>
          <w:b/>
          <w:bCs/>
          <w:sz w:val="24"/>
          <w:lang w:val="en-US" w:eastAsia="zh-CN"/>
        </w:rPr>
        <w:t>）（</w:t>
      </w:r>
      <w:r>
        <w:rPr>
          <w:rFonts w:hint="eastAsia" w:ascii="Times New Roman" w:hAnsi="Times New Roman" w:cs="Times New Roman" w:eastAsiaTheme="minorEastAsia"/>
          <w:b/>
          <w:bCs/>
          <w:sz w:val="24"/>
          <w:lang w:val="en-US" w:eastAsia="zh-CN"/>
        </w:rPr>
        <w:t>修订</w:t>
      </w:r>
      <w:r>
        <w:rPr>
          <w:rFonts w:hint="eastAsia" w:ascii="Times New Roman" w:hAnsi="Times New Roman" w:cs="Times New Roman"/>
          <w:b/>
          <w:bCs/>
          <w:sz w:val="24"/>
          <w:lang w:val="en-US" w:eastAsia="zh-CN"/>
        </w:rPr>
        <w:t>）</w:t>
      </w:r>
      <w:r>
        <w:rPr>
          <w:rFonts w:hint="eastAsia" w:ascii="Times New Roman" w:hAnsi="Times New Roman" w:cs="Times New Roman" w:eastAsiaTheme="minorEastAsia"/>
          <w:b/>
          <w:bCs/>
          <w:sz w:val="24"/>
          <w:lang w:val="en-US" w:eastAsia="zh-CN"/>
        </w:rPr>
        <w:t>环境影响报告书》符合性分析</w:t>
      </w:r>
    </w:p>
    <w:p w14:paraId="4821A3F4">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（一）</w:t>
      </w:r>
      <w:r>
        <w:rPr>
          <w:rFonts w:hint="default" w:ascii="Times New Roman" w:hAnsi="Times New Roman" w:cs="Times New Roman" w:eastAsiaTheme="minorEastAsia"/>
          <w:sz w:val="24"/>
          <w:highlight w:val="none"/>
          <w:lang w:val="en-US" w:eastAsia="zh-CN"/>
        </w:rPr>
        <w:t>阿斯兰巴格产业区</w:t>
      </w:r>
    </w:p>
    <w:p w14:paraId="529B17CD">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zh-CN" w:eastAsia="zh-CN"/>
        </w:rPr>
      </w:pPr>
      <w:r>
        <w:rPr>
          <w:rFonts w:hint="eastAsia" w:ascii="Times New Roman" w:hAnsi="Times New Roman" w:cs="Times New Roman" w:eastAsiaTheme="minorEastAsia"/>
          <w:sz w:val="24"/>
          <w:highlight w:val="none"/>
          <w:lang w:val="zh-CN" w:eastAsia="zh-CN"/>
        </w:rPr>
        <w:t>阿斯兰巴格产业区总体空间布局可以概括为“</w:t>
      </w:r>
      <w:r>
        <w:rPr>
          <w:rFonts w:hint="eastAsia" w:ascii="Times New Roman" w:hAnsi="Times New Roman" w:cs="Times New Roman" w:eastAsiaTheme="minorEastAsia"/>
          <w:sz w:val="24"/>
          <w:highlight w:val="none"/>
          <w:lang w:val="en-US" w:eastAsia="zh-CN"/>
        </w:rPr>
        <w:t>一</w:t>
      </w:r>
      <w:r>
        <w:rPr>
          <w:rFonts w:hint="eastAsia" w:ascii="Times New Roman" w:hAnsi="Times New Roman" w:cs="Times New Roman" w:eastAsiaTheme="minorEastAsia"/>
          <w:sz w:val="24"/>
          <w:highlight w:val="none"/>
          <w:lang w:val="zh-CN" w:eastAsia="zh-CN"/>
        </w:rPr>
        <w:t>核、</w:t>
      </w:r>
      <w:r>
        <w:rPr>
          <w:rFonts w:hint="eastAsia" w:ascii="Times New Roman" w:hAnsi="Times New Roman" w:cs="Times New Roman" w:eastAsiaTheme="minorEastAsia"/>
          <w:sz w:val="24"/>
          <w:highlight w:val="none"/>
          <w:lang w:val="en-US" w:eastAsia="zh-CN"/>
        </w:rPr>
        <w:t>三</w:t>
      </w:r>
      <w:r>
        <w:rPr>
          <w:rFonts w:hint="eastAsia" w:ascii="Times New Roman" w:hAnsi="Times New Roman" w:cs="Times New Roman" w:eastAsiaTheme="minorEastAsia"/>
          <w:sz w:val="24"/>
          <w:highlight w:val="none"/>
          <w:lang w:val="zh-CN" w:eastAsia="zh-CN"/>
        </w:rPr>
        <w:t>组团”的结构。</w:t>
      </w:r>
    </w:p>
    <w:p w14:paraId="628D7D93">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zh-CN" w:eastAsia="zh-CN"/>
        </w:rPr>
      </w:pPr>
      <w:r>
        <w:rPr>
          <w:rFonts w:hint="eastAsia" w:ascii="Times New Roman" w:hAnsi="Times New Roman" w:cs="Times New Roman" w:eastAsiaTheme="minorEastAsia"/>
          <w:sz w:val="24"/>
          <w:highlight w:val="none"/>
          <w:lang w:val="en-US" w:eastAsia="zh-CN"/>
        </w:rPr>
        <w:t>一</w:t>
      </w:r>
      <w:r>
        <w:rPr>
          <w:rFonts w:hint="eastAsia" w:ascii="Times New Roman" w:hAnsi="Times New Roman" w:cs="Times New Roman" w:eastAsiaTheme="minorEastAsia"/>
          <w:sz w:val="24"/>
          <w:highlight w:val="none"/>
          <w:lang w:val="zh-CN" w:eastAsia="zh-CN"/>
        </w:rPr>
        <w:t>核：是指在工业园区北部，以</w:t>
      </w:r>
      <w:r>
        <w:rPr>
          <w:rFonts w:hint="eastAsia" w:ascii="Times New Roman" w:hAnsi="Times New Roman" w:cs="Times New Roman" w:eastAsiaTheme="minorEastAsia"/>
          <w:sz w:val="24"/>
          <w:highlight w:val="none"/>
          <w:lang w:val="en-US" w:eastAsia="zh-CN"/>
        </w:rPr>
        <w:t>配套服务区</w:t>
      </w:r>
      <w:r>
        <w:rPr>
          <w:rFonts w:hint="eastAsia" w:ascii="Times New Roman" w:hAnsi="Times New Roman" w:cs="Times New Roman" w:eastAsiaTheme="minorEastAsia"/>
          <w:sz w:val="24"/>
          <w:highlight w:val="none"/>
          <w:lang w:val="zh-CN" w:eastAsia="zh-CN"/>
        </w:rPr>
        <w:t>为依托的</w:t>
      </w:r>
      <w:r>
        <w:rPr>
          <w:rFonts w:hint="eastAsia" w:ascii="Times New Roman" w:hAnsi="Times New Roman" w:cs="Times New Roman" w:eastAsiaTheme="minorEastAsia"/>
          <w:sz w:val="24"/>
          <w:highlight w:val="none"/>
          <w:lang w:val="en-US" w:eastAsia="zh-CN"/>
        </w:rPr>
        <w:t>公共</w:t>
      </w:r>
      <w:r>
        <w:rPr>
          <w:rFonts w:hint="eastAsia" w:ascii="Times New Roman" w:hAnsi="Times New Roman" w:cs="Times New Roman" w:eastAsiaTheme="minorEastAsia"/>
          <w:sz w:val="24"/>
          <w:highlight w:val="none"/>
          <w:lang w:val="zh-CN" w:eastAsia="zh-CN"/>
        </w:rPr>
        <w:t>核心，引领沿工业园区主要干道形成的十字发展轴线。</w:t>
      </w:r>
    </w:p>
    <w:p w14:paraId="73E4B172">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三</w:t>
      </w:r>
      <w:r>
        <w:rPr>
          <w:rFonts w:hint="eastAsia" w:ascii="Times New Roman" w:hAnsi="Times New Roman" w:cs="Times New Roman" w:eastAsiaTheme="minorEastAsia"/>
          <w:sz w:val="24"/>
          <w:highlight w:val="none"/>
          <w:lang w:val="zh-CN" w:eastAsia="zh-CN"/>
        </w:rPr>
        <w:t>组团：</w:t>
      </w:r>
      <w:r>
        <w:rPr>
          <w:rFonts w:hint="eastAsia" w:ascii="Times New Roman" w:hAnsi="Times New Roman" w:cs="Times New Roman"/>
          <w:sz w:val="24"/>
          <w:highlight w:val="none"/>
          <w:lang w:val="zh-CN" w:eastAsia="zh-CN"/>
        </w:rPr>
        <w:t>即</w:t>
      </w:r>
      <w:r>
        <w:rPr>
          <w:rFonts w:hint="eastAsia" w:ascii="Times New Roman" w:hAnsi="Times New Roman" w:cs="Times New Roman" w:eastAsiaTheme="minorEastAsia"/>
          <w:sz w:val="24"/>
          <w:highlight w:val="none"/>
          <w:lang w:val="en-US" w:eastAsia="zh-CN"/>
        </w:rPr>
        <w:t>阿斯兰巴格产业区的三个功能组团：有色金属冶炼及延伸产业区、制造业及新材料产业区和园区配套服务区。</w:t>
      </w:r>
    </w:p>
    <w:p w14:paraId="32A89141">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项目位于阿斯兰巴格工业园区，根据《莎车工业园区国土空间专项规划（2023-2035年）（修订）环境影响报告书》，已将</w:t>
      </w:r>
      <w:r>
        <w:rPr>
          <w:rFonts w:hint="default" w:ascii="Times New Roman" w:hAnsi="Times New Roman" w:cs="Times New Roman" w:eastAsiaTheme="minorEastAsia"/>
          <w:sz w:val="24"/>
          <w:highlight w:val="none"/>
          <w:lang w:val="en-US" w:eastAsia="zh-CN"/>
        </w:rPr>
        <w:t>莎车县海纳环保科技开发有限公司</w:t>
      </w:r>
      <w:r>
        <w:rPr>
          <w:rFonts w:hint="eastAsia" w:ascii="Times New Roman" w:hAnsi="Times New Roman" w:cs="Times New Roman" w:eastAsiaTheme="minorEastAsia"/>
          <w:sz w:val="24"/>
          <w:highlight w:val="none"/>
          <w:lang w:val="en-US" w:eastAsia="zh-CN"/>
        </w:rPr>
        <w:t>纳入规划环境影响报告书中，且园区企业均按照产业布局分布，不符合准入和产业布局的企业均为僵尸企业或长期停产，园区没有需要调整搬迁的企业。因此本项目与《莎车工业园区国土空间专项规划（2023-2035年）（修订）环境影响报告书》是相符的，项目与园区产业结构规划图位置关系见附图1.3-3。</w:t>
      </w:r>
    </w:p>
    <w:p w14:paraId="4EBE35CA">
      <w:pPr>
        <w:adjustRightInd w:val="0"/>
        <w:snapToGrid w:val="0"/>
        <w:spacing w:line="500" w:lineRule="exact"/>
        <w:jc w:val="left"/>
        <w:rPr>
          <w:rFonts w:hint="eastAsia" w:ascii="Times New Roman" w:hAnsi="Times New Roman" w:cs="Times New Roman" w:eastAsiaTheme="minorEastAsia"/>
          <w:b/>
          <w:bCs/>
          <w:sz w:val="24"/>
          <w:highlight w:val="none"/>
          <w:lang w:val="en-US" w:eastAsia="zh-CN"/>
        </w:rPr>
      </w:pPr>
      <w:r>
        <w:rPr>
          <w:rFonts w:hint="eastAsia" w:ascii="Times New Roman" w:hAnsi="Times New Roman" w:cs="Times New Roman" w:eastAsiaTheme="minorEastAsia"/>
          <w:b/>
          <w:bCs/>
          <w:sz w:val="24"/>
          <w:highlight w:val="none"/>
          <w:lang w:val="en-US" w:eastAsia="zh-CN"/>
        </w:rPr>
        <w:t>1.3.3.4与《莎车工业园区国土空间专项规划（2023-2035年）》符合性分析</w:t>
      </w:r>
    </w:p>
    <w:p w14:paraId="1794AF19">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第13条产业发展方向</w:t>
      </w:r>
    </w:p>
    <w:p w14:paraId="04FE90ED">
      <w:pPr>
        <w:adjustRightInd w:val="0"/>
        <w:snapToGrid w:val="0"/>
        <w:spacing w:line="500" w:lineRule="exact"/>
        <w:ind w:firstLine="480" w:firstLineChars="200"/>
        <w:jc w:val="left"/>
        <w:rPr>
          <w:rFonts w:hint="default" w:ascii="Times New Roman" w:hAnsi="Times New Roman" w:cs="Times New Roman" w:eastAsiaTheme="minorEastAsia"/>
          <w:b w:val="0"/>
          <w:bCs w:val="0"/>
          <w:sz w:val="24"/>
          <w:lang w:val="en-US" w:eastAsia="zh-CN"/>
        </w:rPr>
      </w:pPr>
      <w:r>
        <w:rPr>
          <w:rFonts w:hint="default" w:ascii="Times New Roman" w:hAnsi="Times New Roman" w:cs="Times New Roman" w:eastAsiaTheme="minorEastAsia"/>
          <w:b w:val="0"/>
          <w:bCs w:val="0"/>
          <w:sz w:val="24"/>
          <w:lang w:val="en-US" w:eastAsia="zh-CN"/>
        </w:rPr>
        <w:t>培育壮大莎车县工业园区</w:t>
      </w:r>
      <w:r>
        <w:rPr>
          <w:rFonts w:hint="eastAsia" w:ascii="Times New Roman" w:hAnsi="Times New Roman" w:cs="Times New Roman"/>
          <w:b w:val="0"/>
          <w:bCs w:val="0"/>
          <w:sz w:val="24"/>
          <w:lang w:val="en-US" w:eastAsia="zh-CN"/>
        </w:rPr>
        <w:t>（</w:t>
      </w:r>
      <w:r>
        <w:rPr>
          <w:rFonts w:hint="default" w:ascii="Times New Roman" w:hAnsi="Times New Roman" w:cs="Times New Roman" w:eastAsiaTheme="minorEastAsia"/>
          <w:b w:val="0"/>
          <w:bCs w:val="0"/>
          <w:sz w:val="24"/>
          <w:lang w:val="en-US" w:eastAsia="zh-CN"/>
        </w:rPr>
        <w:t>一园三区</w:t>
      </w:r>
      <w:r>
        <w:rPr>
          <w:rFonts w:hint="eastAsia" w:ascii="Times New Roman" w:hAnsi="Times New Roman" w:cs="Times New Roman"/>
          <w:b w:val="0"/>
          <w:bCs w:val="0"/>
          <w:sz w:val="24"/>
          <w:lang w:val="en-US" w:eastAsia="zh-CN"/>
        </w:rPr>
        <w:t>）</w:t>
      </w:r>
      <w:r>
        <w:rPr>
          <w:rFonts w:hint="default" w:ascii="Times New Roman" w:hAnsi="Times New Roman" w:cs="Times New Roman" w:eastAsiaTheme="minorEastAsia"/>
          <w:b w:val="0"/>
          <w:bCs w:val="0"/>
          <w:sz w:val="24"/>
          <w:lang w:val="en-US" w:eastAsia="zh-CN"/>
        </w:rPr>
        <w:t>特色优势产业，加快发展以“三大产业集群”为支撑的现代产业体系</w:t>
      </w:r>
    </w:p>
    <w:p w14:paraId="283BBC9E">
      <w:pPr>
        <w:adjustRightInd w:val="0"/>
        <w:snapToGrid w:val="0"/>
        <w:spacing w:line="500" w:lineRule="exact"/>
        <w:ind w:firstLine="480" w:firstLineChars="200"/>
        <w:jc w:val="left"/>
        <w:rPr>
          <w:rFonts w:hint="default" w:ascii="Times New Roman" w:hAnsi="Times New Roman" w:cs="Times New Roman" w:eastAsiaTheme="minorEastAsia"/>
          <w:b w:val="0"/>
          <w:bCs w:val="0"/>
          <w:sz w:val="24"/>
          <w:lang w:val="en-US" w:eastAsia="zh-CN"/>
        </w:rPr>
      </w:pPr>
      <w:r>
        <w:rPr>
          <w:rFonts w:hint="default" w:ascii="Times New Roman" w:hAnsi="Times New Roman" w:cs="Times New Roman" w:eastAsiaTheme="minorEastAsia"/>
          <w:b w:val="0"/>
          <w:bCs w:val="0"/>
          <w:sz w:val="24"/>
          <w:lang w:val="en-US" w:eastAsia="zh-CN"/>
        </w:rPr>
        <w:t>阿斯兰巴格产业区以发展有色金属冶炼及延伸产业为主导产业，重点发展矿产冶炼、铅锌冶炼、培育发展制造业及新材料产业多元化发展。</w:t>
      </w:r>
    </w:p>
    <w:p w14:paraId="093D511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b w:val="0"/>
          <w:bCs w:val="0"/>
          <w:sz w:val="24"/>
          <w:lang w:val="en-US" w:eastAsia="zh-CN"/>
        </w:rPr>
        <w:t>卡</w:t>
      </w:r>
      <w:r>
        <w:rPr>
          <w:rFonts w:hint="default" w:ascii="Times New Roman" w:hAnsi="Times New Roman" w:cs="Times New Roman" w:eastAsiaTheme="minorEastAsia"/>
          <w:sz w:val="24"/>
          <w:lang w:val="en-US" w:eastAsia="zh-CN"/>
        </w:rPr>
        <w:t>拉库木产业区以农副食品加工业为主导产业，兼具发展食品制造业、现代商贸物流等辅助产业。</w:t>
      </w:r>
    </w:p>
    <w:p w14:paraId="7654A120">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lang w:val="en-US" w:eastAsia="zh-CN"/>
        </w:rPr>
        <w:t>火车西</w:t>
      </w:r>
      <w:r>
        <w:rPr>
          <w:rFonts w:hint="default" w:ascii="Times New Roman" w:hAnsi="Times New Roman" w:cs="Times New Roman" w:eastAsiaTheme="minorEastAsia"/>
          <w:sz w:val="24"/>
          <w:highlight w:val="none"/>
          <w:lang w:val="en-US" w:eastAsia="zh-CN"/>
        </w:rPr>
        <w:t>站产业区以纺织服装、服饰业为主导，同时积极发展制造业及新能源新材料产业以及现代物流等辅助产业，形成多元化发展格局。</w:t>
      </w:r>
    </w:p>
    <w:p w14:paraId="7D846578">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第44条 环保环卫规划</w:t>
      </w:r>
    </w:p>
    <w:p w14:paraId="5144E58E">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三、环境保护措施</w:t>
      </w:r>
    </w:p>
    <w:p w14:paraId="62FAE61E">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推行垃圾分类收集和处理，实现垃圾处理和综合利用资源化、减量化和无害化的“3C”基本原则，建设医疗废物处理中心，做到医疗废物全部无害化处理。</w:t>
      </w:r>
    </w:p>
    <w:p w14:paraId="42A7DC6A">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位于阿斯兰巴格工业园区，属于医疗废物处置类项目，项目建成后用于处置莎车及周边县市产生的医疗废物，大幅度提升了医疗废物集中处置设施的处置能力，符合《莎车工业园区国土空间专项规划（2023-2035年）》规划要求。</w:t>
      </w:r>
    </w:p>
    <w:p w14:paraId="7D0B4A20">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0" w:name="_Toc8160"/>
      <w:r>
        <w:rPr>
          <w:rFonts w:hint="eastAsia" w:ascii="Times New Roman" w:hAnsi="Times New Roman" w:cs="Times New Roman" w:eastAsiaTheme="minorEastAsia"/>
          <w:kern w:val="0"/>
          <w:sz w:val="24"/>
          <w:szCs w:val="24"/>
          <w:lang w:val="en-US" w:eastAsia="zh-CN"/>
        </w:rPr>
        <w:t>1.3.4生态环境分区管控符合性分析</w:t>
      </w:r>
      <w:bookmarkEnd w:id="10"/>
    </w:p>
    <w:p w14:paraId="3B500C83">
      <w:pPr>
        <w:adjustRightInd w:val="0"/>
        <w:snapToGrid w:val="0"/>
        <w:spacing w:line="500" w:lineRule="exact"/>
        <w:jc w:val="left"/>
        <w:rPr>
          <w:rFonts w:hint="default"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1.3.4.1与</w:t>
      </w:r>
      <w:r>
        <w:rPr>
          <w:rFonts w:hint="default" w:ascii="Times New Roman" w:hAnsi="Times New Roman" w:cs="Times New Roman" w:eastAsiaTheme="minorEastAsia"/>
          <w:b/>
          <w:bCs/>
          <w:sz w:val="24"/>
          <w:lang w:val="en-US" w:eastAsia="zh-CN"/>
        </w:rPr>
        <w:t>《关于印发〈新疆维吾尔自治区生态环境分区管控动态更新成果〉的通知》（新政发〔2024〕157号）的符合性分析</w:t>
      </w:r>
    </w:p>
    <w:p w14:paraId="7EB48E7A">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表1.3-</w:t>
      </w:r>
      <w:r>
        <w:rPr>
          <w:rFonts w:hint="eastAsia" w:ascii="Times New Roman" w:hAnsi="Times New Roman" w:cs="Times New Roman" w:eastAsiaTheme="minorEastAsia"/>
          <w:b/>
          <w:szCs w:val="21"/>
          <w:lang w:val="en-US" w:eastAsia="zh-CN"/>
        </w:rPr>
        <w:t>5</w:t>
      </w:r>
      <w:r>
        <w:rPr>
          <w:rFonts w:hint="default" w:ascii="Times New Roman" w:hAnsi="Times New Roman" w:cs="Times New Roman" w:eastAsiaTheme="minorEastAsia"/>
          <w:b/>
          <w:szCs w:val="21"/>
          <w:lang w:val="en-US" w:eastAsia="zh-CN"/>
        </w:rPr>
        <w:t xml:space="preserve">  与《关于印发〈新疆维吾尔自治区生态环境分区管控动态更新成果〉的通知》（新政发〔2024〕157号）的符合性表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684"/>
        <w:gridCol w:w="3800"/>
        <w:gridCol w:w="2657"/>
        <w:gridCol w:w="739"/>
      </w:tblGrid>
      <w:tr w14:paraId="0AF52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6" w:type="dxa"/>
            <w:gridSpan w:val="2"/>
            <w:vAlign w:val="center"/>
          </w:tcPr>
          <w:p w14:paraId="71D4762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管控维度</w:t>
            </w:r>
          </w:p>
        </w:tc>
        <w:tc>
          <w:tcPr>
            <w:tcW w:w="3800" w:type="dxa"/>
            <w:vAlign w:val="center"/>
          </w:tcPr>
          <w:p w14:paraId="663671E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管控要求</w:t>
            </w:r>
          </w:p>
        </w:tc>
        <w:tc>
          <w:tcPr>
            <w:tcW w:w="2657" w:type="dxa"/>
            <w:vAlign w:val="center"/>
          </w:tcPr>
          <w:p w14:paraId="2CFCF40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项目情况</w:t>
            </w:r>
          </w:p>
        </w:tc>
        <w:tc>
          <w:tcPr>
            <w:tcW w:w="739" w:type="dxa"/>
            <w:vAlign w:val="center"/>
          </w:tcPr>
          <w:p w14:paraId="247C27D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符合性</w:t>
            </w:r>
          </w:p>
        </w:tc>
      </w:tr>
      <w:tr w14:paraId="2F907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Merge w:val="restart"/>
            <w:vAlign w:val="center"/>
          </w:tcPr>
          <w:p w14:paraId="7903FF9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A1空间布局约束</w:t>
            </w:r>
          </w:p>
        </w:tc>
        <w:tc>
          <w:tcPr>
            <w:tcW w:w="684" w:type="dxa"/>
            <w:vMerge w:val="restart"/>
            <w:vAlign w:val="center"/>
          </w:tcPr>
          <w:p w14:paraId="03CF7A4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A1.1禁止开发建设的活动</w:t>
            </w:r>
          </w:p>
        </w:tc>
        <w:tc>
          <w:tcPr>
            <w:tcW w:w="3800" w:type="dxa"/>
            <w:vAlign w:val="center"/>
          </w:tcPr>
          <w:p w14:paraId="7949813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〔A1.1-1〕禁止新建、扩建《产业结构调整指导目录（2024年本）》中淘汰类项目。禁止引入《市场准入负面清单（2022年版）》禁止准入类事项。</w:t>
            </w:r>
          </w:p>
        </w:tc>
        <w:tc>
          <w:tcPr>
            <w:tcW w:w="2657" w:type="dxa"/>
            <w:vAlign w:val="center"/>
          </w:tcPr>
          <w:p w14:paraId="2915F73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en-US"/>
              </w:rPr>
              <w:t>本项目属于《产业结构调整指导目录（2024年本）》鼓励类项目，不属于《市场准入负面清单（2025年版）》禁止准入事项。</w:t>
            </w:r>
          </w:p>
        </w:tc>
        <w:tc>
          <w:tcPr>
            <w:tcW w:w="739" w:type="dxa"/>
            <w:vAlign w:val="center"/>
          </w:tcPr>
          <w:p w14:paraId="5DFCEC5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en-US"/>
              </w:rPr>
              <w:t>符合</w:t>
            </w:r>
          </w:p>
        </w:tc>
      </w:tr>
      <w:tr w14:paraId="759D2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Merge w:val="continue"/>
            <w:vAlign w:val="center"/>
          </w:tcPr>
          <w:p w14:paraId="646B7A3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84" w:type="dxa"/>
            <w:vMerge w:val="continue"/>
            <w:vAlign w:val="center"/>
          </w:tcPr>
          <w:p w14:paraId="4BE6F7D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800" w:type="dxa"/>
            <w:vAlign w:val="center"/>
          </w:tcPr>
          <w:p w14:paraId="175A589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〔A1.1-2〕禁止建设不符合国家和自治区环境保护标准的项目。</w:t>
            </w:r>
          </w:p>
        </w:tc>
        <w:tc>
          <w:tcPr>
            <w:tcW w:w="2657" w:type="dxa"/>
            <w:vAlign w:val="center"/>
          </w:tcPr>
          <w:p w14:paraId="72B0E09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本项目符合国家和自治区环境保护标准。</w:t>
            </w:r>
          </w:p>
        </w:tc>
        <w:tc>
          <w:tcPr>
            <w:tcW w:w="739" w:type="dxa"/>
            <w:vAlign w:val="center"/>
          </w:tcPr>
          <w:p w14:paraId="68AC8F8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符合</w:t>
            </w:r>
          </w:p>
        </w:tc>
      </w:tr>
      <w:tr w14:paraId="09654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Merge w:val="continue"/>
            <w:vAlign w:val="center"/>
          </w:tcPr>
          <w:p w14:paraId="492EE77C">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84" w:type="dxa"/>
            <w:vAlign w:val="center"/>
          </w:tcPr>
          <w:p w14:paraId="1EC477B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A1.2限制开发建设的活动</w:t>
            </w:r>
          </w:p>
        </w:tc>
        <w:tc>
          <w:tcPr>
            <w:tcW w:w="3800" w:type="dxa"/>
            <w:vAlign w:val="center"/>
          </w:tcPr>
          <w:p w14:paraId="5FBF89C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A1.2-2〕建设项目用地原则上不得占用永久基本农田，确需占用永久基本农田的建设项目须符合《中华人民共和国基本农田保护条例》中相关要求，占用耕地、林地或草地的建设项目须按照国家、自治区相关补偿要求进行补偿。</w:t>
            </w:r>
          </w:p>
        </w:tc>
        <w:tc>
          <w:tcPr>
            <w:tcW w:w="2657" w:type="dxa"/>
            <w:vAlign w:val="center"/>
          </w:tcPr>
          <w:p w14:paraId="6795662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本项目用地不涉及占用永久基本农田、耕地、林地或草地。</w:t>
            </w:r>
          </w:p>
        </w:tc>
        <w:tc>
          <w:tcPr>
            <w:tcW w:w="739" w:type="dxa"/>
            <w:vAlign w:val="center"/>
          </w:tcPr>
          <w:p w14:paraId="33464BE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符合</w:t>
            </w:r>
          </w:p>
        </w:tc>
      </w:tr>
      <w:tr w14:paraId="5AE48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Merge w:val="restart"/>
            <w:vAlign w:val="center"/>
          </w:tcPr>
          <w:p w14:paraId="01BD5F9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A2污染物排放管控</w:t>
            </w:r>
          </w:p>
        </w:tc>
        <w:tc>
          <w:tcPr>
            <w:tcW w:w="684" w:type="dxa"/>
            <w:vAlign w:val="center"/>
          </w:tcPr>
          <w:p w14:paraId="288D90F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A2.1污染物削减/替代要求</w:t>
            </w:r>
          </w:p>
        </w:tc>
        <w:tc>
          <w:tcPr>
            <w:tcW w:w="3800" w:type="dxa"/>
            <w:vAlign w:val="center"/>
          </w:tcPr>
          <w:p w14:paraId="307089F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A2.1-1〕新、改、扩建重点行业建设项目应符合“三线一单”、产业政策、区域环评、规划环评和行业环境准入管控要求。重点区域的新、改、扩建重点行业建设项目应遵循重点重金属污染物排放“减量替代”原则。</w:t>
            </w:r>
          </w:p>
        </w:tc>
        <w:tc>
          <w:tcPr>
            <w:tcW w:w="2657" w:type="dxa"/>
            <w:vAlign w:val="center"/>
          </w:tcPr>
          <w:p w14:paraId="74EE989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本项目符合《关于印发</w:t>
            </w:r>
            <w:r>
              <w:rPr>
                <w:rFonts w:hint="eastAsia" w:ascii="Times New Roman" w:hAnsi="Times New Roman" w:cs="Times New Roman" w:eastAsiaTheme="minorEastAsia"/>
                <w:szCs w:val="21"/>
                <w:lang w:val="en-US" w:eastAsia="zh-CN"/>
              </w:rPr>
              <w:t>〈喀什地区</w:t>
            </w:r>
            <w:r>
              <w:rPr>
                <w:rFonts w:hint="default" w:ascii="Times New Roman" w:hAnsi="Times New Roman" w:cs="Times New Roman" w:eastAsiaTheme="minorEastAsia"/>
                <w:szCs w:val="21"/>
                <w:lang w:val="en-US" w:eastAsia="zh-CN"/>
              </w:rPr>
              <w:t>“三线一单”生态环境分区管控</w:t>
            </w:r>
            <w:r>
              <w:rPr>
                <w:rFonts w:hint="eastAsia" w:ascii="Times New Roman" w:hAnsi="Times New Roman" w:cs="Times New Roman" w:eastAsiaTheme="minorEastAsia"/>
                <w:szCs w:val="21"/>
                <w:lang w:val="en-US" w:eastAsia="zh-CN"/>
              </w:rPr>
              <w:t>方案</w:t>
            </w:r>
            <w:r>
              <w:rPr>
                <w:rFonts w:hint="default" w:ascii="Times New Roman" w:hAnsi="Times New Roman" w:cs="Times New Roman" w:eastAsiaTheme="minorEastAsia"/>
                <w:szCs w:val="21"/>
                <w:lang w:val="en-US" w:eastAsia="zh-CN"/>
              </w:rPr>
              <w:t>（2023年</w:t>
            </w:r>
            <w:r>
              <w:rPr>
                <w:rFonts w:hint="eastAsia" w:ascii="Times New Roman" w:hAnsi="Times New Roman" w:cs="Times New Roman" w:eastAsiaTheme="minorEastAsia"/>
                <w:szCs w:val="21"/>
                <w:lang w:val="en-US" w:eastAsia="zh-CN"/>
              </w:rPr>
              <w:t>版</w:t>
            </w:r>
            <w:r>
              <w:rPr>
                <w:rFonts w:hint="default" w:ascii="Times New Roman" w:hAnsi="Times New Roman" w:cs="Times New Roman" w:eastAsiaTheme="minorEastAsia"/>
                <w:szCs w:val="21"/>
                <w:lang w:val="en-US" w:eastAsia="zh-CN"/>
              </w:rPr>
              <w:t>）</w:t>
            </w:r>
            <w:r>
              <w:rPr>
                <w:rFonts w:hint="eastAsia" w:ascii="Times New Roman" w:hAnsi="Times New Roman" w:cs="Times New Roman" w:eastAsiaTheme="minorEastAsia"/>
                <w:szCs w:val="21"/>
                <w:lang w:val="en-US" w:eastAsia="zh-CN"/>
              </w:rPr>
              <w:t>修改单〉的通知》</w:t>
            </w:r>
            <w:r>
              <w:rPr>
                <w:rFonts w:hint="default" w:ascii="Times New Roman" w:hAnsi="Times New Roman" w:cs="Times New Roman" w:eastAsiaTheme="minorEastAsia"/>
                <w:szCs w:val="21"/>
                <w:lang w:val="en-US" w:eastAsia="zh-CN"/>
              </w:rPr>
              <w:t>中的环境管控要求。</w:t>
            </w:r>
          </w:p>
        </w:tc>
        <w:tc>
          <w:tcPr>
            <w:tcW w:w="739" w:type="dxa"/>
            <w:vAlign w:val="center"/>
          </w:tcPr>
          <w:p w14:paraId="3939204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符合</w:t>
            </w:r>
          </w:p>
        </w:tc>
      </w:tr>
      <w:tr w14:paraId="42A24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Merge w:val="continue"/>
            <w:vAlign w:val="center"/>
          </w:tcPr>
          <w:p w14:paraId="5465B51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84" w:type="dxa"/>
            <w:vAlign w:val="center"/>
          </w:tcPr>
          <w:p w14:paraId="76C7B1F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A2.2污染控制措施要求</w:t>
            </w:r>
          </w:p>
        </w:tc>
        <w:tc>
          <w:tcPr>
            <w:tcW w:w="3800" w:type="dxa"/>
            <w:vAlign w:val="center"/>
          </w:tcPr>
          <w:p w14:paraId="373EAE0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A2.2-5〕持续推进伊犁河、额尔齐斯河、额敏河、玛纳斯河、乌伦古湖、博斯腾湖等流域生态治理，加强生态修复。推动重点行业、重点企业绿色发展，严格落实水污染物排放标准。加强农副食品加工、化工、印染、棉浆粕、粘胶纤维等企业综合治理和清洁化改造。</w:t>
            </w:r>
          </w:p>
        </w:tc>
        <w:tc>
          <w:tcPr>
            <w:tcW w:w="2657" w:type="dxa"/>
            <w:vAlign w:val="center"/>
          </w:tcPr>
          <w:p w14:paraId="2A616B0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本项目产生的生产废水</w:t>
            </w:r>
            <w:r>
              <w:rPr>
                <w:rFonts w:hint="eastAsia" w:ascii="Times New Roman" w:hAnsi="Times New Roman" w:cs="Times New Roman" w:eastAsiaTheme="minorEastAsia"/>
                <w:szCs w:val="21"/>
                <w:lang w:val="en-US" w:eastAsia="zh-CN"/>
              </w:rPr>
              <w:t>经厂区内现有污水处理</w:t>
            </w:r>
            <w:r>
              <w:rPr>
                <w:rFonts w:hint="eastAsia" w:ascii="Times New Roman" w:hAnsi="Times New Roman" w:cs="Times New Roman"/>
                <w:szCs w:val="21"/>
                <w:lang w:val="en-US" w:eastAsia="zh-CN"/>
              </w:rPr>
              <w:t>站</w:t>
            </w:r>
            <w:r>
              <w:rPr>
                <w:rFonts w:hint="eastAsia" w:ascii="Times New Roman" w:hAnsi="Times New Roman" w:cs="Times New Roman" w:eastAsiaTheme="minorEastAsia"/>
                <w:szCs w:val="21"/>
                <w:lang w:val="en-US" w:eastAsia="zh-CN"/>
              </w:rPr>
              <w:t>处置完成后</w:t>
            </w:r>
            <w:r>
              <w:rPr>
                <w:rFonts w:hint="default" w:ascii="Times New Roman" w:hAnsi="Times New Roman" w:cs="Times New Roman" w:eastAsiaTheme="minorEastAsia"/>
                <w:szCs w:val="21"/>
                <w:lang w:val="en-US" w:eastAsia="zh-CN"/>
              </w:rPr>
              <w:t>全部回用</w:t>
            </w:r>
            <w:r>
              <w:rPr>
                <w:rFonts w:hint="eastAsia" w:ascii="Times New Roman" w:hAnsi="Times New Roman" w:cs="Times New Roman" w:eastAsiaTheme="minorEastAsia"/>
                <w:szCs w:val="21"/>
                <w:lang w:val="en-US" w:eastAsia="zh-CN"/>
              </w:rPr>
              <w:t>。</w:t>
            </w:r>
          </w:p>
        </w:tc>
        <w:tc>
          <w:tcPr>
            <w:tcW w:w="739" w:type="dxa"/>
            <w:vAlign w:val="center"/>
          </w:tcPr>
          <w:p w14:paraId="08AD4B2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符合</w:t>
            </w:r>
          </w:p>
        </w:tc>
      </w:tr>
      <w:tr w14:paraId="23AFE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Merge w:val="restart"/>
            <w:vAlign w:val="center"/>
          </w:tcPr>
          <w:p w14:paraId="500B236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A3环境风险防控</w:t>
            </w:r>
          </w:p>
        </w:tc>
        <w:tc>
          <w:tcPr>
            <w:tcW w:w="684" w:type="dxa"/>
            <w:vMerge w:val="restart"/>
            <w:vAlign w:val="center"/>
          </w:tcPr>
          <w:p w14:paraId="1A6BCD6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A3.1人居环境要求</w:t>
            </w:r>
          </w:p>
        </w:tc>
        <w:tc>
          <w:tcPr>
            <w:tcW w:w="3800" w:type="dxa"/>
            <w:vAlign w:val="center"/>
          </w:tcPr>
          <w:p w14:paraId="48272EB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〔A3.1-3〕强化重污染天气监测预报预警能力，建立和完善重污染天气兵地联合应急预案、预警应急机制和会商联动机制，加强轻、中度污染天气管控。</w:t>
            </w:r>
          </w:p>
        </w:tc>
        <w:tc>
          <w:tcPr>
            <w:tcW w:w="2657" w:type="dxa"/>
            <w:vAlign w:val="center"/>
          </w:tcPr>
          <w:p w14:paraId="6737F07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本项目积极响应重污染天气应急预案。</w:t>
            </w:r>
          </w:p>
        </w:tc>
        <w:tc>
          <w:tcPr>
            <w:tcW w:w="739" w:type="dxa"/>
            <w:vAlign w:val="center"/>
          </w:tcPr>
          <w:p w14:paraId="6FD2AF2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符合</w:t>
            </w:r>
          </w:p>
        </w:tc>
      </w:tr>
      <w:tr w14:paraId="5B225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Merge w:val="continue"/>
            <w:vAlign w:val="center"/>
          </w:tcPr>
          <w:p w14:paraId="2B55FBE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84" w:type="dxa"/>
            <w:vMerge w:val="continue"/>
            <w:vAlign w:val="center"/>
          </w:tcPr>
          <w:p w14:paraId="4AB5F8C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800" w:type="dxa"/>
            <w:vAlign w:val="center"/>
          </w:tcPr>
          <w:p w14:paraId="2F8595E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A3.2-5〕强化生态环境应急管理。实施企业突发生态环境应急预案电子化备案，完成县级以上政府突发环境事件应急预案修编。完善区域和企业应急处置物资储备系统，结合新疆各地特征污染物的特性，加强应急物资储备及应急物资信息化建设，掌握社会应急物资储备动态信息，妥善应对各类突发生态环境事件。加强应急监测装备配置，定期开展应急演练，增强实战能力。</w:t>
            </w:r>
          </w:p>
        </w:tc>
        <w:tc>
          <w:tcPr>
            <w:tcW w:w="2657" w:type="dxa"/>
            <w:vAlign w:val="center"/>
          </w:tcPr>
          <w:p w14:paraId="283C068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本项目取得环评批复后，企业应按照环评及批复要求</w:t>
            </w:r>
            <w:r>
              <w:rPr>
                <w:rFonts w:hint="eastAsia" w:ascii="Times New Roman" w:hAnsi="Times New Roman" w:cs="Times New Roman" w:eastAsiaTheme="minorEastAsia"/>
                <w:szCs w:val="21"/>
                <w:lang w:val="en-US" w:eastAsia="zh-CN"/>
              </w:rPr>
              <w:t>修编</w:t>
            </w:r>
            <w:r>
              <w:rPr>
                <w:rFonts w:hint="default" w:ascii="Times New Roman" w:hAnsi="Times New Roman" w:cs="Times New Roman" w:eastAsiaTheme="minorEastAsia"/>
                <w:szCs w:val="21"/>
                <w:lang w:val="en-US" w:eastAsia="zh-CN"/>
              </w:rPr>
              <w:t>突发环境事件应急预案。</w:t>
            </w:r>
          </w:p>
        </w:tc>
        <w:tc>
          <w:tcPr>
            <w:tcW w:w="739" w:type="dxa"/>
            <w:vAlign w:val="center"/>
          </w:tcPr>
          <w:p w14:paraId="173D4AE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符合</w:t>
            </w:r>
          </w:p>
        </w:tc>
      </w:tr>
      <w:tr w14:paraId="49D5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74CDAA6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A4资源利用要求</w:t>
            </w:r>
          </w:p>
        </w:tc>
        <w:tc>
          <w:tcPr>
            <w:tcW w:w="684" w:type="dxa"/>
            <w:vAlign w:val="center"/>
          </w:tcPr>
          <w:p w14:paraId="3A2B1CC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A4.4禁燃区要求</w:t>
            </w:r>
          </w:p>
        </w:tc>
        <w:tc>
          <w:tcPr>
            <w:tcW w:w="3800" w:type="dxa"/>
            <w:vAlign w:val="center"/>
          </w:tcPr>
          <w:p w14:paraId="16593B8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〔A4.4-1〕在禁燃区内，禁止销售、燃用高污染燃料；禁止新建、扩建燃用高污染燃料的设施。已建成的，应当在规定期限内改用清洁能源。</w:t>
            </w:r>
          </w:p>
        </w:tc>
        <w:tc>
          <w:tcPr>
            <w:tcW w:w="2657" w:type="dxa"/>
            <w:vAlign w:val="center"/>
          </w:tcPr>
          <w:p w14:paraId="2707040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本项目不在禁燃区范围内。</w:t>
            </w:r>
          </w:p>
        </w:tc>
        <w:tc>
          <w:tcPr>
            <w:tcW w:w="739" w:type="dxa"/>
            <w:vAlign w:val="center"/>
          </w:tcPr>
          <w:p w14:paraId="32D9841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符合</w:t>
            </w:r>
          </w:p>
        </w:tc>
      </w:tr>
    </w:tbl>
    <w:p w14:paraId="623CC341">
      <w:pPr>
        <w:adjustRightInd w:val="0"/>
        <w:snapToGrid w:val="0"/>
        <w:spacing w:line="500" w:lineRule="exact"/>
        <w:jc w:val="left"/>
        <w:rPr>
          <w:rFonts w:hint="default" w:ascii="Times New Roman" w:hAnsi="Times New Roman" w:cs="Times New Roman" w:eastAsiaTheme="minorEastAsia"/>
          <w:b/>
          <w:bCs/>
          <w:sz w:val="24"/>
          <w:highlight w:val="none"/>
          <w:lang w:val="en-US" w:eastAsia="zh-CN"/>
        </w:rPr>
      </w:pPr>
      <w:r>
        <w:rPr>
          <w:rFonts w:hint="eastAsia" w:ascii="Times New Roman" w:hAnsi="Times New Roman" w:cs="Times New Roman" w:eastAsiaTheme="minorEastAsia"/>
          <w:b/>
          <w:bCs/>
          <w:sz w:val="24"/>
          <w:highlight w:val="none"/>
          <w:lang w:val="en-US" w:eastAsia="zh-CN"/>
        </w:rPr>
        <w:t>1.3.4.2</w:t>
      </w:r>
      <w:r>
        <w:rPr>
          <w:rFonts w:hint="default" w:ascii="Times New Roman" w:hAnsi="Times New Roman" w:cs="Times New Roman" w:eastAsiaTheme="minorEastAsia"/>
          <w:b/>
          <w:bCs/>
          <w:sz w:val="24"/>
          <w:highlight w:val="none"/>
          <w:lang w:val="en-US" w:eastAsia="zh-CN"/>
        </w:rPr>
        <w:t>与《新疆维吾尔自治区七大片区“三线一单”生态环境分区管控要求》的符合性分析</w:t>
      </w:r>
    </w:p>
    <w:p w14:paraId="2AC087B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根据新疆维吾尔自治区生态环境厅2021年7月发布的《关于印发</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新疆维吾尔自治区七大片区</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三线一单</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生态环境分区管控要求</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的通知》（新环环评发〔2021〕162号），全区划分为七大片区，包括北疆北部（塔城地区、阿勒泰地区）、伊犁河谷、克奎乌—博州、乌昌石、吐哈、天山南坡（巴州、阿克苏地区）和南疆三地州片区，本项目所在区域属于</w:t>
      </w:r>
      <w:r>
        <w:rPr>
          <w:rFonts w:hint="eastAsia" w:ascii="Times New Roman" w:hAnsi="Times New Roman" w:cs="Times New Roman" w:eastAsiaTheme="minorEastAsia"/>
          <w:sz w:val="24"/>
          <w:lang w:val="en-US" w:eastAsia="zh-CN"/>
        </w:rPr>
        <w:t>南疆三地州</w:t>
      </w:r>
      <w:r>
        <w:rPr>
          <w:rFonts w:hint="default" w:ascii="Times New Roman" w:hAnsi="Times New Roman" w:cs="Times New Roman" w:eastAsiaTheme="minorEastAsia"/>
          <w:sz w:val="24"/>
          <w:lang w:val="en-US" w:eastAsia="zh-CN"/>
        </w:rPr>
        <w:t>。片区管控要求如下：</w:t>
      </w:r>
    </w:p>
    <w:p w14:paraId="0310180B">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加强绿洲边缘生态保护与修复，统筹推进山水林田湖草沙治理，禁止樵采喀什三角洲荒漠、绿洲区荒漠植被，禁止砍伐玉龙喀什河、喀拉喀什河、叶尔羌河、和田河等河流沿岸天然林，保护绿洲和绿色走廊。</w:t>
      </w:r>
    </w:p>
    <w:p w14:paraId="48ABE7F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控制东昆仑山</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阿尔金山山前绿洲、叶尔羌河流域绿洲、和田河流域绿洲、喀什</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阿图什绿洲的农业用水量，提高水土资源利用效率，大力推行节水改造，维护叶尔羌河、和田河等河流下游基本生态用水。</w:t>
      </w:r>
    </w:p>
    <w:p w14:paraId="66405385">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本项目位于喀什地区莎车县阿斯兰巴格工业园区，项目不涉及开采砍伐天然林、绿洲等。项目运营过程中产生废水经厂区内现有污水处理设施处理后，回用于清洗消毒及冷却用水，不涉及向外直接排放废水，</w:t>
      </w:r>
      <w:r>
        <w:rPr>
          <w:rFonts w:hint="default" w:ascii="Times New Roman" w:hAnsi="Times New Roman" w:cs="Times New Roman" w:eastAsiaTheme="minorEastAsia"/>
          <w:sz w:val="24"/>
          <w:lang w:val="en-US" w:eastAsia="zh-CN"/>
        </w:rPr>
        <w:t>本工程符合《新疆维吾尔自治区七大片区“三线一单”生态环境分区管控要求》中相应片区的管控要求。</w:t>
      </w:r>
    </w:p>
    <w:p w14:paraId="11263675">
      <w:pPr>
        <w:adjustRightInd w:val="0"/>
        <w:snapToGrid w:val="0"/>
        <w:spacing w:line="500" w:lineRule="exact"/>
        <w:jc w:val="left"/>
        <w:rPr>
          <w:rFonts w:hint="default" w:ascii="Times New Roman" w:hAnsi="Times New Roman" w:cs="Times New Roman" w:eastAsiaTheme="minorEastAsia"/>
          <w:b/>
          <w:bCs/>
          <w:sz w:val="24"/>
          <w:highlight w:val="none"/>
          <w:lang w:val="en-US" w:eastAsia="zh-CN"/>
        </w:rPr>
      </w:pPr>
      <w:r>
        <w:rPr>
          <w:rFonts w:hint="eastAsia" w:ascii="Times New Roman" w:hAnsi="Times New Roman" w:cs="Times New Roman" w:eastAsiaTheme="minorEastAsia"/>
          <w:b/>
          <w:bCs/>
          <w:sz w:val="24"/>
          <w:highlight w:val="none"/>
          <w:lang w:val="en-US" w:eastAsia="zh-CN"/>
        </w:rPr>
        <w:t>1.3.4.3</w:t>
      </w:r>
      <w:r>
        <w:rPr>
          <w:rFonts w:hint="default" w:ascii="Times New Roman" w:hAnsi="Times New Roman" w:cs="Times New Roman" w:eastAsiaTheme="minorEastAsia"/>
          <w:b/>
          <w:bCs/>
          <w:sz w:val="24"/>
          <w:highlight w:val="none"/>
          <w:lang w:val="en-US" w:eastAsia="zh-CN"/>
        </w:rPr>
        <w:t>与《关于印发</w:t>
      </w:r>
      <w:r>
        <w:rPr>
          <w:rFonts w:hint="eastAsia" w:ascii="Times New Roman" w:hAnsi="Times New Roman" w:cs="Times New Roman" w:eastAsiaTheme="minorEastAsia"/>
          <w:b/>
          <w:bCs/>
          <w:sz w:val="24"/>
          <w:highlight w:val="none"/>
          <w:lang w:val="en-US" w:eastAsia="zh-CN"/>
        </w:rPr>
        <w:t>〈喀什地区</w:t>
      </w:r>
      <w:r>
        <w:rPr>
          <w:rFonts w:hint="default" w:ascii="Times New Roman" w:hAnsi="Times New Roman" w:cs="Times New Roman" w:eastAsiaTheme="minorEastAsia"/>
          <w:b/>
          <w:bCs/>
          <w:sz w:val="24"/>
          <w:highlight w:val="none"/>
          <w:lang w:val="en-US" w:eastAsia="zh-CN"/>
        </w:rPr>
        <w:t>“三线一单”生态环境分区管控</w:t>
      </w:r>
      <w:r>
        <w:rPr>
          <w:rFonts w:hint="eastAsia" w:ascii="Times New Roman" w:hAnsi="Times New Roman" w:cs="Times New Roman" w:eastAsiaTheme="minorEastAsia"/>
          <w:b/>
          <w:bCs/>
          <w:sz w:val="24"/>
          <w:highlight w:val="none"/>
          <w:lang w:val="en-US" w:eastAsia="zh-CN"/>
        </w:rPr>
        <w:t>方案</w:t>
      </w:r>
      <w:r>
        <w:rPr>
          <w:rFonts w:hint="default" w:ascii="Times New Roman" w:hAnsi="Times New Roman" w:cs="Times New Roman" w:eastAsiaTheme="minorEastAsia"/>
          <w:b/>
          <w:bCs/>
          <w:sz w:val="24"/>
          <w:highlight w:val="none"/>
          <w:lang w:val="en-US" w:eastAsia="zh-CN"/>
        </w:rPr>
        <w:t>（2023年</w:t>
      </w:r>
      <w:r>
        <w:rPr>
          <w:rFonts w:hint="eastAsia" w:ascii="Times New Roman" w:hAnsi="Times New Roman" w:cs="Times New Roman" w:eastAsiaTheme="minorEastAsia"/>
          <w:b/>
          <w:bCs/>
          <w:sz w:val="24"/>
          <w:highlight w:val="none"/>
          <w:lang w:val="en-US" w:eastAsia="zh-CN"/>
        </w:rPr>
        <w:t>版</w:t>
      </w:r>
      <w:r>
        <w:rPr>
          <w:rFonts w:hint="default" w:ascii="Times New Roman" w:hAnsi="Times New Roman" w:cs="Times New Roman" w:eastAsiaTheme="minorEastAsia"/>
          <w:b/>
          <w:bCs/>
          <w:sz w:val="24"/>
          <w:highlight w:val="none"/>
          <w:lang w:val="en-US" w:eastAsia="zh-CN"/>
        </w:rPr>
        <w:t>）</w:t>
      </w:r>
      <w:r>
        <w:rPr>
          <w:rFonts w:hint="eastAsia" w:ascii="Times New Roman" w:hAnsi="Times New Roman" w:cs="Times New Roman" w:eastAsiaTheme="minorEastAsia"/>
          <w:b/>
          <w:bCs/>
          <w:sz w:val="24"/>
          <w:highlight w:val="none"/>
          <w:lang w:val="en-US" w:eastAsia="zh-CN"/>
        </w:rPr>
        <w:t>修改单〉的通知》</w:t>
      </w:r>
      <w:r>
        <w:rPr>
          <w:rFonts w:hint="default" w:ascii="Times New Roman" w:hAnsi="Times New Roman" w:cs="Times New Roman" w:eastAsiaTheme="minorEastAsia"/>
          <w:b/>
          <w:bCs/>
          <w:sz w:val="24"/>
          <w:highlight w:val="none"/>
          <w:lang w:val="en-US" w:eastAsia="zh-CN"/>
        </w:rPr>
        <w:t>的符合性分析</w:t>
      </w:r>
    </w:p>
    <w:p w14:paraId="24B3AD25">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表1.3-</w:t>
      </w:r>
      <w:r>
        <w:rPr>
          <w:rFonts w:hint="eastAsia" w:ascii="Times New Roman" w:hAnsi="Times New Roman" w:cs="Times New Roman" w:eastAsiaTheme="minorEastAsia"/>
          <w:b/>
          <w:szCs w:val="21"/>
          <w:lang w:val="en-US" w:eastAsia="zh-CN"/>
        </w:rPr>
        <w:t>6</w:t>
      </w:r>
      <w:r>
        <w:rPr>
          <w:rFonts w:hint="default" w:ascii="Times New Roman" w:hAnsi="Times New Roman" w:cs="Times New Roman" w:eastAsiaTheme="minorEastAsia"/>
          <w:b/>
          <w:szCs w:val="21"/>
          <w:lang w:val="en-US" w:eastAsia="zh-CN"/>
        </w:rPr>
        <w:t xml:space="preserve">  与《关于印发</w:t>
      </w:r>
      <w:r>
        <w:rPr>
          <w:rFonts w:hint="eastAsia" w:ascii="Times New Roman" w:hAnsi="Times New Roman" w:cs="Times New Roman" w:eastAsiaTheme="minorEastAsia"/>
          <w:b/>
          <w:szCs w:val="21"/>
          <w:lang w:val="en-US" w:eastAsia="zh-CN"/>
        </w:rPr>
        <w:t>〈喀什地区</w:t>
      </w:r>
      <w:r>
        <w:rPr>
          <w:rFonts w:hint="default" w:ascii="Times New Roman" w:hAnsi="Times New Roman" w:cs="Times New Roman" w:eastAsiaTheme="minorEastAsia"/>
          <w:b/>
          <w:szCs w:val="21"/>
          <w:lang w:val="en-US" w:eastAsia="zh-CN"/>
        </w:rPr>
        <w:t>“三线一单”生态环境分区管控</w:t>
      </w:r>
      <w:r>
        <w:rPr>
          <w:rFonts w:hint="eastAsia" w:ascii="Times New Roman" w:hAnsi="Times New Roman" w:cs="Times New Roman" w:eastAsiaTheme="minorEastAsia"/>
          <w:b/>
          <w:szCs w:val="21"/>
          <w:lang w:val="en-US" w:eastAsia="zh-CN"/>
        </w:rPr>
        <w:t>方案</w:t>
      </w:r>
      <w:r>
        <w:rPr>
          <w:rFonts w:hint="default" w:ascii="Times New Roman" w:hAnsi="Times New Roman" w:cs="Times New Roman" w:eastAsiaTheme="minorEastAsia"/>
          <w:b/>
          <w:szCs w:val="21"/>
          <w:lang w:val="en-US" w:eastAsia="zh-CN"/>
        </w:rPr>
        <w:t>（2023年</w:t>
      </w:r>
      <w:r>
        <w:rPr>
          <w:rFonts w:hint="eastAsia" w:ascii="Times New Roman" w:hAnsi="Times New Roman" w:cs="Times New Roman" w:eastAsiaTheme="minorEastAsia"/>
          <w:b/>
          <w:szCs w:val="21"/>
          <w:lang w:val="en-US" w:eastAsia="zh-CN"/>
        </w:rPr>
        <w:t>版</w:t>
      </w:r>
      <w:r>
        <w:rPr>
          <w:rFonts w:hint="default" w:ascii="Times New Roman" w:hAnsi="Times New Roman" w:cs="Times New Roman" w:eastAsiaTheme="minorEastAsia"/>
          <w:b/>
          <w:szCs w:val="21"/>
          <w:lang w:val="en-US" w:eastAsia="zh-CN"/>
        </w:rPr>
        <w:t>）</w:t>
      </w:r>
      <w:r>
        <w:rPr>
          <w:rFonts w:hint="eastAsia" w:ascii="Times New Roman" w:hAnsi="Times New Roman" w:cs="Times New Roman" w:eastAsiaTheme="minorEastAsia"/>
          <w:b/>
          <w:szCs w:val="21"/>
          <w:lang w:val="en-US" w:eastAsia="zh-CN"/>
        </w:rPr>
        <w:t>修改单〉的通知》</w:t>
      </w:r>
      <w:r>
        <w:rPr>
          <w:rFonts w:hint="default" w:ascii="Times New Roman" w:hAnsi="Times New Roman" w:cs="Times New Roman" w:eastAsiaTheme="minorEastAsia"/>
          <w:b/>
          <w:szCs w:val="21"/>
          <w:lang w:val="en-US" w:eastAsia="zh-CN"/>
        </w:rPr>
        <w:t>的符合性表</w:t>
      </w:r>
    </w:p>
    <w:tbl>
      <w:tblPr>
        <w:tblStyle w:val="1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832"/>
        <w:gridCol w:w="859"/>
        <w:gridCol w:w="369"/>
        <w:gridCol w:w="3122"/>
        <w:gridCol w:w="1868"/>
        <w:gridCol w:w="655"/>
      </w:tblGrid>
      <w:tr w14:paraId="4D45D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 w:type="pct"/>
            <w:vAlign w:val="center"/>
          </w:tcPr>
          <w:p w14:paraId="3CC3B0D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环境管控单元编码</w:t>
            </w:r>
          </w:p>
        </w:tc>
        <w:tc>
          <w:tcPr>
            <w:tcW w:w="488" w:type="pct"/>
            <w:vAlign w:val="center"/>
          </w:tcPr>
          <w:p w14:paraId="77B79A1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环境管控单元名称</w:t>
            </w:r>
          </w:p>
        </w:tc>
        <w:tc>
          <w:tcPr>
            <w:tcW w:w="504" w:type="pct"/>
            <w:vAlign w:val="center"/>
          </w:tcPr>
          <w:p w14:paraId="4EF8A94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环境管控单元类别</w:t>
            </w:r>
          </w:p>
        </w:tc>
        <w:tc>
          <w:tcPr>
            <w:tcW w:w="2048" w:type="pct"/>
            <w:gridSpan w:val="2"/>
            <w:vAlign w:val="center"/>
          </w:tcPr>
          <w:p w14:paraId="6E5445A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管控要求</w:t>
            </w:r>
          </w:p>
        </w:tc>
        <w:tc>
          <w:tcPr>
            <w:tcW w:w="1096" w:type="pct"/>
            <w:vAlign w:val="center"/>
          </w:tcPr>
          <w:p w14:paraId="086F727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本项目情况</w:t>
            </w:r>
          </w:p>
        </w:tc>
        <w:tc>
          <w:tcPr>
            <w:tcW w:w="384" w:type="pct"/>
            <w:vAlign w:val="center"/>
          </w:tcPr>
          <w:p w14:paraId="416B49D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符合性</w:t>
            </w:r>
          </w:p>
        </w:tc>
      </w:tr>
      <w:tr w14:paraId="52B99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 w:type="pct"/>
            <w:vMerge w:val="restart"/>
            <w:vAlign w:val="center"/>
          </w:tcPr>
          <w:p w14:paraId="3795867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ZH65</w:t>
            </w:r>
            <w:r>
              <w:rPr>
                <w:rFonts w:hint="eastAsia" w:ascii="Times New Roman" w:hAnsi="Times New Roman" w:cs="Times New Roman" w:eastAsiaTheme="minorEastAsia"/>
                <w:szCs w:val="21"/>
                <w:lang w:val="en-US" w:eastAsia="zh-CN"/>
              </w:rPr>
              <w:t>312520006</w:t>
            </w:r>
          </w:p>
        </w:tc>
        <w:tc>
          <w:tcPr>
            <w:tcW w:w="488" w:type="pct"/>
            <w:vMerge w:val="restart"/>
            <w:vAlign w:val="center"/>
          </w:tcPr>
          <w:p w14:paraId="58CBC4A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莎车工业园区（阿斯兰巴格园）</w:t>
            </w:r>
          </w:p>
        </w:tc>
        <w:tc>
          <w:tcPr>
            <w:tcW w:w="504" w:type="pct"/>
            <w:vMerge w:val="restart"/>
            <w:vAlign w:val="center"/>
          </w:tcPr>
          <w:p w14:paraId="73ACA3E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重点管控单元</w:t>
            </w:r>
          </w:p>
        </w:tc>
        <w:tc>
          <w:tcPr>
            <w:tcW w:w="216" w:type="pct"/>
            <w:vMerge w:val="restart"/>
            <w:vAlign w:val="center"/>
          </w:tcPr>
          <w:p w14:paraId="208DB51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空间布局约束</w:t>
            </w:r>
          </w:p>
        </w:tc>
        <w:tc>
          <w:tcPr>
            <w:tcW w:w="1832" w:type="pct"/>
            <w:vAlign w:val="center"/>
          </w:tcPr>
          <w:p w14:paraId="6F5F196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A1.4-1一切开发建设活动应符合国家、自治区主体功能区规划、自治区和各地颁布实施的生态环境功能区划、国民经济发展规划、产业发展规划、城乡总体规划、</w:t>
            </w:r>
            <w:r>
              <w:rPr>
                <w:rFonts w:hint="eastAsia" w:ascii="Times New Roman" w:hAnsi="Times New Roman" w:cs="Times New Roman" w:eastAsiaTheme="minorEastAsia"/>
                <w:szCs w:val="21"/>
                <w:lang w:val="en-US" w:eastAsia="zh-CN"/>
              </w:rPr>
              <w:t>土地利用规划等相关规划及重点生态功能区负面清单要求，符合区域或产业规划环评要求。</w:t>
            </w:r>
          </w:p>
        </w:tc>
        <w:tc>
          <w:tcPr>
            <w:tcW w:w="1096" w:type="pct"/>
            <w:vAlign w:val="center"/>
          </w:tcPr>
          <w:p w14:paraId="5EBA25D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本项目位于阿斯兰巴格工业园区西南侧莎车县海纳环保科技开发有限公司厂区内，为医疗废物集中处置建设项目。本项目的建设为实现莎车及周边县医疗废物“减量化、无害化”的目标，符合相关规划要求。</w:t>
            </w:r>
          </w:p>
        </w:tc>
        <w:tc>
          <w:tcPr>
            <w:tcW w:w="384" w:type="pct"/>
            <w:vAlign w:val="center"/>
          </w:tcPr>
          <w:p w14:paraId="139E0BD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符合</w:t>
            </w:r>
          </w:p>
        </w:tc>
      </w:tr>
      <w:tr w14:paraId="0E7DC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 w:type="pct"/>
            <w:vMerge w:val="continue"/>
            <w:vAlign w:val="center"/>
          </w:tcPr>
          <w:p w14:paraId="3C07E8E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488" w:type="pct"/>
            <w:vMerge w:val="continue"/>
            <w:vAlign w:val="center"/>
          </w:tcPr>
          <w:p w14:paraId="4D82268D">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504" w:type="pct"/>
            <w:vMerge w:val="continue"/>
            <w:vAlign w:val="center"/>
          </w:tcPr>
          <w:p w14:paraId="1080F67F">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216" w:type="pct"/>
            <w:vMerge w:val="continue"/>
            <w:vAlign w:val="center"/>
          </w:tcPr>
          <w:p w14:paraId="1553EF3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832" w:type="pct"/>
            <w:vAlign w:val="center"/>
          </w:tcPr>
          <w:p w14:paraId="33097A9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A1.4-2 所有新、改（扩）建项目，必须依据《建设项目环境影响评价分类管理名录》要求进行环境影响评价；未通过环境影响评价审批的，一律不准开工建设；</w:t>
            </w:r>
            <w:r>
              <w:rPr>
                <w:rFonts w:hint="eastAsia" w:ascii="Times New Roman" w:hAnsi="Times New Roman" w:cs="Times New Roman" w:eastAsiaTheme="minorEastAsia"/>
                <w:szCs w:val="21"/>
                <w:lang w:val="en-US" w:eastAsia="zh-CN"/>
              </w:rPr>
              <w:t>违规建设的，要依法进行处罚。</w:t>
            </w:r>
          </w:p>
        </w:tc>
        <w:tc>
          <w:tcPr>
            <w:tcW w:w="1096" w:type="pct"/>
            <w:vAlign w:val="center"/>
          </w:tcPr>
          <w:p w14:paraId="5B4D207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本项目已编制环境影响评价报告，报告要求建设单位在环评审批通过前不得开工建设。</w:t>
            </w:r>
          </w:p>
        </w:tc>
        <w:tc>
          <w:tcPr>
            <w:tcW w:w="384" w:type="pct"/>
            <w:vAlign w:val="center"/>
          </w:tcPr>
          <w:p w14:paraId="60E2722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符合</w:t>
            </w:r>
          </w:p>
        </w:tc>
      </w:tr>
      <w:tr w14:paraId="0ADF7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 w:type="pct"/>
            <w:vMerge w:val="continue"/>
            <w:vAlign w:val="center"/>
          </w:tcPr>
          <w:p w14:paraId="03E8C91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488" w:type="pct"/>
            <w:vMerge w:val="continue"/>
            <w:vAlign w:val="center"/>
          </w:tcPr>
          <w:p w14:paraId="39609F6A">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04" w:type="pct"/>
            <w:vMerge w:val="continue"/>
            <w:vAlign w:val="center"/>
          </w:tcPr>
          <w:p w14:paraId="4575882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16" w:type="pct"/>
            <w:vMerge w:val="restart"/>
            <w:vAlign w:val="center"/>
          </w:tcPr>
          <w:p w14:paraId="518ABB1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污染物排放管控</w:t>
            </w:r>
          </w:p>
        </w:tc>
        <w:tc>
          <w:tcPr>
            <w:tcW w:w="1832" w:type="pct"/>
            <w:vAlign w:val="center"/>
          </w:tcPr>
          <w:p w14:paraId="5F722D0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2.2-1 促进大气污染物与温室气体协同控制。在重点区域进一步转变生产和生活方式，重点领域产业结构升级、能源结构的优化和清洁高效利用、强化能效提升，</w:t>
            </w:r>
            <w:r>
              <w:rPr>
                <w:rFonts w:hint="eastAsia" w:ascii="Times New Roman" w:hAnsi="Times New Roman" w:cs="Times New Roman" w:eastAsiaTheme="minorEastAsia"/>
                <w:szCs w:val="21"/>
                <w:lang w:val="en-US" w:eastAsia="zh-CN"/>
              </w:rPr>
              <w:t>通过加强能源资源节约，提升清洁能源比重，增加生态系统碳汇，降低单位GDP能耗，控制温室气体排放，促进大气污染物防治协同增效，持续推进空气质量改善。</w:t>
            </w:r>
          </w:p>
        </w:tc>
        <w:tc>
          <w:tcPr>
            <w:tcW w:w="1096" w:type="pct"/>
            <w:vAlign w:val="center"/>
          </w:tcPr>
          <w:p w14:paraId="5530B84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本项目废气采取“3T+E”燃烧控制+SNCR脱硝+旋风</w:t>
            </w:r>
            <w:r>
              <w:rPr>
                <w:rFonts w:hint="eastAsia" w:ascii="Times New Roman" w:hAnsi="Times New Roman" w:cs="Times New Roman"/>
                <w:szCs w:val="21"/>
                <w:lang w:val="en-US" w:eastAsia="zh-CN"/>
              </w:rPr>
              <w:t>除尘+</w:t>
            </w:r>
            <w:r>
              <w:rPr>
                <w:rFonts w:hint="eastAsia" w:ascii="Times New Roman" w:hAnsi="Times New Roman" w:cs="Times New Roman" w:eastAsiaTheme="minorEastAsia"/>
                <w:szCs w:val="21"/>
                <w:lang w:val="en-US" w:eastAsia="zh-CN"/>
              </w:rPr>
              <w:t>急冷塔+干法脱酸（消石灰喷射）+活性炭喷射+布袋除尘器+湿法喷淋脱酸（5%氢氧化钠）等治理措施后，可以有效降低废气的排放，使项目废气达标排放。</w:t>
            </w:r>
          </w:p>
        </w:tc>
        <w:tc>
          <w:tcPr>
            <w:tcW w:w="384" w:type="pct"/>
            <w:vAlign w:val="center"/>
          </w:tcPr>
          <w:p w14:paraId="4DC7AB6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符合</w:t>
            </w:r>
          </w:p>
        </w:tc>
      </w:tr>
      <w:tr w14:paraId="063E7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 w:type="pct"/>
            <w:vMerge w:val="continue"/>
            <w:vAlign w:val="center"/>
          </w:tcPr>
          <w:p w14:paraId="7D93095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488" w:type="pct"/>
            <w:vMerge w:val="continue"/>
            <w:vAlign w:val="center"/>
          </w:tcPr>
          <w:p w14:paraId="79C356D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04" w:type="pct"/>
            <w:vMerge w:val="continue"/>
            <w:vAlign w:val="center"/>
          </w:tcPr>
          <w:p w14:paraId="3084EF17">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16" w:type="pct"/>
            <w:vMerge w:val="continue"/>
            <w:vAlign w:val="center"/>
          </w:tcPr>
          <w:p w14:paraId="14674DA6">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832" w:type="pct"/>
            <w:vAlign w:val="center"/>
          </w:tcPr>
          <w:p w14:paraId="1973D8A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w:t>
            </w:r>
            <w:r>
              <w:rPr>
                <w:rFonts w:hint="default" w:ascii="Times New Roman" w:hAnsi="Times New Roman" w:cs="Times New Roman" w:eastAsiaTheme="minorEastAsia"/>
                <w:szCs w:val="21"/>
                <w:lang w:val="en-US" w:eastAsia="zh-CN"/>
              </w:rPr>
              <w:t>入园企业的污水排放与处理应达到《污水综合排放标准》</w:t>
            </w:r>
            <w:r>
              <w:rPr>
                <w:rFonts w:hint="eastAsia" w:ascii="Times New Roman" w:hAnsi="Times New Roman" w:cs="Times New Roman" w:eastAsiaTheme="minorEastAsia"/>
                <w:szCs w:val="21"/>
                <w:lang w:val="en-US" w:eastAsia="zh-CN"/>
              </w:rPr>
              <w:t>（GB8978-1996）</w:t>
            </w:r>
            <w:r>
              <w:rPr>
                <w:rFonts w:hint="default" w:ascii="Times New Roman" w:hAnsi="Times New Roman" w:cs="Times New Roman" w:eastAsiaTheme="minorEastAsia"/>
                <w:szCs w:val="21"/>
                <w:lang w:val="en-US" w:eastAsia="zh-CN"/>
              </w:rPr>
              <w:t>中的</w:t>
            </w:r>
            <w:r>
              <w:rPr>
                <w:rFonts w:hint="eastAsia" w:ascii="Times New Roman" w:hAnsi="Times New Roman" w:cs="Times New Roman" w:eastAsiaTheme="minorEastAsia"/>
                <w:szCs w:val="21"/>
                <w:lang w:val="en-US" w:eastAsia="zh-CN"/>
              </w:rPr>
              <w:t>Ⅱ类</w:t>
            </w:r>
            <w:r>
              <w:rPr>
                <w:rFonts w:hint="default" w:ascii="Times New Roman" w:hAnsi="Times New Roman" w:cs="Times New Roman" w:eastAsiaTheme="minorEastAsia"/>
                <w:szCs w:val="21"/>
                <w:lang w:val="en-US" w:eastAsia="zh-CN"/>
              </w:rPr>
              <w:t>。</w:t>
            </w:r>
          </w:p>
        </w:tc>
        <w:tc>
          <w:tcPr>
            <w:tcW w:w="1096" w:type="pct"/>
            <w:vAlign w:val="center"/>
          </w:tcPr>
          <w:p w14:paraId="2CDE3F1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本项目产生的生产废水</w:t>
            </w:r>
            <w:r>
              <w:rPr>
                <w:rFonts w:hint="eastAsia" w:ascii="Times New Roman" w:hAnsi="Times New Roman" w:cs="Times New Roman" w:eastAsiaTheme="minorEastAsia"/>
                <w:szCs w:val="21"/>
                <w:lang w:val="en-US" w:eastAsia="zh-CN"/>
              </w:rPr>
              <w:t>经厂区内现有污水处理</w:t>
            </w:r>
            <w:r>
              <w:rPr>
                <w:rFonts w:hint="eastAsia" w:ascii="Times New Roman" w:hAnsi="Times New Roman" w:cs="Times New Roman"/>
                <w:szCs w:val="21"/>
                <w:lang w:val="en-US" w:eastAsia="zh-CN"/>
              </w:rPr>
              <w:t>站</w:t>
            </w:r>
            <w:r>
              <w:rPr>
                <w:rFonts w:hint="eastAsia" w:ascii="Times New Roman" w:hAnsi="Times New Roman" w:cs="Times New Roman" w:eastAsiaTheme="minorEastAsia"/>
                <w:szCs w:val="21"/>
                <w:lang w:val="en-US" w:eastAsia="zh-CN"/>
              </w:rPr>
              <w:t>处置完成后</w:t>
            </w:r>
            <w:r>
              <w:rPr>
                <w:rFonts w:hint="default" w:ascii="Times New Roman" w:hAnsi="Times New Roman" w:cs="Times New Roman" w:eastAsiaTheme="minorEastAsia"/>
                <w:szCs w:val="21"/>
                <w:lang w:val="en-US" w:eastAsia="zh-CN"/>
              </w:rPr>
              <w:t>全部回用</w:t>
            </w: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执行《医疗机构水污染物排放标准》（</w:t>
            </w:r>
            <w:r>
              <w:rPr>
                <w:rFonts w:hint="default" w:ascii="Times New Roman" w:hAnsi="Times New Roman" w:cs="Times New Roman" w:eastAsiaTheme="minorEastAsia"/>
                <w:szCs w:val="21"/>
                <w:lang w:val="en-US" w:eastAsia="zh-CN"/>
              </w:rPr>
              <w:t>GB18466-2005</w:t>
            </w:r>
            <w:r>
              <w:rPr>
                <w:rFonts w:hint="eastAsia" w:ascii="Times New Roman" w:hAnsi="Times New Roman" w:cs="Times New Roman" w:eastAsiaTheme="minorEastAsia"/>
                <w:szCs w:val="21"/>
                <w:lang w:val="en-US" w:eastAsia="zh-CN"/>
              </w:rPr>
              <w:t>）、《城市污水再生利用</w:t>
            </w:r>
            <w:r>
              <w:rPr>
                <w:rFonts w:hint="eastAsia" w:ascii="Times New Roman" w:hAnsi="Times New Roman" w:cs="Times New Roman"/>
                <w:szCs w:val="21"/>
                <w:lang w:val="en-US" w:eastAsia="zh-CN"/>
              </w:rPr>
              <w:t xml:space="preserve"> </w:t>
            </w:r>
            <w:r>
              <w:rPr>
                <w:rFonts w:hint="eastAsia" w:ascii="Times New Roman" w:hAnsi="Times New Roman" w:cs="Times New Roman" w:eastAsiaTheme="minorEastAsia"/>
                <w:szCs w:val="21"/>
                <w:lang w:val="en-US" w:eastAsia="zh-CN"/>
              </w:rPr>
              <w:t>工业用水水质》（</w:t>
            </w:r>
            <w:r>
              <w:rPr>
                <w:rFonts w:hint="default" w:ascii="Times New Roman" w:hAnsi="Times New Roman" w:cs="Times New Roman" w:eastAsiaTheme="minorEastAsia"/>
                <w:szCs w:val="21"/>
                <w:lang w:val="en-US" w:eastAsia="zh-CN"/>
              </w:rPr>
              <w:t>GB/T19923-20</w:t>
            </w:r>
            <w:r>
              <w:rPr>
                <w:rFonts w:hint="eastAsia" w:ascii="Times New Roman" w:hAnsi="Times New Roman" w:cs="Times New Roman" w:eastAsiaTheme="minorEastAsia"/>
                <w:szCs w:val="21"/>
                <w:lang w:val="en-US" w:eastAsia="zh-CN"/>
              </w:rPr>
              <w:t>24）和《污水综合排放标准》（GB8978-1996）Ⅱ类标准中较严限值后回用。</w:t>
            </w:r>
          </w:p>
        </w:tc>
        <w:tc>
          <w:tcPr>
            <w:tcW w:w="384" w:type="pct"/>
            <w:vAlign w:val="center"/>
          </w:tcPr>
          <w:p w14:paraId="2A6F406B">
            <w:pPr>
              <w:autoSpaceDE w:val="0"/>
              <w:autoSpaceDN w:val="0"/>
              <w:spacing w:line="300" w:lineRule="exact"/>
              <w:jc w:val="center"/>
              <w:rPr>
                <w:rFonts w:hint="eastAsia" w:ascii="Times New Roman" w:hAnsi="Times New Roman" w:cs="Times New Roman" w:eastAsiaTheme="minorEastAsia"/>
                <w:szCs w:val="21"/>
                <w:lang w:val="en-US" w:eastAsia="zh-CN"/>
              </w:rPr>
            </w:pPr>
          </w:p>
        </w:tc>
      </w:tr>
      <w:tr w14:paraId="253C3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 w:type="pct"/>
            <w:vMerge w:val="continue"/>
            <w:vAlign w:val="center"/>
          </w:tcPr>
          <w:p w14:paraId="1EC2FB4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488" w:type="pct"/>
            <w:vMerge w:val="continue"/>
            <w:vAlign w:val="center"/>
          </w:tcPr>
          <w:p w14:paraId="42BD9E5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04" w:type="pct"/>
            <w:vMerge w:val="continue"/>
            <w:vAlign w:val="center"/>
          </w:tcPr>
          <w:p w14:paraId="2918532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16" w:type="pct"/>
            <w:vMerge w:val="restart"/>
            <w:vAlign w:val="center"/>
          </w:tcPr>
          <w:p w14:paraId="6651770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环境风险防控</w:t>
            </w:r>
          </w:p>
        </w:tc>
        <w:tc>
          <w:tcPr>
            <w:tcW w:w="1832" w:type="pct"/>
            <w:vAlign w:val="center"/>
          </w:tcPr>
          <w:p w14:paraId="42E3C04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A6.3-5 建立土壤污染隐患排查制度，确保持续有效防止有毒有害物质渗漏、流失、扬散；应按相关规范编制突发环境事件应急预案，建立完善突发环境事件应急响应机制；制定、实施自行监测方案。加强对地块的环境风险防控管理，涉重金属、持久性有机物等有毒有害污染物工业企业退出用地，须经评估、治理，满足后续相应用地土壤环境质量要求。</w:t>
            </w:r>
          </w:p>
        </w:tc>
        <w:tc>
          <w:tcPr>
            <w:tcW w:w="1096" w:type="pct"/>
            <w:vAlign w:val="center"/>
          </w:tcPr>
          <w:p w14:paraId="4481625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本项目要求企业对厂区内各个区域采取分区防渗措施，在正常生产运营过程中，不存在土壤污染途径，不会对土壤环境造成影响。</w:t>
            </w:r>
          </w:p>
        </w:tc>
        <w:tc>
          <w:tcPr>
            <w:tcW w:w="384" w:type="pct"/>
            <w:vAlign w:val="center"/>
          </w:tcPr>
          <w:p w14:paraId="224F3BC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符合</w:t>
            </w:r>
          </w:p>
        </w:tc>
      </w:tr>
      <w:tr w14:paraId="3100D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 w:type="pct"/>
            <w:vMerge w:val="continue"/>
            <w:vAlign w:val="center"/>
          </w:tcPr>
          <w:p w14:paraId="0CAFF1CA">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488" w:type="pct"/>
            <w:vMerge w:val="continue"/>
            <w:vAlign w:val="center"/>
          </w:tcPr>
          <w:p w14:paraId="1E70D0F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04" w:type="pct"/>
            <w:vMerge w:val="continue"/>
            <w:vAlign w:val="center"/>
          </w:tcPr>
          <w:p w14:paraId="0290571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16" w:type="pct"/>
            <w:vMerge w:val="continue"/>
            <w:vAlign w:val="center"/>
          </w:tcPr>
          <w:p w14:paraId="721D63A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832" w:type="pct"/>
            <w:vAlign w:val="center"/>
          </w:tcPr>
          <w:p w14:paraId="1FCF64DA">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2.定期维护环保设施，确保工业源稳定达标排放，改善企业周边地区的环境空气质量。</w:t>
            </w:r>
          </w:p>
        </w:tc>
        <w:tc>
          <w:tcPr>
            <w:tcW w:w="1096" w:type="pct"/>
            <w:vAlign w:val="center"/>
          </w:tcPr>
          <w:p w14:paraId="4A9A1A9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企业在运营过程中定期维修保养环保设施，并设置管理台账，确保项目污染源达标排放，不会对周边区域环境空气质量造成影响。</w:t>
            </w:r>
          </w:p>
        </w:tc>
        <w:tc>
          <w:tcPr>
            <w:tcW w:w="384" w:type="pct"/>
            <w:vAlign w:val="center"/>
          </w:tcPr>
          <w:p w14:paraId="0C8F47B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符合</w:t>
            </w:r>
          </w:p>
        </w:tc>
      </w:tr>
      <w:tr w14:paraId="55E3A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 w:type="pct"/>
            <w:vMerge w:val="continue"/>
            <w:vAlign w:val="center"/>
          </w:tcPr>
          <w:p w14:paraId="7DBE1FC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488" w:type="pct"/>
            <w:vMerge w:val="continue"/>
            <w:vAlign w:val="center"/>
          </w:tcPr>
          <w:p w14:paraId="10714C0C">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04" w:type="pct"/>
            <w:vMerge w:val="continue"/>
            <w:vAlign w:val="center"/>
          </w:tcPr>
          <w:p w14:paraId="53527395">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16" w:type="pct"/>
            <w:vAlign w:val="center"/>
          </w:tcPr>
          <w:p w14:paraId="1DFC5DF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资源利用效率</w:t>
            </w:r>
          </w:p>
        </w:tc>
        <w:tc>
          <w:tcPr>
            <w:tcW w:w="1832" w:type="pct"/>
            <w:vAlign w:val="center"/>
          </w:tcPr>
          <w:p w14:paraId="7E644F7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A6.4-2 全面推进农业节水、工业节水技术改造，严格控制高耗水、高污染工业，严格节水措施，加强循环利用，大力通过节水、退地减水等措施缓解水资源供需矛盾。</w:t>
            </w:r>
          </w:p>
        </w:tc>
        <w:tc>
          <w:tcPr>
            <w:tcW w:w="1096" w:type="pct"/>
            <w:vAlign w:val="center"/>
          </w:tcPr>
          <w:p w14:paraId="3CE12EA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本项目生产废水通过厂区内现有污水处理设施治理完成后回用于清洗消毒及冷却用水，节约生产用水。</w:t>
            </w:r>
          </w:p>
        </w:tc>
        <w:tc>
          <w:tcPr>
            <w:tcW w:w="384" w:type="pct"/>
            <w:vAlign w:val="center"/>
          </w:tcPr>
          <w:p w14:paraId="4DFA8B7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符合</w:t>
            </w:r>
          </w:p>
        </w:tc>
      </w:tr>
    </w:tbl>
    <w:p w14:paraId="53982589">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1" w:name="_Toc5517"/>
      <w:r>
        <w:rPr>
          <w:rFonts w:hint="eastAsia" w:ascii="Times New Roman" w:hAnsi="Times New Roman" w:cs="Times New Roman" w:eastAsiaTheme="minorEastAsia"/>
          <w:kern w:val="0"/>
          <w:sz w:val="24"/>
          <w:szCs w:val="24"/>
          <w:lang w:val="en-US" w:eastAsia="zh-CN"/>
        </w:rPr>
        <w:t>1.3.5选址符合性分析</w:t>
      </w:r>
      <w:bookmarkEnd w:id="11"/>
    </w:p>
    <w:p w14:paraId="4E882C98">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选址位于莎车县阿斯兰巴格工业园区西南侧莎车县海纳环保科技开发有限公司厂区内，用地性质为工业用地，项目用地符合莎车县产业规划布局；对照莎车县空间管制分区图，莎车县海纳环保科技开发有限公司占地范围不在莎车县域的禁建范围内；本项目利用现有的工业用地进行建设，不新增占地。</w:t>
      </w:r>
    </w:p>
    <w:p w14:paraId="178838E3">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厂址不在生态保护红线区域、饮用水源保护区、永久基本农田集中区域和其他需要特别保护的区域内；厂址不在自然灾害多发区和地质条件不稳定地区；在叶尔羌河百年一遇洪水位以上；厂址避开了现有和规划中的地下设施，厂址未占用公用设施用地，避免了大规模平整土地、砍伐森林、占用基本保护农田等行为，尽量减少了设施用地对周围环境的影响，也避免了公用设施或居民的大规模拆迁；厂址位于莎车县城常年主导风向的侧风向。</w:t>
      </w:r>
    </w:p>
    <w:p w14:paraId="292FA3D8">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本项目通过采取严格有效的废气、噪声防治措施，在落实好相关环保防治措施的情况下，本项目对周边敏感点的影响较小。因此本项目的选址是合理的。</w:t>
      </w:r>
    </w:p>
    <w:p w14:paraId="13D8C546">
      <w:pPr>
        <w:pStyle w:val="3"/>
        <w:spacing w:before="120" w:after="120" w:line="500" w:lineRule="exact"/>
        <w:ind w:left="375" w:hanging="375" w:firstLineChars="0"/>
        <w:contextualSpacing/>
        <w:rPr>
          <w:rFonts w:hint="eastAsia" w:ascii="Times New Roman" w:hAnsi="Times New Roman" w:cs="Times New Roman" w:eastAsiaTheme="minorEastAsia"/>
          <w:snapToGrid w:val="0"/>
          <w:kern w:val="0"/>
          <w:sz w:val="28"/>
          <w:szCs w:val="28"/>
          <w:lang w:val="en-US" w:eastAsia="zh-CN"/>
        </w:rPr>
      </w:pPr>
      <w:bookmarkStart w:id="12" w:name="_Toc22591"/>
      <w:r>
        <w:rPr>
          <w:rFonts w:hint="eastAsia" w:ascii="Times New Roman" w:hAnsi="Times New Roman" w:cs="Times New Roman" w:eastAsiaTheme="minorEastAsia"/>
          <w:snapToGrid w:val="0"/>
          <w:kern w:val="0"/>
          <w:sz w:val="28"/>
          <w:szCs w:val="28"/>
          <w:lang w:val="en-US" w:eastAsia="zh-CN"/>
        </w:rPr>
        <w:t>1.4关注的主要环境问题及环境影响</w:t>
      </w:r>
      <w:bookmarkEnd w:id="12"/>
    </w:p>
    <w:p w14:paraId="6735062E">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本项目环境影响评价主要关注以下环境问题：</w:t>
      </w:r>
    </w:p>
    <w:p w14:paraId="25D27955">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1</w:t>
      </w:r>
      <w:r>
        <w:rPr>
          <w:rFonts w:hint="eastAsia" w:ascii="Times New Roman" w:hAnsi="Times New Roman" w:cs="Times New Roman" w:eastAsiaTheme="minorEastAsia"/>
          <w:sz w:val="24"/>
          <w:lang w:val="en-US" w:eastAsia="zh-CN"/>
        </w:rPr>
        <w:t>、对现有工程进行回顾性分析，核实现有工程环保措施落实情况，明确现有工程存在的问题。</w:t>
      </w:r>
    </w:p>
    <w:p w14:paraId="670CA2E7">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2</w:t>
      </w:r>
      <w:r>
        <w:rPr>
          <w:rFonts w:hint="eastAsia" w:ascii="Times New Roman" w:hAnsi="Times New Roman" w:cs="Times New Roman" w:eastAsiaTheme="minorEastAsia"/>
          <w:sz w:val="24"/>
          <w:lang w:val="en-US" w:eastAsia="zh-CN"/>
        </w:rPr>
        <w:t>、拟建项目的污染防治措施和环境管理：关注拟建项目所采用的污染防治技术措施的治理效率情况，尤其关注污染物的全过程防控与末端治理问题。</w:t>
      </w:r>
    </w:p>
    <w:p w14:paraId="62BBEDEC">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3</w:t>
      </w:r>
      <w:r>
        <w:rPr>
          <w:rFonts w:hint="eastAsia" w:ascii="Times New Roman" w:hAnsi="Times New Roman" w:cs="Times New Roman" w:eastAsiaTheme="minorEastAsia"/>
          <w:sz w:val="24"/>
          <w:lang w:val="en-US" w:eastAsia="zh-CN"/>
        </w:rPr>
        <w:t>、关注大气环境影响的可接受性：项目位于喀什地区莎车县阿斯兰巴格工业园区西南侧莎车县海纳环保科技开发有限公司厂区内，重点关注本项目大气污染物排放对周边环境空气的影响。</w:t>
      </w:r>
    </w:p>
    <w:p w14:paraId="707016B1">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4</w:t>
      </w:r>
      <w:r>
        <w:rPr>
          <w:rFonts w:hint="eastAsia" w:ascii="Times New Roman" w:hAnsi="Times New Roman" w:cs="Times New Roman" w:eastAsiaTheme="minorEastAsia"/>
          <w:sz w:val="24"/>
          <w:lang w:val="en-US" w:eastAsia="zh-CN"/>
        </w:rPr>
        <w:t>、关注水环境影响的可接受性：本项目污水治理及排放情况的合理性及可行性，重点关注废水排放对周边地表水体及地下水的影响。</w:t>
      </w:r>
    </w:p>
    <w:p w14:paraId="0BAF86F3">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5</w:t>
      </w:r>
      <w:r>
        <w:rPr>
          <w:rFonts w:hint="eastAsia" w:ascii="Times New Roman" w:hAnsi="Times New Roman" w:cs="Times New Roman" w:eastAsiaTheme="minorEastAsia"/>
          <w:sz w:val="24"/>
          <w:lang w:val="en-US" w:eastAsia="zh-CN"/>
        </w:rPr>
        <w:t>、关注生产设备运行噪声对项目区厂界四周和周边敏感点的影响。</w:t>
      </w:r>
    </w:p>
    <w:p w14:paraId="4D115B63">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6</w:t>
      </w:r>
      <w:r>
        <w:rPr>
          <w:rFonts w:hint="eastAsia" w:ascii="Times New Roman" w:hAnsi="Times New Roman" w:cs="Times New Roman" w:eastAsiaTheme="minorEastAsia"/>
          <w:sz w:val="24"/>
          <w:lang w:val="en-US" w:eastAsia="zh-CN"/>
        </w:rPr>
        <w:t>、关注本项目投产后运行过程中产生的各类固体废物的管理、处置方案及可行性。</w:t>
      </w:r>
    </w:p>
    <w:p w14:paraId="412A1FFC">
      <w:pPr>
        <w:pStyle w:val="3"/>
        <w:spacing w:before="120" w:after="120" w:line="500" w:lineRule="exact"/>
        <w:ind w:left="375" w:hanging="375" w:firstLineChars="0"/>
        <w:contextualSpacing/>
        <w:rPr>
          <w:rFonts w:hint="default" w:ascii="Times New Roman" w:hAnsi="Times New Roman" w:cs="Times New Roman" w:eastAsiaTheme="minorEastAsia"/>
          <w:snapToGrid w:val="0"/>
          <w:kern w:val="0"/>
          <w:sz w:val="28"/>
          <w:szCs w:val="28"/>
          <w:lang w:val="en-US" w:eastAsia="zh-CN"/>
        </w:rPr>
      </w:pPr>
      <w:bookmarkStart w:id="13" w:name="_Toc26784"/>
      <w:bookmarkStart w:id="14" w:name="_Toc19436"/>
      <w:bookmarkStart w:id="15" w:name="_Toc10667"/>
      <w:r>
        <w:rPr>
          <w:rFonts w:hint="default" w:ascii="Times New Roman" w:hAnsi="Times New Roman" w:cs="Times New Roman" w:eastAsiaTheme="minorEastAsia"/>
          <w:snapToGrid w:val="0"/>
          <w:kern w:val="0"/>
          <w:sz w:val="28"/>
          <w:szCs w:val="28"/>
          <w:lang w:val="en-US" w:eastAsia="zh-CN"/>
        </w:rPr>
        <w:t>1.5环境影响评价的主要结论</w:t>
      </w:r>
      <w:bookmarkEnd w:id="13"/>
      <w:bookmarkEnd w:id="14"/>
      <w:bookmarkEnd w:id="15"/>
    </w:p>
    <w:p w14:paraId="3282BDAE">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莎车县海纳环保科技开发有限公司莎车县医疗废物处置中心扩建项目符合国家、地方现行产业政策、法律法规和环保准入条件等要求；项目位于阿斯兰巴格工业园区西南侧莎车县海纳环保科技开发有限公司厂区内，为医疗废物集中处置建设项目，符合莎车县总体规划，选址合理可行；项目特点符合清洁生产和循环经济要求；拟采取的各项环保措施具备技术经济可行性，可确保各项污染物稳定达标排放，对外环境不会产生不良影响，不会降低所在区域环境质量；满足卫生防护距离要求；公众对项目建设持较支持态度；满足污染物总量控制要求；在环境风险防范措施和风险应急预案落实到位的前提下，项目的环境风险水平在可接受范围内。综上，在建设方严格按照“三同时”的要求，确保污染治理设施正常运转、充分重视风险防范的前提下，从环境保护的角度出发，本项目的建设是可行的。</w:t>
      </w:r>
    </w:p>
    <w:p w14:paraId="27A7300E">
      <w:pPr>
        <w:pStyle w:val="2"/>
        <w:keepNext/>
        <w:keepLines/>
        <w:pageBreakBefore/>
        <w:spacing w:before="241" w:beforeLines="50" w:after="241" w:afterLines="50" w:line="560" w:lineRule="exact"/>
        <w:ind w:left="554" w:hanging="555" w:hangingChars="152"/>
        <w:jc w:val="both"/>
        <w:rPr>
          <w:rFonts w:hint="eastAsia" w:ascii="Times New Roman" w:hAnsi="Times New Roman" w:cs="Times New Roman" w:eastAsiaTheme="minorEastAsia"/>
          <w:snapToGrid w:val="0"/>
          <w:spacing w:val="2"/>
          <w:kern w:val="44"/>
          <w:sz w:val="36"/>
          <w:szCs w:val="44"/>
          <w:lang w:val="en-US" w:eastAsia="zh-CN"/>
        </w:rPr>
      </w:pPr>
      <w:bookmarkStart w:id="16" w:name="_Toc6861"/>
      <w:r>
        <w:rPr>
          <w:rFonts w:hint="eastAsia" w:ascii="Times New Roman" w:hAnsi="Times New Roman" w:cs="Times New Roman" w:eastAsiaTheme="minorEastAsia"/>
          <w:snapToGrid w:val="0"/>
          <w:spacing w:val="2"/>
          <w:kern w:val="44"/>
          <w:sz w:val="36"/>
          <w:szCs w:val="44"/>
          <w:lang w:val="en-US" w:eastAsia="zh-CN"/>
        </w:rPr>
        <w:t>2总则</w:t>
      </w:r>
      <w:bookmarkEnd w:id="16"/>
    </w:p>
    <w:p w14:paraId="627DB37E">
      <w:pPr>
        <w:pStyle w:val="3"/>
        <w:spacing w:before="120" w:after="120" w:line="500" w:lineRule="exact"/>
        <w:ind w:left="375" w:hanging="375" w:firstLineChars="0"/>
        <w:contextualSpacing/>
        <w:rPr>
          <w:rFonts w:hint="eastAsia" w:ascii="Times New Roman" w:hAnsi="Times New Roman" w:cs="Times New Roman" w:eastAsiaTheme="minorEastAsia"/>
          <w:snapToGrid w:val="0"/>
          <w:kern w:val="0"/>
          <w:sz w:val="28"/>
          <w:szCs w:val="28"/>
          <w:lang w:val="en-US" w:eastAsia="zh-CN"/>
        </w:rPr>
      </w:pPr>
      <w:bookmarkStart w:id="17" w:name="_Toc16745"/>
      <w:r>
        <w:rPr>
          <w:rFonts w:hint="eastAsia" w:ascii="Times New Roman" w:hAnsi="Times New Roman" w:cs="Times New Roman" w:eastAsiaTheme="minorEastAsia"/>
          <w:snapToGrid w:val="0"/>
          <w:kern w:val="0"/>
          <w:sz w:val="28"/>
          <w:szCs w:val="28"/>
          <w:lang w:val="en-US" w:eastAsia="zh-CN"/>
        </w:rPr>
        <w:t>2.1评价目的与原则</w:t>
      </w:r>
      <w:bookmarkEnd w:id="17"/>
    </w:p>
    <w:p w14:paraId="19FE6FA7">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8" w:name="_Toc8449"/>
      <w:r>
        <w:rPr>
          <w:rFonts w:hint="eastAsia" w:ascii="Times New Roman" w:hAnsi="Times New Roman" w:cs="Times New Roman" w:eastAsiaTheme="minorEastAsia"/>
          <w:kern w:val="0"/>
          <w:sz w:val="24"/>
          <w:szCs w:val="24"/>
          <w:lang w:val="en-US" w:eastAsia="zh-CN"/>
        </w:rPr>
        <w:t>2.1.1评价目的</w:t>
      </w:r>
      <w:bookmarkEnd w:id="18"/>
    </w:p>
    <w:p w14:paraId="7476F979">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（1）通过实地调查和资料收集，掌握项目所在区域目前的环境质量现状；</w:t>
      </w:r>
    </w:p>
    <w:p w14:paraId="50CDFCEC">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（2）根据拟建项目的具体情况，核实项目的污染物排放特征，污染物排放量，并对拟采取的环保措施进行可行性分析；</w:t>
      </w:r>
    </w:p>
    <w:p w14:paraId="524FDC6D">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（3）根据污染源和污染物排放情况，预测和评价拟建项目投产后对环境可能造成的影响；</w:t>
      </w:r>
    </w:p>
    <w:p w14:paraId="316F3DF6">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（4）针对项目运营后可能产生的问题提出相应的环保措施和建议，为项目的设计、生产和环境管理提供科学依据，使项目对环境的不利影响降低到最小限度；</w:t>
      </w:r>
    </w:p>
    <w:p w14:paraId="017B8C0A">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（5）分析拟建项目可能存在的风险隐患，预测可能产生的环境风险程度，提出具体的环境风险防范措施；</w:t>
      </w:r>
    </w:p>
    <w:p w14:paraId="473DED42">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（6）评价拟建项目与国家产业政策、区域总体发展规划、清洁生产、达标排放和污染物排放总量控制的符合性。</w:t>
      </w:r>
    </w:p>
    <w:p w14:paraId="6B1E05CC">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通过上述评价，论证拟建项目在环境方面的可行性，给出环境影响评价结论，为本项目的设计、施工、验收及建成投产后的环境管理提供技术依据，为环境保护主管部门提供决策依据。</w:t>
      </w:r>
    </w:p>
    <w:p w14:paraId="63625E24">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19" w:name="_Toc935"/>
      <w:r>
        <w:rPr>
          <w:rFonts w:hint="eastAsia" w:ascii="Times New Roman" w:hAnsi="Times New Roman" w:cs="Times New Roman" w:eastAsiaTheme="minorEastAsia"/>
          <w:kern w:val="0"/>
          <w:sz w:val="24"/>
          <w:szCs w:val="24"/>
          <w:lang w:val="en-US" w:eastAsia="zh-CN"/>
        </w:rPr>
        <w:t>2.1.2评价原则</w:t>
      </w:r>
      <w:bookmarkEnd w:id="19"/>
    </w:p>
    <w:p w14:paraId="2BBC0E37">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本次评价工作依据突出环境影响评价的源头预防作用，坚持保护和改善环境质量的原则进行。</w:t>
      </w:r>
    </w:p>
    <w:p w14:paraId="2C70F9FF">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（1）依法评价</w:t>
      </w:r>
    </w:p>
    <w:p w14:paraId="74441D7A">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贯彻执行我国环境保护相关的法律法规、标准、政策和规划等，优化项目建设，服务环境管理。</w:t>
      </w:r>
    </w:p>
    <w:p w14:paraId="264913DB">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（2）科学评价</w:t>
      </w:r>
    </w:p>
    <w:p w14:paraId="257B3006">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规范环境影响评价方法，科学分析项目建设对环境质量的影响。</w:t>
      </w:r>
    </w:p>
    <w:p w14:paraId="5B23BD16">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（3）突出重点</w:t>
      </w:r>
    </w:p>
    <w:p w14:paraId="1642AE69">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根据建设项目的工程内容及其特点，明确与环境要素间的作用效应关系，充分利用符合时效的数据资料及成果，对建设项目主要环境影响予以重点分析和评价。</w:t>
      </w:r>
    </w:p>
    <w:p w14:paraId="0BF2FCA2">
      <w:pPr>
        <w:pStyle w:val="3"/>
        <w:spacing w:before="120" w:after="120" w:line="500" w:lineRule="exact"/>
        <w:ind w:left="375" w:hanging="375" w:firstLineChars="0"/>
        <w:contextualSpacing/>
        <w:rPr>
          <w:rFonts w:hint="default" w:ascii="Times New Roman" w:hAnsi="Times New Roman" w:cs="Times New Roman" w:eastAsiaTheme="minorEastAsia"/>
          <w:snapToGrid w:val="0"/>
          <w:kern w:val="0"/>
          <w:sz w:val="28"/>
          <w:szCs w:val="28"/>
          <w:lang w:val="en-US" w:eastAsia="zh-CN"/>
        </w:rPr>
      </w:pPr>
      <w:bookmarkStart w:id="20" w:name="2.1.1国家法律、法规条例"/>
      <w:bookmarkEnd w:id="20"/>
      <w:bookmarkStart w:id="21" w:name="_Toc9305"/>
      <w:r>
        <w:rPr>
          <w:rFonts w:hint="default" w:ascii="Times New Roman" w:hAnsi="Times New Roman" w:cs="Times New Roman" w:eastAsiaTheme="minorEastAsia"/>
          <w:snapToGrid w:val="0"/>
          <w:kern w:val="0"/>
          <w:sz w:val="28"/>
          <w:szCs w:val="28"/>
          <w:lang w:val="en-US" w:eastAsia="zh-CN"/>
        </w:rPr>
        <w:t>2.2编制依据</w:t>
      </w:r>
      <w:bookmarkEnd w:id="21"/>
    </w:p>
    <w:p w14:paraId="15E0EE55">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22" w:name="_Toc12070"/>
      <w:bookmarkStart w:id="23" w:name="_Toc4973"/>
      <w:bookmarkStart w:id="24" w:name="_Toc16771"/>
      <w:bookmarkStart w:id="25" w:name="_Toc15940"/>
      <w:bookmarkStart w:id="26" w:name="_Toc5967"/>
      <w:r>
        <w:rPr>
          <w:rFonts w:hint="default" w:ascii="Times New Roman" w:hAnsi="Times New Roman" w:cs="Times New Roman" w:eastAsiaTheme="minorEastAsia"/>
          <w:kern w:val="0"/>
          <w:sz w:val="24"/>
          <w:szCs w:val="24"/>
          <w:lang w:val="en-US" w:eastAsia="zh-CN"/>
        </w:rPr>
        <w:t>2.2.1国家法律法规条例</w:t>
      </w:r>
      <w:bookmarkEnd w:id="22"/>
      <w:bookmarkEnd w:id="23"/>
      <w:bookmarkEnd w:id="24"/>
      <w:bookmarkEnd w:id="25"/>
      <w:bookmarkEnd w:id="26"/>
    </w:p>
    <w:p w14:paraId="4EE059F4">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（1）《中华人民共和国环境保护法》（2015年1月1日）；</w:t>
      </w:r>
    </w:p>
    <w:p w14:paraId="6A01D6F7">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（2）《中华人民共和国环境影响评价法》（2018年12月29日修订）；</w:t>
      </w:r>
    </w:p>
    <w:p w14:paraId="1E791D2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（3）《中华人民共和国大气污染防治法》（2018年10月26日修订）；</w:t>
      </w:r>
    </w:p>
    <w:p w14:paraId="6C91FCB7">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（4）《中华人民共和国水污染防治法》（2018年1月1日）；</w:t>
      </w:r>
    </w:p>
    <w:p w14:paraId="70DB924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（5）《中华人民共和国土壤污染防治法》（2019年1月1日）；</w:t>
      </w:r>
    </w:p>
    <w:p w14:paraId="0BF09C79">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（6）《中华人民共和国噪声污染防治法》（2022年6月5日施行）；</w:t>
      </w:r>
    </w:p>
    <w:p w14:paraId="78AE7243">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（7）《中华人民共和国固体废物污染环境防治法》（2020年9月1日）；</w:t>
      </w:r>
    </w:p>
    <w:p w14:paraId="12401FC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（8）《中华人民共和国清洁生产促进法》（2012年7月1日）；</w:t>
      </w:r>
    </w:p>
    <w:p w14:paraId="4CE93A6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（9）《中华人民共和国循环经济促进法》（2018年10月26日）；</w:t>
      </w:r>
    </w:p>
    <w:p w14:paraId="25F90308">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（10）《中华人民共和国土地管理法》（2020年1月1日修订）；</w:t>
      </w:r>
    </w:p>
    <w:p w14:paraId="315F23D9">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（11）《中华人民共和国水土保持法》（2011年3月1日</w:t>
      </w:r>
      <w:r>
        <w:rPr>
          <w:rFonts w:hint="eastAsia" w:ascii="Times New Roman" w:hAnsi="Times New Roman" w:cs="Times New Roman" w:eastAsiaTheme="minorEastAsia"/>
          <w:sz w:val="24"/>
          <w:lang w:val="en-US" w:eastAsia="zh-CN"/>
        </w:rPr>
        <w:t>施行</w:t>
      </w:r>
      <w:r>
        <w:rPr>
          <w:rFonts w:hint="default" w:ascii="Times New Roman" w:hAnsi="Times New Roman" w:cs="Times New Roman" w:eastAsiaTheme="minorEastAsia"/>
          <w:sz w:val="24"/>
          <w:lang w:val="en-US" w:eastAsia="zh-CN"/>
        </w:rPr>
        <w:t>）；</w:t>
      </w:r>
    </w:p>
    <w:p w14:paraId="509E6249">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bookmarkStart w:id="27" w:name="2.1.2部门规章"/>
      <w:bookmarkEnd w:id="27"/>
      <w:bookmarkStart w:id="28" w:name="_Toc10169"/>
      <w:bookmarkStart w:id="29" w:name="_Toc28714"/>
      <w:r>
        <w:rPr>
          <w:rFonts w:hint="default" w:ascii="Times New Roman" w:hAnsi="Times New Roman" w:cs="Times New Roman" w:eastAsiaTheme="minorEastAsia"/>
          <w:sz w:val="24"/>
          <w:lang w:val="en-US" w:eastAsia="zh-CN"/>
        </w:rPr>
        <w:t>（12）《国务院关于印发大气污染防治行动计划的通知》（国发〔2013〕37号）；</w:t>
      </w:r>
      <w:bookmarkEnd w:id="28"/>
      <w:bookmarkEnd w:id="29"/>
    </w:p>
    <w:p w14:paraId="224006DD">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bookmarkStart w:id="30" w:name="_Toc21646"/>
      <w:bookmarkStart w:id="31" w:name="_Toc4485"/>
      <w:r>
        <w:rPr>
          <w:rFonts w:hint="default" w:ascii="Times New Roman" w:hAnsi="Times New Roman" w:cs="Times New Roman" w:eastAsiaTheme="minorEastAsia"/>
          <w:sz w:val="24"/>
          <w:lang w:val="en-US" w:eastAsia="zh-CN"/>
        </w:rPr>
        <w:t>（13）</w:t>
      </w:r>
      <w:bookmarkEnd w:id="30"/>
      <w:bookmarkEnd w:id="31"/>
      <w:bookmarkStart w:id="32" w:name="_Toc10353"/>
      <w:bookmarkStart w:id="33" w:name="_Toc21452"/>
      <w:r>
        <w:rPr>
          <w:rFonts w:hint="default" w:ascii="Times New Roman" w:hAnsi="Times New Roman" w:cs="Times New Roman" w:eastAsiaTheme="minorEastAsia"/>
          <w:sz w:val="24"/>
          <w:lang w:val="en-US" w:eastAsia="zh-CN"/>
        </w:rPr>
        <w:t>《建设项目环境保护管理条例》（国务院令682号，2017年10月1日施行）；</w:t>
      </w:r>
    </w:p>
    <w:p w14:paraId="59B7C1B2">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（1</w:t>
      </w:r>
      <w:r>
        <w:rPr>
          <w:rFonts w:hint="eastAsia" w:ascii="Times New Roman" w:hAnsi="Times New Roman" w:cs="Times New Roman" w:eastAsiaTheme="minorEastAsia"/>
          <w:sz w:val="24"/>
          <w:lang w:val="en-US" w:eastAsia="zh-CN"/>
        </w:rPr>
        <w:t>4</w:t>
      </w:r>
      <w:r>
        <w:rPr>
          <w:rFonts w:hint="default" w:ascii="Times New Roman" w:hAnsi="Times New Roman" w:cs="Times New Roman" w:eastAsiaTheme="minorEastAsia"/>
          <w:sz w:val="24"/>
          <w:lang w:val="en-US" w:eastAsia="zh-CN"/>
        </w:rPr>
        <w:t>）《中华人民共和国城乡规划法》</w:t>
      </w:r>
      <w:r>
        <w:rPr>
          <w:rFonts w:hint="eastAsia" w:ascii="Times New Roman" w:hAnsi="Times New Roman" w:cs="Times New Roman" w:eastAsiaTheme="minorEastAsia"/>
          <w:sz w:val="24"/>
          <w:lang w:val="en-US" w:eastAsia="zh-CN"/>
        </w:rPr>
        <w:t>（2019年4月23日第二次修正）</w:t>
      </w:r>
      <w:bookmarkEnd w:id="32"/>
      <w:bookmarkEnd w:id="33"/>
      <w:bookmarkStart w:id="34" w:name="_Toc11302"/>
      <w:bookmarkStart w:id="35" w:name="_Toc26686"/>
      <w:bookmarkStart w:id="36" w:name="_Toc14893"/>
      <w:r>
        <w:rPr>
          <w:rFonts w:hint="eastAsia" w:ascii="Times New Roman" w:hAnsi="Times New Roman" w:cs="Times New Roman" w:eastAsiaTheme="minorEastAsia"/>
          <w:sz w:val="24"/>
          <w:lang w:val="en-US" w:eastAsia="zh-CN"/>
        </w:rPr>
        <w:t>。</w:t>
      </w:r>
    </w:p>
    <w:p w14:paraId="70B0C39A">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37" w:name="_Toc8367"/>
      <w:r>
        <w:rPr>
          <w:rFonts w:hint="default" w:ascii="Times New Roman" w:hAnsi="Times New Roman" w:cs="Times New Roman" w:eastAsiaTheme="minorEastAsia"/>
          <w:kern w:val="0"/>
          <w:sz w:val="24"/>
          <w:szCs w:val="24"/>
          <w:lang w:val="en-US" w:eastAsia="zh-CN"/>
        </w:rPr>
        <w:t>2.2.2</w:t>
      </w:r>
      <w:bookmarkEnd w:id="34"/>
      <w:bookmarkEnd w:id="35"/>
      <w:r>
        <w:rPr>
          <w:rFonts w:hint="default" w:ascii="Times New Roman" w:hAnsi="Times New Roman" w:cs="Times New Roman" w:eastAsiaTheme="minorEastAsia"/>
          <w:kern w:val="0"/>
          <w:sz w:val="24"/>
          <w:szCs w:val="24"/>
          <w:lang w:val="en-US" w:eastAsia="zh-CN"/>
        </w:rPr>
        <w:t>政策性规定及文件</w:t>
      </w:r>
      <w:bookmarkEnd w:id="36"/>
      <w:bookmarkEnd w:id="37"/>
    </w:p>
    <w:p w14:paraId="3DE2B1EF">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（1）《国家危险废物名录》（部令第</w:t>
      </w:r>
      <w:r>
        <w:rPr>
          <w:rFonts w:hint="default" w:ascii="Times New Roman" w:hAnsi="Times New Roman" w:cs="Times New Roman" w:eastAsiaTheme="minorEastAsia"/>
          <w:sz w:val="24"/>
          <w:lang w:val="en-US" w:eastAsia="zh-CN"/>
        </w:rPr>
        <w:t>15</w:t>
      </w:r>
      <w:r>
        <w:rPr>
          <w:rFonts w:hint="eastAsia" w:ascii="Times New Roman" w:hAnsi="Times New Roman" w:cs="Times New Roman" w:eastAsiaTheme="minorEastAsia"/>
          <w:sz w:val="24"/>
          <w:lang w:val="en-US" w:eastAsia="zh-CN"/>
        </w:rPr>
        <w:t>号，自</w:t>
      </w:r>
      <w:r>
        <w:rPr>
          <w:rFonts w:hint="default" w:ascii="Times New Roman" w:hAnsi="Times New Roman" w:cs="Times New Roman" w:eastAsiaTheme="minorEastAsia"/>
          <w:sz w:val="24"/>
          <w:lang w:val="en-US" w:eastAsia="zh-CN"/>
        </w:rPr>
        <w:t>202</w:t>
      </w:r>
      <w:r>
        <w:rPr>
          <w:rFonts w:hint="eastAsia" w:ascii="Times New Roman" w:hAnsi="Times New Roman" w:cs="Times New Roman" w:eastAsiaTheme="minorEastAsia"/>
          <w:sz w:val="24"/>
          <w:lang w:val="en-US" w:eastAsia="zh-CN"/>
        </w:rPr>
        <w:t>5年</w:t>
      </w:r>
      <w:r>
        <w:rPr>
          <w:rFonts w:hint="default" w:ascii="Times New Roman" w:hAnsi="Times New Roman" w:cs="Times New Roman" w:eastAsiaTheme="minorEastAsia"/>
          <w:sz w:val="24"/>
          <w:lang w:val="en-US" w:eastAsia="zh-CN"/>
        </w:rPr>
        <w:t>1</w:t>
      </w:r>
      <w:r>
        <w:rPr>
          <w:rFonts w:hint="eastAsia" w:ascii="Times New Roman" w:hAnsi="Times New Roman" w:cs="Times New Roman" w:eastAsiaTheme="minorEastAsia"/>
          <w:sz w:val="24"/>
          <w:lang w:val="en-US" w:eastAsia="zh-CN"/>
        </w:rPr>
        <w:t>月</w:t>
      </w:r>
      <w:r>
        <w:rPr>
          <w:rFonts w:hint="default" w:ascii="Times New Roman" w:hAnsi="Times New Roman" w:cs="Times New Roman" w:eastAsiaTheme="minorEastAsia"/>
          <w:sz w:val="24"/>
          <w:lang w:val="en-US" w:eastAsia="zh-CN"/>
        </w:rPr>
        <w:t>1</w:t>
      </w:r>
      <w:r>
        <w:rPr>
          <w:rFonts w:hint="eastAsia" w:ascii="Times New Roman" w:hAnsi="Times New Roman" w:cs="Times New Roman" w:eastAsiaTheme="minorEastAsia"/>
          <w:sz w:val="24"/>
          <w:lang w:val="en-US" w:eastAsia="zh-CN"/>
        </w:rPr>
        <w:t>日起施行）；</w:t>
      </w:r>
    </w:p>
    <w:p w14:paraId="5E9517F7">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（2）《医疗废物管理条例》（</w:t>
      </w:r>
      <w:r>
        <w:rPr>
          <w:rFonts w:hint="default" w:ascii="Times New Roman" w:hAnsi="Times New Roman" w:cs="Times New Roman" w:eastAsiaTheme="minorEastAsia"/>
          <w:sz w:val="24"/>
          <w:lang w:val="en-US" w:eastAsia="zh-CN"/>
        </w:rPr>
        <w:t>2011</w:t>
      </w:r>
      <w:r>
        <w:rPr>
          <w:rFonts w:hint="eastAsia" w:ascii="Times New Roman" w:hAnsi="Times New Roman" w:cs="Times New Roman" w:eastAsiaTheme="minorEastAsia"/>
          <w:sz w:val="24"/>
          <w:lang w:val="en-US" w:eastAsia="zh-CN"/>
        </w:rPr>
        <w:t>年</w:t>
      </w:r>
      <w:r>
        <w:rPr>
          <w:rFonts w:hint="default" w:ascii="Times New Roman" w:hAnsi="Times New Roman" w:cs="Times New Roman" w:eastAsiaTheme="minorEastAsia"/>
          <w:sz w:val="24"/>
          <w:lang w:val="en-US" w:eastAsia="zh-CN"/>
        </w:rPr>
        <w:t>1</w:t>
      </w:r>
      <w:r>
        <w:rPr>
          <w:rFonts w:hint="eastAsia" w:ascii="Times New Roman" w:hAnsi="Times New Roman" w:cs="Times New Roman" w:eastAsiaTheme="minorEastAsia"/>
          <w:sz w:val="24"/>
          <w:lang w:val="en-US" w:eastAsia="zh-CN"/>
        </w:rPr>
        <w:t>月</w:t>
      </w:r>
      <w:r>
        <w:rPr>
          <w:rFonts w:hint="default" w:ascii="Times New Roman" w:hAnsi="Times New Roman" w:cs="Times New Roman" w:eastAsiaTheme="minorEastAsia"/>
          <w:sz w:val="24"/>
          <w:lang w:val="en-US" w:eastAsia="zh-CN"/>
        </w:rPr>
        <w:t>8</w:t>
      </w:r>
      <w:r>
        <w:rPr>
          <w:rFonts w:hint="eastAsia" w:ascii="Times New Roman" w:hAnsi="Times New Roman" w:cs="Times New Roman" w:eastAsiaTheme="minorEastAsia"/>
          <w:sz w:val="24"/>
          <w:lang w:val="en-US" w:eastAsia="zh-CN"/>
        </w:rPr>
        <w:t>日修订）；</w:t>
      </w:r>
    </w:p>
    <w:p w14:paraId="2F1BD66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（3）《医疗卫生机构医疗废物管理办法》（中华人民共和国卫生部令第</w:t>
      </w:r>
      <w:r>
        <w:rPr>
          <w:rFonts w:hint="default" w:ascii="Times New Roman" w:hAnsi="Times New Roman" w:cs="Times New Roman" w:eastAsiaTheme="minorEastAsia"/>
          <w:sz w:val="24"/>
          <w:lang w:val="en-US" w:eastAsia="zh-CN"/>
        </w:rPr>
        <w:t>36</w:t>
      </w:r>
      <w:r>
        <w:rPr>
          <w:rFonts w:hint="eastAsia" w:ascii="Times New Roman" w:hAnsi="Times New Roman" w:cs="Times New Roman" w:eastAsiaTheme="minorEastAsia"/>
          <w:sz w:val="24"/>
          <w:lang w:val="en-US" w:eastAsia="zh-CN"/>
        </w:rPr>
        <w:t>号），</w:t>
      </w:r>
      <w:r>
        <w:rPr>
          <w:rFonts w:hint="default" w:ascii="Times New Roman" w:hAnsi="Times New Roman" w:cs="Times New Roman" w:eastAsiaTheme="minorEastAsia"/>
          <w:sz w:val="24"/>
          <w:lang w:val="en-US" w:eastAsia="zh-CN"/>
        </w:rPr>
        <w:t>2003</w:t>
      </w:r>
      <w:r>
        <w:rPr>
          <w:rFonts w:hint="eastAsia" w:ascii="Times New Roman" w:hAnsi="Times New Roman" w:cs="Times New Roman" w:eastAsiaTheme="minorEastAsia"/>
          <w:sz w:val="24"/>
          <w:lang w:val="en-US" w:eastAsia="zh-CN"/>
        </w:rPr>
        <w:t>年</w:t>
      </w:r>
      <w:r>
        <w:rPr>
          <w:rFonts w:hint="default" w:ascii="Times New Roman" w:hAnsi="Times New Roman" w:cs="Times New Roman" w:eastAsiaTheme="minorEastAsia"/>
          <w:sz w:val="24"/>
          <w:lang w:val="en-US" w:eastAsia="zh-CN"/>
        </w:rPr>
        <w:t>10</w:t>
      </w:r>
      <w:r>
        <w:rPr>
          <w:rFonts w:hint="eastAsia" w:ascii="Times New Roman" w:hAnsi="Times New Roman" w:cs="Times New Roman" w:eastAsiaTheme="minorEastAsia"/>
          <w:sz w:val="24"/>
          <w:lang w:val="en-US" w:eastAsia="zh-CN"/>
        </w:rPr>
        <w:t>月</w:t>
      </w:r>
      <w:r>
        <w:rPr>
          <w:rFonts w:hint="default" w:ascii="Times New Roman" w:hAnsi="Times New Roman" w:cs="Times New Roman" w:eastAsiaTheme="minorEastAsia"/>
          <w:sz w:val="24"/>
          <w:lang w:val="en-US" w:eastAsia="zh-CN"/>
        </w:rPr>
        <w:t>15</w:t>
      </w:r>
      <w:r>
        <w:rPr>
          <w:rFonts w:hint="eastAsia" w:ascii="Times New Roman" w:hAnsi="Times New Roman" w:cs="Times New Roman" w:eastAsiaTheme="minorEastAsia"/>
          <w:sz w:val="24"/>
          <w:lang w:val="en-US" w:eastAsia="zh-CN"/>
        </w:rPr>
        <w:t>日实施；</w:t>
      </w:r>
    </w:p>
    <w:p w14:paraId="4986EC6D">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（4）《关于进一步加强环境影响评价管理防范环境风险的通知》（环发</w:t>
      </w:r>
      <w:r>
        <w:rPr>
          <w:rFonts w:hint="default" w:ascii="Times New Roman" w:hAnsi="Times New Roman" w:cs="Times New Roman" w:eastAsiaTheme="minorEastAsia"/>
          <w:sz w:val="24"/>
          <w:lang w:val="en-US" w:eastAsia="zh-CN"/>
        </w:rPr>
        <w:t>〔20</w:t>
      </w:r>
      <w:r>
        <w:rPr>
          <w:rFonts w:hint="eastAsia" w:ascii="Times New Roman" w:hAnsi="Times New Roman" w:cs="Times New Roman" w:eastAsiaTheme="minorEastAsia"/>
          <w:sz w:val="24"/>
          <w:lang w:val="en-US" w:eastAsia="zh-CN"/>
        </w:rPr>
        <w:t>12</w:t>
      </w:r>
      <w:r>
        <w:rPr>
          <w:rFonts w:hint="default" w:ascii="Times New Roman" w:hAnsi="Times New Roman" w:cs="Times New Roman" w:eastAsiaTheme="minorEastAsia"/>
          <w:sz w:val="24"/>
          <w:lang w:val="en-US" w:eastAsia="zh-CN"/>
        </w:rPr>
        <w:t>〕77</w:t>
      </w:r>
      <w:r>
        <w:rPr>
          <w:rFonts w:hint="eastAsia" w:ascii="Times New Roman" w:hAnsi="Times New Roman" w:cs="Times New Roman" w:eastAsiaTheme="minorEastAsia"/>
          <w:sz w:val="24"/>
          <w:lang w:val="en-US" w:eastAsia="zh-CN"/>
        </w:rPr>
        <w:t>号）；</w:t>
      </w:r>
    </w:p>
    <w:p w14:paraId="7972624F">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（5）《关于切实加强风险防范严格环境影响评价管理的通知》（环发</w:t>
      </w:r>
      <w:r>
        <w:rPr>
          <w:rFonts w:hint="default" w:ascii="Times New Roman" w:hAnsi="Times New Roman" w:cs="Times New Roman" w:eastAsiaTheme="minorEastAsia"/>
          <w:sz w:val="24"/>
          <w:lang w:val="en-US" w:eastAsia="zh-CN"/>
        </w:rPr>
        <w:t>〔20</w:t>
      </w:r>
      <w:r>
        <w:rPr>
          <w:rFonts w:hint="eastAsia" w:ascii="Times New Roman" w:hAnsi="Times New Roman" w:cs="Times New Roman" w:eastAsiaTheme="minorEastAsia"/>
          <w:sz w:val="24"/>
          <w:lang w:val="en-US" w:eastAsia="zh-CN"/>
        </w:rPr>
        <w:t>12</w:t>
      </w:r>
      <w:r>
        <w:rPr>
          <w:rFonts w:hint="default" w:ascii="Times New Roman" w:hAnsi="Times New Roman" w:cs="Times New Roman" w:eastAsiaTheme="minorEastAsia"/>
          <w:sz w:val="24"/>
          <w:lang w:val="en-US" w:eastAsia="zh-CN"/>
        </w:rPr>
        <w:t>〕98</w:t>
      </w:r>
      <w:r>
        <w:rPr>
          <w:rFonts w:hint="eastAsia" w:ascii="Times New Roman" w:hAnsi="Times New Roman" w:cs="Times New Roman" w:eastAsiaTheme="minorEastAsia"/>
          <w:sz w:val="24"/>
          <w:lang w:val="en-US" w:eastAsia="zh-CN"/>
        </w:rPr>
        <w:t>号）；</w:t>
      </w:r>
    </w:p>
    <w:p w14:paraId="133B444F">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（6）《关于以改善环境质量为核心加强环境影响评价管理的通知》（环环评</w:t>
      </w:r>
      <w:r>
        <w:rPr>
          <w:rFonts w:hint="default" w:ascii="Times New Roman" w:hAnsi="Times New Roman" w:cs="Times New Roman" w:eastAsiaTheme="minorEastAsia"/>
          <w:sz w:val="24"/>
          <w:lang w:val="en-US" w:eastAsia="zh-CN"/>
        </w:rPr>
        <w:t>〔20</w:t>
      </w:r>
      <w:r>
        <w:rPr>
          <w:rFonts w:hint="eastAsia" w:ascii="Times New Roman" w:hAnsi="Times New Roman" w:cs="Times New Roman" w:eastAsiaTheme="minorEastAsia"/>
          <w:sz w:val="24"/>
          <w:lang w:val="en-US" w:eastAsia="zh-CN"/>
        </w:rPr>
        <w:t>16</w:t>
      </w:r>
      <w:r>
        <w:rPr>
          <w:rFonts w:hint="default" w:ascii="Times New Roman" w:hAnsi="Times New Roman" w:cs="Times New Roman" w:eastAsiaTheme="minorEastAsia"/>
          <w:sz w:val="24"/>
          <w:lang w:val="en-US" w:eastAsia="zh-CN"/>
        </w:rPr>
        <w:t>〕150</w:t>
      </w:r>
      <w:r>
        <w:rPr>
          <w:rFonts w:hint="eastAsia" w:ascii="Times New Roman" w:hAnsi="Times New Roman" w:cs="Times New Roman" w:eastAsiaTheme="minorEastAsia"/>
          <w:sz w:val="24"/>
          <w:lang w:val="en-US" w:eastAsia="zh-CN"/>
        </w:rPr>
        <w:t>号）；</w:t>
      </w:r>
    </w:p>
    <w:p w14:paraId="39AE12DB">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（7）《关于落实大气污染防治行动计划严格环境影响评价准入的通知》（环办</w:t>
      </w:r>
      <w:r>
        <w:rPr>
          <w:rFonts w:hint="default" w:ascii="Times New Roman" w:hAnsi="Times New Roman" w:cs="Times New Roman" w:eastAsiaTheme="minorEastAsia"/>
          <w:sz w:val="24"/>
          <w:lang w:val="en-US" w:eastAsia="zh-CN"/>
        </w:rPr>
        <w:t>〔20</w:t>
      </w:r>
      <w:r>
        <w:rPr>
          <w:rFonts w:hint="eastAsia" w:ascii="Times New Roman" w:hAnsi="Times New Roman" w:cs="Times New Roman" w:eastAsiaTheme="minorEastAsia"/>
          <w:sz w:val="24"/>
          <w:lang w:val="en-US" w:eastAsia="zh-CN"/>
        </w:rPr>
        <w:t>14</w:t>
      </w:r>
      <w:r>
        <w:rPr>
          <w:rFonts w:hint="default" w:ascii="Times New Roman" w:hAnsi="Times New Roman" w:cs="Times New Roman" w:eastAsiaTheme="minorEastAsia"/>
          <w:sz w:val="24"/>
          <w:lang w:val="en-US" w:eastAsia="zh-CN"/>
        </w:rPr>
        <w:t>〕30</w:t>
      </w:r>
      <w:r>
        <w:rPr>
          <w:rFonts w:hint="eastAsia" w:ascii="Times New Roman" w:hAnsi="Times New Roman" w:cs="Times New Roman" w:eastAsiaTheme="minorEastAsia"/>
          <w:sz w:val="24"/>
          <w:lang w:val="en-US" w:eastAsia="zh-CN"/>
        </w:rPr>
        <w:t>号，</w:t>
      </w:r>
      <w:r>
        <w:rPr>
          <w:rFonts w:hint="default" w:ascii="Times New Roman" w:hAnsi="Times New Roman" w:cs="Times New Roman" w:eastAsiaTheme="minorEastAsia"/>
          <w:sz w:val="24"/>
          <w:lang w:val="en-US" w:eastAsia="zh-CN"/>
        </w:rPr>
        <w:t>2014</w:t>
      </w:r>
      <w:r>
        <w:rPr>
          <w:rFonts w:hint="eastAsia" w:ascii="Times New Roman" w:hAnsi="Times New Roman" w:cs="Times New Roman" w:eastAsiaTheme="minorEastAsia"/>
          <w:sz w:val="24"/>
          <w:lang w:val="en-US" w:eastAsia="zh-CN"/>
        </w:rPr>
        <w:t>年</w:t>
      </w:r>
      <w:r>
        <w:rPr>
          <w:rFonts w:hint="default" w:ascii="Times New Roman" w:hAnsi="Times New Roman" w:cs="Times New Roman" w:eastAsiaTheme="minorEastAsia"/>
          <w:sz w:val="24"/>
          <w:lang w:val="en-US" w:eastAsia="zh-CN"/>
        </w:rPr>
        <w:t>3</w:t>
      </w:r>
      <w:r>
        <w:rPr>
          <w:rFonts w:hint="eastAsia" w:ascii="Times New Roman" w:hAnsi="Times New Roman" w:cs="Times New Roman" w:eastAsiaTheme="minorEastAsia"/>
          <w:sz w:val="24"/>
          <w:lang w:val="en-US" w:eastAsia="zh-CN"/>
        </w:rPr>
        <w:t>月</w:t>
      </w:r>
      <w:r>
        <w:rPr>
          <w:rFonts w:hint="default" w:ascii="Times New Roman" w:hAnsi="Times New Roman" w:cs="Times New Roman" w:eastAsiaTheme="minorEastAsia"/>
          <w:sz w:val="24"/>
          <w:lang w:val="en-US" w:eastAsia="zh-CN"/>
        </w:rPr>
        <w:t>25</w:t>
      </w:r>
      <w:r>
        <w:rPr>
          <w:rFonts w:hint="eastAsia" w:ascii="Times New Roman" w:hAnsi="Times New Roman" w:cs="Times New Roman" w:eastAsiaTheme="minorEastAsia"/>
          <w:sz w:val="24"/>
          <w:lang w:val="en-US" w:eastAsia="zh-CN"/>
        </w:rPr>
        <w:t>日）；</w:t>
      </w:r>
    </w:p>
    <w:p w14:paraId="74DAEC51">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（8）《国务院关于印发水污染防治行动计划的通知》（国发〔</w:t>
      </w:r>
      <w:r>
        <w:rPr>
          <w:rFonts w:hint="default" w:ascii="Times New Roman" w:hAnsi="Times New Roman" w:cs="Times New Roman" w:eastAsiaTheme="minorEastAsia"/>
          <w:sz w:val="24"/>
          <w:lang w:val="en-US" w:eastAsia="zh-CN"/>
        </w:rPr>
        <w:t>2015</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17</w:t>
      </w:r>
      <w:r>
        <w:rPr>
          <w:rFonts w:hint="eastAsia" w:ascii="Times New Roman" w:hAnsi="Times New Roman" w:cs="Times New Roman" w:eastAsiaTheme="minorEastAsia"/>
          <w:sz w:val="24"/>
          <w:lang w:val="en-US" w:eastAsia="zh-CN"/>
        </w:rPr>
        <w:t>号，</w:t>
      </w:r>
      <w:r>
        <w:rPr>
          <w:rFonts w:hint="default" w:ascii="Times New Roman" w:hAnsi="Times New Roman" w:cs="Times New Roman" w:eastAsiaTheme="minorEastAsia"/>
          <w:sz w:val="24"/>
          <w:lang w:val="en-US" w:eastAsia="zh-CN"/>
        </w:rPr>
        <w:t>2015</w:t>
      </w:r>
      <w:r>
        <w:rPr>
          <w:rFonts w:hint="eastAsia" w:ascii="Times New Roman" w:hAnsi="Times New Roman" w:cs="Times New Roman" w:eastAsiaTheme="minorEastAsia"/>
          <w:sz w:val="24"/>
          <w:lang w:val="en-US" w:eastAsia="zh-CN"/>
        </w:rPr>
        <w:t>年</w:t>
      </w:r>
      <w:r>
        <w:rPr>
          <w:rFonts w:hint="default" w:ascii="Times New Roman" w:hAnsi="Times New Roman" w:cs="Times New Roman" w:eastAsiaTheme="minorEastAsia"/>
          <w:sz w:val="24"/>
          <w:lang w:val="en-US" w:eastAsia="zh-CN"/>
        </w:rPr>
        <w:t>4</w:t>
      </w:r>
      <w:r>
        <w:rPr>
          <w:rFonts w:hint="eastAsia" w:ascii="Times New Roman" w:hAnsi="Times New Roman" w:cs="Times New Roman" w:eastAsiaTheme="minorEastAsia"/>
          <w:sz w:val="24"/>
          <w:lang w:val="en-US" w:eastAsia="zh-CN"/>
        </w:rPr>
        <w:t>月</w:t>
      </w:r>
      <w:r>
        <w:rPr>
          <w:rFonts w:hint="default" w:ascii="Times New Roman" w:hAnsi="Times New Roman" w:cs="Times New Roman" w:eastAsiaTheme="minorEastAsia"/>
          <w:sz w:val="24"/>
          <w:lang w:val="en-US" w:eastAsia="zh-CN"/>
        </w:rPr>
        <w:t>2</w:t>
      </w:r>
      <w:r>
        <w:rPr>
          <w:rFonts w:hint="eastAsia" w:ascii="Times New Roman" w:hAnsi="Times New Roman" w:cs="Times New Roman" w:eastAsiaTheme="minorEastAsia"/>
          <w:sz w:val="24"/>
          <w:lang w:val="en-US" w:eastAsia="zh-CN"/>
        </w:rPr>
        <w:t>日）；</w:t>
      </w:r>
    </w:p>
    <w:p w14:paraId="5893955F">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（9）《国务院关于全国危险废物和医疗废物处置设施建设规划的批复》（国函</w:t>
      </w:r>
      <w:r>
        <w:rPr>
          <w:rFonts w:hint="default" w:ascii="Times New Roman" w:hAnsi="Times New Roman" w:cs="Times New Roman" w:eastAsiaTheme="minorEastAsia"/>
          <w:sz w:val="24"/>
          <w:lang w:val="en-US" w:eastAsia="zh-CN"/>
        </w:rPr>
        <w:t>〔20</w:t>
      </w:r>
      <w:r>
        <w:rPr>
          <w:rFonts w:hint="eastAsia" w:ascii="Times New Roman" w:hAnsi="Times New Roman" w:cs="Times New Roman" w:eastAsiaTheme="minorEastAsia"/>
          <w:sz w:val="24"/>
          <w:lang w:val="en-US" w:eastAsia="zh-CN"/>
        </w:rPr>
        <w:t>03</w:t>
      </w:r>
      <w:r>
        <w:rPr>
          <w:rFonts w:hint="default" w:ascii="Times New Roman" w:hAnsi="Times New Roman" w:cs="Times New Roman" w:eastAsiaTheme="minorEastAsia"/>
          <w:sz w:val="24"/>
          <w:lang w:val="en-US" w:eastAsia="zh-CN"/>
        </w:rPr>
        <w:t>〕128</w:t>
      </w:r>
      <w:r>
        <w:rPr>
          <w:rFonts w:hint="eastAsia" w:ascii="Times New Roman" w:hAnsi="Times New Roman" w:cs="Times New Roman" w:eastAsiaTheme="minorEastAsia"/>
          <w:sz w:val="24"/>
          <w:lang w:val="en-US" w:eastAsia="zh-CN"/>
        </w:rPr>
        <w:t>号），</w:t>
      </w:r>
      <w:r>
        <w:rPr>
          <w:rFonts w:hint="default" w:ascii="Times New Roman" w:hAnsi="Times New Roman" w:cs="Times New Roman" w:eastAsiaTheme="minorEastAsia"/>
          <w:sz w:val="24"/>
          <w:lang w:val="en-US" w:eastAsia="zh-CN"/>
        </w:rPr>
        <w:t>2003</w:t>
      </w:r>
      <w:r>
        <w:rPr>
          <w:rFonts w:hint="eastAsia" w:ascii="Times New Roman" w:hAnsi="Times New Roman" w:cs="Times New Roman" w:eastAsiaTheme="minorEastAsia"/>
          <w:sz w:val="24"/>
          <w:lang w:val="en-US" w:eastAsia="zh-CN"/>
        </w:rPr>
        <w:t>年</w:t>
      </w:r>
      <w:r>
        <w:rPr>
          <w:rFonts w:hint="default" w:ascii="Times New Roman" w:hAnsi="Times New Roman" w:cs="Times New Roman" w:eastAsiaTheme="minorEastAsia"/>
          <w:sz w:val="24"/>
          <w:lang w:val="en-US" w:eastAsia="zh-CN"/>
        </w:rPr>
        <w:t>12</w:t>
      </w:r>
      <w:r>
        <w:rPr>
          <w:rFonts w:hint="eastAsia" w:ascii="Times New Roman" w:hAnsi="Times New Roman" w:cs="Times New Roman" w:eastAsiaTheme="minorEastAsia"/>
          <w:sz w:val="24"/>
          <w:lang w:val="en-US" w:eastAsia="zh-CN"/>
        </w:rPr>
        <w:t>月</w:t>
      </w:r>
      <w:r>
        <w:rPr>
          <w:rFonts w:hint="default" w:ascii="Times New Roman" w:hAnsi="Times New Roman" w:cs="Times New Roman" w:eastAsiaTheme="minorEastAsia"/>
          <w:sz w:val="24"/>
          <w:lang w:val="en-US" w:eastAsia="zh-CN"/>
        </w:rPr>
        <w:t>29</w:t>
      </w:r>
      <w:r>
        <w:rPr>
          <w:rFonts w:hint="eastAsia" w:ascii="Times New Roman" w:hAnsi="Times New Roman" w:cs="Times New Roman" w:eastAsiaTheme="minorEastAsia"/>
          <w:sz w:val="24"/>
          <w:lang w:val="en-US" w:eastAsia="zh-CN"/>
        </w:rPr>
        <w:t>日；</w:t>
      </w:r>
    </w:p>
    <w:p w14:paraId="1EC6EB5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（10）《环境影响评价公众参与办法》部令第</w:t>
      </w:r>
      <w:r>
        <w:rPr>
          <w:rFonts w:hint="default" w:ascii="Times New Roman" w:hAnsi="Times New Roman" w:cs="Times New Roman" w:eastAsiaTheme="minorEastAsia"/>
          <w:sz w:val="24"/>
          <w:lang w:val="en-US" w:eastAsia="zh-CN"/>
        </w:rPr>
        <w:t>4</w:t>
      </w:r>
      <w:r>
        <w:rPr>
          <w:rFonts w:hint="eastAsia" w:ascii="Times New Roman" w:hAnsi="Times New Roman" w:cs="Times New Roman" w:eastAsiaTheme="minorEastAsia"/>
          <w:sz w:val="24"/>
          <w:lang w:val="en-US" w:eastAsia="zh-CN"/>
        </w:rPr>
        <w:t>号（2018年7月16日）；</w:t>
      </w:r>
    </w:p>
    <w:p w14:paraId="0C22951F">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（11）《关于发布〈环境影响评价公众参与办法〉配套文件的公告》（生态环境部</w:t>
      </w:r>
      <w:r>
        <w:rPr>
          <w:rFonts w:hint="default" w:ascii="Times New Roman" w:hAnsi="Times New Roman" w:cs="Times New Roman" w:eastAsiaTheme="minorEastAsia"/>
          <w:sz w:val="24"/>
          <w:lang w:val="en-US" w:eastAsia="zh-CN"/>
        </w:rPr>
        <w:t>2018</w:t>
      </w:r>
      <w:r>
        <w:rPr>
          <w:rFonts w:hint="eastAsia" w:ascii="Times New Roman" w:hAnsi="Times New Roman" w:cs="Times New Roman" w:eastAsiaTheme="minorEastAsia"/>
          <w:sz w:val="24"/>
          <w:lang w:val="en-US" w:eastAsia="zh-CN"/>
        </w:rPr>
        <w:t>年第48号，</w:t>
      </w:r>
      <w:r>
        <w:rPr>
          <w:rFonts w:hint="default" w:ascii="Times New Roman" w:hAnsi="Times New Roman" w:cs="Times New Roman" w:eastAsiaTheme="minorEastAsia"/>
          <w:sz w:val="24"/>
          <w:lang w:val="en-US" w:eastAsia="zh-CN"/>
        </w:rPr>
        <w:t>2018</w:t>
      </w:r>
      <w:r>
        <w:rPr>
          <w:rFonts w:hint="eastAsia" w:ascii="Times New Roman" w:hAnsi="Times New Roman" w:cs="Times New Roman" w:eastAsiaTheme="minorEastAsia"/>
          <w:sz w:val="24"/>
          <w:lang w:val="en-US" w:eastAsia="zh-CN"/>
        </w:rPr>
        <w:t>年</w:t>
      </w:r>
      <w:r>
        <w:rPr>
          <w:rFonts w:hint="default" w:ascii="Times New Roman" w:hAnsi="Times New Roman" w:cs="Times New Roman" w:eastAsiaTheme="minorEastAsia"/>
          <w:sz w:val="24"/>
          <w:lang w:val="en-US" w:eastAsia="zh-CN"/>
        </w:rPr>
        <w:t>10</w:t>
      </w:r>
      <w:r>
        <w:rPr>
          <w:rFonts w:hint="eastAsia" w:ascii="Times New Roman" w:hAnsi="Times New Roman" w:cs="Times New Roman" w:eastAsiaTheme="minorEastAsia"/>
          <w:sz w:val="24"/>
          <w:lang w:val="en-US" w:eastAsia="zh-CN"/>
        </w:rPr>
        <w:t>月</w:t>
      </w:r>
      <w:r>
        <w:rPr>
          <w:rFonts w:hint="default" w:ascii="Times New Roman" w:hAnsi="Times New Roman" w:cs="Times New Roman" w:eastAsiaTheme="minorEastAsia"/>
          <w:sz w:val="24"/>
          <w:lang w:val="en-US" w:eastAsia="zh-CN"/>
        </w:rPr>
        <w:t>12</w:t>
      </w:r>
      <w:r>
        <w:rPr>
          <w:rFonts w:hint="eastAsia" w:ascii="Times New Roman" w:hAnsi="Times New Roman" w:cs="Times New Roman" w:eastAsiaTheme="minorEastAsia"/>
          <w:sz w:val="24"/>
          <w:lang w:val="en-US" w:eastAsia="zh-CN"/>
        </w:rPr>
        <w:t>日）；</w:t>
      </w:r>
    </w:p>
    <w:p w14:paraId="18D659E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（12）《关于发布〈建设项目危险废物环境影响评价指南〉的公告》（环境保护部公告</w:t>
      </w:r>
      <w:r>
        <w:rPr>
          <w:rFonts w:hint="default" w:ascii="Times New Roman" w:hAnsi="Times New Roman" w:cs="Times New Roman" w:eastAsiaTheme="minorEastAsia"/>
          <w:sz w:val="24"/>
          <w:lang w:val="en-US" w:eastAsia="zh-CN"/>
        </w:rPr>
        <w:t>2017</w:t>
      </w:r>
      <w:r>
        <w:rPr>
          <w:rFonts w:hint="eastAsia" w:ascii="Times New Roman" w:hAnsi="Times New Roman" w:cs="Times New Roman" w:eastAsiaTheme="minorEastAsia"/>
          <w:sz w:val="24"/>
          <w:lang w:val="en-US" w:eastAsia="zh-CN"/>
        </w:rPr>
        <w:t>年第</w:t>
      </w:r>
      <w:r>
        <w:rPr>
          <w:rFonts w:hint="default" w:ascii="Times New Roman" w:hAnsi="Times New Roman" w:cs="Times New Roman" w:eastAsiaTheme="minorEastAsia"/>
          <w:sz w:val="24"/>
          <w:lang w:val="en-US" w:eastAsia="zh-CN"/>
        </w:rPr>
        <w:t>43</w:t>
      </w:r>
      <w:r>
        <w:rPr>
          <w:rFonts w:hint="eastAsia" w:ascii="Times New Roman" w:hAnsi="Times New Roman" w:cs="Times New Roman" w:eastAsiaTheme="minorEastAsia"/>
          <w:sz w:val="24"/>
          <w:lang w:val="en-US" w:eastAsia="zh-CN"/>
        </w:rPr>
        <w:t>号，</w:t>
      </w:r>
      <w:r>
        <w:rPr>
          <w:rFonts w:hint="default" w:ascii="Times New Roman" w:hAnsi="Times New Roman" w:cs="Times New Roman" w:eastAsiaTheme="minorEastAsia"/>
          <w:sz w:val="24"/>
          <w:lang w:val="en-US" w:eastAsia="zh-CN"/>
        </w:rPr>
        <w:t>2017</w:t>
      </w:r>
      <w:r>
        <w:rPr>
          <w:rFonts w:hint="eastAsia" w:ascii="Times New Roman" w:hAnsi="Times New Roman" w:cs="Times New Roman" w:eastAsiaTheme="minorEastAsia"/>
          <w:sz w:val="24"/>
          <w:lang w:val="en-US" w:eastAsia="zh-CN"/>
        </w:rPr>
        <w:t>年</w:t>
      </w:r>
      <w:r>
        <w:rPr>
          <w:rFonts w:hint="default" w:ascii="Times New Roman" w:hAnsi="Times New Roman" w:cs="Times New Roman" w:eastAsiaTheme="minorEastAsia"/>
          <w:sz w:val="24"/>
          <w:lang w:val="en-US" w:eastAsia="zh-CN"/>
        </w:rPr>
        <w:t>10</w:t>
      </w:r>
      <w:r>
        <w:rPr>
          <w:rFonts w:hint="eastAsia" w:ascii="Times New Roman" w:hAnsi="Times New Roman" w:cs="Times New Roman" w:eastAsiaTheme="minorEastAsia"/>
          <w:sz w:val="24"/>
          <w:lang w:val="en-US" w:eastAsia="zh-CN"/>
        </w:rPr>
        <w:t>月</w:t>
      </w:r>
      <w:r>
        <w:rPr>
          <w:rFonts w:hint="default" w:ascii="Times New Roman" w:hAnsi="Times New Roman" w:cs="Times New Roman" w:eastAsiaTheme="minorEastAsia"/>
          <w:sz w:val="24"/>
          <w:lang w:val="en-US" w:eastAsia="zh-CN"/>
        </w:rPr>
        <w:t>1</w:t>
      </w:r>
      <w:r>
        <w:rPr>
          <w:rFonts w:hint="eastAsia" w:ascii="Times New Roman" w:hAnsi="Times New Roman" w:cs="Times New Roman" w:eastAsiaTheme="minorEastAsia"/>
          <w:sz w:val="24"/>
          <w:lang w:val="en-US" w:eastAsia="zh-CN"/>
        </w:rPr>
        <w:t>日）；</w:t>
      </w:r>
    </w:p>
    <w:p w14:paraId="12D320BF">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（13）《关于进一步加强危险废物和医疗废物监管工作的意见》（环发</w:t>
      </w:r>
      <w:r>
        <w:rPr>
          <w:rFonts w:hint="default" w:ascii="Times New Roman" w:hAnsi="Times New Roman" w:cs="Times New Roman" w:eastAsiaTheme="minorEastAsia"/>
          <w:sz w:val="24"/>
          <w:lang w:val="en-US" w:eastAsia="zh-CN"/>
        </w:rPr>
        <w:t>〔20</w:t>
      </w:r>
      <w:r>
        <w:rPr>
          <w:rFonts w:hint="eastAsia" w:ascii="Times New Roman" w:hAnsi="Times New Roman" w:cs="Times New Roman" w:eastAsiaTheme="minorEastAsia"/>
          <w:sz w:val="24"/>
          <w:lang w:val="en-US" w:eastAsia="zh-CN"/>
        </w:rPr>
        <w:t>11</w:t>
      </w:r>
      <w:r>
        <w:rPr>
          <w:rFonts w:hint="default" w:ascii="Times New Roman" w:hAnsi="Times New Roman" w:cs="Times New Roman" w:eastAsiaTheme="minorEastAsia"/>
          <w:sz w:val="24"/>
          <w:lang w:val="en-US" w:eastAsia="zh-CN"/>
        </w:rPr>
        <w:t>〕19</w:t>
      </w:r>
      <w:r>
        <w:rPr>
          <w:rFonts w:hint="eastAsia" w:ascii="Times New Roman" w:hAnsi="Times New Roman" w:cs="Times New Roman" w:eastAsiaTheme="minorEastAsia"/>
          <w:sz w:val="24"/>
          <w:lang w:val="en-US" w:eastAsia="zh-CN"/>
        </w:rPr>
        <w:t>号）；</w:t>
      </w:r>
    </w:p>
    <w:p w14:paraId="66D0DBA2">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（14）《关于进一步规范医疗废物管理工作的通知》（国卫办医发</w:t>
      </w:r>
      <w:r>
        <w:rPr>
          <w:rFonts w:hint="default" w:ascii="Times New Roman" w:hAnsi="Times New Roman" w:cs="Times New Roman" w:eastAsiaTheme="minorEastAsia"/>
          <w:sz w:val="24"/>
          <w:lang w:val="en-US" w:eastAsia="zh-CN"/>
        </w:rPr>
        <w:t>〔20</w:t>
      </w:r>
      <w:r>
        <w:rPr>
          <w:rFonts w:hint="eastAsia" w:ascii="Times New Roman" w:hAnsi="Times New Roman" w:cs="Times New Roman" w:eastAsiaTheme="minorEastAsia"/>
          <w:sz w:val="24"/>
          <w:lang w:val="en-US" w:eastAsia="zh-CN"/>
        </w:rPr>
        <w:t>17</w:t>
      </w:r>
      <w:r>
        <w:rPr>
          <w:rFonts w:hint="default" w:ascii="Times New Roman" w:hAnsi="Times New Roman" w:cs="Times New Roman" w:eastAsiaTheme="minorEastAsia"/>
          <w:sz w:val="24"/>
          <w:lang w:val="en-US" w:eastAsia="zh-CN"/>
        </w:rPr>
        <w:t>〕32</w:t>
      </w:r>
      <w:r>
        <w:rPr>
          <w:rFonts w:hint="eastAsia" w:ascii="Times New Roman" w:hAnsi="Times New Roman" w:cs="Times New Roman" w:eastAsiaTheme="minorEastAsia"/>
          <w:sz w:val="24"/>
          <w:lang w:val="en-US" w:eastAsia="zh-CN"/>
        </w:rPr>
        <w:t>号）；</w:t>
      </w:r>
    </w:p>
    <w:p w14:paraId="4DBBA9B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（15）《全国危险废物和医疗</w:t>
      </w:r>
      <w:r>
        <w:rPr>
          <w:rFonts w:hint="eastAsia" w:ascii="Times New Roman" w:hAnsi="Times New Roman" w:cs="Times New Roman"/>
          <w:sz w:val="24"/>
          <w:lang w:val="en-US" w:eastAsia="zh-CN"/>
        </w:rPr>
        <w:t>废物</w:t>
      </w:r>
      <w:r>
        <w:rPr>
          <w:rFonts w:hint="eastAsia" w:ascii="Times New Roman" w:hAnsi="Times New Roman" w:cs="Times New Roman" w:eastAsiaTheme="minorEastAsia"/>
          <w:sz w:val="24"/>
          <w:lang w:val="en-US" w:eastAsia="zh-CN"/>
        </w:rPr>
        <w:t>处置设施建设规划》（环发</w:t>
      </w:r>
      <w:r>
        <w:rPr>
          <w:rFonts w:hint="default" w:ascii="Times New Roman" w:hAnsi="Times New Roman" w:cs="Times New Roman" w:eastAsiaTheme="minorEastAsia"/>
          <w:sz w:val="24"/>
          <w:lang w:val="en-US" w:eastAsia="zh-CN"/>
        </w:rPr>
        <w:t>〔20</w:t>
      </w:r>
      <w:r>
        <w:rPr>
          <w:rFonts w:hint="eastAsia" w:ascii="Times New Roman" w:hAnsi="Times New Roman" w:cs="Times New Roman" w:eastAsiaTheme="minorEastAsia"/>
          <w:sz w:val="24"/>
          <w:lang w:val="en-US" w:eastAsia="zh-CN"/>
        </w:rPr>
        <w:t>04</w:t>
      </w:r>
      <w:r>
        <w:rPr>
          <w:rFonts w:hint="default" w:ascii="Times New Roman" w:hAnsi="Times New Roman" w:cs="Times New Roman" w:eastAsiaTheme="minorEastAsia"/>
          <w:sz w:val="24"/>
          <w:lang w:val="en-US" w:eastAsia="zh-CN"/>
        </w:rPr>
        <w:t>〕16</w:t>
      </w:r>
      <w:r>
        <w:rPr>
          <w:rFonts w:hint="eastAsia" w:ascii="Times New Roman" w:hAnsi="Times New Roman" w:cs="Times New Roman" w:eastAsiaTheme="minorEastAsia"/>
          <w:sz w:val="24"/>
          <w:lang w:val="en-US" w:eastAsia="zh-CN"/>
        </w:rPr>
        <w:t>号，</w:t>
      </w:r>
      <w:r>
        <w:rPr>
          <w:rFonts w:hint="default" w:ascii="Times New Roman" w:hAnsi="Times New Roman" w:cs="Times New Roman" w:eastAsiaTheme="minorEastAsia"/>
          <w:sz w:val="24"/>
          <w:lang w:val="en-US" w:eastAsia="zh-CN"/>
        </w:rPr>
        <w:t>2004</w:t>
      </w:r>
      <w:r>
        <w:rPr>
          <w:rFonts w:hint="eastAsia" w:ascii="Times New Roman" w:hAnsi="Times New Roman" w:cs="Times New Roman" w:eastAsiaTheme="minorEastAsia"/>
          <w:sz w:val="24"/>
          <w:lang w:val="en-US" w:eastAsia="zh-CN"/>
        </w:rPr>
        <w:t>年</w:t>
      </w:r>
      <w:r>
        <w:rPr>
          <w:rFonts w:hint="default" w:ascii="Times New Roman" w:hAnsi="Times New Roman" w:cs="Times New Roman" w:eastAsiaTheme="minorEastAsia"/>
          <w:sz w:val="24"/>
          <w:lang w:val="en-US" w:eastAsia="zh-CN"/>
        </w:rPr>
        <w:t>1</w:t>
      </w:r>
      <w:r>
        <w:rPr>
          <w:rFonts w:hint="eastAsia" w:ascii="Times New Roman" w:hAnsi="Times New Roman" w:cs="Times New Roman" w:eastAsiaTheme="minorEastAsia"/>
          <w:sz w:val="24"/>
          <w:lang w:val="en-US" w:eastAsia="zh-CN"/>
        </w:rPr>
        <w:t>月</w:t>
      </w:r>
      <w:r>
        <w:rPr>
          <w:rFonts w:hint="default" w:ascii="Times New Roman" w:hAnsi="Times New Roman" w:cs="Times New Roman" w:eastAsiaTheme="minorEastAsia"/>
          <w:sz w:val="24"/>
          <w:lang w:val="en-US" w:eastAsia="zh-CN"/>
        </w:rPr>
        <w:t>19</w:t>
      </w:r>
      <w:r>
        <w:rPr>
          <w:rFonts w:hint="eastAsia" w:ascii="Times New Roman" w:hAnsi="Times New Roman" w:cs="Times New Roman" w:eastAsiaTheme="minorEastAsia"/>
          <w:sz w:val="24"/>
          <w:lang w:val="en-US" w:eastAsia="zh-CN"/>
        </w:rPr>
        <w:t>日）；</w:t>
      </w:r>
    </w:p>
    <w:p w14:paraId="2FF1C848">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（16）《关于加强国家重点生态功能区环境保护和管理的意见》（环发</w:t>
      </w:r>
      <w:r>
        <w:rPr>
          <w:rFonts w:hint="default" w:ascii="Times New Roman" w:hAnsi="Times New Roman" w:cs="Times New Roman" w:eastAsiaTheme="minorEastAsia"/>
          <w:sz w:val="24"/>
          <w:lang w:val="en-US" w:eastAsia="zh-CN"/>
        </w:rPr>
        <w:t>〔20</w:t>
      </w:r>
      <w:r>
        <w:rPr>
          <w:rFonts w:hint="eastAsia" w:ascii="Times New Roman" w:hAnsi="Times New Roman" w:cs="Times New Roman" w:eastAsiaTheme="minorEastAsia"/>
          <w:sz w:val="24"/>
          <w:lang w:val="en-US" w:eastAsia="zh-CN"/>
        </w:rPr>
        <w:t>13</w:t>
      </w:r>
      <w:r>
        <w:rPr>
          <w:rFonts w:hint="default" w:ascii="Times New Roman" w:hAnsi="Times New Roman" w:cs="Times New Roman" w:eastAsiaTheme="minorEastAsia"/>
          <w:sz w:val="24"/>
          <w:lang w:val="en-US" w:eastAsia="zh-CN"/>
        </w:rPr>
        <w:t>〕16</w:t>
      </w:r>
      <w:r>
        <w:rPr>
          <w:rFonts w:hint="eastAsia" w:ascii="Times New Roman" w:hAnsi="Times New Roman" w:cs="Times New Roman" w:eastAsiaTheme="minorEastAsia"/>
          <w:sz w:val="24"/>
          <w:lang w:val="en-US" w:eastAsia="zh-CN"/>
        </w:rPr>
        <w:t>号）。</w:t>
      </w:r>
    </w:p>
    <w:p w14:paraId="079AA7F8">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38" w:name="_Toc9345"/>
      <w:bookmarkStart w:id="39" w:name="_Toc32514"/>
      <w:bookmarkStart w:id="40" w:name="_Toc482"/>
      <w:r>
        <w:rPr>
          <w:rFonts w:hint="default" w:ascii="Times New Roman" w:hAnsi="Times New Roman" w:cs="Times New Roman" w:eastAsiaTheme="minorEastAsia"/>
          <w:kern w:val="0"/>
          <w:sz w:val="24"/>
          <w:szCs w:val="24"/>
          <w:lang w:val="en-US" w:eastAsia="zh-CN"/>
        </w:rPr>
        <w:t>2.2.3</w:t>
      </w:r>
      <w:bookmarkEnd w:id="38"/>
      <w:r>
        <w:rPr>
          <w:rFonts w:hint="default" w:ascii="Times New Roman" w:hAnsi="Times New Roman" w:cs="Times New Roman" w:eastAsiaTheme="minorEastAsia"/>
          <w:kern w:val="0"/>
          <w:sz w:val="24"/>
          <w:szCs w:val="24"/>
          <w:lang w:val="en-US" w:eastAsia="zh-CN"/>
        </w:rPr>
        <w:t>自治区环境保护和地方有关规划</w:t>
      </w:r>
      <w:bookmarkEnd w:id="39"/>
      <w:bookmarkEnd w:id="40"/>
    </w:p>
    <w:p w14:paraId="48A91640">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w:t>
      </w:r>
      <w:r>
        <w:rPr>
          <w:rFonts w:hint="default" w:ascii="Times New Roman" w:hAnsi="Times New Roman" w:cs="Times New Roman" w:eastAsiaTheme="minorEastAsia"/>
          <w:sz w:val="24"/>
          <w:lang w:val="en-US" w:eastAsia="zh-CN"/>
        </w:rPr>
        <w:t>）《新疆维吾尔自治区环境保护条例》（2019年1月1日）；</w:t>
      </w:r>
    </w:p>
    <w:p w14:paraId="5832935C">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（2）《新疆维吾尔自治区野生植物保护条例》（</w:t>
      </w:r>
      <w:r>
        <w:rPr>
          <w:rFonts w:hint="default" w:ascii="Times New Roman" w:hAnsi="Times New Roman" w:cs="Times New Roman" w:eastAsiaTheme="minorEastAsia"/>
          <w:sz w:val="24"/>
          <w:lang w:val="en-US" w:eastAsia="zh-CN"/>
        </w:rPr>
        <w:t>2018</w:t>
      </w:r>
      <w:r>
        <w:rPr>
          <w:rFonts w:hint="eastAsia" w:ascii="Times New Roman" w:hAnsi="Times New Roman" w:cs="Times New Roman" w:eastAsiaTheme="minorEastAsia"/>
          <w:sz w:val="24"/>
          <w:lang w:val="en-US" w:eastAsia="zh-CN"/>
        </w:rPr>
        <w:t>年</w:t>
      </w:r>
      <w:r>
        <w:rPr>
          <w:rFonts w:hint="default" w:ascii="Times New Roman" w:hAnsi="Times New Roman" w:cs="Times New Roman" w:eastAsiaTheme="minorEastAsia"/>
          <w:sz w:val="24"/>
          <w:lang w:val="en-US" w:eastAsia="zh-CN"/>
        </w:rPr>
        <w:t>9</w:t>
      </w:r>
      <w:r>
        <w:rPr>
          <w:rFonts w:hint="eastAsia" w:ascii="Times New Roman" w:hAnsi="Times New Roman" w:cs="Times New Roman" w:eastAsiaTheme="minorEastAsia"/>
          <w:sz w:val="24"/>
          <w:lang w:val="en-US" w:eastAsia="zh-CN"/>
        </w:rPr>
        <w:t>月</w:t>
      </w:r>
      <w:r>
        <w:rPr>
          <w:rFonts w:hint="default" w:ascii="Times New Roman" w:hAnsi="Times New Roman" w:cs="Times New Roman" w:eastAsiaTheme="minorEastAsia"/>
          <w:sz w:val="24"/>
          <w:lang w:val="en-US" w:eastAsia="zh-CN"/>
        </w:rPr>
        <w:t>21</w:t>
      </w:r>
      <w:r>
        <w:rPr>
          <w:rFonts w:hint="eastAsia" w:ascii="Times New Roman" w:hAnsi="Times New Roman" w:cs="Times New Roman" w:eastAsiaTheme="minorEastAsia"/>
          <w:sz w:val="24"/>
          <w:lang w:val="en-US" w:eastAsia="zh-CN"/>
        </w:rPr>
        <w:t>日修订）；</w:t>
      </w:r>
    </w:p>
    <w:p w14:paraId="0EF8F93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w:t>
      </w:r>
      <w:r>
        <w:rPr>
          <w:rFonts w:hint="eastAsia" w:ascii="Times New Roman" w:hAnsi="Times New Roman" w:cs="Times New Roman"/>
          <w:sz w:val="24"/>
          <w:lang w:val="en-US" w:eastAsia="zh-CN"/>
        </w:rPr>
        <w:t>3</w:t>
      </w:r>
      <w:r>
        <w:rPr>
          <w:rFonts w:hint="eastAsia" w:ascii="Times New Roman" w:hAnsi="Times New Roman" w:cs="Times New Roman" w:eastAsiaTheme="minorEastAsia"/>
          <w:sz w:val="24"/>
          <w:lang w:val="en-US" w:eastAsia="zh-CN"/>
        </w:rPr>
        <w:t>）《新疆维吾尔自治区大气污染防治条例》（</w:t>
      </w:r>
      <w:r>
        <w:rPr>
          <w:rFonts w:hint="default" w:ascii="Times New Roman" w:hAnsi="Times New Roman" w:cs="Times New Roman" w:eastAsiaTheme="minorEastAsia"/>
          <w:sz w:val="24"/>
          <w:lang w:val="en-US" w:eastAsia="zh-CN"/>
        </w:rPr>
        <w:t>2019</w:t>
      </w:r>
      <w:r>
        <w:rPr>
          <w:rFonts w:hint="eastAsia" w:ascii="Times New Roman" w:hAnsi="Times New Roman" w:cs="Times New Roman" w:eastAsiaTheme="minorEastAsia"/>
          <w:sz w:val="24"/>
          <w:lang w:val="en-US" w:eastAsia="zh-CN"/>
        </w:rPr>
        <w:t>年</w:t>
      </w:r>
      <w:r>
        <w:rPr>
          <w:rFonts w:hint="default" w:ascii="Times New Roman" w:hAnsi="Times New Roman" w:cs="Times New Roman" w:eastAsiaTheme="minorEastAsia"/>
          <w:sz w:val="24"/>
          <w:lang w:val="en-US" w:eastAsia="zh-CN"/>
        </w:rPr>
        <w:t>1</w:t>
      </w:r>
      <w:r>
        <w:rPr>
          <w:rFonts w:hint="eastAsia" w:ascii="Times New Roman" w:hAnsi="Times New Roman" w:cs="Times New Roman" w:eastAsiaTheme="minorEastAsia"/>
          <w:sz w:val="24"/>
          <w:lang w:val="en-US" w:eastAsia="zh-CN"/>
        </w:rPr>
        <w:t>月</w:t>
      </w:r>
      <w:r>
        <w:rPr>
          <w:rFonts w:hint="default" w:ascii="Times New Roman" w:hAnsi="Times New Roman" w:cs="Times New Roman" w:eastAsiaTheme="minorEastAsia"/>
          <w:sz w:val="24"/>
          <w:lang w:val="en-US" w:eastAsia="zh-CN"/>
        </w:rPr>
        <w:t>1</w:t>
      </w:r>
      <w:r>
        <w:rPr>
          <w:rFonts w:hint="eastAsia" w:ascii="Times New Roman" w:hAnsi="Times New Roman" w:cs="Times New Roman" w:eastAsiaTheme="minorEastAsia"/>
          <w:sz w:val="24"/>
          <w:lang w:val="en-US" w:eastAsia="zh-CN"/>
        </w:rPr>
        <w:t>日起实施）；</w:t>
      </w:r>
    </w:p>
    <w:p w14:paraId="56BC705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w:t>
      </w:r>
      <w:r>
        <w:rPr>
          <w:rFonts w:hint="eastAsia" w:ascii="Times New Roman" w:hAnsi="Times New Roman" w:cs="Times New Roman"/>
          <w:sz w:val="24"/>
          <w:lang w:val="en-US" w:eastAsia="zh-CN"/>
        </w:rPr>
        <w:t>4</w:t>
      </w:r>
      <w:r>
        <w:rPr>
          <w:rFonts w:hint="default" w:ascii="Times New Roman" w:hAnsi="Times New Roman" w:cs="Times New Roman" w:eastAsiaTheme="minorEastAsia"/>
          <w:sz w:val="24"/>
          <w:lang w:val="en-US" w:eastAsia="zh-CN"/>
        </w:rPr>
        <w:t>）《新疆生态环境保护</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十四五</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规划》；</w:t>
      </w:r>
    </w:p>
    <w:p w14:paraId="5E1B0C4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w:t>
      </w:r>
      <w:r>
        <w:rPr>
          <w:rFonts w:hint="eastAsia" w:ascii="Times New Roman" w:hAnsi="Times New Roman" w:cs="Times New Roman"/>
          <w:sz w:val="24"/>
          <w:lang w:val="en-US" w:eastAsia="zh-CN"/>
        </w:rPr>
        <w:t>5</w:t>
      </w:r>
      <w:r>
        <w:rPr>
          <w:rFonts w:hint="default" w:ascii="Times New Roman" w:hAnsi="Times New Roman" w:cs="Times New Roman" w:eastAsiaTheme="minorEastAsia"/>
          <w:sz w:val="24"/>
          <w:lang w:val="en-US" w:eastAsia="zh-CN"/>
        </w:rPr>
        <w:t>）《新疆维吾尔自治区重点行业生态环境准入条件（2024年）》（新环环评发〔2024〕93号）；</w:t>
      </w:r>
    </w:p>
    <w:p w14:paraId="12BAEBDD">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w:t>
      </w:r>
      <w:r>
        <w:rPr>
          <w:rFonts w:hint="eastAsia" w:ascii="Times New Roman" w:hAnsi="Times New Roman" w:cs="Times New Roman"/>
          <w:sz w:val="24"/>
          <w:lang w:val="en-US" w:eastAsia="zh-CN"/>
        </w:rPr>
        <w:t>6</w:t>
      </w:r>
      <w:r>
        <w:rPr>
          <w:rFonts w:hint="eastAsia" w:ascii="Times New Roman" w:hAnsi="Times New Roman" w:cs="Times New Roman" w:eastAsiaTheme="minorEastAsia"/>
          <w:sz w:val="24"/>
          <w:lang w:val="en-US" w:eastAsia="zh-CN"/>
        </w:rPr>
        <w:t>）《新疆维吾尔自治区土壤污染防治工作方案》（新政发〔</w:t>
      </w:r>
      <w:r>
        <w:rPr>
          <w:rFonts w:hint="default" w:ascii="Times New Roman" w:hAnsi="Times New Roman" w:cs="Times New Roman" w:eastAsiaTheme="minorEastAsia"/>
          <w:sz w:val="24"/>
          <w:lang w:val="en-US" w:eastAsia="zh-CN"/>
        </w:rPr>
        <w:t>2017</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25</w:t>
      </w:r>
      <w:r>
        <w:rPr>
          <w:rFonts w:hint="eastAsia" w:ascii="Times New Roman" w:hAnsi="Times New Roman" w:cs="Times New Roman" w:eastAsiaTheme="minorEastAsia"/>
          <w:sz w:val="24"/>
          <w:lang w:val="en-US" w:eastAsia="zh-CN"/>
        </w:rPr>
        <w:t>号）；</w:t>
      </w:r>
    </w:p>
    <w:p w14:paraId="393FBD5D">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w:t>
      </w:r>
      <w:r>
        <w:rPr>
          <w:rFonts w:hint="eastAsia" w:ascii="Times New Roman" w:hAnsi="Times New Roman" w:cs="Times New Roman"/>
          <w:sz w:val="24"/>
          <w:lang w:val="en-US" w:eastAsia="zh-CN"/>
        </w:rPr>
        <w:t>7</w:t>
      </w:r>
      <w:r>
        <w:rPr>
          <w:rFonts w:hint="eastAsia" w:ascii="Times New Roman" w:hAnsi="Times New Roman" w:cs="Times New Roman" w:eastAsiaTheme="minorEastAsia"/>
          <w:sz w:val="24"/>
          <w:lang w:val="en-US" w:eastAsia="zh-CN"/>
        </w:rPr>
        <w:t>）《新疆维吾尔自治区水污染防治工作方案》（新政发〔</w:t>
      </w:r>
      <w:r>
        <w:rPr>
          <w:rFonts w:hint="default" w:ascii="Times New Roman" w:hAnsi="Times New Roman" w:cs="Times New Roman" w:eastAsiaTheme="minorEastAsia"/>
          <w:sz w:val="24"/>
          <w:lang w:val="en-US" w:eastAsia="zh-CN"/>
        </w:rPr>
        <w:t>2016</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21</w:t>
      </w:r>
      <w:r>
        <w:rPr>
          <w:rFonts w:hint="eastAsia" w:ascii="Times New Roman" w:hAnsi="Times New Roman" w:cs="Times New Roman" w:eastAsiaTheme="minorEastAsia"/>
          <w:sz w:val="24"/>
          <w:lang w:val="en-US" w:eastAsia="zh-CN"/>
        </w:rPr>
        <w:t>号）；</w:t>
      </w:r>
    </w:p>
    <w:p w14:paraId="528DBCB1">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w:t>
      </w:r>
      <w:r>
        <w:rPr>
          <w:rFonts w:hint="eastAsia" w:ascii="Times New Roman" w:hAnsi="Times New Roman" w:cs="Times New Roman"/>
          <w:sz w:val="24"/>
          <w:lang w:val="en-US" w:eastAsia="zh-CN"/>
        </w:rPr>
        <w:t>8</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《新疆维吾尔自治区水环境功能区划》，新疆维吾尔自治区人民政府，2002年12月</w:t>
      </w:r>
      <w:r>
        <w:rPr>
          <w:rFonts w:hint="eastAsia" w:ascii="Times New Roman" w:hAnsi="Times New Roman" w:cs="Times New Roman" w:eastAsiaTheme="minorEastAsia"/>
          <w:sz w:val="24"/>
          <w:lang w:val="en-US" w:eastAsia="zh-CN"/>
        </w:rPr>
        <w:t>。</w:t>
      </w:r>
    </w:p>
    <w:p w14:paraId="45DFF02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w:t>
      </w:r>
      <w:r>
        <w:rPr>
          <w:rFonts w:hint="eastAsia" w:ascii="Times New Roman" w:hAnsi="Times New Roman" w:cs="Times New Roman"/>
          <w:sz w:val="24"/>
          <w:lang w:val="en-US" w:eastAsia="zh-CN"/>
        </w:rPr>
        <w:t>9</w:t>
      </w:r>
      <w:r>
        <w:rPr>
          <w:rFonts w:hint="default" w:ascii="Times New Roman" w:hAnsi="Times New Roman" w:cs="Times New Roman" w:eastAsiaTheme="minorEastAsia"/>
          <w:sz w:val="24"/>
          <w:lang w:val="en-US" w:eastAsia="zh-CN"/>
        </w:rPr>
        <w:t>）《新疆生态功能区划》</w:t>
      </w:r>
      <w:r>
        <w:rPr>
          <w:rFonts w:hint="eastAsia" w:ascii="Times New Roman" w:hAnsi="Times New Roman" w:cs="Times New Roman" w:eastAsiaTheme="minorEastAsia"/>
          <w:sz w:val="24"/>
          <w:lang w:val="en-US" w:eastAsia="zh-CN"/>
        </w:rPr>
        <w:t>（新疆维吾尔自治区人民政府，2005年7月14日）</w:t>
      </w:r>
      <w:r>
        <w:rPr>
          <w:rFonts w:hint="default" w:ascii="Times New Roman" w:hAnsi="Times New Roman" w:cs="Times New Roman" w:eastAsiaTheme="minorEastAsia"/>
          <w:sz w:val="24"/>
          <w:lang w:val="en-US" w:eastAsia="zh-CN"/>
        </w:rPr>
        <w:t>；</w:t>
      </w:r>
    </w:p>
    <w:p w14:paraId="4F8FCC68">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1</w:t>
      </w:r>
      <w:r>
        <w:rPr>
          <w:rFonts w:hint="eastAsia" w:ascii="Times New Roman" w:hAnsi="Times New Roman" w:cs="Times New Roman"/>
          <w:sz w:val="24"/>
          <w:lang w:val="en-US" w:eastAsia="zh-CN"/>
        </w:rPr>
        <w:t>0</w:t>
      </w:r>
      <w:r>
        <w:rPr>
          <w:rFonts w:hint="default" w:ascii="Times New Roman" w:hAnsi="Times New Roman" w:cs="Times New Roman" w:eastAsiaTheme="minorEastAsia"/>
          <w:sz w:val="24"/>
          <w:lang w:val="en-US" w:eastAsia="zh-CN"/>
        </w:rPr>
        <w:t>）《新疆维吾尔自治区主体功能区规划》，2012年12月27日；</w:t>
      </w:r>
    </w:p>
    <w:p w14:paraId="41A767F1">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w:t>
      </w:r>
      <w:r>
        <w:rPr>
          <w:rFonts w:hint="eastAsia" w:ascii="Times New Roman" w:hAnsi="Times New Roman" w:cs="Times New Roman"/>
          <w:sz w:val="24"/>
          <w:lang w:val="en-US" w:eastAsia="zh-CN"/>
        </w:rPr>
        <w:t>1</w:t>
      </w:r>
      <w:r>
        <w:rPr>
          <w:rFonts w:hint="eastAsia" w:ascii="Times New Roman" w:hAnsi="Times New Roman" w:cs="Times New Roman" w:eastAsiaTheme="minorEastAsia"/>
          <w:sz w:val="24"/>
          <w:lang w:val="en-US" w:eastAsia="zh-CN"/>
        </w:rPr>
        <w:t>）《喀什地区生态环境保护“十四五”规划》（</w:t>
      </w:r>
      <w:r>
        <w:rPr>
          <w:rFonts w:hint="default" w:ascii="Times New Roman" w:hAnsi="Times New Roman" w:cs="Times New Roman" w:eastAsiaTheme="minorEastAsia"/>
          <w:sz w:val="24"/>
          <w:lang w:val="en-US" w:eastAsia="zh-CN"/>
        </w:rPr>
        <w:t>喀署办发〔2022〕23号</w:t>
      </w:r>
      <w:r>
        <w:rPr>
          <w:rFonts w:hint="eastAsia" w:ascii="Times New Roman" w:hAnsi="Times New Roman" w:cs="Times New Roman" w:eastAsiaTheme="minorEastAsia"/>
          <w:sz w:val="24"/>
          <w:lang w:val="en-US" w:eastAsia="zh-CN"/>
        </w:rPr>
        <w:t>）；</w:t>
      </w:r>
    </w:p>
    <w:p w14:paraId="48CC2951">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w:t>
      </w:r>
      <w:r>
        <w:rPr>
          <w:rFonts w:hint="eastAsia" w:ascii="Times New Roman" w:hAnsi="Times New Roman" w:cs="Times New Roman"/>
          <w:sz w:val="24"/>
          <w:lang w:val="en-US" w:eastAsia="zh-CN"/>
        </w:rPr>
        <w:t>2</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《关于印发</w:t>
      </w:r>
      <w:r>
        <w:rPr>
          <w:rFonts w:hint="eastAsia" w:ascii="Times New Roman" w:hAnsi="Times New Roman" w:cs="Times New Roman" w:eastAsiaTheme="minorEastAsia"/>
          <w:sz w:val="24"/>
          <w:lang w:val="en-US" w:eastAsia="zh-CN"/>
        </w:rPr>
        <w:t>〈喀什地区“</w:t>
      </w:r>
      <w:r>
        <w:rPr>
          <w:rFonts w:hint="default" w:ascii="Times New Roman" w:hAnsi="Times New Roman" w:cs="Times New Roman" w:eastAsiaTheme="minorEastAsia"/>
          <w:sz w:val="24"/>
          <w:lang w:val="en-US" w:eastAsia="zh-CN"/>
        </w:rPr>
        <w:t>三线一单</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生态环境分区管控</w:t>
      </w:r>
      <w:r>
        <w:rPr>
          <w:rFonts w:hint="eastAsia" w:ascii="Times New Roman" w:hAnsi="Times New Roman" w:cs="Times New Roman" w:eastAsiaTheme="minorEastAsia"/>
          <w:sz w:val="24"/>
          <w:lang w:val="en-US" w:eastAsia="zh-CN"/>
        </w:rPr>
        <w:t>方案</w:t>
      </w:r>
      <w:r>
        <w:rPr>
          <w:rFonts w:hint="default" w:ascii="Times New Roman" w:hAnsi="Times New Roman" w:cs="Times New Roman" w:eastAsiaTheme="minorEastAsia"/>
          <w:sz w:val="24"/>
          <w:lang w:val="en-US" w:eastAsia="zh-CN"/>
        </w:rPr>
        <w:t>（2023年</w:t>
      </w:r>
      <w:r>
        <w:rPr>
          <w:rFonts w:hint="eastAsia" w:ascii="Times New Roman" w:hAnsi="Times New Roman" w:cs="Times New Roman" w:eastAsiaTheme="minorEastAsia"/>
          <w:sz w:val="24"/>
          <w:lang w:val="en-US" w:eastAsia="zh-CN"/>
        </w:rPr>
        <w:t>版</w:t>
      </w: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修改单〉的通知》（2024年7月26日）</w:t>
      </w:r>
      <w:r>
        <w:rPr>
          <w:rFonts w:hint="eastAsia" w:ascii="Times New Roman" w:hAnsi="Times New Roman" w:cs="Times New Roman"/>
          <w:sz w:val="24"/>
          <w:lang w:val="en-US" w:eastAsia="zh-CN"/>
        </w:rPr>
        <w:t>；</w:t>
      </w:r>
    </w:p>
    <w:p w14:paraId="2376B024">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1</w:t>
      </w:r>
      <w:r>
        <w:rPr>
          <w:rFonts w:hint="eastAsia" w:ascii="Times New Roman" w:hAnsi="Times New Roman" w:cs="Times New Roman"/>
          <w:sz w:val="24"/>
          <w:lang w:val="en-US" w:eastAsia="zh-CN"/>
        </w:rPr>
        <w:t>3</w:t>
      </w:r>
      <w:r>
        <w:rPr>
          <w:rFonts w:hint="default" w:ascii="Times New Roman" w:hAnsi="Times New Roman" w:cs="Times New Roman" w:eastAsiaTheme="minorEastAsia"/>
          <w:sz w:val="24"/>
          <w:lang w:val="en-US" w:eastAsia="zh-CN"/>
        </w:rPr>
        <w:t>）《新疆维吾尔自治区国民经济和社会发展第十四个五年规划和2035年远景目标纲要》（2021</w:t>
      </w:r>
      <w:r>
        <w:rPr>
          <w:rFonts w:hint="eastAsia" w:ascii="Times New Roman" w:hAnsi="Times New Roman" w:cs="Times New Roman" w:eastAsiaTheme="minorEastAsia"/>
          <w:sz w:val="24"/>
          <w:lang w:val="en-US" w:eastAsia="zh-CN"/>
        </w:rPr>
        <w:t>年</w:t>
      </w:r>
      <w:r>
        <w:rPr>
          <w:rFonts w:hint="default" w:ascii="Times New Roman" w:hAnsi="Times New Roman" w:cs="Times New Roman" w:eastAsiaTheme="minorEastAsia"/>
          <w:sz w:val="24"/>
          <w:lang w:val="en-US" w:eastAsia="zh-CN"/>
        </w:rPr>
        <w:t>2</w:t>
      </w:r>
      <w:r>
        <w:rPr>
          <w:rFonts w:hint="eastAsia" w:ascii="Times New Roman" w:hAnsi="Times New Roman" w:cs="Times New Roman" w:eastAsiaTheme="minorEastAsia"/>
          <w:sz w:val="24"/>
          <w:lang w:val="en-US" w:eastAsia="zh-CN"/>
        </w:rPr>
        <w:t>月</w:t>
      </w:r>
      <w:r>
        <w:rPr>
          <w:rFonts w:hint="default" w:ascii="Times New Roman" w:hAnsi="Times New Roman" w:cs="Times New Roman" w:eastAsiaTheme="minorEastAsia"/>
          <w:sz w:val="24"/>
          <w:lang w:val="en-US" w:eastAsia="zh-CN"/>
        </w:rPr>
        <w:t>5</w:t>
      </w:r>
      <w:r>
        <w:rPr>
          <w:rFonts w:hint="eastAsia" w:ascii="Times New Roman" w:hAnsi="Times New Roman" w:cs="Times New Roman" w:eastAsiaTheme="minorEastAsia"/>
          <w:sz w:val="24"/>
          <w:lang w:val="en-US" w:eastAsia="zh-CN"/>
        </w:rPr>
        <w:t>日）。</w:t>
      </w:r>
    </w:p>
    <w:p w14:paraId="52F48B1F">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41" w:name="_Toc5928"/>
      <w:bookmarkStart w:id="42" w:name="_Toc14872"/>
      <w:r>
        <w:rPr>
          <w:rFonts w:hint="default" w:ascii="Times New Roman" w:hAnsi="Times New Roman" w:cs="Times New Roman" w:eastAsiaTheme="minorEastAsia"/>
          <w:kern w:val="0"/>
          <w:sz w:val="24"/>
          <w:szCs w:val="24"/>
          <w:lang w:val="en-US" w:eastAsia="zh-CN"/>
        </w:rPr>
        <w:t>2.2.4技术依据</w:t>
      </w:r>
      <w:bookmarkEnd w:id="41"/>
      <w:bookmarkEnd w:id="42"/>
    </w:p>
    <w:p w14:paraId="3439D7CC">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bookmarkStart w:id="43" w:name="_Toc4361"/>
      <w:bookmarkStart w:id="44" w:name="_Toc21378"/>
      <w:r>
        <w:rPr>
          <w:rFonts w:hint="default" w:ascii="Times New Roman" w:hAnsi="Times New Roman" w:cs="Times New Roman" w:eastAsiaTheme="minorEastAsia"/>
          <w:sz w:val="24"/>
          <w:lang w:val="en-US" w:eastAsia="zh-CN"/>
        </w:rPr>
        <w:t>（1）《建设项目环境影响评价技术导则 总纲》（HJ2.1-2016）；</w:t>
      </w:r>
      <w:bookmarkEnd w:id="43"/>
      <w:bookmarkEnd w:id="44"/>
    </w:p>
    <w:p w14:paraId="2ACDAB1B">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bookmarkStart w:id="45" w:name="_Toc14369"/>
      <w:bookmarkStart w:id="46" w:name="_Toc19077"/>
      <w:r>
        <w:rPr>
          <w:rFonts w:hint="default" w:ascii="Times New Roman" w:hAnsi="Times New Roman" w:cs="Times New Roman" w:eastAsiaTheme="minorEastAsia"/>
          <w:sz w:val="24"/>
          <w:lang w:val="en-US" w:eastAsia="zh-CN"/>
        </w:rPr>
        <w:t>（2）《环境影响评价技术导则 大气环境》（HJ2.2-2018）；</w:t>
      </w:r>
      <w:bookmarkEnd w:id="45"/>
      <w:bookmarkEnd w:id="46"/>
    </w:p>
    <w:p w14:paraId="766672A8">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bookmarkStart w:id="47" w:name="_Toc30305"/>
      <w:bookmarkStart w:id="48" w:name="_Toc32037"/>
      <w:r>
        <w:rPr>
          <w:rFonts w:hint="default" w:ascii="Times New Roman" w:hAnsi="Times New Roman" w:cs="Times New Roman" w:eastAsiaTheme="minorEastAsia"/>
          <w:sz w:val="24"/>
          <w:lang w:val="en-US" w:eastAsia="zh-CN"/>
        </w:rPr>
        <w:t>（3）《环境影响评价技术导则 地表水环境》（HJ2.3-2018）；</w:t>
      </w:r>
      <w:bookmarkEnd w:id="47"/>
      <w:bookmarkEnd w:id="48"/>
    </w:p>
    <w:p w14:paraId="2B14483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bookmarkStart w:id="49" w:name="_Toc17085"/>
      <w:bookmarkStart w:id="50" w:name="_Toc6140"/>
      <w:r>
        <w:rPr>
          <w:rFonts w:hint="default" w:ascii="Times New Roman" w:hAnsi="Times New Roman" w:cs="Times New Roman" w:eastAsiaTheme="minorEastAsia"/>
          <w:sz w:val="24"/>
          <w:lang w:val="en-US" w:eastAsia="zh-CN"/>
        </w:rPr>
        <w:t>（4）《环境影响评价技术导则 地下水环境》（HJ610-2016）；</w:t>
      </w:r>
      <w:bookmarkEnd w:id="49"/>
      <w:bookmarkEnd w:id="50"/>
    </w:p>
    <w:p w14:paraId="470DA4D9">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bookmarkStart w:id="51" w:name="_Toc32644"/>
      <w:bookmarkStart w:id="52" w:name="_Toc9733"/>
      <w:r>
        <w:rPr>
          <w:rFonts w:hint="default" w:ascii="Times New Roman" w:hAnsi="Times New Roman" w:cs="Times New Roman" w:eastAsiaTheme="minorEastAsia"/>
          <w:sz w:val="24"/>
          <w:lang w:val="en-US" w:eastAsia="zh-CN"/>
        </w:rPr>
        <w:t>（5）《环境影响评价技术导则 声环境》（HJ2.4-2021）；</w:t>
      </w:r>
      <w:bookmarkEnd w:id="51"/>
      <w:bookmarkEnd w:id="52"/>
    </w:p>
    <w:p w14:paraId="7962E4A7">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bookmarkStart w:id="53" w:name="_Toc28725"/>
      <w:bookmarkStart w:id="54" w:name="_Toc18948"/>
      <w:r>
        <w:rPr>
          <w:rFonts w:hint="default" w:ascii="Times New Roman" w:hAnsi="Times New Roman" w:cs="Times New Roman" w:eastAsiaTheme="minorEastAsia"/>
          <w:sz w:val="24"/>
          <w:lang w:val="en-US" w:eastAsia="zh-CN"/>
        </w:rPr>
        <w:t>（6）《环境影响评价技术导则 生态影响》（HJ19-2022）；</w:t>
      </w:r>
      <w:bookmarkEnd w:id="53"/>
      <w:bookmarkEnd w:id="54"/>
    </w:p>
    <w:p w14:paraId="4E44EE01">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bookmarkStart w:id="55" w:name="_Toc31225"/>
      <w:bookmarkStart w:id="56" w:name="_Toc16300"/>
      <w:r>
        <w:rPr>
          <w:rFonts w:hint="default" w:ascii="Times New Roman" w:hAnsi="Times New Roman" w:cs="Times New Roman" w:eastAsiaTheme="minorEastAsia"/>
          <w:sz w:val="24"/>
          <w:highlight w:val="none"/>
          <w:lang w:val="en-US" w:eastAsia="zh-CN"/>
        </w:rPr>
        <w:t>（7）《建设项目环境风险评价技术导则》（HJ169-2018）</w:t>
      </w:r>
      <w:bookmarkEnd w:id="55"/>
      <w:bookmarkEnd w:id="56"/>
      <w:r>
        <w:rPr>
          <w:rFonts w:hint="default" w:ascii="Times New Roman" w:hAnsi="Times New Roman" w:cs="Times New Roman" w:eastAsiaTheme="minorEastAsia"/>
          <w:sz w:val="24"/>
          <w:highlight w:val="none"/>
          <w:lang w:val="en-US" w:eastAsia="zh-CN"/>
        </w:rPr>
        <w:t>；</w:t>
      </w:r>
    </w:p>
    <w:p w14:paraId="2943EDC6">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（8）《环境影响评价技术导则 土壤环境（试行）》（HJ964-2018</w:t>
      </w:r>
      <w:r>
        <w:rPr>
          <w:rFonts w:hint="eastAsia" w:ascii="Times New Roman" w:hAnsi="Times New Roman" w:cs="Times New Roman" w:eastAsiaTheme="minorEastAsia"/>
          <w:sz w:val="24"/>
          <w:highlight w:val="none"/>
          <w:lang w:val="en-US" w:eastAsia="zh-CN"/>
        </w:rPr>
        <w:t>）；</w:t>
      </w:r>
    </w:p>
    <w:p w14:paraId="235A11AC">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（9）《医疗废物处理处置污染控制标准》</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GB39707-2020</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w:t>
      </w:r>
    </w:p>
    <w:p w14:paraId="22175ADA">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（10）《危险废物焚烧污染控制标准》</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GB18484-2020</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w:t>
      </w:r>
    </w:p>
    <w:p w14:paraId="6E723DC2">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（11）《医疗废物集中焚烧处置工程技术规范》</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HJ177-2022</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w:t>
      </w:r>
    </w:p>
    <w:p w14:paraId="02FEDF51">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（12）《危险废物处置工程技术导则》</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HJ2042-2014</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w:t>
      </w:r>
    </w:p>
    <w:p w14:paraId="118FB404">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57" w:name="_Toc13876"/>
      <w:bookmarkStart w:id="58" w:name="_Toc3580"/>
      <w:r>
        <w:rPr>
          <w:rFonts w:hint="default" w:ascii="Times New Roman" w:hAnsi="Times New Roman" w:cs="Times New Roman" w:eastAsiaTheme="minorEastAsia"/>
          <w:kern w:val="0"/>
          <w:sz w:val="24"/>
          <w:szCs w:val="24"/>
          <w:lang w:val="en-US" w:eastAsia="zh-CN"/>
        </w:rPr>
        <w:t>2.2.5相关技术文件</w:t>
      </w:r>
      <w:bookmarkEnd w:id="57"/>
      <w:bookmarkEnd w:id="58"/>
    </w:p>
    <w:p w14:paraId="7BBF17F0">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（1）建设项目环境影响评价委托书；</w:t>
      </w:r>
    </w:p>
    <w:p w14:paraId="7626E752">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（2）营业执照；</w:t>
      </w:r>
    </w:p>
    <w:p w14:paraId="434D1A0B">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3</w:t>
      </w:r>
      <w:r>
        <w:rPr>
          <w:rFonts w:hint="default" w:ascii="Times New Roman" w:hAnsi="Times New Roman" w:cs="Times New Roman" w:eastAsiaTheme="minorEastAsia"/>
          <w:sz w:val="24"/>
          <w:lang w:val="en-US" w:eastAsia="zh-CN"/>
        </w:rPr>
        <w:t>）项目可行性研究报告；</w:t>
      </w:r>
    </w:p>
    <w:p w14:paraId="10AE1454">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4</w:t>
      </w:r>
      <w:r>
        <w:rPr>
          <w:rFonts w:hint="default" w:ascii="Times New Roman" w:hAnsi="Times New Roman" w:cs="Times New Roman" w:eastAsiaTheme="minorEastAsia"/>
          <w:sz w:val="24"/>
          <w:lang w:val="en-US" w:eastAsia="zh-CN"/>
        </w:rPr>
        <w:t>）建设单位提供的其他相关资料。</w:t>
      </w:r>
    </w:p>
    <w:p w14:paraId="5E1E4E9E">
      <w:pPr>
        <w:pStyle w:val="3"/>
        <w:spacing w:before="120" w:after="120" w:line="500" w:lineRule="exact"/>
        <w:ind w:left="375" w:hanging="375" w:firstLineChars="0"/>
        <w:contextualSpacing/>
        <w:rPr>
          <w:rFonts w:hint="default" w:ascii="Times New Roman" w:hAnsi="Times New Roman" w:cs="Times New Roman" w:eastAsiaTheme="minorEastAsia"/>
          <w:snapToGrid w:val="0"/>
          <w:kern w:val="0"/>
          <w:sz w:val="28"/>
          <w:szCs w:val="28"/>
          <w:lang w:val="en-US" w:eastAsia="zh-CN"/>
        </w:rPr>
      </w:pPr>
      <w:bookmarkStart w:id="59" w:name="_Toc18960"/>
      <w:bookmarkStart w:id="60" w:name="_Toc21018"/>
      <w:bookmarkStart w:id="61" w:name="_Toc27412"/>
      <w:r>
        <w:rPr>
          <w:rFonts w:hint="default" w:ascii="Times New Roman" w:hAnsi="Times New Roman" w:cs="Times New Roman" w:eastAsiaTheme="minorEastAsia"/>
          <w:snapToGrid w:val="0"/>
          <w:kern w:val="0"/>
          <w:sz w:val="28"/>
          <w:szCs w:val="28"/>
          <w:lang w:val="en-US" w:eastAsia="zh-CN"/>
        </w:rPr>
        <w:t>2.3环境影响识别与评价因子筛选</w:t>
      </w:r>
      <w:bookmarkEnd w:id="59"/>
      <w:bookmarkEnd w:id="60"/>
      <w:bookmarkEnd w:id="61"/>
    </w:p>
    <w:p w14:paraId="5AF26E99">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62" w:name="_Toc10366"/>
      <w:bookmarkStart w:id="63" w:name="_Toc19083"/>
      <w:bookmarkStart w:id="64" w:name="_Toc6303"/>
      <w:bookmarkStart w:id="65" w:name="_Toc27211"/>
      <w:bookmarkStart w:id="66" w:name="_Toc6626"/>
      <w:r>
        <w:rPr>
          <w:rFonts w:hint="default" w:ascii="Times New Roman" w:hAnsi="Times New Roman" w:cs="Times New Roman" w:eastAsiaTheme="minorEastAsia"/>
          <w:kern w:val="0"/>
          <w:sz w:val="24"/>
          <w:szCs w:val="24"/>
          <w:lang w:val="en-US" w:eastAsia="zh-CN"/>
        </w:rPr>
        <w:t>2.3.1环境影响因素识别</w:t>
      </w:r>
      <w:bookmarkEnd w:id="62"/>
      <w:bookmarkEnd w:id="63"/>
      <w:bookmarkEnd w:id="64"/>
      <w:bookmarkEnd w:id="65"/>
      <w:bookmarkEnd w:id="66"/>
    </w:p>
    <w:p w14:paraId="72308A7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根据项目的污染物排放特征及所在区域的环境特征，识别出项目运营期对厂址周围的环境空气、地下水环境及声环境等产生不同程度的影响。本项目环境影响识别见下表。</w:t>
      </w:r>
    </w:p>
    <w:p w14:paraId="708C995F">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表2.3-1  项目环境影响因素识别表</w:t>
      </w:r>
    </w:p>
    <w:tbl>
      <w:tblPr>
        <w:tblStyle w:val="13"/>
        <w:tblW w:w="86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682"/>
        <w:gridCol w:w="667"/>
        <w:gridCol w:w="683"/>
        <w:gridCol w:w="617"/>
        <w:gridCol w:w="683"/>
        <w:gridCol w:w="695"/>
        <w:gridCol w:w="750"/>
        <w:gridCol w:w="650"/>
        <w:gridCol w:w="700"/>
        <w:gridCol w:w="717"/>
        <w:gridCol w:w="705"/>
        <w:gridCol w:w="672"/>
      </w:tblGrid>
      <w:tr w14:paraId="45972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108" w:type="dxa"/>
            <w:gridSpan w:val="2"/>
            <w:vMerge w:val="restart"/>
            <w:tcBorders>
              <w:tl2br w:val="nil"/>
              <w:tr2bl w:val="nil"/>
            </w:tcBorders>
            <w:vAlign w:val="center"/>
            <mc:AlternateContent>
              <mc:Choice Requires="wpsCustomData">
                <wpsCustomData:diagonals>
                  <wpsCustomData:diagonal from="30000" to="10000">
                    <wpsCustomData:border w:val="single" w:color="auto" w:sz="4" w:space="0"/>
                  </wpsCustomData:diagonal>
                </wpsCustomData:diagonals>
              </mc:Choice>
            </mc:AlternateContent>
          </w:tcPr>
          <w:p w14:paraId="017A217A">
            <w:pPr>
              <w:autoSpaceDE w:val="0"/>
              <w:autoSpaceDN w:val="0"/>
              <w:spacing w:line="300" w:lineRule="exact"/>
              <w:jc w:val="center"/>
              <mc:AlternateContent>
                <mc:Choice Requires="wpsCustomData">
                  <wpsCustomData:diagonalParaType/>
                </mc:Choice>
              </mc:AlternateConten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影响因素</w:t>
            </w:r>
          </w:p>
          <w:p w14:paraId="06533BB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影响受体</w:t>
            </w:r>
          </w:p>
        </w:tc>
        <w:tc>
          <w:tcPr>
            <w:tcW w:w="3345" w:type="dxa"/>
            <w:gridSpan w:val="5"/>
            <w:tcBorders>
              <w:tl2br w:val="nil"/>
              <w:tr2bl w:val="nil"/>
            </w:tcBorders>
            <w:vAlign w:val="center"/>
          </w:tcPr>
          <w:p w14:paraId="4054ED0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自然环境</w:t>
            </w:r>
          </w:p>
        </w:tc>
        <w:tc>
          <w:tcPr>
            <w:tcW w:w="1400" w:type="dxa"/>
            <w:gridSpan w:val="2"/>
            <w:tcBorders>
              <w:tl2br w:val="nil"/>
              <w:tr2bl w:val="nil"/>
            </w:tcBorders>
            <w:vAlign w:val="center"/>
          </w:tcPr>
          <w:p w14:paraId="67DF4D4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生态环境</w:t>
            </w:r>
          </w:p>
        </w:tc>
        <w:tc>
          <w:tcPr>
            <w:tcW w:w="2794" w:type="dxa"/>
            <w:gridSpan w:val="4"/>
            <w:tcBorders>
              <w:tl2br w:val="nil"/>
              <w:tr2bl w:val="nil"/>
            </w:tcBorders>
            <w:vAlign w:val="center"/>
          </w:tcPr>
          <w:p w14:paraId="0353115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社会环境</w:t>
            </w:r>
          </w:p>
        </w:tc>
      </w:tr>
      <w:tr w14:paraId="013A1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 w:type="dxa"/>
            <w:gridSpan w:val="2"/>
            <w:vMerge w:val="continue"/>
            <w:tcBorders>
              <w:tl2br w:val="nil"/>
              <w:tr2bl w:val="nil"/>
            </w:tcBorders>
            <w:vAlign w:val="center"/>
          </w:tcPr>
          <w:p w14:paraId="3626049C">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67" w:type="dxa"/>
            <w:tcBorders>
              <w:tl2br w:val="nil"/>
              <w:tr2bl w:val="nil"/>
            </w:tcBorders>
            <w:vAlign w:val="center"/>
          </w:tcPr>
          <w:p w14:paraId="4235B8F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环境空气</w:t>
            </w:r>
          </w:p>
        </w:tc>
        <w:tc>
          <w:tcPr>
            <w:tcW w:w="683" w:type="dxa"/>
            <w:tcBorders>
              <w:tl2br w:val="nil"/>
              <w:tr2bl w:val="nil"/>
            </w:tcBorders>
            <w:vAlign w:val="center"/>
          </w:tcPr>
          <w:p w14:paraId="0036B92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地表水</w:t>
            </w:r>
          </w:p>
        </w:tc>
        <w:tc>
          <w:tcPr>
            <w:tcW w:w="617" w:type="dxa"/>
            <w:tcBorders>
              <w:tl2br w:val="nil"/>
              <w:tr2bl w:val="nil"/>
            </w:tcBorders>
            <w:vAlign w:val="center"/>
          </w:tcPr>
          <w:p w14:paraId="6C0C1D4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地下水</w:t>
            </w:r>
          </w:p>
        </w:tc>
        <w:tc>
          <w:tcPr>
            <w:tcW w:w="683" w:type="dxa"/>
            <w:tcBorders>
              <w:tl2br w:val="nil"/>
              <w:tr2bl w:val="nil"/>
            </w:tcBorders>
            <w:vAlign w:val="center"/>
          </w:tcPr>
          <w:p w14:paraId="54BA4BA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土壤环境</w:t>
            </w:r>
          </w:p>
        </w:tc>
        <w:tc>
          <w:tcPr>
            <w:tcW w:w="695" w:type="dxa"/>
            <w:tcBorders>
              <w:tl2br w:val="nil"/>
              <w:tr2bl w:val="nil"/>
            </w:tcBorders>
            <w:vAlign w:val="center"/>
          </w:tcPr>
          <w:p w14:paraId="416F527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声环境</w:t>
            </w:r>
          </w:p>
        </w:tc>
        <w:tc>
          <w:tcPr>
            <w:tcW w:w="750" w:type="dxa"/>
            <w:tcBorders>
              <w:tl2br w:val="nil"/>
              <w:tr2bl w:val="nil"/>
            </w:tcBorders>
            <w:vAlign w:val="center"/>
          </w:tcPr>
          <w:p w14:paraId="28E6882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陆上生物</w:t>
            </w:r>
          </w:p>
        </w:tc>
        <w:tc>
          <w:tcPr>
            <w:tcW w:w="650" w:type="dxa"/>
            <w:tcBorders>
              <w:tl2br w:val="nil"/>
              <w:tr2bl w:val="nil"/>
            </w:tcBorders>
            <w:vAlign w:val="center"/>
          </w:tcPr>
          <w:p w14:paraId="2929200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水生生物</w:t>
            </w:r>
          </w:p>
        </w:tc>
        <w:tc>
          <w:tcPr>
            <w:tcW w:w="700" w:type="dxa"/>
            <w:tcBorders>
              <w:tl2br w:val="nil"/>
              <w:tr2bl w:val="nil"/>
            </w:tcBorders>
            <w:vAlign w:val="center"/>
          </w:tcPr>
          <w:p w14:paraId="5A6B76E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土地利用</w:t>
            </w:r>
          </w:p>
        </w:tc>
        <w:tc>
          <w:tcPr>
            <w:tcW w:w="717" w:type="dxa"/>
            <w:tcBorders>
              <w:tl2br w:val="nil"/>
              <w:tr2bl w:val="nil"/>
            </w:tcBorders>
            <w:vAlign w:val="center"/>
          </w:tcPr>
          <w:p w14:paraId="2730BEF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居民区</w:t>
            </w:r>
          </w:p>
        </w:tc>
        <w:tc>
          <w:tcPr>
            <w:tcW w:w="705" w:type="dxa"/>
            <w:tcBorders>
              <w:tl2br w:val="nil"/>
              <w:tr2bl w:val="nil"/>
            </w:tcBorders>
            <w:vAlign w:val="center"/>
          </w:tcPr>
          <w:p w14:paraId="179C26C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人群健康</w:t>
            </w:r>
          </w:p>
        </w:tc>
        <w:tc>
          <w:tcPr>
            <w:tcW w:w="672" w:type="dxa"/>
            <w:tcBorders>
              <w:tl2br w:val="nil"/>
              <w:tr2bl w:val="nil"/>
            </w:tcBorders>
            <w:vAlign w:val="center"/>
          </w:tcPr>
          <w:p w14:paraId="4AD75E9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环境规划</w:t>
            </w:r>
          </w:p>
        </w:tc>
      </w:tr>
      <w:tr w14:paraId="2B730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restart"/>
            <w:tcBorders>
              <w:tl2br w:val="nil"/>
              <w:tr2bl w:val="nil"/>
            </w:tcBorders>
            <w:vAlign w:val="center"/>
          </w:tcPr>
          <w:p w14:paraId="4559604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施工期</w:t>
            </w:r>
          </w:p>
        </w:tc>
        <w:tc>
          <w:tcPr>
            <w:tcW w:w="682" w:type="dxa"/>
            <w:tcBorders>
              <w:tl2br w:val="nil"/>
              <w:tr2bl w:val="nil"/>
            </w:tcBorders>
            <w:vAlign w:val="center"/>
          </w:tcPr>
          <w:p w14:paraId="6BE23E8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施工废水</w:t>
            </w:r>
          </w:p>
        </w:tc>
        <w:tc>
          <w:tcPr>
            <w:tcW w:w="667" w:type="dxa"/>
            <w:tcBorders>
              <w:tl2br w:val="nil"/>
              <w:tr2bl w:val="nil"/>
            </w:tcBorders>
            <w:vAlign w:val="center"/>
          </w:tcPr>
          <w:p w14:paraId="0B62249A">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83" w:type="dxa"/>
            <w:tcBorders>
              <w:tl2br w:val="nil"/>
              <w:tr2bl w:val="nil"/>
            </w:tcBorders>
            <w:vAlign w:val="center"/>
          </w:tcPr>
          <w:p w14:paraId="0C9A2265">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17" w:type="dxa"/>
            <w:tcBorders>
              <w:tl2br w:val="nil"/>
              <w:tr2bl w:val="nil"/>
            </w:tcBorders>
            <w:vAlign w:val="center"/>
          </w:tcPr>
          <w:p w14:paraId="05F7FA6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-S1D</w:t>
            </w:r>
          </w:p>
        </w:tc>
        <w:tc>
          <w:tcPr>
            <w:tcW w:w="683" w:type="dxa"/>
            <w:tcBorders>
              <w:tl2br w:val="nil"/>
              <w:tr2bl w:val="nil"/>
            </w:tcBorders>
            <w:vAlign w:val="center"/>
          </w:tcPr>
          <w:p w14:paraId="765BD36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-S1D</w:t>
            </w:r>
          </w:p>
        </w:tc>
        <w:tc>
          <w:tcPr>
            <w:tcW w:w="695" w:type="dxa"/>
            <w:tcBorders>
              <w:tl2br w:val="nil"/>
              <w:tr2bl w:val="nil"/>
            </w:tcBorders>
            <w:vAlign w:val="center"/>
          </w:tcPr>
          <w:p w14:paraId="1C5FF1B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50" w:type="dxa"/>
            <w:tcBorders>
              <w:tl2br w:val="nil"/>
              <w:tr2bl w:val="nil"/>
            </w:tcBorders>
            <w:vAlign w:val="center"/>
          </w:tcPr>
          <w:p w14:paraId="2307BDB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-S1D</w:t>
            </w:r>
          </w:p>
        </w:tc>
        <w:tc>
          <w:tcPr>
            <w:tcW w:w="650" w:type="dxa"/>
            <w:tcBorders>
              <w:tl2br w:val="nil"/>
              <w:tr2bl w:val="nil"/>
            </w:tcBorders>
            <w:vAlign w:val="center"/>
          </w:tcPr>
          <w:p w14:paraId="360C1E4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00" w:type="dxa"/>
            <w:tcBorders>
              <w:tl2br w:val="nil"/>
              <w:tr2bl w:val="nil"/>
            </w:tcBorders>
            <w:vAlign w:val="center"/>
          </w:tcPr>
          <w:p w14:paraId="36B4FDC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-S1D</w:t>
            </w:r>
          </w:p>
        </w:tc>
        <w:tc>
          <w:tcPr>
            <w:tcW w:w="717" w:type="dxa"/>
            <w:tcBorders>
              <w:tl2br w:val="nil"/>
              <w:tr2bl w:val="nil"/>
            </w:tcBorders>
            <w:vAlign w:val="center"/>
          </w:tcPr>
          <w:p w14:paraId="248CDF63">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05" w:type="dxa"/>
            <w:tcBorders>
              <w:tl2br w:val="nil"/>
              <w:tr2bl w:val="nil"/>
            </w:tcBorders>
            <w:vAlign w:val="center"/>
          </w:tcPr>
          <w:p w14:paraId="4F46722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72" w:type="dxa"/>
            <w:tcBorders>
              <w:tl2br w:val="nil"/>
              <w:tr2bl w:val="nil"/>
            </w:tcBorders>
            <w:vAlign w:val="center"/>
          </w:tcPr>
          <w:p w14:paraId="5829558E">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644B2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tcBorders>
              <w:tl2br w:val="nil"/>
              <w:tr2bl w:val="nil"/>
            </w:tcBorders>
            <w:vAlign w:val="center"/>
          </w:tcPr>
          <w:p w14:paraId="59CBA7F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82" w:type="dxa"/>
            <w:tcBorders>
              <w:tl2br w:val="nil"/>
              <w:tr2bl w:val="nil"/>
            </w:tcBorders>
            <w:vAlign w:val="center"/>
          </w:tcPr>
          <w:p w14:paraId="601D3C1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施工扬尘</w:t>
            </w:r>
          </w:p>
        </w:tc>
        <w:tc>
          <w:tcPr>
            <w:tcW w:w="667" w:type="dxa"/>
            <w:tcBorders>
              <w:tl2br w:val="nil"/>
              <w:tr2bl w:val="nil"/>
            </w:tcBorders>
            <w:vAlign w:val="center"/>
          </w:tcPr>
          <w:p w14:paraId="73CD8CB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-S1D</w:t>
            </w:r>
          </w:p>
        </w:tc>
        <w:tc>
          <w:tcPr>
            <w:tcW w:w="683" w:type="dxa"/>
            <w:tcBorders>
              <w:tl2br w:val="nil"/>
              <w:tr2bl w:val="nil"/>
            </w:tcBorders>
            <w:vAlign w:val="center"/>
          </w:tcPr>
          <w:p w14:paraId="4F7E388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17" w:type="dxa"/>
            <w:tcBorders>
              <w:tl2br w:val="nil"/>
              <w:tr2bl w:val="nil"/>
            </w:tcBorders>
            <w:vAlign w:val="center"/>
          </w:tcPr>
          <w:p w14:paraId="6480EA0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83" w:type="dxa"/>
            <w:tcBorders>
              <w:tl2br w:val="nil"/>
              <w:tr2bl w:val="nil"/>
            </w:tcBorders>
            <w:vAlign w:val="center"/>
          </w:tcPr>
          <w:p w14:paraId="084372E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5" w:type="dxa"/>
            <w:tcBorders>
              <w:tl2br w:val="nil"/>
              <w:tr2bl w:val="nil"/>
            </w:tcBorders>
            <w:vAlign w:val="center"/>
          </w:tcPr>
          <w:p w14:paraId="215C1F7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50" w:type="dxa"/>
            <w:tcBorders>
              <w:tl2br w:val="nil"/>
              <w:tr2bl w:val="nil"/>
            </w:tcBorders>
            <w:vAlign w:val="center"/>
          </w:tcPr>
          <w:p w14:paraId="61266B1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-S1D</w:t>
            </w:r>
          </w:p>
        </w:tc>
        <w:tc>
          <w:tcPr>
            <w:tcW w:w="650" w:type="dxa"/>
            <w:tcBorders>
              <w:tl2br w:val="nil"/>
              <w:tr2bl w:val="nil"/>
            </w:tcBorders>
            <w:vAlign w:val="center"/>
          </w:tcPr>
          <w:p w14:paraId="74EDD35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00" w:type="dxa"/>
            <w:tcBorders>
              <w:tl2br w:val="nil"/>
              <w:tr2bl w:val="nil"/>
            </w:tcBorders>
            <w:vAlign w:val="center"/>
          </w:tcPr>
          <w:p w14:paraId="2E0D775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-S1D</w:t>
            </w:r>
          </w:p>
        </w:tc>
        <w:tc>
          <w:tcPr>
            <w:tcW w:w="717" w:type="dxa"/>
            <w:tcBorders>
              <w:tl2br w:val="nil"/>
              <w:tr2bl w:val="nil"/>
            </w:tcBorders>
            <w:vAlign w:val="center"/>
          </w:tcPr>
          <w:p w14:paraId="51456B7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-S1D</w:t>
            </w:r>
          </w:p>
        </w:tc>
        <w:tc>
          <w:tcPr>
            <w:tcW w:w="705" w:type="dxa"/>
            <w:tcBorders>
              <w:tl2br w:val="nil"/>
              <w:tr2bl w:val="nil"/>
            </w:tcBorders>
            <w:vAlign w:val="center"/>
          </w:tcPr>
          <w:p w14:paraId="4BCB5BB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72" w:type="dxa"/>
            <w:tcBorders>
              <w:tl2br w:val="nil"/>
              <w:tr2bl w:val="nil"/>
            </w:tcBorders>
            <w:vAlign w:val="center"/>
          </w:tcPr>
          <w:p w14:paraId="4FDF0EA4">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61183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tcBorders>
              <w:tl2br w:val="nil"/>
              <w:tr2bl w:val="nil"/>
            </w:tcBorders>
            <w:vAlign w:val="center"/>
          </w:tcPr>
          <w:p w14:paraId="4718623C">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82" w:type="dxa"/>
            <w:tcBorders>
              <w:tl2br w:val="nil"/>
              <w:tr2bl w:val="nil"/>
            </w:tcBorders>
            <w:vAlign w:val="center"/>
          </w:tcPr>
          <w:p w14:paraId="7A6136D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施工噪声</w:t>
            </w:r>
          </w:p>
        </w:tc>
        <w:tc>
          <w:tcPr>
            <w:tcW w:w="667" w:type="dxa"/>
            <w:tcBorders>
              <w:tl2br w:val="nil"/>
              <w:tr2bl w:val="nil"/>
            </w:tcBorders>
            <w:vAlign w:val="center"/>
          </w:tcPr>
          <w:p w14:paraId="75F12B87">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83" w:type="dxa"/>
            <w:tcBorders>
              <w:tl2br w:val="nil"/>
              <w:tr2bl w:val="nil"/>
            </w:tcBorders>
            <w:vAlign w:val="center"/>
          </w:tcPr>
          <w:p w14:paraId="7650302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17" w:type="dxa"/>
            <w:tcBorders>
              <w:tl2br w:val="nil"/>
              <w:tr2bl w:val="nil"/>
            </w:tcBorders>
            <w:vAlign w:val="center"/>
          </w:tcPr>
          <w:p w14:paraId="3CD263B7">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83" w:type="dxa"/>
            <w:tcBorders>
              <w:tl2br w:val="nil"/>
              <w:tr2bl w:val="nil"/>
            </w:tcBorders>
            <w:vAlign w:val="center"/>
          </w:tcPr>
          <w:p w14:paraId="4E32386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5" w:type="dxa"/>
            <w:tcBorders>
              <w:tl2br w:val="nil"/>
              <w:tr2bl w:val="nil"/>
            </w:tcBorders>
            <w:vAlign w:val="center"/>
          </w:tcPr>
          <w:p w14:paraId="1B67CEF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-S1D</w:t>
            </w:r>
          </w:p>
        </w:tc>
        <w:tc>
          <w:tcPr>
            <w:tcW w:w="750" w:type="dxa"/>
            <w:tcBorders>
              <w:tl2br w:val="nil"/>
              <w:tr2bl w:val="nil"/>
            </w:tcBorders>
            <w:vAlign w:val="center"/>
          </w:tcPr>
          <w:p w14:paraId="34CE51F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-S1D</w:t>
            </w:r>
          </w:p>
        </w:tc>
        <w:tc>
          <w:tcPr>
            <w:tcW w:w="650" w:type="dxa"/>
            <w:tcBorders>
              <w:tl2br w:val="nil"/>
              <w:tr2bl w:val="nil"/>
            </w:tcBorders>
            <w:vAlign w:val="center"/>
          </w:tcPr>
          <w:p w14:paraId="40F632FC">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00" w:type="dxa"/>
            <w:tcBorders>
              <w:tl2br w:val="nil"/>
              <w:tr2bl w:val="nil"/>
            </w:tcBorders>
            <w:vAlign w:val="center"/>
          </w:tcPr>
          <w:p w14:paraId="033CD06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-S1D</w:t>
            </w:r>
          </w:p>
        </w:tc>
        <w:tc>
          <w:tcPr>
            <w:tcW w:w="717" w:type="dxa"/>
            <w:tcBorders>
              <w:tl2br w:val="nil"/>
              <w:tr2bl w:val="nil"/>
            </w:tcBorders>
            <w:vAlign w:val="center"/>
          </w:tcPr>
          <w:p w14:paraId="34EA885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05" w:type="dxa"/>
            <w:tcBorders>
              <w:tl2br w:val="nil"/>
              <w:tr2bl w:val="nil"/>
            </w:tcBorders>
            <w:vAlign w:val="center"/>
          </w:tcPr>
          <w:p w14:paraId="428ADA75">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72" w:type="dxa"/>
            <w:tcBorders>
              <w:tl2br w:val="nil"/>
              <w:tr2bl w:val="nil"/>
            </w:tcBorders>
            <w:vAlign w:val="center"/>
          </w:tcPr>
          <w:p w14:paraId="022CDDB2">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518BC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tcBorders>
              <w:tl2br w:val="nil"/>
              <w:tr2bl w:val="nil"/>
            </w:tcBorders>
            <w:vAlign w:val="center"/>
          </w:tcPr>
          <w:p w14:paraId="6F85EED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82" w:type="dxa"/>
            <w:tcBorders>
              <w:tl2br w:val="nil"/>
              <w:tr2bl w:val="nil"/>
            </w:tcBorders>
            <w:vAlign w:val="center"/>
          </w:tcPr>
          <w:p w14:paraId="7CF063A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渣土垃圾</w:t>
            </w:r>
          </w:p>
        </w:tc>
        <w:tc>
          <w:tcPr>
            <w:tcW w:w="667" w:type="dxa"/>
            <w:tcBorders>
              <w:tl2br w:val="nil"/>
              <w:tr2bl w:val="nil"/>
            </w:tcBorders>
            <w:vAlign w:val="center"/>
          </w:tcPr>
          <w:p w14:paraId="53774B0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-S1D</w:t>
            </w:r>
          </w:p>
        </w:tc>
        <w:tc>
          <w:tcPr>
            <w:tcW w:w="683" w:type="dxa"/>
            <w:tcBorders>
              <w:tl2br w:val="nil"/>
              <w:tr2bl w:val="nil"/>
            </w:tcBorders>
            <w:vAlign w:val="center"/>
          </w:tcPr>
          <w:p w14:paraId="3F36D04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17" w:type="dxa"/>
            <w:tcBorders>
              <w:tl2br w:val="nil"/>
              <w:tr2bl w:val="nil"/>
            </w:tcBorders>
            <w:vAlign w:val="center"/>
          </w:tcPr>
          <w:p w14:paraId="601D5F7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83" w:type="dxa"/>
            <w:tcBorders>
              <w:tl2br w:val="nil"/>
              <w:tr2bl w:val="nil"/>
            </w:tcBorders>
            <w:vAlign w:val="center"/>
          </w:tcPr>
          <w:p w14:paraId="2CAD947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5" w:type="dxa"/>
            <w:tcBorders>
              <w:tl2br w:val="nil"/>
              <w:tr2bl w:val="nil"/>
            </w:tcBorders>
            <w:vAlign w:val="center"/>
          </w:tcPr>
          <w:p w14:paraId="08C669B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50" w:type="dxa"/>
            <w:tcBorders>
              <w:tl2br w:val="nil"/>
              <w:tr2bl w:val="nil"/>
            </w:tcBorders>
            <w:vAlign w:val="center"/>
          </w:tcPr>
          <w:p w14:paraId="0C61421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-S1D</w:t>
            </w:r>
          </w:p>
        </w:tc>
        <w:tc>
          <w:tcPr>
            <w:tcW w:w="650" w:type="dxa"/>
            <w:tcBorders>
              <w:tl2br w:val="nil"/>
              <w:tr2bl w:val="nil"/>
            </w:tcBorders>
            <w:vAlign w:val="center"/>
          </w:tcPr>
          <w:p w14:paraId="23D795A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00" w:type="dxa"/>
            <w:tcBorders>
              <w:tl2br w:val="nil"/>
              <w:tr2bl w:val="nil"/>
            </w:tcBorders>
            <w:vAlign w:val="center"/>
          </w:tcPr>
          <w:p w14:paraId="11761C2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-S1D</w:t>
            </w:r>
          </w:p>
        </w:tc>
        <w:tc>
          <w:tcPr>
            <w:tcW w:w="717" w:type="dxa"/>
            <w:tcBorders>
              <w:tl2br w:val="nil"/>
              <w:tr2bl w:val="nil"/>
            </w:tcBorders>
            <w:vAlign w:val="center"/>
          </w:tcPr>
          <w:p w14:paraId="7D096E7A">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05" w:type="dxa"/>
            <w:tcBorders>
              <w:tl2br w:val="nil"/>
              <w:tr2bl w:val="nil"/>
            </w:tcBorders>
            <w:vAlign w:val="center"/>
          </w:tcPr>
          <w:p w14:paraId="04B6B1C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72" w:type="dxa"/>
            <w:tcBorders>
              <w:tl2br w:val="nil"/>
              <w:tr2bl w:val="nil"/>
            </w:tcBorders>
            <w:vAlign w:val="center"/>
          </w:tcPr>
          <w:p w14:paraId="38CBE32E">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4C2F0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restart"/>
            <w:tcBorders>
              <w:tl2br w:val="nil"/>
              <w:tr2bl w:val="nil"/>
            </w:tcBorders>
            <w:vAlign w:val="center"/>
          </w:tcPr>
          <w:p w14:paraId="138C57D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运营期</w:t>
            </w:r>
          </w:p>
        </w:tc>
        <w:tc>
          <w:tcPr>
            <w:tcW w:w="682" w:type="dxa"/>
            <w:tcBorders>
              <w:tl2br w:val="nil"/>
              <w:tr2bl w:val="nil"/>
            </w:tcBorders>
            <w:vAlign w:val="center"/>
          </w:tcPr>
          <w:p w14:paraId="6C9FE54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废水排放</w:t>
            </w:r>
          </w:p>
        </w:tc>
        <w:tc>
          <w:tcPr>
            <w:tcW w:w="667" w:type="dxa"/>
            <w:tcBorders>
              <w:tl2br w:val="nil"/>
              <w:tr2bl w:val="nil"/>
            </w:tcBorders>
            <w:vAlign w:val="center"/>
          </w:tcPr>
          <w:p w14:paraId="57061E3C">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83" w:type="dxa"/>
            <w:tcBorders>
              <w:tl2br w:val="nil"/>
              <w:tr2bl w:val="nil"/>
            </w:tcBorders>
            <w:vAlign w:val="center"/>
          </w:tcPr>
          <w:p w14:paraId="2903ED1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17" w:type="dxa"/>
            <w:tcBorders>
              <w:tl2br w:val="nil"/>
              <w:tr2bl w:val="nil"/>
            </w:tcBorders>
            <w:vAlign w:val="center"/>
          </w:tcPr>
          <w:p w14:paraId="0B8C6FF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83" w:type="dxa"/>
            <w:tcBorders>
              <w:tl2br w:val="nil"/>
              <w:tr2bl w:val="nil"/>
            </w:tcBorders>
            <w:vAlign w:val="center"/>
          </w:tcPr>
          <w:p w14:paraId="7331388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5" w:type="dxa"/>
            <w:tcBorders>
              <w:tl2br w:val="nil"/>
              <w:tr2bl w:val="nil"/>
            </w:tcBorders>
            <w:vAlign w:val="center"/>
          </w:tcPr>
          <w:p w14:paraId="74FCBFB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50" w:type="dxa"/>
            <w:tcBorders>
              <w:tl2br w:val="nil"/>
              <w:tr2bl w:val="nil"/>
            </w:tcBorders>
            <w:vAlign w:val="center"/>
          </w:tcPr>
          <w:p w14:paraId="59A5D73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50" w:type="dxa"/>
            <w:tcBorders>
              <w:tl2br w:val="nil"/>
              <w:tr2bl w:val="nil"/>
            </w:tcBorders>
            <w:vAlign w:val="center"/>
          </w:tcPr>
          <w:p w14:paraId="5001A487">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00" w:type="dxa"/>
            <w:tcBorders>
              <w:tl2br w:val="nil"/>
              <w:tr2bl w:val="nil"/>
            </w:tcBorders>
            <w:vAlign w:val="center"/>
          </w:tcPr>
          <w:p w14:paraId="2175CC3C">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17" w:type="dxa"/>
            <w:tcBorders>
              <w:tl2br w:val="nil"/>
              <w:tr2bl w:val="nil"/>
            </w:tcBorders>
            <w:vAlign w:val="center"/>
          </w:tcPr>
          <w:p w14:paraId="0758C07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05" w:type="dxa"/>
            <w:tcBorders>
              <w:tl2br w:val="nil"/>
              <w:tr2bl w:val="nil"/>
            </w:tcBorders>
            <w:vAlign w:val="center"/>
          </w:tcPr>
          <w:p w14:paraId="5A68366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72" w:type="dxa"/>
            <w:tcBorders>
              <w:tl2br w:val="nil"/>
              <w:tr2bl w:val="nil"/>
            </w:tcBorders>
            <w:vAlign w:val="center"/>
          </w:tcPr>
          <w:p w14:paraId="236A15A8">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5C12F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tcBorders>
              <w:tl2br w:val="nil"/>
              <w:tr2bl w:val="nil"/>
            </w:tcBorders>
            <w:vAlign w:val="center"/>
          </w:tcPr>
          <w:p w14:paraId="2454E3C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82" w:type="dxa"/>
            <w:tcBorders>
              <w:tl2br w:val="nil"/>
              <w:tr2bl w:val="nil"/>
            </w:tcBorders>
            <w:vAlign w:val="center"/>
          </w:tcPr>
          <w:p w14:paraId="4992306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废气排放</w:t>
            </w:r>
          </w:p>
        </w:tc>
        <w:tc>
          <w:tcPr>
            <w:tcW w:w="667" w:type="dxa"/>
            <w:tcBorders>
              <w:tl2br w:val="nil"/>
              <w:tr2bl w:val="nil"/>
            </w:tcBorders>
            <w:vAlign w:val="center"/>
          </w:tcPr>
          <w:p w14:paraId="35D4337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-L2D</w:t>
            </w:r>
          </w:p>
        </w:tc>
        <w:tc>
          <w:tcPr>
            <w:tcW w:w="683" w:type="dxa"/>
            <w:tcBorders>
              <w:tl2br w:val="nil"/>
              <w:tr2bl w:val="nil"/>
            </w:tcBorders>
            <w:vAlign w:val="center"/>
          </w:tcPr>
          <w:p w14:paraId="357B6FFA">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17" w:type="dxa"/>
            <w:tcBorders>
              <w:tl2br w:val="nil"/>
              <w:tr2bl w:val="nil"/>
            </w:tcBorders>
            <w:vAlign w:val="center"/>
          </w:tcPr>
          <w:p w14:paraId="24879C7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83" w:type="dxa"/>
            <w:tcBorders>
              <w:tl2br w:val="nil"/>
              <w:tr2bl w:val="nil"/>
            </w:tcBorders>
            <w:vAlign w:val="center"/>
          </w:tcPr>
          <w:p w14:paraId="12A0B97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-L1I</w:t>
            </w:r>
          </w:p>
        </w:tc>
        <w:tc>
          <w:tcPr>
            <w:tcW w:w="695" w:type="dxa"/>
            <w:tcBorders>
              <w:tl2br w:val="nil"/>
              <w:tr2bl w:val="nil"/>
            </w:tcBorders>
            <w:vAlign w:val="center"/>
          </w:tcPr>
          <w:p w14:paraId="5FD36397">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50" w:type="dxa"/>
            <w:tcBorders>
              <w:tl2br w:val="nil"/>
              <w:tr2bl w:val="nil"/>
            </w:tcBorders>
            <w:vAlign w:val="center"/>
          </w:tcPr>
          <w:p w14:paraId="69AB370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-L1D</w:t>
            </w:r>
          </w:p>
        </w:tc>
        <w:tc>
          <w:tcPr>
            <w:tcW w:w="650" w:type="dxa"/>
            <w:tcBorders>
              <w:tl2br w:val="nil"/>
              <w:tr2bl w:val="nil"/>
            </w:tcBorders>
            <w:vAlign w:val="center"/>
          </w:tcPr>
          <w:p w14:paraId="3657F18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00" w:type="dxa"/>
            <w:tcBorders>
              <w:tl2br w:val="nil"/>
              <w:tr2bl w:val="nil"/>
            </w:tcBorders>
            <w:vAlign w:val="center"/>
          </w:tcPr>
          <w:p w14:paraId="72B403E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-L1D</w:t>
            </w:r>
          </w:p>
        </w:tc>
        <w:tc>
          <w:tcPr>
            <w:tcW w:w="717" w:type="dxa"/>
            <w:tcBorders>
              <w:tl2br w:val="nil"/>
              <w:tr2bl w:val="nil"/>
            </w:tcBorders>
            <w:vAlign w:val="center"/>
          </w:tcPr>
          <w:p w14:paraId="6E7AE5C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-L1D</w:t>
            </w:r>
          </w:p>
        </w:tc>
        <w:tc>
          <w:tcPr>
            <w:tcW w:w="705" w:type="dxa"/>
            <w:tcBorders>
              <w:tl2br w:val="nil"/>
              <w:tr2bl w:val="nil"/>
            </w:tcBorders>
            <w:vAlign w:val="center"/>
          </w:tcPr>
          <w:p w14:paraId="2D7FC18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-L1D</w:t>
            </w:r>
          </w:p>
        </w:tc>
        <w:tc>
          <w:tcPr>
            <w:tcW w:w="672" w:type="dxa"/>
            <w:tcBorders>
              <w:tl2br w:val="nil"/>
              <w:tr2bl w:val="nil"/>
            </w:tcBorders>
            <w:vAlign w:val="center"/>
          </w:tcPr>
          <w:p w14:paraId="36CDD83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-L1D</w:t>
            </w:r>
          </w:p>
        </w:tc>
      </w:tr>
      <w:tr w14:paraId="3B4B0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tcBorders>
              <w:tl2br w:val="nil"/>
              <w:tr2bl w:val="nil"/>
            </w:tcBorders>
            <w:vAlign w:val="center"/>
          </w:tcPr>
          <w:p w14:paraId="6AAFDAFA">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82" w:type="dxa"/>
            <w:tcBorders>
              <w:tl2br w:val="nil"/>
              <w:tr2bl w:val="nil"/>
            </w:tcBorders>
            <w:vAlign w:val="center"/>
          </w:tcPr>
          <w:p w14:paraId="7D52C79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噪声排放</w:t>
            </w:r>
          </w:p>
        </w:tc>
        <w:tc>
          <w:tcPr>
            <w:tcW w:w="667" w:type="dxa"/>
            <w:tcBorders>
              <w:tl2br w:val="nil"/>
              <w:tr2bl w:val="nil"/>
            </w:tcBorders>
            <w:vAlign w:val="center"/>
          </w:tcPr>
          <w:p w14:paraId="222449E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83" w:type="dxa"/>
            <w:tcBorders>
              <w:tl2br w:val="nil"/>
              <w:tr2bl w:val="nil"/>
            </w:tcBorders>
            <w:vAlign w:val="center"/>
          </w:tcPr>
          <w:p w14:paraId="4D2D065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17" w:type="dxa"/>
            <w:tcBorders>
              <w:tl2br w:val="nil"/>
              <w:tr2bl w:val="nil"/>
            </w:tcBorders>
            <w:vAlign w:val="center"/>
          </w:tcPr>
          <w:p w14:paraId="23A8A185">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83" w:type="dxa"/>
            <w:tcBorders>
              <w:tl2br w:val="nil"/>
              <w:tr2bl w:val="nil"/>
            </w:tcBorders>
            <w:vAlign w:val="center"/>
          </w:tcPr>
          <w:p w14:paraId="09E8676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5" w:type="dxa"/>
            <w:tcBorders>
              <w:tl2br w:val="nil"/>
              <w:tr2bl w:val="nil"/>
            </w:tcBorders>
            <w:vAlign w:val="center"/>
          </w:tcPr>
          <w:p w14:paraId="4D5837A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-L2D</w:t>
            </w:r>
          </w:p>
        </w:tc>
        <w:tc>
          <w:tcPr>
            <w:tcW w:w="750" w:type="dxa"/>
            <w:tcBorders>
              <w:tl2br w:val="nil"/>
              <w:tr2bl w:val="nil"/>
            </w:tcBorders>
            <w:vAlign w:val="center"/>
          </w:tcPr>
          <w:p w14:paraId="11D35C3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50" w:type="dxa"/>
            <w:tcBorders>
              <w:tl2br w:val="nil"/>
              <w:tr2bl w:val="nil"/>
            </w:tcBorders>
            <w:vAlign w:val="center"/>
          </w:tcPr>
          <w:p w14:paraId="22061F2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00" w:type="dxa"/>
            <w:tcBorders>
              <w:tl2br w:val="nil"/>
              <w:tr2bl w:val="nil"/>
            </w:tcBorders>
            <w:vAlign w:val="center"/>
          </w:tcPr>
          <w:p w14:paraId="615B028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17" w:type="dxa"/>
            <w:tcBorders>
              <w:tl2br w:val="nil"/>
              <w:tr2bl w:val="nil"/>
            </w:tcBorders>
            <w:vAlign w:val="center"/>
          </w:tcPr>
          <w:p w14:paraId="62A05D29">
            <w:pPr>
              <w:autoSpaceDE w:val="0"/>
              <w:autoSpaceDN w:val="0"/>
              <w:spacing w:line="300" w:lineRule="exact"/>
              <w:jc w:val="center"/>
              <w:rPr>
                <w:rFonts w:hint="default" w:ascii="Times New Roman" w:hAnsi="Times New Roman" w:cs="Times New Roman" w:eastAsiaTheme="minorEastAsia"/>
                <w:szCs w:val="21"/>
                <w:lang w:val="en-US" w:eastAsia="zh-CN"/>
              </w:rPr>
            </w:pPr>
          </w:p>
          <w:p w14:paraId="3ED15F23">
            <w:pPr>
              <w:autoSpaceDE w:val="0"/>
              <w:autoSpaceDN w:val="0"/>
              <w:spacing w:line="300" w:lineRule="exact"/>
              <w:jc w:val="center"/>
              <w:rPr>
                <w:rFonts w:hint="default" w:ascii="Times New Roman" w:hAnsi="Times New Roman" w:cs="Times New Roman" w:eastAsiaTheme="minorEastAsia"/>
                <w:szCs w:val="21"/>
                <w:lang w:val="en-US" w:eastAsia="zh-CN"/>
              </w:rPr>
            </w:pPr>
          </w:p>
          <w:p w14:paraId="76CB524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05" w:type="dxa"/>
            <w:tcBorders>
              <w:tl2br w:val="nil"/>
              <w:tr2bl w:val="nil"/>
            </w:tcBorders>
            <w:vAlign w:val="center"/>
          </w:tcPr>
          <w:p w14:paraId="48463F9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72" w:type="dxa"/>
            <w:tcBorders>
              <w:tl2br w:val="nil"/>
              <w:tr2bl w:val="nil"/>
            </w:tcBorders>
            <w:vAlign w:val="center"/>
          </w:tcPr>
          <w:p w14:paraId="73AD8499">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58CCC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tcBorders>
              <w:tl2br w:val="nil"/>
              <w:tr2bl w:val="nil"/>
            </w:tcBorders>
            <w:vAlign w:val="center"/>
          </w:tcPr>
          <w:p w14:paraId="3465B2D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82" w:type="dxa"/>
            <w:tcBorders>
              <w:tl2br w:val="nil"/>
              <w:tr2bl w:val="nil"/>
            </w:tcBorders>
            <w:vAlign w:val="center"/>
          </w:tcPr>
          <w:p w14:paraId="214CFB6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固体废物</w:t>
            </w:r>
          </w:p>
        </w:tc>
        <w:tc>
          <w:tcPr>
            <w:tcW w:w="667" w:type="dxa"/>
            <w:tcBorders>
              <w:tl2br w:val="nil"/>
              <w:tr2bl w:val="nil"/>
            </w:tcBorders>
            <w:vAlign w:val="center"/>
          </w:tcPr>
          <w:p w14:paraId="522D61C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83" w:type="dxa"/>
            <w:tcBorders>
              <w:tl2br w:val="nil"/>
              <w:tr2bl w:val="nil"/>
            </w:tcBorders>
            <w:vAlign w:val="center"/>
          </w:tcPr>
          <w:p w14:paraId="1CDB01D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17" w:type="dxa"/>
            <w:tcBorders>
              <w:tl2br w:val="nil"/>
              <w:tr2bl w:val="nil"/>
            </w:tcBorders>
            <w:vAlign w:val="center"/>
          </w:tcPr>
          <w:p w14:paraId="1CAED59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83" w:type="dxa"/>
            <w:tcBorders>
              <w:tl2br w:val="nil"/>
              <w:tr2bl w:val="nil"/>
            </w:tcBorders>
            <w:vAlign w:val="center"/>
          </w:tcPr>
          <w:p w14:paraId="1EA6ACA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-L1D</w:t>
            </w:r>
          </w:p>
        </w:tc>
        <w:tc>
          <w:tcPr>
            <w:tcW w:w="695" w:type="dxa"/>
            <w:tcBorders>
              <w:tl2br w:val="nil"/>
              <w:tr2bl w:val="nil"/>
            </w:tcBorders>
            <w:vAlign w:val="center"/>
          </w:tcPr>
          <w:p w14:paraId="0BF1E69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50" w:type="dxa"/>
            <w:tcBorders>
              <w:tl2br w:val="nil"/>
              <w:tr2bl w:val="nil"/>
            </w:tcBorders>
            <w:vAlign w:val="center"/>
          </w:tcPr>
          <w:p w14:paraId="661AABB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50" w:type="dxa"/>
            <w:tcBorders>
              <w:tl2br w:val="nil"/>
              <w:tr2bl w:val="nil"/>
            </w:tcBorders>
            <w:vAlign w:val="center"/>
          </w:tcPr>
          <w:p w14:paraId="258312B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00" w:type="dxa"/>
            <w:tcBorders>
              <w:tl2br w:val="nil"/>
              <w:tr2bl w:val="nil"/>
            </w:tcBorders>
            <w:vAlign w:val="center"/>
          </w:tcPr>
          <w:p w14:paraId="4920238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17" w:type="dxa"/>
            <w:tcBorders>
              <w:tl2br w:val="nil"/>
              <w:tr2bl w:val="nil"/>
            </w:tcBorders>
            <w:vAlign w:val="center"/>
          </w:tcPr>
          <w:p w14:paraId="4814B9E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05" w:type="dxa"/>
            <w:tcBorders>
              <w:tl2br w:val="nil"/>
              <w:tr2bl w:val="nil"/>
            </w:tcBorders>
            <w:vAlign w:val="center"/>
          </w:tcPr>
          <w:p w14:paraId="6A218EB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72" w:type="dxa"/>
            <w:tcBorders>
              <w:tl2br w:val="nil"/>
              <w:tr2bl w:val="nil"/>
            </w:tcBorders>
            <w:vAlign w:val="center"/>
          </w:tcPr>
          <w:p w14:paraId="7BFDA89B">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61BD7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tcBorders>
              <w:tl2br w:val="nil"/>
              <w:tr2bl w:val="nil"/>
            </w:tcBorders>
            <w:vAlign w:val="center"/>
          </w:tcPr>
          <w:p w14:paraId="1B3C8FB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82" w:type="dxa"/>
            <w:tcBorders>
              <w:tl2br w:val="nil"/>
              <w:tr2bl w:val="nil"/>
            </w:tcBorders>
            <w:vAlign w:val="center"/>
          </w:tcPr>
          <w:p w14:paraId="7C42A92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事故风险</w:t>
            </w:r>
          </w:p>
        </w:tc>
        <w:tc>
          <w:tcPr>
            <w:tcW w:w="667" w:type="dxa"/>
            <w:tcBorders>
              <w:tl2br w:val="nil"/>
              <w:tr2bl w:val="nil"/>
            </w:tcBorders>
            <w:vAlign w:val="center"/>
          </w:tcPr>
          <w:p w14:paraId="15D658B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-L3D</w:t>
            </w:r>
          </w:p>
        </w:tc>
        <w:tc>
          <w:tcPr>
            <w:tcW w:w="683" w:type="dxa"/>
            <w:tcBorders>
              <w:tl2br w:val="nil"/>
              <w:tr2bl w:val="nil"/>
            </w:tcBorders>
            <w:vAlign w:val="center"/>
          </w:tcPr>
          <w:p w14:paraId="0E76FA6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-L3D</w:t>
            </w:r>
          </w:p>
        </w:tc>
        <w:tc>
          <w:tcPr>
            <w:tcW w:w="617" w:type="dxa"/>
            <w:tcBorders>
              <w:tl2br w:val="nil"/>
              <w:tr2bl w:val="nil"/>
            </w:tcBorders>
            <w:vAlign w:val="center"/>
          </w:tcPr>
          <w:p w14:paraId="6968296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-L3D</w:t>
            </w:r>
          </w:p>
        </w:tc>
        <w:tc>
          <w:tcPr>
            <w:tcW w:w="683" w:type="dxa"/>
            <w:tcBorders>
              <w:tl2br w:val="nil"/>
              <w:tr2bl w:val="nil"/>
            </w:tcBorders>
            <w:vAlign w:val="center"/>
          </w:tcPr>
          <w:p w14:paraId="19167B4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-L3D</w:t>
            </w:r>
          </w:p>
        </w:tc>
        <w:tc>
          <w:tcPr>
            <w:tcW w:w="695" w:type="dxa"/>
            <w:tcBorders>
              <w:tl2br w:val="nil"/>
              <w:tr2bl w:val="nil"/>
            </w:tcBorders>
            <w:vAlign w:val="center"/>
          </w:tcPr>
          <w:p w14:paraId="502AECF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-L3D</w:t>
            </w:r>
          </w:p>
        </w:tc>
        <w:tc>
          <w:tcPr>
            <w:tcW w:w="750" w:type="dxa"/>
            <w:tcBorders>
              <w:tl2br w:val="nil"/>
              <w:tr2bl w:val="nil"/>
            </w:tcBorders>
            <w:vAlign w:val="center"/>
          </w:tcPr>
          <w:p w14:paraId="63046DD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-L3D</w:t>
            </w:r>
          </w:p>
        </w:tc>
        <w:tc>
          <w:tcPr>
            <w:tcW w:w="650" w:type="dxa"/>
            <w:tcBorders>
              <w:tl2br w:val="nil"/>
              <w:tr2bl w:val="nil"/>
            </w:tcBorders>
            <w:vAlign w:val="center"/>
          </w:tcPr>
          <w:p w14:paraId="7024F39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00" w:type="dxa"/>
            <w:tcBorders>
              <w:tl2br w:val="nil"/>
              <w:tr2bl w:val="nil"/>
            </w:tcBorders>
            <w:vAlign w:val="center"/>
          </w:tcPr>
          <w:p w14:paraId="5D28039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-L3D</w:t>
            </w:r>
          </w:p>
        </w:tc>
        <w:tc>
          <w:tcPr>
            <w:tcW w:w="717" w:type="dxa"/>
            <w:tcBorders>
              <w:tl2br w:val="nil"/>
              <w:tr2bl w:val="nil"/>
            </w:tcBorders>
            <w:vAlign w:val="center"/>
          </w:tcPr>
          <w:p w14:paraId="3641B75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-L3D</w:t>
            </w:r>
          </w:p>
        </w:tc>
        <w:tc>
          <w:tcPr>
            <w:tcW w:w="705" w:type="dxa"/>
            <w:tcBorders>
              <w:tl2br w:val="nil"/>
              <w:tr2bl w:val="nil"/>
            </w:tcBorders>
            <w:vAlign w:val="center"/>
          </w:tcPr>
          <w:p w14:paraId="3F55A5C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-L3D</w:t>
            </w:r>
          </w:p>
        </w:tc>
        <w:tc>
          <w:tcPr>
            <w:tcW w:w="672" w:type="dxa"/>
            <w:tcBorders>
              <w:tl2br w:val="nil"/>
              <w:tr2bl w:val="nil"/>
            </w:tcBorders>
            <w:vAlign w:val="center"/>
          </w:tcPr>
          <w:p w14:paraId="64CB6CC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-L3D</w:t>
            </w:r>
          </w:p>
        </w:tc>
      </w:tr>
      <w:tr w14:paraId="18620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7" w:type="dxa"/>
            <w:gridSpan w:val="13"/>
            <w:tcBorders>
              <w:tl2br w:val="nil"/>
              <w:tr2bl w:val="nil"/>
            </w:tcBorders>
            <w:vAlign w:val="center"/>
          </w:tcPr>
          <w:p w14:paraId="52D0CB8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注：“+和</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”分别表示有利、不利影响；“L 和 S”分别表示长期、短期影响；“0 至 3”分别表示无影响、轻微影响、中等影响、重大影响；“D 和 I”分别表示直接、间接影响。</w:t>
            </w:r>
          </w:p>
        </w:tc>
      </w:tr>
    </w:tbl>
    <w:p w14:paraId="7DB97D6C">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67" w:name="_Toc1230"/>
      <w:bookmarkStart w:id="68" w:name="_Toc9828"/>
      <w:r>
        <w:rPr>
          <w:rFonts w:hint="default" w:ascii="Times New Roman" w:hAnsi="Times New Roman" w:cs="Times New Roman" w:eastAsiaTheme="minorEastAsia"/>
          <w:kern w:val="0"/>
          <w:sz w:val="24"/>
          <w:szCs w:val="24"/>
          <w:lang w:val="en-US" w:eastAsia="zh-CN"/>
        </w:rPr>
        <w:t>2.3.2评价因子筛选</w:t>
      </w:r>
      <w:bookmarkEnd w:id="67"/>
      <w:bookmarkEnd w:id="68"/>
    </w:p>
    <w:p w14:paraId="644C322B">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根据项目运营期的特点，结合本地区环境功能及各环境因子的重要性和可能受影响的程度，在环境影响因素识别的基础上，从环境要素方面进行环境因子的识别与筛选，本工程评价因子筛选从环境空气、声环境、水环境等几方面进行。本项目评价因子筛选结果见下表。</w:t>
      </w:r>
    </w:p>
    <w:p w14:paraId="7C73202A">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表2.3-2  评价因子筛选表</w:t>
      </w:r>
    </w:p>
    <w:tbl>
      <w:tblPr>
        <w:tblStyle w:val="1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0"/>
        <w:gridCol w:w="1921"/>
        <w:gridCol w:w="5528"/>
      </w:tblGrid>
      <w:tr w14:paraId="287F2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8" w:type="pct"/>
            <w:vAlign w:val="center"/>
          </w:tcPr>
          <w:p w14:paraId="35F81184">
            <w:pPr>
              <w:jc w:val="center"/>
              <w:rPr>
                <w:rFonts w:hint="default"/>
                <w:vertAlign w:val="baseline"/>
                <w:lang w:val="en-US" w:eastAsia="zh-CN"/>
              </w:rPr>
            </w:pPr>
            <w:r>
              <w:rPr>
                <w:rFonts w:hint="eastAsia"/>
                <w:vertAlign w:val="baseline"/>
                <w:lang w:val="en-US" w:eastAsia="zh-CN"/>
              </w:rPr>
              <w:t>环境要素</w:t>
            </w:r>
          </w:p>
        </w:tc>
        <w:tc>
          <w:tcPr>
            <w:tcW w:w="1127" w:type="pct"/>
            <w:vAlign w:val="center"/>
          </w:tcPr>
          <w:p w14:paraId="70BFA966">
            <w:pPr>
              <w:jc w:val="center"/>
              <w:rPr>
                <w:rFonts w:hint="default"/>
                <w:vertAlign w:val="baseline"/>
                <w:lang w:val="en-US" w:eastAsia="zh-CN"/>
              </w:rPr>
            </w:pPr>
            <w:r>
              <w:rPr>
                <w:rFonts w:hint="eastAsia"/>
                <w:vertAlign w:val="baseline"/>
                <w:lang w:val="en-US" w:eastAsia="zh-CN"/>
              </w:rPr>
              <w:t>评价类型</w:t>
            </w:r>
          </w:p>
        </w:tc>
        <w:tc>
          <w:tcPr>
            <w:tcW w:w="3243" w:type="pct"/>
            <w:vAlign w:val="center"/>
          </w:tcPr>
          <w:p w14:paraId="7D735294">
            <w:pPr>
              <w:jc w:val="center"/>
              <w:rPr>
                <w:rFonts w:hint="default"/>
                <w:vertAlign w:val="baseline"/>
                <w:lang w:val="en-US" w:eastAsia="zh-CN"/>
              </w:rPr>
            </w:pPr>
            <w:r>
              <w:rPr>
                <w:rFonts w:hint="eastAsia"/>
                <w:vertAlign w:val="baseline"/>
                <w:lang w:val="en-US" w:eastAsia="zh-CN"/>
              </w:rPr>
              <w:t>评价因子</w:t>
            </w:r>
          </w:p>
        </w:tc>
      </w:tr>
      <w:tr w14:paraId="6687E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8" w:type="pct"/>
            <w:vMerge w:val="restart"/>
            <w:vAlign w:val="center"/>
          </w:tcPr>
          <w:p w14:paraId="5868075F">
            <w:pPr>
              <w:jc w:val="center"/>
              <w:rPr>
                <w:rFonts w:hint="default"/>
                <w:vertAlign w:val="baseline"/>
                <w:lang w:val="en-US" w:eastAsia="zh-CN"/>
              </w:rPr>
            </w:pPr>
            <w:r>
              <w:rPr>
                <w:rFonts w:hint="eastAsia"/>
                <w:vertAlign w:val="baseline"/>
                <w:lang w:val="en-US" w:eastAsia="zh-CN"/>
              </w:rPr>
              <w:t>环境空气</w:t>
            </w:r>
          </w:p>
        </w:tc>
        <w:tc>
          <w:tcPr>
            <w:tcW w:w="1127" w:type="pct"/>
            <w:vAlign w:val="center"/>
          </w:tcPr>
          <w:p w14:paraId="24C37880">
            <w:pPr>
              <w:jc w:val="center"/>
              <w:rPr>
                <w:rFonts w:hint="default"/>
                <w:highlight w:val="none"/>
                <w:vertAlign w:val="baseline"/>
                <w:lang w:val="en-US" w:eastAsia="zh-CN"/>
              </w:rPr>
            </w:pPr>
            <w:r>
              <w:rPr>
                <w:rFonts w:hint="eastAsia"/>
                <w:highlight w:val="none"/>
                <w:vertAlign w:val="baseline"/>
                <w:lang w:val="en-US" w:eastAsia="zh-CN"/>
              </w:rPr>
              <w:t>环境现状评价因子</w:t>
            </w:r>
          </w:p>
        </w:tc>
        <w:tc>
          <w:tcPr>
            <w:tcW w:w="3243" w:type="pct"/>
            <w:vAlign w:val="center"/>
          </w:tcPr>
          <w:p w14:paraId="0B39649A">
            <w:pPr>
              <w:keepNext w:val="0"/>
              <w:keepLines w:val="0"/>
              <w:widowControl/>
              <w:suppressLineNumbers w:val="0"/>
              <w:jc w:val="left"/>
              <w:rPr>
                <w:rFonts w:hint="default"/>
                <w:highlight w:val="none"/>
                <w:vertAlign w:val="baseline"/>
                <w:lang w:val="en-US" w:eastAsia="zh-CN"/>
              </w:rPr>
            </w:pPr>
            <w:r>
              <w:rPr>
                <w:rFonts w:hint="default" w:ascii="Times New Roman" w:hAnsi="Times New Roman" w:eastAsia="宋体" w:cs="Times New Roman"/>
                <w:color w:val="000000"/>
                <w:kern w:val="0"/>
                <w:sz w:val="21"/>
                <w:szCs w:val="21"/>
                <w:highlight w:val="none"/>
                <w:lang w:val="en-US" w:eastAsia="zh-CN" w:bidi="ar"/>
              </w:rPr>
              <w:t>SO</w:t>
            </w:r>
            <w:r>
              <w:rPr>
                <w:rFonts w:hint="eastAsia" w:ascii="Times New Roman" w:hAnsi="Times New Roman" w:eastAsia="宋体" w:cs="Times New Roman"/>
                <w:color w:val="000000"/>
                <w:kern w:val="0"/>
                <w:sz w:val="21"/>
                <w:szCs w:val="21"/>
                <w:highlight w:val="none"/>
                <w:vertAlign w:val="subscript"/>
                <w:lang w:val="en-US" w:eastAsia="zh-CN" w:bidi="ar"/>
              </w:rPr>
              <w:t>2</w:t>
            </w:r>
            <w:r>
              <w:rPr>
                <w:rFonts w:hint="eastAsia" w:ascii="宋体" w:hAnsi="宋体" w:eastAsia="宋体" w:cs="宋体"/>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NO</w:t>
            </w:r>
            <w:r>
              <w:rPr>
                <w:rFonts w:hint="eastAsia" w:ascii="Times New Roman" w:hAnsi="Times New Roman" w:eastAsia="宋体" w:cs="Times New Roman"/>
                <w:color w:val="000000"/>
                <w:kern w:val="0"/>
                <w:sz w:val="21"/>
                <w:szCs w:val="21"/>
                <w:highlight w:val="none"/>
                <w:vertAlign w:val="subscript"/>
                <w:lang w:val="en-US" w:eastAsia="zh-CN" w:bidi="ar"/>
              </w:rPr>
              <w:t>2</w:t>
            </w:r>
            <w:r>
              <w:rPr>
                <w:rFonts w:hint="eastAsia" w:ascii="宋体" w:hAnsi="宋体" w:eastAsia="宋体" w:cs="宋体"/>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PM</w:t>
            </w:r>
            <w:r>
              <w:rPr>
                <w:rFonts w:hint="eastAsia" w:ascii="Times New Roman" w:hAnsi="Times New Roman" w:eastAsia="宋体" w:cs="Times New Roman"/>
                <w:color w:val="000000"/>
                <w:kern w:val="0"/>
                <w:sz w:val="21"/>
                <w:szCs w:val="21"/>
                <w:highlight w:val="none"/>
                <w:vertAlign w:val="subscript"/>
                <w:lang w:val="en-US" w:eastAsia="zh-CN" w:bidi="ar"/>
              </w:rPr>
              <w:t>10</w:t>
            </w:r>
            <w:r>
              <w:rPr>
                <w:rFonts w:hint="eastAsia" w:ascii="宋体" w:hAnsi="宋体" w:eastAsia="宋体" w:cs="宋体"/>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PM</w:t>
            </w:r>
            <w:r>
              <w:rPr>
                <w:rFonts w:hint="eastAsia" w:ascii="Times New Roman" w:hAnsi="Times New Roman" w:eastAsia="宋体" w:cs="Times New Roman"/>
                <w:color w:val="000000"/>
                <w:kern w:val="0"/>
                <w:sz w:val="21"/>
                <w:szCs w:val="21"/>
                <w:highlight w:val="none"/>
                <w:vertAlign w:val="subscript"/>
                <w:lang w:val="en-US" w:eastAsia="zh-CN" w:bidi="ar"/>
              </w:rPr>
              <w:t>2.5</w:t>
            </w:r>
            <w:r>
              <w:rPr>
                <w:rFonts w:hint="eastAsia" w:ascii="宋体" w:hAnsi="宋体" w:eastAsia="宋体" w:cs="宋体"/>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CO</w:t>
            </w:r>
            <w:r>
              <w:rPr>
                <w:rFonts w:hint="eastAsia" w:ascii="宋体" w:hAnsi="宋体" w:eastAsia="宋体" w:cs="宋体"/>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O</w:t>
            </w:r>
            <w:r>
              <w:rPr>
                <w:rFonts w:hint="eastAsia" w:ascii="Times New Roman" w:hAnsi="Times New Roman" w:eastAsia="宋体" w:cs="Times New Roman"/>
                <w:color w:val="000000"/>
                <w:kern w:val="0"/>
                <w:sz w:val="21"/>
                <w:szCs w:val="21"/>
                <w:highlight w:val="none"/>
                <w:vertAlign w:val="subscript"/>
                <w:lang w:val="en-US" w:eastAsia="zh-CN" w:bidi="ar"/>
              </w:rPr>
              <w:t>3</w:t>
            </w:r>
            <w:r>
              <w:rPr>
                <w:rFonts w:hint="eastAsia" w:ascii="宋体" w:hAnsi="宋体" w:eastAsia="宋体" w:cs="宋体"/>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HCl</w:t>
            </w:r>
            <w:r>
              <w:rPr>
                <w:rFonts w:hint="eastAsia" w:ascii="宋体" w:hAnsi="宋体" w:eastAsia="宋体" w:cs="宋体"/>
                <w:color w:val="000000"/>
                <w:kern w:val="0"/>
                <w:sz w:val="21"/>
                <w:szCs w:val="21"/>
                <w:highlight w:val="none"/>
                <w:lang w:val="en-US" w:eastAsia="zh-CN" w:bidi="ar"/>
              </w:rPr>
              <w:t>、氟化物、</w:t>
            </w:r>
            <w:r>
              <w:rPr>
                <w:rFonts w:hint="default" w:ascii="Times New Roman" w:hAnsi="Times New Roman" w:eastAsia="宋体" w:cs="Times New Roman"/>
                <w:color w:val="000000"/>
                <w:kern w:val="0"/>
                <w:sz w:val="21"/>
                <w:szCs w:val="21"/>
                <w:highlight w:val="none"/>
                <w:lang w:val="en-US" w:eastAsia="zh-CN" w:bidi="ar"/>
              </w:rPr>
              <w:t>Hg</w:t>
            </w:r>
            <w:r>
              <w:rPr>
                <w:rFonts w:hint="eastAsia" w:ascii="宋体" w:hAnsi="宋体" w:eastAsia="宋体" w:cs="宋体"/>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Pb</w:t>
            </w:r>
            <w:r>
              <w:rPr>
                <w:rFonts w:hint="eastAsia" w:ascii="宋体" w:hAnsi="宋体" w:eastAsia="宋体" w:cs="宋体"/>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A</w:t>
            </w:r>
            <w:r>
              <w:rPr>
                <w:rFonts w:hint="eastAsia" w:ascii="Times New Roman" w:hAnsi="Times New Roman" w:eastAsia="宋体" w:cs="Times New Roman"/>
                <w:color w:val="000000"/>
                <w:kern w:val="0"/>
                <w:sz w:val="21"/>
                <w:szCs w:val="21"/>
                <w:highlight w:val="none"/>
                <w:lang w:val="en-US" w:eastAsia="zh-CN" w:bidi="ar"/>
              </w:rPr>
              <w:t>s</w:t>
            </w:r>
            <w:r>
              <w:rPr>
                <w:rFonts w:hint="eastAsia" w:ascii="宋体" w:hAnsi="宋体" w:eastAsia="宋体" w:cs="宋体"/>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Cd</w:t>
            </w:r>
            <w:r>
              <w:rPr>
                <w:rFonts w:hint="eastAsia" w:ascii="宋体" w:hAnsi="宋体" w:eastAsia="宋体" w:cs="宋体"/>
                <w:color w:val="000000"/>
                <w:kern w:val="0"/>
                <w:sz w:val="21"/>
                <w:szCs w:val="21"/>
                <w:highlight w:val="none"/>
                <w:lang w:val="en-US" w:eastAsia="zh-CN" w:bidi="ar"/>
              </w:rPr>
              <w:t>、二噁英、</w:t>
            </w:r>
            <w:r>
              <w:rPr>
                <w:rFonts w:hint="default" w:ascii="Times New Roman" w:hAnsi="Times New Roman" w:eastAsia="宋体" w:cs="Times New Roman"/>
                <w:color w:val="000000"/>
                <w:kern w:val="0"/>
                <w:sz w:val="21"/>
                <w:szCs w:val="21"/>
                <w:highlight w:val="none"/>
                <w:lang w:val="en-US" w:eastAsia="zh-CN" w:bidi="ar"/>
              </w:rPr>
              <w:t>NH</w:t>
            </w:r>
            <w:r>
              <w:rPr>
                <w:rFonts w:hint="eastAsia" w:ascii="Times New Roman" w:hAnsi="Times New Roman" w:eastAsia="宋体" w:cs="Times New Roman"/>
                <w:color w:val="000000"/>
                <w:kern w:val="0"/>
                <w:sz w:val="21"/>
                <w:szCs w:val="21"/>
                <w:highlight w:val="none"/>
                <w:vertAlign w:val="subscript"/>
                <w:lang w:val="en-US" w:eastAsia="zh-CN" w:bidi="ar"/>
              </w:rPr>
              <w:t>3</w:t>
            </w:r>
            <w:r>
              <w:rPr>
                <w:rFonts w:hint="eastAsia" w:ascii="宋体" w:hAnsi="宋体" w:eastAsia="宋体" w:cs="宋体"/>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H</w:t>
            </w:r>
            <w:r>
              <w:rPr>
                <w:rFonts w:hint="eastAsia" w:ascii="Times New Roman" w:hAnsi="Times New Roman" w:eastAsia="宋体" w:cs="Times New Roman"/>
                <w:color w:val="000000"/>
                <w:kern w:val="0"/>
                <w:sz w:val="21"/>
                <w:szCs w:val="21"/>
                <w:highlight w:val="none"/>
                <w:vertAlign w:val="subscript"/>
                <w:lang w:val="en-US" w:eastAsia="zh-CN" w:bidi="ar"/>
              </w:rPr>
              <w:t>2</w:t>
            </w:r>
            <w:r>
              <w:rPr>
                <w:rFonts w:hint="default" w:ascii="Times New Roman" w:hAnsi="Times New Roman" w:eastAsia="宋体" w:cs="Times New Roman"/>
                <w:color w:val="000000"/>
                <w:kern w:val="0"/>
                <w:sz w:val="21"/>
                <w:szCs w:val="21"/>
                <w:highlight w:val="none"/>
                <w:lang w:val="en-US" w:eastAsia="zh-CN" w:bidi="ar"/>
              </w:rPr>
              <w:t>S</w:t>
            </w:r>
          </w:p>
        </w:tc>
      </w:tr>
      <w:tr w14:paraId="56CF7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8" w:type="pct"/>
            <w:vMerge w:val="continue"/>
            <w:vAlign w:val="center"/>
          </w:tcPr>
          <w:p w14:paraId="6D75DE3D">
            <w:pPr>
              <w:jc w:val="center"/>
              <w:rPr>
                <w:rFonts w:hint="default"/>
                <w:vertAlign w:val="baseline"/>
                <w:lang w:val="en-US" w:eastAsia="zh-CN"/>
              </w:rPr>
            </w:pPr>
          </w:p>
        </w:tc>
        <w:tc>
          <w:tcPr>
            <w:tcW w:w="1127" w:type="pct"/>
            <w:vAlign w:val="center"/>
          </w:tcPr>
          <w:p w14:paraId="72AF935C">
            <w:pPr>
              <w:jc w:val="center"/>
              <w:rPr>
                <w:rFonts w:hint="default"/>
                <w:vertAlign w:val="baseline"/>
                <w:lang w:val="en-US" w:eastAsia="zh-CN"/>
              </w:rPr>
            </w:pPr>
            <w:r>
              <w:rPr>
                <w:rFonts w:hint="eastAsia"/>
                <w:vertAlign w:val="baseline"/>
                <w:lang w:val="en-US" w:eastAsia="zh-CN"/>
              </w:rPr>
              <w:t>环境影响预测因子</w:t>
            </w:r>
          </w:p>
        </w:tc>
        <w:tc>
          <w:tcPr>
            <w:tcW w:w="3243" w:type="pct"/>
            <w:vAlign w:val="center"/>
          </w:tcPr>
          <w:p w14:paraId="7BF315F0">
            <w:pPr>
              <w:jc w:val="center"/>
              <w:rPr>
                <w:rFonts w:hint="default"/>
                <w:vertAlign w:val="baseline"/>
                <w:lang w:val="en-US" w:eastAsia="zh-CN"/>
              </w:rPr>
            </w:pPr>
            <w:r>
              <w:rPr>
                <w:rFonts w:hint="default" w:ascii="Times New Roman" w:hAnsi="Times New Roman" w:eastAsia="宋体" w:cs="Times New Roman"/>
                <w:color w:val="000000"/>
                <w:kern w:val="0"/>
                <w:sz w:val="21"/>
                <w:szCs w:val="21"/>
                <w:highlight w:val="none"/>
                <w:lang w:val="en-US" w:eastAsia="zh-CN" w:bidi="ar"/>
              </w:rPr>
              <w:t>SO</w:t>
            </w:r>
            <w:r>
              <w:rPr>
                <w:rFonts w:hint="eastAsia" w:ascii="Times New Roman" w:hAnsi="Times New Roman" w:eastAsia="宋体" w:cs="Times New Roman"/>
                <w:color w:val="000000"/>
                <w:kern w:val="0"/>
                <w:sz w:val="21"/>
                <w:szCs w:val="21"/>
                <w:highlight w:val="none"/>
                <w:vertAlign w:val="subscript"/>
                <w:lang w:val="en-US" w:eastAsia="zh-CN" w:bidi="ar"/>
              </w:rPr>
              <w:t>2</w:t>
            </w:r>
            <w:r>
              <w:rPr>
                <w:rFonts w:hint="eastAsia" w:ascii="宋体" w:hAnsi="宋体" w:eastAsia="宋体" w:cs="宋体"/>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NO</w:t>
            </w:r>
            <w:r>
              <w:rPr>
                <w:rFonts w:hint="eastAsia" w:ascii="Times New Roman" w:hAnsi="Times New Roman" w:eastAsia="宋体" w:cs="Times New Roman"/>
                <w:color w:val="000000"/>
                <w:kern w:val="0"/>
                <w:sz w:val="21"/>
                <w:szCs w:val="21"/>
                <w:highlight w:val="none"/>
                <w:vertAlign w:val="subscript"/>
                <w:lang w:val="en-US" w:eastAsia="zh-CN" w:bidi="ar"/>
              </w:rPr>
              <w:t>2</w:t>
            </w:r>
            <w:r>
              <w:rPr>
                <w:rFonts w:hint="eastAsia" w:ascii="宋体" w:hAnsi="宋体" w:eastAsia="宋体" w:cs="宋体"/>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PM</w:t>
            </w:r>
            <w:r>
              <w:rPr>
                <w:rFonts w:hint="eastAsia" w:ascii="Times New Roman" w:hAnsi="Times New Roman" w:eastAsia="宋体" w:cs="Times New Roman"/>
                <w:color w:val="000000"/>
                <w:kern w:val="0"/>
                <w:sz w:val="21"/>
                <w:szCs w:val="21"/>
                <w:highlight w:val="none"/>
                <w:vertAlign w:val="subscript"/>
                <w:lang w:val="en-US" w:eastAsia="zh-CN" w:bidi="ar"/>
              </w:rPr>
              <w:t>10</w:t>
            </w:r>
            <w:r>
              <w:rPr>
                <w:rFonts w:hint="eastAsia" w:ascii="宋体" w:hAnsi="宋体" w:eastAsia="宋体" w:cs="宋体"/>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PM</w:t>
            </w:r>
            <w:r>
              <w:rPr>
                <w:rFonts w:hint="eastAsia" w:ascii="Times New Roman" w:hAnsi="Times New Roman" w:eastAsia="宋体" w:cs="Times New Roman"/>
                <w:color w:val="000000"/>
                <w:kern w:val="0"/>
                <w:sz w:val="21"/>
                <w:szCs w:val="21"/>
                <w:highlight w:val="none"/>
                <w:vertAlign w:val="subscript"/>
                <w:lang w:val="en-US" w:eastAsia="zh-CN" w:bidi="ar"/>
              </w:rPr>
              <w:t>2.5</w:t>
            </w:r>
            <w:r>
              <w:rPr>
                <w:rFonts w:hint="eastAsia" w:ascii="宋体" w:hAnsi="宋体" w:eastAsia="宋体" w:cs="宋体"/>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CO</w:t>
            </w:r>
            <w:r>
              <w:rPr>
                <w:rFonts w:hint="eastAsia" w:ascii="宋体" w:hAnsi="宋体" w:eastAsia="宋体" w:cs="宋体"/>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H</w:t>
            </w:r>
            <w:r>
              <w:rPr>
                <w:rFonts w:hint="default" w:ascii="Times New Roman" w:hAnsi="Times New Roman" w:eastAsia="宋体" w:cs="Times New Roman"/>
                <w:color w:val="000000"/>
                <w:kern w:val="0"/>
                <w:sz w:val="21"/>
                <w:szCs w:val="21"/>
                <w:lang w:val="en-US" w:eastAsia="zh-CN" w:bidi="ar"/>
              </w:rPr>
              <w:t>Cl</w:t>
            </w: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Hg</w:t>
            </w: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Pb</w:t>
            </w: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A</w:t>
            </w:r>
            <w:r>
              <w:rPr>
                <w:rFonts w:hint="eastAsia" w:ascii="Times New Roman" w:hAnsi="Times New Roman" w:eastAsia="宋体" w:cs="Times New Roman"/>
                <w:color w:val="000000"/>
                <w:kern w:val="0"/>
                <w:sz w:val="21"/>
                <w:szCs w:val="21"/>
                <w:lang w:val="en-US" w:eastAsia="zh-CN" w:bidi="ar"/>
              </w:rPr>
              <w:t>s</w:t>
            </w: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Cd</w:t>
            </w:r>
            <w:r>
              <w:rPr>
                <w:rFonts w:hint="eastAsia" w:ascii="宋体" w:hAnsi="宋体" w:eastAsia="宋体" w:cs="宋体"/>
                <w:color w:val="000000"/>
                <w:kern w:val="0"/>
                <w:sz w:val="21"/>
                <w:szCs w:val="21"/>
                <w:lang w:val="en-US" w:eastAsia="zh-CN" w:bidi="ar"/>
              </w:rPr>
              <w:t>、二噁英、氟化物</w:t>
            </w:r>
          </w:p>
        </w:tc>
      </w:tr>
      <w:tr w14:paraId="7775D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8" w:type="pct"/>
            <w:vMerge w:val="restart"/>
            <w:vAlign w:val="center"/>
          </w:tcPr>
          <w:p w14:paraId="54232D3E">
            <w:pPr>
              <w:jc w:val="center"/>
              <w:rPr>
                <w:rFonts w:hint="default"/>
                <w:vertAlign w:val="baseline"/>
                <w:lang w:val="en-US" w:eastAsia="zh-CN"/>
              </w:rPr>
            </w:pPr>
            <w:r>
              <w:rPr>
                <w:rFonts w:hint="eastAsia"/>
                <w:vertAlign w:val="baseline"/>
                <w:lang w:val="en-US" w:eastAsia="zh-CN"/>
              </w:rPr>
              <w:t>声环境</w:t>
            </w:r>
          </w:p>
        </w:tc>
        <w:tc>
          <w:tcPr>
            <w:tcW w:w="1127" w:type="pct"/>
            <w:shd w:val="clear" w:color="auto" w:fill="auto"/>
            <w:vAlign w:val="center"/>
          </w:tcPr>
          <w:p w14:paraId="4314B7ED">
            <w:pPr>
              <w:jc w:val="cente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环境现状评价因子</w:t>
            </w:r>
          </w:p>
        </w:tc>
        <w:tc>
          <w:tcPr>
            <w:tcW w:w="3243" w:type="pct"/>
            <w:vAlign w:val="center"/>
          </w:tcPr>
          <w:p w14:paraId="7D071BAF">
            <w:pPr>
              <w:keepNext w:val="0"/>
              <w:keepLines w:val="0"/>
              <w:widowControl/>
              <w:suppressLineNumbers w:val="0"/>
              <w:jc w:val="center"/>
              <w:rPr>
                <w:rFonts w:hint="default"/>
                <w:vertAlign w:val="baseline"/>
                <w:lang w:val="en-US" w:eastAsia="zh-CN"/>
              </w:rPr>
            </w:pPr>
            <w:r>
              <w:rPr>
                <w:rFonts w:hint="eastAsia" w:ascii="宋体" w:hAnsi="宋体" w:eastAsia="宋体" w:cs="宋体"/>
                <w:color w:val="000000"/>
                <w:kern w:val="0"/>
                <w:sz w:val="21"/>
                <w:szCs w:val="21"/>
                <w:lang w:val="en-US" w:eastAsia="zh-CN" w:bidi="ar"/>
              </w:rPr>
              <w:t>等效连续</w:t>
            </w:r>
            <w:r>
              <w:rPr>
                <w:rFonts w:hint="default" w:ascii="Times New Roman" w:hAnsi="Times New Roman" w:eastAsia="宋体" w:cs="Times New Roman"/>
                <w:color w:val="000000"/>
                <w:kern w:val="0"/>
                <w:sz w:val="21"/>
                <w:szCs w:val="21"/>
                <w:lang w:val="en-US" w:eastAsia="zh-CN" w:bidi="ar"/>
              </w:rPr>
              <w:t>A</w:t>
            </w:r>
            <w:r>
              <w:rPr>
                <w:rFonts w:hint="eastAsia" w:ascii="宋体" w:hAnsi="宋体" w:eastAsia="宋体" w:cs="宋体"/>
                <w:color w:val="000000"/>
                <w:kern w:val="0"/>
                <w:sz w:val="21"/>
                <w:szCs w:val="21"/>
                <w:lang w:val="en-US" w:eastAsia="zh-CN" w:bidi="ar"/>
              </w:rPr>
              <w:t>声级</w:t>
            </w:r>
          </w:p>
        </w:tc>
      </w:tr>
      <w:tr w14:paraId="230EF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8" w:type="pct"/>
            <w:vMerge w:val="continue"/>
            <w:vAlign w:val="center"/>
          </w:tcPr>
          <w:p w14:paraId="5BCA8411">
            <w:pPr>
              <w:jc w:val="center"/>
              <w:rPr>
                <w:rFonts w:hint="default"/>
                <w:vertAlign w:val="baseline"/>
                <w:lang w:val="en-US" w:eastAsia="zh-CN"/>
              </w:rPr>
            </w:pPr>
          </w:p>
        </w:tc>
        <w:tc>
          <w:tcPr>
            <w:tcW w:w="1127" w:type="pct"/>
            <w:shd w:val="clear" w:color="auto" w:fill="auto"/>
            <w:vAlign w:val="center"/>
          </w:tcPr>
          <w:p w14:paraId="383D6C5B">
            <w:pPr>
              <w:jc w:val="cente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环境影响预测因子</w:t>
            </w:r>
          </w:p>
        </w:tc>
        <w:tc>
          <w:tcPr>
            <w:tcW w:w="3243" w:type="pct"/>
            <w:vAlign w:val="center"/>
          </w:tcPr>
          <w:p w14:paraId="76AB499C">
            <w:pPr>
              <w:jc w:val="center"/>
              <w:rPr>
                <w:rFonts w:hint="default"/>
                <w:vertAlign w:val="baseline"/>
                <w:lang w:val="en-US" w:eastAsia="zh-CN"/>
              </w:rPr>
            </w:pPr>
            <w:r>
              <w:rPr>
                <w:rFonts w:hint="eastAsia" w:ascii="宋体" w:hAnsi="宋体" w:eastAsia="宋体" w:cs="宋体"/>
                <w:color w:val="000000"/>
                <w:kern w:val="0"/>
                <w:sz w:val="21"/>
                <w:szCs w:val="21"/>
                <w:lang w:val="en-US" w:eastAsia="zh-CN" w:bidi="ar"/>
              </w:rPr>
              <w:t>等效连续</w:t>
            </w:r>
            <w:r>
              <w:rPr>
                <w:rFonts w:hint="default" w:ascii="Times New Roman" w:hAnsi="Times New Roman" w:eastAsia="宋体" w:cs="Times New Roman"/>
                <w:color w:val="000000"/>
                <w:kern w:val="0"/>
                <w:sz w:val="21"/>
                <w:szCs w:val="21"/>
                <w:lang w:val="en-US" w:eastAsia="zh-CN" w:bidi="ar"/>
              </w:rPr>
              <w:t>A</w:t>
            </w:r>
            <w:r>
              <w:rPr>
                <w:rFonts w:hint="eastAsia" w:ascii="宋体" w:hAnsi="宋体" w:eastAsia="宋体" w:cs="宋体"/>
                <w:color w:val="000000"/>
                <w:kern w:val="0"/>
                <w:sz w:val="21"/>
                <w:szCs w:val="21"/>
                <w:lang w:val="en-US" w:eastAsia="zh-CN" w:bidi="ar"/>
              </w:rPr>
              <w:t>声级</w:t>
            </w:r>
          </w:p>
        </w:tc>
      </w:tr>
      <w:tr w14:paraId="1551E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8" w:type="pct"/>
            <w:vMerge w:val="restart"/>
            <w:vAlign w:val="center"/>
          </w:tcPr>
          <w:p w14:paraId="7DBD7CDA">
            <w:pPr>
              <w:jc w:val="center"/>
              <w:rPr>
                <w:rFonts w:hint="default"/>
                <w:vertAlign w:val="baseline"/>
                <w:lang w:val="en-US" w:eastAsia="zh-CN"/>
              </w:rPr>
            </w:pPr>
            <w:r>
              <w:rPr>
                <w:rFonts w:hint="eastAsia"/>
                <w:vertAlign w:val="baseline"/>
                <w:lang w:val="en-US" w:eastAsia="zh-CN"/>
              </w:rPr>
              <w:t>土壤环境</w:t>
            </w:r>
          </w:p>
        </w:tc>
        <w:tc>
          <w:tcPr>
            <w:tcW w:w="1127" w:type="pct"/>
            <w:shd w:val="clear" w:color="auto" w:fill="auto"/>
            <w:vAlign w:val="center"/>
          </w:tcPr>
          <w:p w14:paraId="4CCF9C57">
            <w:pPr>
              <w:jc w:val="center"/>
              <w:rPr>
                <w:rFonts w:hint="default"/>
                <w:vertAlign w:val="baseline"/>
                <w:lang w:val="en-US" w:eastAsia="zh-CN"/>
              </w:rPr>
            </w:pPr>
            <w:r>
              <w:rPr>
                <w:rFonts w:hint="eastAsia"/>
                <w:vertAlign w:val="baseline"/>
                <w:lang w:val="en-US" w:eastAsia="zh-CN"/>
              </w:rPr>
              <w:t>环境现状评价因子</w:t>
            </w:r>
          </w:p>
        </w:tc>
        <w:tc>
          <w:tcPr>
            <w:tcW w:w="3243" w:type="pct"/>
            <w:vAlign w:val="center"/>
          </w:tcPr>
          <w:p w14:paraId="287BDECA">
            <w:pPr>
              <w:jc w:val="center"/>
              <w:rPr>
                <w:rFonts w:hint="default"/>
                <w:vertAlign w:val="baseline"/>
                <w:lang w:val="en-US" w:eastAsia="zh-CN"/>
              </w:rPr>
            </w:pPr>
            <w:r>
              <w:rPr>
                <w:rFonts w:hint="default"/>
                <w:vertAlign w:val="baseline"/>
                <w:lang w:val="en-US" w:eastAsia="zh-CN"/>
              </w:rPr>
              <w:t>《土壤环境质量 建设用地土壤污染风险管控标准</w:t>
            </w:r>
            <w:r>
              <w:rPr>
                <w:rFonts w:hint="eastAsia"/>
                <w:vertAlign w:val="baseline"/>
                <w:lang w:val="en-US" w:eastAsia="zh-CN"/>
              </w:rPr>
              <w:t>（试行）</w:t>
            </w:r>
            <w:r>
              <w:rPr>
                <w:rFonts w:hint="default"/>
                <w:vertAlign w:val="baseline"/>
                <w:lang w:val="en-US" w:eastAsia="zh-CN"/>
              </w:rPr>
              <w:t>》（GB36600-2018）中表1建设用地土壤污染风险筛选值和管制值（基本项目）中所有项目，共45项</w:t>
            </w:r>
            <w:r>
              <w:rPr>
                <w:rFonts w:hint="eastAsia"/>
                <w:vertAlign w:val="baseline"/>
                <w:lang w:val="en-US" w:eastAsia="zh-CN"/>
              </w:rPr>
              <w:t>，以及p</w:t>
            </w:r>
            <w:r>
              <w:rPr>
                <w:rFonts w:hint="default"/>
                <w:vertAlign w:val="baseline"/>
                <w:lang w:val="en-US" w:eastAsia="zh-CN"/>
              </w:rPr>
              <w:t>H</w:t>
            </w:r>
            <w:r>
              <w:rPr>
                <w:rFonts w:hint="eastAsia"/>
                <w:vertAlign w:val="baseline"/>
                <w:lang w:val="en-US" w:eastAsia="zh-CN"/>
              </w:rPr>
              <w:t>、全盐量、二噁英类、石油烃。</w:t>
            </w:r>
          </w:p>
        </w:tc>
      </w:tr>
      <w:tr w14:paraId="6031C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628" w:type="pct"/>
            <w:vMerge w:val="continue"/>
            <w:vAlign w:val="center"/>
          </w:tcPr>
          <w:p w14:paraId="6237FA38">
            <w:pPr>
              <w:jc w:val="center"/>
              <w:rPr>
                <w:rFonts w:hint="default"/>
                <w:vertAlign w:val="baseline"/>
                <w:lang w:val="en-US" w:eastAsia="zh-CN"/>
              </w:rPr>
            </w:pPr>
          </w:p>
        </w:tc>
        <w:tc>
          <w:tcPr>
            <w:tcW w:w="1127" w:type="pct"/>
            <w:shd w:val="clear" w:color="auto" w:fill="auto"/>
            <w:vAlign w:val="center"/>
          </w:tcPr>
          <w:p w14:paraId="6B0E7D39">
            <w:pPr>
              <w:jc w:val="center"/>
              <w:rPr>
                <w:rFonts w:hint="default"/>
                <w:vertAlign w:val="baseline"/>
                <w:lang w:val="en-US" w:eastAsia="zh-CN"/>
              </w:rPr>
            </w:pPr>
            <w:r>
              <w:rPr>
                <w:rFonts w:hint="eastAsia"/>
                <w:vertAlign w:val="baseline"/>
                <w:lang w:val="en-US" w:eastAsia="zh-CN"/>
              </w:rPr>
              <w:t>环境影响预测因子</w:t>
            </w:r>
          </w:p>
        </w:tc>
        <w:tc>
          <w:tcPr>
            <w:tcW w:w="3243" w:type="pct"/>
            <w:vAlign w:val="center"/>
          </w:tcPr>
          <w:p w14:paraId="2BD759CA">
            <w:pPr>
              <w:jc w:val="center"/>
              <w:rPr>
                <w:rFonts w:hint="default"/>
                <w:vertAlign w:val="baseline"/>
                <w:lang w:val="en-US" w:eastAsia="zh-CN"/>
              </w:rPr>
            </w:pPr>
            <w:r>
              <w:rPr>
                <w:rFonts w:hint="eastAsia"/>
                <w:vertAlign w:val="baseline"/>
                <w:lang w:val="en-US" w:eastAsia="zh-CN"/>
              </w:rPr>
              <w:t>二噁英、铅、汞、镉、砷</w:t>
            </w:r>
          </w:p>
        </w:tc>
      </w:tr>
      <w:tr w14:paraId="3C762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8" w:type="pct"/>
            <w:vMerge w:val="restart"/>
            <w:vAlign w:val="center"/>
          </w:tcPr>
          <w:p w14:paraId="687A0AB0">
            <w:pPr>
              <w:jc w:val="center"/>
              <w:rPr>
                <w:rFonts w:hint="default"/>
                <w:vertAlign w:val="baseline"/>
                <w:lang w:val="en-US" w:eastAsia="zh-CN"/>
              </w:rPr>
            </w:pPr>
            <w:r>
              <w:rPr>
                <w:rFonts w:hint="eastAsia"/>
                <w:vertAlign w:val="baseline"/>
                <w:lang w:val="en-US" w:eastAsia="zh-CN"/>
              </w:rPr>
              <w:t>地下水环境</w:t>
            </w:r>
          </w:p>
        </w:tc>
        <w:tc>
          <w:tcPr>
            <w:tcW w:w="1127" w:type="pct"/>
            <w:shd w:val="clear" w:color="auto" w:fill="auto"/>
            <w:vAlign w:val="center"/>
          </w:tcPr>
          <w:p w14:paraId="5C8EC914">
            <w:pPr>
              <w:jc w:val="cente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环境现状评价因子</w:t>
            </w:r>
          </w:p>
        </w:tc>
        <w:tc>
          <w:tcPr>
            <w:tcW w:w="3243" w:type="pct"/>
            <w:vAlign w:val="center"/>
          </w:tcPr>
          <w:p w14:paraId="76430809">
            <w:pPr>
              <w:jc w:val="center"/>
              <w:rPr>
                <w:rFonts w:hint="default"/>
                <w:vertAlign w:val="baseline"/>
                <w:lang w:val="en-US" w:eastAsia="zh-CN"/>
              </w:rPr>
            </w:pPr>
            <w:r>
              <w:rPr>
                <w:rFonts w:hint="eastAsia" w:eastAsiaTheme="minorEastAsia"/>
                <w:color w:val="000000" w:themeColor="text1"/>
                <w:sz w:val="21"/>
                <w:szCs w:val="21"/>
                <w:lang w:val="en-US" w:eastAsia="zh-CN"/>
                <w14:textFill>
                  <w14:solidFill>
                    <w14:schemeClr w14:val="tx1"/>
                  </w14:solidFill>
                </w14:textFill>
              </w:rPr>
              <w:t>K</w:t>
            </w:r>
            <w:r>
              <w:rPr>
                <w:rFonts w:hint="eastAsia" w:eastAsiaTheme="minorEastAsia"/>
                <w:color w:val="000000" w:themeColor="text1"/>
                <w:sz w:val="21"/>
                <w:szCs w:val="21"/>
                <w:vertAlign w:val="superscript"/>
                <w:lang w:val="en-US" w:eastAsia="zh-CN"/>
                <w14:textFill>
                  <w14:solidFill>
                    <w14:schemeClr w14:val="tx1"/>
                  </w14:solidFill>
                </w14:textFill>
              </w:rPr>
              <w:t>+</w:t>
            </w:r>
            <w:r>
              <w:rPr>
                <w:rFonts w:hint="eastAsia" w:eastAsiaTheme="minorEastAsia"/>
                <w:color w:val="000000" w:themeColor="text1"/>
                <w:sz w:val="21"/>
                <w:szCs w:val="21"/>
                <w:lang w:val="en-US" w:eastAsia="zh-CN"/>
                <w14:textFill>
                  <w14:solidFill>
                    <w14:schemeClr w14:val="tx1"/>
                  </w14:solidFill>
                </w14:textFill>
              </w:rPr>
              <w:t>、Na</w:t>
            </w:r>
            <w:r>
              <w:rPr>
                <w:rFonts w:hint="eastAsia" w:eastAsiaTheme="minorEastAsia"/>
                <w:color w:val="000000" w:themeColor="text1"/>
                <w:sz w:val="21"/>
                <w:szCs w:val="21"/>
                <w:vertAlign w:val="superscript"/>
                <w:lang w:val="en-US" w:eastAsia="zh-CN"/>
                <w14:textFill>
                  <w14:solidFill>
                    <w14:schemeClr w14:val="tx1"/>
                  </w14:solidFill>
                </w14:textFill>
              </w:rPr>
              <w:t>+</w:t>
            </w:r>
            <w:r>
              <w:rPr>
                <w:rFonts w:hint="eastAsia" w:eastAsiaTheme="minorEastAsia"/>
                <w:color w:val="000000" w:themeColor="text1"/>
                <w:sz w:val="21"/>
                <w:szCs w:val="21"/>
                <w:lang w:val="en-US" w:eastAsia="zh-CN"/>
                <w14:textFill>
                  <w14:solidFill>
                    <w14:schemeClr w14:val="tx1"/>
                  </w14:solidFill>
                </w14:textFill>
              </w:rPr>
              <w:t>、Ca</w:t>
            </w:r>
            <w:r>
              <w:rPr>
                <w:rFonts w:hint="eastAsia" w:eastAsiaTheme="minorEastAsia"/>
                <w:color w:val="000000" w:themeColor="text1"/>
                <w:sz w:val="21"/>
                <w:szCs w:val="21"/>
                <w:vertAlign w:val="superscript"/>
                <w:lang w:val="en-US" w:eastAsia="zh-CN"/>
                <w14:textFill>
                  <w14:solidFill>
                    <w14:schemeClr w14:val="tx1"/>
                  </w14:solidFill>
                </w14:textFill>
              </w:rPr>
              <w:t>2+</w:t>
            </w:r>
            <w:r>
              <w:rPr>
                <w:rFonts w:hint="eastAsia" w:eastAsiaTheme="minorEastAsia"/>
                <w:color w:val="000000" w:themeColor="text1"/>
                <w:sz w:val="21"/>
                <w:szCs w:val="21"/>
                <w:lang w:val="en-US" w:eastAsia="zh-CN"/>
                <w14:textFill>
                  <w14:solidFill>
                    <w14:schemeClr w14:val="tx1"/>
                  </w14:solidFill>
                </w14:textFill>
              </w:rPr>
              <w:t>、Mg</w:t>
            </w:r>
            <w:r>
              <w:rPr>
                <w:rFonts w:hint="eastAsia" w:eastAsiaTheme="minorEastAsia"/>
                <w:color w:val="000000" w:themeColor="text1"/>
                <w:sz w:val="21"/>
                <w:szCs w:val="21"/>
                <w:vertAlign w:val="superscript"/>
                <w:lang w:val="en-US" w:eastAsia="zh-CN"/>
                <w14:textFill>
                  <w14:solidFill>
                    <w14:schemeClr w14:val="tx1"/>
                  </w14:solidFill>
                </w14:textFill>
              </w:rPr>
              <w:t>2+</w:t>
            </w:r>
            <w:r>
              <w:rPr>
                <w:rFonts w:hint="eastAsia" w:eastAsiaTheme="minorEastAsia"/>
                <w:color w:val="000000" w:themeColor="text1"/>
                <w:sz w:val="21"/>
                <w:szCs w:val="21"/>
                <w:lang w:val="en-US" w:eastAsia="zh-CN"/>
                <w14:textFill>
                  <w14:solidFill>
                    <w14:schemeClr w14:val="tx1"/>
                  </w14:solidFill>
                </w14:textFill>
              </w:rPr>
              <w:t>、CO</w:t>
            </w:r>
            <w:r>
              <w:rPr>
                <w:rFonts w:hint="eastAsia" w:eastAsiaTheme="minorEastAsia"/>
                <w:color w:val="000000" w:themeColor="text1"/>
                <w:sz w:val="21"/>
                <w:szCs w:val="21"/>
                <w:vertAlign w:val="subscript"/>
                <w:lang w:val="en-US" w:eastAsia="zh-CN"/>
                <w14:textFill>
                  <w14:solidFill>
                    <w14:schemeClr w14:val="tx1"/>
                  </w14:solidFill>
                </w14:textFill>
              </w:rPr>
              <w:t>3</w:t>
            </w:r>
            <w:r>
              <w:rPr>
                <w:rFonts w:hint="eastAsia" w:eastAsiaTheme="minorEastAsia"/>
                <w:color w:val="000000" w:themeColor="text1"/>
                <w:sz w:val="21"/>
                <w:szCs w:val="21"/>
                <w:vertAlign w:val="superscript"/>
                <w:lang w:val="en-US" w:eastAsia="zh-CN"/>
                <w14:textFill>
                  <w14:solidFill>
                    <w14:schemeClr w14:val="tx1"/>
                  </w14:solidFill>
                </w14:textFill>
              </w:rPr>
              <w:t>2-</w:t>
            </w:r>
            <w:r>
              <w:rPr>
                <w:rFonts w:hint="eastAsia" w:eastAsiaTheme="minorEastAsia"/>
                <w:color w:val="000000" w:themeColor="text1"/>
                <w:sz w:val="21"/>
                <w:szCs w:val="21"/>
                <w:lang w:val="en-US" w:eastAsia="zh-CN"/>
                <w14:textFill>
                  <w14:solidFill>
                    <w14:schemeClr w14:val="tx1"/>
                  </w14:solidFill>
                </w14:textFill>
              </w:rPr>
              <w:t>、HCO</w:t>
            </w:r>
            <w:r>
              <w:rPr>
                <w:rFonts w:hint="eastAsia" w:eastAsiaTheme="minorEastAsia"/>
                <w:color w:val="000000" w:themeColor="text1"/>
                <w:sz w:val="21"/>
                <w:szCs w:val="21"/>
                <w:vertAlign w:val="subscript"/>
                <w:lang w:val="en-US" w:eastAsia="zh-CN"/>
                <w14:textFill>
                  <w14:solidFill>
                    <w14:schemeClr w14:val="tx1"/>
                  </w14:solidFill>
                </w14:textFill>
              </w:rPr>
              <w:t>3</w:t>
            </w:r>
            <w:r>
              <w:rPr>
                <w:rFonts w:hint="eastAsia" w:eastAsiaTheme="minorEastAsia"/>
                <w:color w:val="000000" w:themeColor="text1"/>
                <w:sz w:val="21"/>
                <w:szCs w:val="21"/>
                <w:vertAlign w:val="superscript"/>
                <w:lang w:val="en-US" w:eastAsia="zh-CN"/>
                <w14:textFill>
                  <w14:solidFill>
                    <w14:schemeClr w14:val="tx1"/>
                  </w14:solidFill>
                </w14:textFill>
              </w:rPr>
              <w:t>-</w:t>
            </w:r>
            <w:r>
              <w:rPr>
                <w:rFonts w:hint="eastAsia" w:eastAsiaTheme="minorEastAsia"/>
                <w:color w:val="000000" w:themeColor="text1"/>
                <w:sz w:val="21"/>
                <w:szCs w:val="21"/>
                <w:lang w:val="en-US" w:eastAsia="zh-CN"/>
                <w14:textFill>
                  <w14:solidFill>
                    <w14:schemeClr w14:val="tx1"/>
                  </w14:solidFill>
                </w14:textFill>
              </w:rPr>
              <w:t>、Cl</w:t>
            </w:r>
            <w:r>
              <w:rPr>
                <w:rFonts w:hint="eastAsia" w:eastAsiaTheme="minorEastAsia"/>
                <w:color w:val="000000" w:themeColor="text1"/>
                <w:sz w:val="21"/>
                <w:szCs w:val="21"/>
                <w:vertAlign w:val="superscript"/>
                <w:lang w:val="en-US" w:eastAsia="zh-CN"/>
                <w14:textFill>
                  <w14:solidFill>
                    <w14:schemeClr w14:val="tx1"/>
                  </w14:solidFill>
                </w14:textFill>
              </w:rPr>
              <w:t>-</w:t>
            </w:r>
            <w:r>
              <w:rPr>
                <w:rFonts w:hint="eastAsia" w:eastAsiaTheme="minorEastAsia"/>
                <w:color w:val="000000" w:themeColor="text1"/>
                <w:sz w:val="21"/>
                <w:szCs w:val="21"/>
                <w:lang w:val="en-US" w:eastAsia="zh-CN"/>
                <w14:textFill>
                  <w14:solidFill>
                    <w14:schemeClr w14:val="tx1"/>
                  </w14:solidFill>
                </w14:textFill>
              </w:rPr>
              <w:t>、SO</w:t>
            </w:r>
            <w:r>
              <w:rPr>
                <w:rFonts w:hint="eastAsia" w:eastAsiaTheme="minorEastAsia"/>
                <w:color w:val="000000" w:themeColor="text1"/>
                <w:sz w:val="21"/>
                <w:szCs w:val="21"/>
                <w:vertAlign w:val="subscript"/>
                <w:lang w:val="en-US" w:eastAsia="zh-CN"/>
                <w14:textFill>
                  <w14:solidFill>
                    <w14:schemeClr w14:val="tx1"/>
                  </w14:solidFill>
                </w14:textFill>
              </w:rPr>
              <w:t>4</w:t>
            </w:r>
            <w:r>
              <w:rPr>
                <w:rFonts w:hint="eastAsia" w:eastAsiaTheme="minorEastAsia"/>
                <w:color w:val="000000" w:themeColor="text1"/>
                <w:sz w:val="21"/>
                <w:szCs w:val="21"/>
                <w:vertAlign w:val="superscript"/>
                <w:lang w:val="en-US" w:eastAsia="zh-CN"/>
                <w14:textFill>
                  <w14:solidFill>
                    <w14:schemeClr w14:val="tx1"/>
                  </w14:solidFill>
                </w14:textFill>
              </w:rPr>
              <w:t>2-</w:t>
            </w:r>
            <w:r>
              <w:rPr>
                <w:rFonts w:hint="eastAsia"/>
                <w:color w:val="000000" w:themeColor="text1"/>
                <w:sz w:val="21"/>
                <w:szCs w:val="21"/>
                <w:vertAlign w:val="baseline"/>
                <w:lang w:val="en-US" w:eastAsia="zh-CN"/>
                <w14:textFill>
                  <w14:solidFill>
                    <w14:schemeClr w14:val="tx1"/>
                  </w14:solidFill>
                </w14:textFill>
              </w:rPr>
              <w:t>、</w:t>
            </w:r>
            <w:r>
              <w:rPr>
                <w:rFonts w:hint="eastAsia" w:ascii="Times New Roman" w:hAnsi="Times New Roman" w:cs="Times New Roman"/>
                <w:sz w:val="21"/>
                <w:szCs w:val="21"/>
                <w:lang w:val="en-US" w:eastAsia="zh-CN"/>
              </w:rPr>
              <w:t>p</w:t>
            </w:r>
            <w:r>
              <w:rPr>
                <w:rFonts w:hint="default" w:ascii="Times New Roman" w:hAnsi="Times New Roman" w:cs="Times New Roman" w:eastAsiaTheme="minorEastAsia"/>
                <w:sz w:val="21"/>
                <w:szCs w:val="21"/>
              </w:rPr>
              <w:t>H</w:t>
            </w:r>
            <w:r>
              <w:rPr>
                <w:rFonts w:hint="eastAsia" w:eastAsiaTheme="minorEastAsia"/>
                <w:color w:val="000000" w:themeColor="text1"/>
                <w:sz w:val="21"/>
                <w:szCs w:val="21"/>
                <w:lang w:val="en-US" w:eastAsia="zh-CN"/>
                <w14:textFill>
                  <w14:solidFill>
                    <w14:schemeClr w14:val="tx1"/>
                  </w14:solidFill>
                </w14:textFill>
              </w:rPr>
              <w:t>、氨氮、硝酸盐、亚硝酸盐、挥发性酚类、氯化物、氰化物、砷、汞、铬</w:t>
            </w:r>
            <w:r>
              <w:rPr>
                <w:rFonts w:hint="eastAsia"/>
                <w:color w:val="000000" w:themeColor="text1"/>
                <w:sz w:val="21"/>
                <w:szCs w:val="21"/>
                <w:lang w:val="en-US" w:eastAsia="zh-CN"/>
                <w14:textFill>
                  <w14:solidFill>
                    <w14:schemeClr w14:val="tx1"/>
                  </w14:solidFill>
                </w14:textFill>
              </w:rPr>
              <w:t>（</w:t>
            </w:r>
            <w:r>
              <w:rPr>
                <w:rFonts w:hint="eastAsia" w:eastAsiaTheme="minorEastAsia"/>
                <w:color w:val="000000" w:themeColor="text1"/>
                <w:sz w:val="21"/>
                <w:szCs w:val="21"/>
                <w:lang w:val="en-US" w:eastAsia="zh-CN"/>
                <w14:textFill>
                  <w14:solidFill>
                    <w14:schemeClr w14:val="tx1"/>
                  </w14:solidFill>
                </w14:textFill>
              </w:rPr>
              <w:t>六价</w:t>
            </w:r>
            <w:r>
              <w:rPr>
                <w:rFonts w:hint="eastAsia"/>
                <w:color w:val="000000" w:themeColor="text1"/>
                <w:sz w:val="21"/>
                <w:szCs w:val="21"/>
                <w:lang w:val="en-US" w:eastAsia="zh-CN"/>
                <w14:textFill>
                  <w14:solidFill>
                    <w14:schemeClr w14:val="tx1"/>
                  </w14:solidFill>
                </w14:textFill>
              </w:rPr>
              <w:t>）</w:t>
            </w:r>
            <w:r>
              <w:rPr>
                <w:rFonts w:hint="eastAsia" w:eastAsiaTheme="minorEastAsia"/>
                <w:color w:val="000000" w:themeColor="text1"/>
                <w:sz w:val="21"/>
                <w:szCs w:val="21"/>
                <w:lang w:val="en-US" w:eastAsia="zh-CN"/>
                <w14:textFill>
                  <w14:solidFill>
                    <w14:schemeClr w14:val="tx1"/>
                  </w14:solidFill>
                </w14:textFill>
              </w:rPr>
              <w:t>、总硬度、铅、氟化物、镉、铁、锰、溶解性总固体、硫酸盐、耗氧量、总大肠菌落、细菌总数</w:t>
            </w:r>
            <w:r>
              <w:rPr>
                <w:rFonts w:hint="eastAsia"/>
                <w:color w:val="000000" w:themeColor="text1"/>
                <w:sz w:val="21"/>
                <w:szCs w:val="21"/>
                <w:lang w:val="en-US" w:eastAsia="zh-CN"/>
                <w14:textFill>
                  <w14:solidFill>
                    <w14:schemeClr w14:val="tx1"/>
                  </w14:solidFill>
                </w14:textFill>
              </w:rPr>
              <w:t>、</w:t>
            </w:r>
            <w:r>
              <w:rPr>
                <w:rFonts w:hint="eastAsia" w:eastAsiaTheme="minorEastAsia"/>
                <w:color w:val="000000" w:themeColor="text1"/>
                <w:sz w:val="21"/>
                <w:szCs w:val="21"/>
                <w:lang w:val="en-US" w:eastAsia="zh-CN"/>
                <w14:textFill>
                  <w14:solidFill>
                    <w14:schemeClr w14:val="tx1"/>
                  </w14:solidFill>
                </w14:textFill>
              </w:rPr>
              <w:t>地下水水位。</w:t>
            </w:r>
          </w:p>
        </w:tc>
      </w:tr>
      <w:tr w14:paraId="2C5FA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8" w:type="pct"/>
            <w:vMerge w:val="continue"/>
            <w:vAlign w:val="center"/>
          </w:tcPr>
          <w:p w14:paraId="01715088">
            <w:pPr>
              <w:jc w:val="center"/>
              <w:rPr>
                <w:rFonts w:hint="default"/>
                <w:vertAlign w:val="baseline"/>
                <w:lang w:val="en-US" w:eastAsia="zh-CN"/>
              </w:rPr>
            </w:pPr>
          </w:p>
        </w:tc>
        <w:tc>
          <w:tcPr>
            <w:tcW w:w="1127" w:type="pct"/>
            <w:shd w:val="clear" w:color="auto" w:fill="auto"/>
            <w:vAlign w:val="center"/>
          </w:tcPr>
          <w:p w14:paraId="44BE0AF4">
            <w:pPr>
              <w:jc w:val="cente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环境影响预测因子</w:t>
            </w:r>
          </w:p>
        </w:tc>
        <w:tc>
          <w:tcPr>
            <w:tcW w:w="3243" w:type="pct"/>
            <w:vAlign w:val="center"/>
          </w:tcPr>
          <w:p w14:paraId="2279DA82">
            <w:pPr>
              <w:jc w:val="center"/>
              <w:rPr>
                <w:rFonts w:hint="default"/>
                <w:vertAlign w:val="baseline"/>
                <w:lang w:val="en-US" w:eastAsia="zh-CN"/>
              </w:rPr>
            </w:pPr>
            <w:r>
              <w:rPr>
                <w:rFonts w:hint="eastAsia"/>
                <w:vertAlign w:val="baseline"/>
                <w:lang w:val="en-US" w:eastAsia="zh-CN"/>
              </w:rPr>
              <w:t>As、石油类</w:t>
            </w:r>
          </w:p>
        </w:tc>
      </w:tr>
      <w:tr w14:paraId="0D8CB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628" w:type="pct"/>
            <w:vMerge w:val="restart"/>
            <w:vAlign w:val="center"/>
          </w:tcPr>
          <w:p w14:paraId="723E20B6">
            <w:pPr>
              <w:jc w:val="center"/>
              <w:rPr>
                <w:rFonts w:hint="default"/>
                <w:vertAlign w:val="baseline"/>
                <w:lang w:val="en-US" w:eastAsia="zh-CN"/>
              </w:rPr>
            </w:pPr>
            <w:r>
              <w:rPr>
                <w:rFonts w:hint="eastAsia"/>
                <w:vertAlign w:val="baseline"/>
                <w:lang w:val="en-US" w:eastAsia="zh-CN"/>
              </w:rPr>
              <w:t>环境风险</w:t>
            </w:r>
          </w:p>
        </w:tc>
        <w:tc>
          <w:tcPr>
            <w:tcW w:w="1127" w:type="pct"/>
            <w:shd w:val="clear" w:color="auto" w:fill="auto"/>
            <w:vAlign w:val="center"/>
          </w:tcPr>
          <w:p w14:paraId="3FA844E8">
            <w:pPr>
              <w:jc w:val="center"/>
              <w:rPr>
                <w:rFonts w:hint="eastAsia"/>
                <w:vertAlign w:val="baseline"/>
                <w:lang w:val="en-US" w:eastAsia="zh-CN"/>
              </w:rPr>
            </w:pPr>
            <w:r>
              <w:rPr>
                <w:rFonts w:hint="eastAsia"/>
                <w:vertAlign w:val="baseline"/>
                <w:lang w:val="en-US" w:eastAsia="zh-CN"/>
              </w:rPr>
              <w:t>环境现状评价因子</w:t>
            </w:r>
          </w:p>
        </w:tc>
        <w:tc>
          <w:tcPr>
            <w:tcW w:w="3243" w:type="pct"/>
            <w:vMerge w:val="restart"/>
            <w:vAlign w:val="center"/>
          </w:tcPr>
          <w:p w14:paraId="1B4EB9BB">
            <w:pPr>
              <w:jc w:val="center"/>
              <w:rPr>
                <w:rFonts w:hint="default"/>
                <w:vertAlign w:val="baseline"/>
                <w:lang w:val="en-US" w:eastAsia="zh-CN"/>
              </w:rPr>
            </w:pPr>
            <w:r>
              <w:rPr>
                <w:rFonts w:hint="eastAsia"/>
                <w:vertAlign w:val="baseline"/>
                <w:lang w:val="en-US" w:eastAsia="zh-CN"/>
              </w:rPr>
              <w:t>危险废物储运过程风险</w:t>
            </w:r>
          </w:p>
        </w:tc>
      </w:tr>
      <w:tr w14:paraId="5DC5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8" w:type="pct"/>
            <w:vMerge w:val="continue"/>
            <w:vAlign w:val="center"/>
          </w:tcPr>
          <w:p w14:paraId="65B5447C">
            <w:pPr>
              <w:jc w:val="center"/>
              <w:rPr>
                <w:rFonts w:hint="default"/>
                <w:vertAlign w:val="baseline"/>
                <w:lang w:val="en-US" w:eastAsia="zh-CN"/>
              </w:rPr>
            </w:pPr>
          </w:p>
        </w:tc>
        <w:tc>
          <w:tcPr>
            <w:tcW w:w="1127" w:type="pct"/>
            <w:shd w:val="clear" w:color="auto" w:fill="auto"/>
            <w:vAlign w:val="center"/>
          </w:tcPr>
          <w:p w14:paraId="19838F3D">
            <w:pPr>
              <w:jc w:val="center"/>
              <w:rPr>
                <w:rFonts w:hint="eastAsia"/>
                <w:vertAlign w:val="baseline"/>
                <w:lang w:val="en-US" w:eastAsia="zh-CN"/>
              </w:rPr>
            </w:pPr>
            <w:r>
              <w:rPr>
                <w:rFonts w:hint="eastAsia"/>
                <w:vertAlign w:val="baseline"/>
                <w:lang w:val="en-US" w:eastAsia="zh-CN"/>
              </w:rPr>
              <w:t>环境影响预测因子</w:t>
            </w:r>
          </w:p>
        </w:tc>
        <w:tc>
          <w:tcPr>
            <w:tcW w:w="3243" w:type="pct"/>
            <w:vMerge w:val="continue"/>
            <w:vAlign w:val="center"/>
          </w:tcPr>
          <w:p w14:paraId="0A73C988">
            <w:pPr>
              <w:jc w:val="center"/>
              <w:rPr>
                <w:rFonts w:hint="default"/>
                <w:vertAlign w:val="baseline"/>
                <w:lang w:val="en-US" w:eastAsia="zh-CN"/>
              </w:rPr>
            </w:pPr>
          </w:p>
        </w:tc>
      </w:tr>
    </w:tbl>
    <w:p w14:paraId="6C724B1F">
      <w:pPr>
        <w:pStyle w:val="3"/>
        <w:spacing w:before="120" w:after="120" w:line="500" w:lineRule="exact"/>
        <w:ind w:left="375" w:hanging="375" w:firstLineChars="0"/>
        <w:contextualSpacing/>
        <w:rPr>
          <w:rFonts w:hint="default" w:ascii="Times New Roman" w:hAnsi="Times New Roman" w:cs="Times New Roman" w:eastAsiaTheme="minorEastAsia"/>
          <w:snapToGrid w:val="0"/>
          <w:kern w:val="0"/>
          <w:sz w:val="28"/>
          <w:szCs w:val="28"/>
          <w:lang w:val="en-US" w:eastAsia="zh-CN"/>
        </w:rPr>
      </w:pPr>
      <w:bookmarkStart w:id="69" w:name="_Toc19265"/>
      <w:bookmarkStart w:id="70" w:name="_Toc4925"/>
      <w:r>
        <w:rPr>
          <w:rFonts w:hint="default" w:ascii="Times New Roman" w:hAnsi="Times New Roman" w:cs="Times New Roman" w:eastAsiaTheme="minorEastAsia"/>
          <w:snapToGrid w:val="0"/>
          <w:kern w:val="0"/>
          <w:sz w:val="28"/>
          <w:szCs w:val="28"/>
          <w:lang w:val="en-US" w:eastAsia="zh-CN"/>
        </w:rPr>
        <w:t>2.4评价标准</w:t>
      </w:r>
      <w:bookmarkEnd w:id="69"/>
      <w:bookmarkEnd w:id="70"/>
    </w:p>
    <w:p w14:paraId="4E45D445">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71" w:name="_Toc23448"/>
      <w:bookmarkStart w:id="72" w:name="_Toc13505"/>
      <w:bookmarkStart w:id="73" w:name="_Toc6840"/>
      <w:bookmarkStart w:id="74" w:name="_Toc1472"/>
      <w:bookmarkStart w:id="75" w:name="_Toc28068"/>
      <w:r>
        <w:rPr>
          <w:rFonts w:hint="default" w:ascii="Times New Roman" w:hAnsi="Times New Roman" w:cs="Times New Roman" w:eastAsiaTheme="minorEastAsia"/>
          <w:kern w:val="0"/>
          <w:sz w:val="24"/>
          <w:szCs w:val="24"/>
          <w:lang w:val="en-US" w:eastAsia="zh-CN"/>
        </w:rPr>
        <w:t>2.4.1环境质量标准</w:t>
      </w:r>
      <w:bookmarkEnd w:id="71"/>
      <w:bookmarkEnd w:id="72"/>
      <w:bookmarkEnd w:id="73"/>
      <w:bookmarkEnd w:id="74"/>
      <w:bookmarkEnd w:id="75"/>
    </w:p>
    <w:p w14:paraId="0EF8CCD5">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（1）环境空气</w:t>
      </w:r>
    </w:p>
    <w:p w14:paraId="7EAE279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项目所在地属环境空气质量二类区，SO</w:t>
      </w:r>
      <w:r>
        <w:rPr>
          <w:rFonts w:hint="default" w:ascii="Times New Roman" w:hAnsi="Times New Roman" w:cs="Times New Roman" w:eastAsiaTheme="minorEastAsia"/>
          <w:sz w:val="24"/>
          <w:vertAlign w:val="subscript"/>
          <w:lang w:val="en-US" w:eastAsia="zh-CN"/>
        </w:rPr>
        <w:t>2</w:t>
      </w:r>
      <w:r>
        <w:rPr>
          <w:rFonts w:hint="default" w:ascii="Times New Roman" w:hAnsi="Times New Roman" w:cs="Times New Roman" w:eastAsiaTheme="minorEastAsia"/>
          <w:sz w:val="24"/>
          <w:lang w:val="en-US" w:eastAsia="zh-CN"/>
        </w:rPr>
        <w:t>、NO</w:t>
      </w:r>
      <w:r>
        <w:rPr>
          <w:rFonts w:hint="default" w:ascii="Times New Roman" w:hAnsi="Times New Roman" w:cs="Times New Roman" w:eastAsiaTheme="minorEastAsia"/>
          <w:sz w:val="24"/>
          <w:vertAlign w:val="subscript"/>
          <w:lang w:val="en-US" w:eastAsia="zh-CN"/>
        </w:rPr>
        <w:t>2</w:t>
      </w:r>
      <w:r>
        <w:rPr>
          <w:rFonts w:hint="default" w:ascii="Times New Roman" w:hAnsi="Times New Roman" w:cs="Times New Roman" w:eastAsiaTheme="minorEastAsia"/>
          <w:sz w:val="24"/>
          <w:lang w:val="en-US" w:eastAsia="zh-CN"/>
        </w:rPr>
        <w:t>、PM</w:t>
      </w:r>
      <w:r>
        <w:rPr>
          <w:rFonts w:hint="default" w:ascii="Times New Roman" w:hAnsi="Times New Roman" w:cs="Times New Roman" w:eastAsiaTheme="minorEastAsia"/>
          <w:sz w:val="24"/>
          <w:vertAlign w:val="subscript"/>
          <w:lang w:val="en-US" w:eastAsia="zh-CN"/>
        </w:rPr>
        <w:t>10</w:t>
      </w:r>
      <w:r>
        <w:rPr>
          <w:rFonts w:hint="default" w:ascii="Times New Roman" w:hAnsi="Times New Roman" w:cs="Times New Roman" w:eastAsiaTheme="minorEastAsia"/>
          <w:sz w:val="24"/>
          <w:lang w:val="en-US" w:eastAsia="zh-CN"/>
        </w:rPr>
        <w:t>、PM</w:t>
      </w:r>
      <w:r>
        <w:rPr>
          <w:rFonts w:hint="default" w:ascii="Times New Roman" w:hAnsi="Times New Roman" w:cs="Times New Roman" w:eastAsiaTheme="minorEastAsia"/>
          <w:sz w:val="24"/>
          <w:vertAlign w:val="subscript"/>
          <w:lang w:val="en-US" w:eastAsia="zh-CN"/>
        </w:rPr>
        <w:t>2.5</w:t>
      </w:r>
      <w:r>
        <w:rPr>
          <w:rFonts w:hint="default" w:ascii="Times New Roman" w:hAnsi="Times New Roman" w:cs="Times New Roman" w:eastAsiaTheme="minorEastAsia"/>
          <w:sz w:val="24"/>
          <w:lang w:val="en-US" w:eastAsia="zh-CN"/>
        </w:rPr>
        <w:t>、CO、O</w:t>
      </w:r>
      <w:r>
        <w:rPr>
          <w:rFonts w:hint="default" w:ascii="Times New Roman" w:hAnsi="Times New Roman" w:cs="Times New Roman" w:eastAsiaTheme="minorEastAsia"/>
          <w:sz w:val="24"/>
          <w:vertAlign w:val="subscript"/>
          <w:lang w:val="en-US" w:eastAsia="zh-CN"/>
        </w:rPr>
        <w:t>3</w:t>
      </w:r>
      <w:r>
        <w:rPr>
          <w:rFonts w:hint="default" w:ascii="Times New Roman" w:hAnsi="Times New Roman" w:cs="Times New Roman" w:eastAsiaTheme="minorEastAsia"/>
          <w:sz w:val="24"/>
          <w:lang w:val="en-US" w:eastAsia="zh-CN"/>
        </w:rPr>
        <w:t>、TSP执行《环境空气质量标准》（GB3095-20</w:t>
      </w:r>
      <w:r>
        <w:rPr>
          <w:rFonts w:hint="eastAsia" w:ascii="Times New Roman" w:hAnsi="Times New Roman" w:cs="Times New Roman" w:eastAsiaTheme="minorEastAsia"/>
          <w:sz w:val="24"/>
          <w:lang w:val="en-US" w:eastAsia="zh-CN"/>
        </w:rPr>
        <w:t>26</w:t>
      </w:r>
      <w:r>
        <w:rPr>
          <w:rFonts w:hint="default" w:ascii="Times New Roman" w:hAnsi="Times New Roman" w:cs="Times New Roman" w:eastAsiaTheme="minorEastAsia"/>
          <w:sz w:val="24"/>
          <w:lang w:val="en-US" w:eastAsia="zh-CN"/>
        </w:rPr>
        <w:t>）二级标准；</w:t>
      </w:r>
      <w:r>
        <w:rPr>
          <w:rFonts w:hint="eastAsia" w:ascii="Times New Roman" w:hAnsi="Times New Roman" w:cs="Times New Roman" w:eastAsiaTheme="minorEastAsia"/>
          <w:sz w:val="24"/>
          <w:lang w:val="en-US" w:eastAsia="zh-CN"/>
        </w:rPr>
        <w:t>F、As、Pb、Hg、Cd空气质量</w:t>
      </w:r>
      <w:r>
        <w:rPr>
          <w:rFonts w:hint="default" w:ascii="Times New Roman" w:hAnsi="Times New Roman" w:cs="Times New Roman" w:eastAsiaTheme="minorEastAsia"/>
          <w:sz w:val="24"/>
          <w:lang w:val="en-US" w:eastAsia="zh-CN"/>
        </w:rPr>
        <w:t>执行《环境空气质量标准》（GB3095-20</w:t>
      </w:r>
      <w:r>
        <w:rPr>
          <w:rFonts w:hint="eastAsia" w:ascii="Times New Roman" w:hAnsi="Times New Roman" w:cs="Times New Roman" w:eastAsiaTheme="minorEastAsia"/>
          <w:sz w:val="24"/>
          <w:lang w:val="en-US" w:eastAsia="zh-CN"/>
        </w:rPr>
        <w:t>26</w:t>
      </w:r>
      <w:r>
        <w:rPr>
          <w:rFonts w:hint="default" w:ascii="Times New Roman" w:hAnsi="Times New Roman" w:cs="Times New Roman" w:eastAsiaTheme="minorEastAsia"/>
          <w:sz w:val="24"/>
          <w:lang w:val="en-US" w:eastAsia="zh-CN"/>
        </w:rPr>
        <w:t>）中的参考限值，</w:t>
      </w:r>
      <w:r>
        <w:rPr>
          <w:rFonts w:hint="eastAsia" w:ascii="Times New Roman" w:hAnsi="Times New Roman" w:cs="Times New Roman" w:eastAsiaTheme="minorEastAsia"/>
          <w:sz w:val="24"/>
          <w:lang w:val="en-US" w:eastAsia="zh-CN"/>
        </w:rPr>
        <w:t>NH3、H2S、HCl执行《环境影响评价技术导则 大气环境》（HJ2.2-2018）附录D，二噁英</w:t>
      </w:r>
      <w:r>
        <w:rPr>
          <w:rFonts w:hint="eastAsia" w:ascii="Times New Roman" w:hAnsi="Times New Roman" w:cs="Times New Roman"/>
          <w:sz w:val="24"/>
          <w:lang w:val="en-US" w:eastAsia="zh-CN"/>
        </w:rPr>
        <w:t>参照</w:t>
      </w:r>
      <w:r>
        <w:rPr>
          <w:rFonts w:hint="eastAsia" w:ascii="Times New Roman" w:hAnsi="Times New Roman" w:cs="Times New Roman" w:eastAsiaTheme="minorEastAsia"/>
          <w:sz w:val="24"/>
          <w:lang w:val="en-US" w:eastAsia="zh-CN"/>
        </w:rPr>
        <w:t>执行《</w:t>
      </w:r>
      <w:r>
        <w:rPr>
          <w:rFonts w:hint="default" w:ascii="Times New Roman" w:hAnsi="Times New Roman" w:cs="Times New Roman" w:eastAsiaTheme="minorEastAsia"/>
          <w:sz w:val="24"/>
          <w:lang w:val="en-US" w:eastAsia="zh-CN"/>
        </w:rPr>
        <w:t>日本环境厅中央环境审议会制定的环境标准</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（环境厅告示第68号，1999.12.27）</w:t>
      </w:r>
      <w:r>
        <w:rPr>
          <w:rFonts w:hint="eastAsia" w:ascii="Times New Roman" w:hAnsi="Times New Roman" w:cs="Times New Roman" w:eastAsiaTheme="minorEastAsia"/>
          <w:sz w:val="24"/>
          <w:lang w:val="en-US" w:eastAsia="zh-CN"/>
        </w:rPr>
        <w:t>要求，具体</w:t>
      </w:r>
      <w:r>
        <w:rPr>
          <w:rFonts w:hint="default" w:ascii="Times New Roman" w:hAnsi="Times New Roman" w:cs="Times New Roman" w:eastAsiaTheme="minorEastAsia"/>
          <w:sz w:val="24"/>
          <w:lang w:val="en-US" w:eastAsia="zh-CN"/>
        </w:rPr>
        <w:t>见表</w:t>
      </w:r>
      <w:r>
        <w:rPr>
          <w:rFonts w:hint="eastAsia" w:ascii="Times New Roman" w:hAnsi="Times New Roman" w:cs="Times New Roman" w:eastAsiaTheme="minorEastAsia"/>
          <w:sz w:val="24"/>
          <w:lang w:val="en-US" w:eastAsia="zh-CN"/>
        </w:rPr>
        <w:t>2.4-1</w:t>
      </w:r>
      <w:r>
        <w:rPr>
          <w:rFonts w:hint="default" w:ascii="Times New Roman" w:hAnsi="Times New Roman" w:cs="Times New Roman" w:eastAsiaTheme="minorEastAsia"/>
          <w:sz w:val="24"/>
          <w:lang w:val="en-US" w:eastAsia="zh-CN"/>
        </w:rPr>
        <w:t>。</w:t>
      </w:r>
    </w:p>
    <w:p w14:paraId="33964373">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表2.4-1  环境空气质量标准</w:t>
      </w:r>
    </w:p>
    <w:tbl>
      <w:tblPr>
        <w:tblStyle w:val="12"/>
        <w:tblW w:w="5399" w:type="pct"/>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709"/>
        <w:gridCol w:w="1373"/>
        <w:gridCol w:w="1905"/>
        <w:gridCol w:w="860"/>
        <w:gridCol w:w="1157"/>
        <w:gridCol w:w="2976"/>
      </w:tblGrid>
      <w:tr w14:paraId="0690384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08" w:type="dxa"/>
            <w:tcBorders>
              <w:tl2br w:val="nil"/>
              <w:tr2bl w:val="nil"/>
            </w:tcBorders>
            <w:noWrap w:val="0"/>
            <w:vAlign w:val="center"/>
          </w:tcPr>
          <w:p w14:paraId="4E152CA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序号</w:t>
            </w:r>
          </w:p>
        </w:tc>
        <w:tc>
          <w:tcPr>
            <w:tcW w:w="1371" w:type="dxa"/>
            <w:tcBorders>
              <w:tl2br w:val="nil"/>
              <w:tr2bl w:val="nil"/>
            </w:tcBorders>
            <w:noWrap w:val="0"/>
            <w:vAlign w:val="center"/>
          </w:tcPr>
          <w:p w14:paraId="7F20C7A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评价因子</w:t>
            </w:r>
          </w:p>
        </w:tc>
        <w:tc>
          <w:tcPr>
            <w:tcW w:w="1903" w:type="dxa"/>
            <w:tcBorders>
              <w:tl2br w:val="nil"/>
              <w:tr2bl w:val="nil"/>
            </w:tcBorders>
            <w:noWrap w:val="0"/>
            <w:vAlign w:val="center"/>
          </w:tcPr>
          <w:p w14:paraId="3D86ABB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平均时间</w:t>
            </w:r>
          </w:p>
        </w:tc>
        <w:tc>
          <w:tcPr>
            <w:tcW w:w="859" w:type="dxa"/>
            <w:tcBorders>
              <w:tl2br w:val="nil"/>
              <w:tr2bl w:val="nil"/>
            </w:tcBorders>
            <w:noWrap w:val="0"/>
            <w:vAlign w:val="center"/>
          </w:tcPr>
          <w:p w14:paraId="068937D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浓度限值</w:t>
            </w:r>
          </w:p>
        </w:tc>
        <w:tc>
          <w:tcPr>
            <w:tcW w:w="1156" w:type="dxa"/>
            <w:tcBorders>
              <w:tl2br w:val="nil"/>
              <w:tr2bl w:val="nil"/>
            </w:tcBorders>
            <w:noWrap w:val="0"/>
            <w:vAlign w:val="center"/>
          </w:tcPr>
          <w:p w14:paraId="54E4BF3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单位</w:t>
            </w:r>
          </w:p>
        </w:tc>
        <w:tc>
          <w:tcPr>
            <w:tcW w:w="2973" w:type="dxa"/>
            <w:tcBorders>
              <w:tl2br w:val="nil"/>
              <w:tr2bl w:val="nil"/>
            </w:tcBorders>
            <w:noWrap w:val="0"/>
            <w:vAlign w:val="center"/>
          </w:tcPr>
          <w:p w14:paraId="0BD1CCB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执行标准</w:t>
            </w:r>
          </w:p>
        </w:tc>
      </w:tr>
      <w:tr w14:paraId="7D930EC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08" w:type="dxa"/>
            <w:vMerge w:val="restart"/>
            <w:tcBorders>
              <w:tl2br w:val="nil"/>
              <w:tr2bl w:val="nil"/>
            </w:tcBorders>
            <w:noWrap w:val="0"/>
            <w:vAlign w:val="center"/>
          </w:tcPr>
          <w:p w14:paraId="3E3DBF3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p>
        </w:tc>
        <w:tc>
          <w:tcPr>
            <w:tcW w:w="1371" w:type="dxa"/>
            <w:vMerge w:val="restart"/>
            <w:tcBorders>
              <w:tl2br w:val="nil"/>
              <w:tr2bl w:val="nil"/>
            </w:tcBorders>
            <w:noWrap w:val="0"/>
            <w:vAlign w:val="center"/>
          </w:tcPr>
          <w:p w14:paraId="148056F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SO</w:t>
            </w:r>
            <w:r>
              <w:rPr>
                <w:rFonts w:hint="default" w:ascii="Times New Roman" w:hAnsi="Times New Roman" w:cs="Times New Roman" w:eastAsiaTheme="minorEastAsia"/>
                <w:szCs w:val="21"/>
                <w:vertAlign w:val="subscript"/>
                <w:lang w:val="en-US" w:eastAsia="zh-CN"/>
              </w:rPr>
              <w:t>2</w:t>
            </w:r>
          </w:p>
        </w:tc>
        <w:tc>
          <w:tcPr>
            <w:tcW w:w="1903" w:type="dxa"/>
            <w:tcBorders>
              <w:tl2br w:val="nil"/>
              <w:tr2bl w:val="nil"/>
            </w:tcBorders>
            <w:noWrap w:val="0"/>
            <w:vAlign w:val="center"/>
          </w:tcPr>
          <w:p w14:paraId="66BAF54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年平均</w:t>
            </w:r>
          </w:p>
        </w:tc>
        <w:tc>
          <w:tcPr>
            <w:tcW w:w="859" w:type="dxa"/>
            <w:tcBorders>
              <w:tl2br w:val="nil"/>
              <w:tr2bl w:val="nil"/>
            </w:tcBorders>
            <w:noWrap w:val="0"/>
            <w:vAlign w:val="center"/>
          </w:tcPr>
          <w:p w14:paraId="1A151AD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60</w:t>
            </w:r>
          </w:p>
        </w:tc>
        <w:tc>
          <w:tcPr>
            <w:tcW w:w="1156" w:type="dxa"/>
            <w:vMerge w:val="restart"/>
            <w:tcBorders>
              <w:tl2br w:val="nil"/>
              <w:tr2bl w:val="nil"/>
            </w:tcBorders>
            <w:noWrap w:val="0"/>
            <w:vAlign w:val="center"/>
          </w:tcPr>
          <w:p w14:paraId="52191C2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μg/m</w:t>
            </w:r>
            <w:r>
              <w:rPr>
                <w:rFonts w:hint="default" w:ascii="Times New Roman" w:hAnsi="Times New Roman" w:cs="Times New Roman" w:eastAsiaTheme="minorEastAsia"/>
                <w:szCs w:val="21"/>
                <w:vertAlign w:val="superscript"/>
                <w:lang w:val="en-US" w:eastAsia="zh-CN"/>
              </w:rPr>
              <w:t>3</w:t>
            </w:r>
          </w:p>
        </w:tc>
        <w:tc>
          <w:tcPr>
            <w:tcW w:w="2973" w:type="dxa"/>
            <w:vMerge w:val="restart"/>
            <w:tcBorders>
              <w:tl2br w:val="nil"/>
              <w:tr2bl w:val="nil"/>
            </w:tcBorders>
            <w:noWrap w:val="0"/>
            <w:vAlign w:val="center"/>
          </w:tcPr>
          <w:p w14:paraId="2CB5FFE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《环境空气质量标准》</w:t>
            </w:r>
          </w:p>
          <w:p w14:paraId="6955029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（GB3095-20</w:t>
            </w:r>
            <w:r>
              <w:rPr>
                <w:rFonts w:hint="eastAsia" w:ascii="Times New Roman" w:hAnsi="Times New Roman" w:cs="Times New Roman" w:eastAsiaTheme="minorEastAsia"/>
                <w:szCs w:val="21"/>
                <w:lang w:val="en-US" w:eastAsia="zh-CN"/>
              </w:rPr>
              <w:t>26</w:t>
            </w:r>
            <w:r>
              <w:rPr>
                <w:rFonts w:hint="default" w:ascii="Times New Roman" w:hAnsi="Times New Roman" w:cs="Times New Roman" w:eastAsiaTheme="minorEastAsia"/>
                <w:szCs w:val="21"/>
                <w:lang w:val="en-US" w:eastAsia="zh-CN"/>
              </w:rPr>
              <w:t>）二级标准</w:t>
            </w:r>
            <w:r>
              <w:rPr>
                <w:rFonts w:hint="eastAsia" w:ascii="Times New Roman" w:hAnsi="Times New Roman" w:cs="Times New Roman" w:eastAsiaTheme="minorEastAsia"/>
                <w:szCs w:val="21"/>
                <w:lang w:val="en-US" w:eastAsia="zh-CN"/>
              </w:rPr>
              <w:t>（过渡阶段）</w:t>
            </w:r>
          </w:p>
        </w:tc>
      </w:tr>
      <w:tr w14:paraId="360A4CE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08" w:type="dxa"/>
            <w:vMerge w:val="continue"/>
            <w:tcBorders>
              <w:tl2br w:val="nil"/>
              <w:tr2bl w:val="nil"/>
            </w:tcBorders>
            <w:noWrap w:val="0"/>
            <w:vAlign w:val="center"/>
          </w:tcPr>
          <w:p w14:paraId="7BF09F9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371" w:type="dxa"/>
            <w:vMerge w:val="continue"/>
            <w:tcBorders>
              <w:tl2br w:val="nil"/>
              <w:tr2bl w:val="nil"/>
            </w:tcBorders>
            <w:noWrap w:val="0"/>
            <w:vAlign w:val="center"/>
          </w:tcPr>
          <w:p w14:paraId="23AF18A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903" w:type="dxa"/>
            <w:tcBorders>
              <w:tl2br w:val="nil"/>
              <w:tr2bl w:val="nil"/>
            </w:tcBorders>
            <w:noWrap w:val="0"/>
            <w:vAlign w:val="center"/>
          </w:tcPr>
          <w:p w14:paraId="0B09B44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24小时平均</w:t>
            </w:r>
          </w:p>
        </w:tc>
        <w:tc>
          <w:tcPr>
            <w:tcW w:w="859" w:type="dxa"/>
            <w:tcBorders>
              <w:tl2br w:val="nil"/>
              <w:tr2bl w:val="nil"/>
            </w:tcBorders>
            <w:noWrap w:val="0"/>
            <w:vAlign w:val="center"/>
          </w:tcPr>
          <w:p w14:paraId="49E5BE1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150</w:t>
            </w:r>
          </w:p>
        </w:tc>
        <w:tc>
          <w:tcPr>
            <w:tcW w:w="1156" w:type="dxa"/>
            <w:vMerge w:val="continue"/>
            <w:tcBorders>
              <w:tl2br w:val="nil"/>
              <w:tr2bl w:val="nil"/>
            </w:tcBorders>
            <w:noWrap w:val="0"/>
            <w:vAlign w:val="center"/>
          </w:tcPr>
          <w:p w14:paraId="3337FD4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973" w:type="dxa"/>
            <w:vMerge w:val="continue"/>
            <w:tcBorders>
              <w:tl2br w:val="nil"/>
              <w:tr2bl w:val="nil"/>
            </w:tcBorders>
            <w:noWrap w:val="0"/>
            <w:vAlign w:val="center"/>
          </w:tcPr>
          <w:p w14:paraId="5553D6B6">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011AEA6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08" w:type="dxa"/>
            <w:vMerge w:val="continue"/>
            <w:tcBorders>
              <w:tl2br w:val="nil"/>
              <w:tr2bl w:val="nil"/>
            </w:tcBorders>
            <w:noWrap w:val="0"/>
            <w:vAlign w:val="center"/>
          </w:tcPr>
          <w:p w14:paraId="551A6AD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371" w:type="dxa"/>
            <w:vMerge w:val="continue"/>
            <w:tcBorders>
              <w:tl2br w:val="nil"/>
              <w:tr2bl w:val="nil"/>
            </w:tcBorders>
            <w:noWrap w:val="0"/>
            <w:vAlign w:val="center"/>
          </w:tcPr>
          <w:p w14:paraId="0226F62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903" w:type="dxa"/>
            <w:tcBorders>
              <w:tl2br w:val="nil"/>
              <w:tr2bl w:val="nil"/>
            </w:tcBorders>
            <w:noWrap w:val="0"/>
            <w:vAlign w:val="center"/>
          </w:tcPr>
          <w:p w14:paraId="7B44DAA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1小时平均</w:t>
            </w:r>
          </w:p>
        </w:tc>
        <w:tc>
          <w:tcPr>
            <w:tcW w:w="859" w:type="dxa"/>
            <w:tcBorders>
              <w:tl2br w:val="nil"/>
              <w:tr2bl w:val="nil"/>
            </w:tcBorders>
            <w:noWrap w:val="0"/>
            <w:vAlign w:val="center"/>
          </w:tcPr>
          <w:p w14:paraId="3FD125A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500</w:t>
            </w:r>
          </w:p>
        </w:tc>
        <w:tc>
          <w:tcPr>
            <w:tcW w:w="1156" w:type="dxa"/>
            <w:vMerge w:val="continue"/>
            <w:tcBorders>
              <w:tl2br w:val="nil"/>
              <w:tr2bl w:val="nil"/>
            </w:tcBorders>
            <w:noWrap w:val="0"/>
            <w:vAlign w:val="center"/>
          </w:tcPr>
          <w:p w14:paraId="02D4342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973" w:type="dxa"/>
            <w:vMerge w:val="continue"/>
            <w:tcBorders>
              <w:tl2br w:val="nil"/>
              <w:tr2bl w:val="nil"/>
            </w:tcBorders>
            <w:noWrap w:val="0"/>
            <w:vAlign w:val="center"/>
          </w:tcPr>
          <w:p w14:paraId="55F6A93A">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6512215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08" w:type="dxa"/>
            <w:vMerge w:val="restart"/>
            <w:tcBorders>
              <w:tl2br w:val="nil"/>
              <w:tr2bl w:val="nil"/>
            </w:tcBorders>
            <w:noWrap w:val="0"/>
            <w:vAlign w:val="center"/>
          </w:tcPr>
          <w:p w14:paraId="02E615A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w:t>
            </w:r>
          </w:p>
        </w:tc>
        <w:tc>
          <w:tcPr>
            <w:tcW w:w="1371" w:type="dxa"/>
            <w:vMerge w:val="restart"/>
            <w:tcBorders>
              <w:tl2br w:val="nil"/>
              <w:tr2bl w:val="nil"/>
            </w:tcBorders>
            <w:noWrap w:val="0"/>
            <w:vAlign w:val="center"/>
          </w:tcPr>
          <w:p w14:paraId="2F9BE8D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NO</w:t>
            </w:r>
            <w:r>
              <w:rPr>
                <w:rFonts w:hint="default" w:ascii="Times New Roman" w:hAnsi="Times New Roman" w:cs="Times New Roman" w:eastAsiaTheme="minorEastAsia"/>
                <w:szCs w:val="21"/>
                <w:vertAlign w:val="subscript"/>
                <w:lang w:val="en-US" w:eastAsia="zh-CN"/>
              </w:rPr>
              <w:t>2</w:t>
            </w:r>
          </w:p>
        </w:tc>
        <w:tc>
          <w:tcPr>
            <w:tcW w:w="1903" w:type="dxa"/>
            <w:tcBorders>
              <w:tl2br w:val="nil"/>
              <w:tr2bl w:val="nil"/>
            </w:tcBorders>
            <w:noWrap w:val="0"/>
            <w:vAlign w:val="center"/>
          </w:tcPr>
          <w:p w14:paraId="5270C08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年平均</w:t>
            </w:r>
          </w:p>
        </w:tc>
        <w:tc>
          <w:tcPr>
            <w:tcW w:w="859" w:type="dxa"/>
            <w:tcBorders>
              <w:tl2br w:val="nil"/>
              <w:tr2bl w:val="nil"/>
            </w:tcBorders>
            <w:noWrap w:val="0"/>
            <w:vAlign w:val="center"/>
          </w:tcPr>
          <w:p w14:paraId="32A834D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40</w:t>
            </w:r>
          </w:p>
        </w:tc>
        <w:tc>
          <w:tcPr>
            <w:tcW w:w="1156" w:type="dxa"/>
            <w:vMerge w:val="continue"/>
            <w:tcBorders>
              <w:tl2br w:val="nil"/>
              <w:tr2bl w:val="nil"/>
            </w:tcBorders>
            <w:noWrap w:val="0"/>
            <w:vAlign w:val="center"/>
          </w:tcPr>
          <w:p w14:paraId="1CA7848C">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973" w:type="dxa"/>
            <w:vMerge w:val="continue"/>
            <w:tcBorders>
              <w:tl2br w:val="nil"/>
              <w:tr2bl w:val="nil"/>
            </w:tcBorders>
            <w:noWrap w:val="0"/>
            <w:vAlign w:val="center"/>
          </w:tcPr>
          <w:p w14:paraId="772DE3A6">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783F085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08" w:type="dxa"/>
            <w:vMerge w:val="continue"/>
            <w:tcBorders>
              <w:tl2br w:val="nil"/>
              <w:tr2bl w:val="nil"/>
            </w:tcBorders>
            <w:noWrap w:val="0"/>
            <w:vAlign w:val="center"/>
          </w:tcPr>
          <w:p w14:paraId="127E930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371" w:type="dxa"/>
            <w:vMerge w:val="continue"/>
            <w:tcBorders>
              <w:tl2br w:val="nil"/>
              <w:tr2bl w:val="nil"/>
            </w:tcBorders>
            <w:noWrap w:val="0"/>
            <w:vAlign w:val="center"/>
          </w:tcPr>
          <w:p w14:paraId="3CA332A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903" w:type="dxa"/>
            <w:tcBorders>
              <w:tl2br w:val="nil"/>
              <w:tr2bl w:val="nil"/>
            </w:tcBorders>
            <w:noWrap w:val="0"/>
            <w:vAlign w:val="center"/>
          </w:tcPr>
          <w:p w14:paraId="64FFF22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24小时平均</w:t>
            </w:r>
          </w:p>
        </w:tc>
        <w:tc>
          <w:tcPr>
            <w:tcW w:w="859" w:type="dxa"/>
            <w:tcBorders>
              <w:tl2br w:val="nil"/>
              <w:tr2bl w:val="nil"/>
            </w:tcBorders>
            <w:noWrap w:val="0"/>
            <w:vAlign w:val="center"/>
          </w:tcPr>
          <w:p w14:paraId="70BA07F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80</w:t>
            </w:r>
          </w:p>
        </w:tc>
        <w:tc>
          <w:tcPr>
            <w:tcW w:w="1156" w:type="dxa"/>
            <w:vMerge w:val="continue"/>
            <w:tcBorders>
              <w:tl2br w:val="nil"/>
              <w:tr2bl w:val="nil"/>
            </w:tcBorders>
            <w:noWrap w:val="0"/>
            <w:vAlign w:val="center"/>
          </w:tcPr>
          <w:p w14:paraId="67D2E66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973" w:type="dxa"/>
            <w:vMerge w:val="continue"/>
            <w:tcBorders>
              <w:tl2br w:val="nil"/>
              <w:tr2bl w:val="nil"/>
            </w:tcBorders>
            <w:noWrap w:val="0"/>
            <w:vAlign w:val="center"/>
          </w:tcPr>
          <w:p w14:paraId="44C01298">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3C89D25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08" w:type="dxa"/>
            <w:vMerge w:val="continue"/>
            <w:tcBorders>
              <w:tl2br w:val="nil"/>
              <w:tr2bl w:val="nil"/>
            </w:tcBorders>
            <w:noWrap w:val="0"/>
            <w:vAlign w:val="center"/>
          </w:tcPr>
          <w:p w14:paraId="4EBDCC5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371" w:type="dxa"/>
            <w:vMerge w:val="continue"/>
            <w:tcBorders>
              <w:tl2br w:val="nil"/>
              <w:tr2bl w:val="nil"/>
            </w:tcBorders>
            <w:noWrap w:val="0"/>
            <w:vAlign w:val="center"/>
          </w:tcPr>
          <w:p w14:paraId="3FF81BD5">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903" w:type="dxa"/>
            <w:tcBorders>
              <w:tl2br w:val="nil"/>
              <w:tr2bl w:val="nil"/>
            </w:tcBorders>
            <w:noWrap w:val="0"/>
            <w:vAlign w:val="center"/>
          </w:tcPr>
          <w:p w14:paraId="0B6240D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1小时平均</w:t>
            </w:r>
          </w:p>
        </w:tc>
        <w:tc>
          <w:tcPr>
            <w:tcW w:w="859" w:type="dxa"/>
            <w:tcBorders>
              <w:tl2br w:val="nil"/>
              <w:tr2bl w:val="nil"/>
            </w:tcBorders>
            <w:noWrap w:val="0"/>
            <w:vAlign w:val="center"/>
          </w:tcPr>
          <w:p w14:paraId="78FD1FB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200</w:t>
            </w:r>
          </w:p>
        </w:tc>
        <w:tc>
          <w:tcPr>
            <w:tcW w:w="1156" w:type="dxa"/>
            <w:vMerge w:val="continue"/>
            <w:tcBorders>
              <w:tl2br w:val="nil"/>
              <w:tr2bl w:val="nil"/>
            </w:tcBorders>
            <w:noWrap w:val="0"/>
            <w:vAlign w:val="center"/>
          </w:tcPr>
          <w:p w14:paraId="324EC10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973" w:type="dxa"/>
            <w:vMerge w:val="continue"/>
            <w:tcBorders>
              <w:tl2br w:val="nil"/>
              <w:tr2bl w:val="nil"/>
            </w:tcBorders>
            <w:noWrap w:val="0"/>
            <w:vAlign w:val="center"/>
          </w:tcPr>
          <w:p w14:paraId="7E0E0C07">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6836A8A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08" w:type="dxa"/>
            <w:vMerge w:val="restart"/>
            <w:tcBorders>
              <w:tl2br w:val="nil"/>
              <w:tr2bl w:val="nil"/>
            </w:tcBorders>
            <w:noWrap w:val="0"/>
            <w:vAlign w:val="center"/>
          </w:tcPr>
          <w:p w14:paraId="6B7CA51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w:t>
            </w:r>
          </w:p>
        </w:tc>
        <w:tc>
          <w:tcPr>
            <w:tcW w:w="1371" w:type="dxa"/>
            <w:vMerge w:val="restart"/>
            <w:tcBorders>
              <w:tl2br w:val="nil"/>
              <w:tr2bl w:val="nil"/>
            </w:tcBorders>
            <w:noWrap w:val="0"/>
            <w:vAlign w:val="center"/>
          </w:tcPr>
          <w:p w14:paraId="54B12B2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CO</w:t>
            </w:r>
          </w:p>
        </w:tc>
        <w:tc>
          <w:tcPr>
            <w:tcW w:w="1903" w:type="dxa"/>
            <w:tcBorders>
              <w:tl2br w:val="nil"/>
              <w:tr2bl w:val="nil"/>
            </w:tcBorders>
            <w:noWrap w:val="0"/>
            <w:vAlign w:val="center"/>
          </w:tcPr>
          <w:p w14:paraId="0FE06AA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24小时平均</w:t>
            </w:r>
          </w:p>
        </w:tc>
        <w:tc>
          <w:tcPr>
            <w:tcW w:w="859" w:type="dxa"/>
            <w:tcBorders>
              <w:tl2br w:val="nil"/>
              <w:tr2bl w:val="nil"/>
            </w:tcBorders>
            <w:noWrap w:val="0"/>
            <w:vAlign w:val="center"/>
          </w:tcPr>
          <w:p w14:paraId="5171632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w:t>
            </w:r>
          </w:p>
        </w:tc>
        <w:tc>
          <w:tcPr>
            <w:tcW w:w="1156" w:type="dxa"/>
            <w:vMerge w:val="restart"/>
            <w:tcBorders>
              <w:tl2br w:val="nil"/>
              <w:tr2bl w:val="nil"/>
            </w:tcBorders>
            <w:noWrap w:val="0"/>
            <w:vAlign w:val="center"/>
          </w:tcPr>
          <w:p w14:paraId="685CA96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mg/m</w:t>
            </w:r>
            <w:r>
              <w:rPr>
                <w:rFonts w:hint="default" w:ascii="Times New Roman" w:hAnsi="Times New Roman" w:cs="Times New Roman" w:eastAsiaTheme="minorEastAsia"/>
                <w:szCs w:val="21"/>
                <w:vertAlign w:val="superscript"/>
                <w:lang w:val="en-US" w:eastAsia="zh-CN"/>
              </w:rPr>
              <w:t>3</w:t>
            </w:r>
          </w:p>
        </w:tc>
        <w:tc>
          <w:tcPr>
            <w:tcW w:w="2973" w:type="dxa"/>
            <w:vMerge w:val="continue"/>
            <w:tcBorders>
              <w:tl2br w:val="nil"/>
              <w:tr2bl w:val="nil"/>
            </w:tcBorders>
            <w:noWrap w:val="0"/>
            <w:vAlign w:val="center"/>
          </w:tcPr>
          <w:p w14:paraId="7BAB544F">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31FAC82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08" w:type="dxa"/>
            <w:vMerge w:val="continue"/>
            <w:tcBorders>
              <w:tl2br w:val="nil"/>
              <w:tr2bl w:val="nil"/>
            </w:tcBorders>
            <w:noWrap w:val="0"/>
            <w:vAlign w:val="center"/>
          </w:tcPr>
          <w:p w14:paraId="3C3F4747">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371" w:type="dxa"/>
            <w:vMerge w:val="continue"/>
            <w:tcBorders>
              <w:tl2br w:val="nil"/>
              <w:tr2bl w:val="nil"/>
            </w:tcBorders>
            <w:noWrap w:val="0"/>
            <w:vAlign w:val="center"/>
          </w:tcPr>
          <w:p w14:paraId="14D106B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903" w:type="dxa"/>
            <w:tcBorders>
              <w:tl2br w:val="nil"/>
              <w:tr2bl w:val="nil"/>
            </w:tcBorders>
            <w:noWrap w:val="0"/>
            <w:vAlign w:val="center"/>
          </w:tcPr>
          <w:p w14:paraId="66BFEB5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1小时平均</w:t>
            </w:r>
          </w:p>
        </w:tc>
        <w:tc>
          <w:tcPr>
            <w:tcW w:w="859" w:type="dxa"/>
            <w:tcBorders>
              <w:tl2br w:val="nil"/>
              <w:tr2bl w:val="nil"/>
            </w:tcBorders>
            <w:noWrap w:val="0"/>
            <w:vAlign w:val="center"/>
          </w:tcPr>
          <w:p w14:paraId="2B6A348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10</w:t>
            </w:r>
          </w:p>
        </w:tc>
        <w:tc>
          <w:tcPr>
            <w:tcW w:w="1156" w:type="dxa"/>
            <w:vMerge w:val="continue"/>
            <w:tcBorders>
              <w:tl2br w:val="nil"/>
              <w:tr2bl w:val="nil"/>
            </w:tcBorders>
            <w:noWrap w:val="0"/>
            <w:vAlign w:val="center"/>
          </w:tcPr>
          <w:p w14:paraId="4BA3792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973" w:type="dxa"/>
            <w:vMerge w:val="continue"/>
            <w:tcBorders>
              <w:tl2br w:val="nil"/>
              <w:tr2bl w:val="nil"/>
            </w:tcBorders>
            <w:noWrap w:val="0"/>
            <w:vAlign w:val="center"/>
          </w:tcPr>
          <w:p w14:paraId="6CE6C142">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1F3EDCA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08" w:type="dxa"/>
            <w:vMerge w:val="restart"/>
            <w:tcBorders>
              <w:tl2br w:val="nil"/>
              <w:tr2bl w:val="nil"/>
            </w:tcBorders>
            <w:noWrap w:val="0"/>
            <w:vAlign w:val="center"/>
          </w:tcPr>
          <w:p w14:paraId="4FDC273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w:t>
            </w:r>
          </w:p>
        </w:tc>
        <w:tc>
          <w:tcPr>
            <w:tcW w:w="1371" w:type="dxa"/>
            <w:vMerge w:val="restart"/>
            <w:tcBorders>
              <w:tl2br w:val="nil"/>
              <w:tr2bl w:val="nil"/>
            </w:tcBorders>
            <w:noWrap w:val="0"/>
            <w:vAlign w:val="center"/>
          </w:tcPr>
          <w:p w14:paraId="2E486D7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O</w:t>
            </w:r>
            <w:r>
              <w:rPr>
                <w:rFonts w:hint="default" w:ascii="Times New Roman" w:hAnsi="Times New Roman" w:cs="Times New Roman" w:eastAsiaTheme="minorEastAsia"/>
                <w:szCs w:val="21"/>
                <w:vertAlign w:val="subscript"/>
                <w:lang w:val="en-US" w:eastAsia="zh-CN"/>
              </w:rPr>
              <w:t>3</w:t>
            </w:r>
          </w:p>
        </w:tc>
        <w:tc>
          <w:tcPr>
            <w:tcW w:w="1903" w:type="dxa"/>
            <w:tcBorders>
              <w:tl2br w:val="nil"/>
              <w:tr2bl w:val="nil"/>
            </w:tcBorders>
            <w:noWrap w:val="0"/>
            <w:vAlign w:val="center"/>
          </w:tcPr>
          <w:p w14:paraId="09AE23E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日最大8小时平均</w:t>
            </w:r>
          </w:p>
        </w:tc>
        <w:tc>
          <w:tcPr>
            <w:tcW w:w="859" w:type="dxa"/>
            <w:tcBorders>
              <w:tl2br w:val="nil"/>
              <w:tr2bl w:val="nil"/>
            </w:tcBorders>
            <w:noWrap w:val="0"/>
            <w:vAlign w:val="center"/>
          </w:tcPr>
          <w:p w14:paraId="2CEEA6C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160</w:t>
            </w:r>
          </w:p>
        </w:tc>
        <w:tc>
          <w:tcPr>
            <w:tcW w:w="1156" w:type="dxa"/>
            <w:vMerge w:val="restart"/>
            <w:tcBorders>
              <w:tl2br w:val="nil"/>
              <w:tr2bl w:val="nil"/>
            </w:tcBorders>
            <w:noWrap w:val="0"/>
            <w:vAlign w:val="center"/>
          </w:tcPr>
          <w:p w14:paraId="4B63E62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μg/m</w:t>
            </w:r>
            <w:r>
              <w:rPr>
                <w:rFonts w:hint="default" w:ascii="Times New Roman" w:hAnsi="Times New Roman" w:cs="Times New Roman" w:eastAsiaTheme="minorEastAsia"/>
                <w:szCs w:val="21"/>
                <w:vertAlign w:val="superscript"/>
                <w:lang w:val="en-US" w:eastAsia="zh-CN"/>
              </w:rPr>
              <w:t>3</w:t>
            </w:r>
          </w:p>
        </w:tc>
        <w:tc>
          <w:tcPr>
            <w:tcW w:w="2973" w:type="dxa"/>
            <w:vMerge w:val="continue"/>
            <w:tcBorders>
              <w:tl2br w:val="nil"/>
              <w:tr2bl w:val="nil"/>
            </w:tcBorders>
            <w:noWrap w:val="0"/>
            <w:vAlign w:val="center"/>
          </w:tcPr>
          <w:p w14:paraId="1468C57B">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59E1857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08" w:type="dxa"/>
            <w:vMerge w:val="continue"/>
            <w:tcBorders>
              <w:tl2br w:val="nil"/>
              <w:tr2bl w:val="nil"/>
            </w:tcBorders>
            <w:noWrap w:val="0"/>
            <w:vAlign w:val="center"/>
          </w:tcPr>
          <w:p w14:paraId="6E17950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371" w:type="dxa"/>
            <w:vMerge w:val="continue"/>
            <w:tcBorders>
              <w:tl2br w:val="nil"/>
              <w:tr2bl w:val="nil"/>
            </w:tcBorders>
            <w:noWrap w:val="0"/>
            <w:vAlign w:val="center"/>
          </w:tcPr>
          <w:p w14:paraId="01FB2865">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903" w:type="dxa"/>
            <w:tcBorders>
              <w:tl2br w:val="nil"/>
              <w:tr2bl w:val="nil"/>
            </w:tcBorders>
            <w:noWrap w:val="0"/>
            <w:vAlign w:val="center"/>
          </w:tcPr>
          <w:p w14:paraId="72E61D8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1小时平均</w:t>
            </w:r>
          </w:p>
        </w:tc>
        <w:tc>
          <w:tcPr>
            <w:tcW w:w="859" w:type="dxa"/>
            <w:tcBorders>
              <w:tl2br w:val="nil"/>
              <w:tr2bl w:val="nil"/>
            </w:tcBorders>
            <w:noWrap w:val="0"/>
            <w:vAlign w:val="center"/>
          </w:tcPr>
          <w:p w14:paraId="2AC19E0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200</w:t>
            </w:r>
          </w:p>
        </w:tc>
        <w:tc>
          <w:tcPr>
            <w:tcW w:w="1156" w:type="dxa"/>
            <w:vMerge w:val="continue"/>
            <w:tcBorders>
              <w:tl2br w:val="nil"/>
              <w:tr2bl w:val="nil"/>
            </w:tcBorders>
            <w:noWrap w:val="0"/>
            <w:vAlign w:val="center"/>
          </w:tcPr>
          <w:p w14:paraId="4EFF2E9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973" w:type="dxa"/>
            <w:vMerge w:val="continue"/>
            <w:tcBorders>
              <w:tl2br w:val="nil"/>
              <w:tr2bl w:val="nil"/>
            </w:tcBorders>
            <w:noWrap w:val="0"/>
            <w:vAlign w:val="center"/>
          </w:tcPr>
          <w:p w14:paraId="4FD62BDD">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62F7C06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08" w:type="dxa"/>
            <w:vMerge w:val="restart"/>
            <w:tcBorders>
              <w:tl2br w:val="nil"/>
              <w:tr2bl w:val="nil"/>
            </w:tcBorders>
            <w:noWrap w:val="0"/>
            <w:vAlign w:val="center"/>
          </w:tcPr>
          <w:p w14:paraId="40B4659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w:t>
            </w:r>
          </w:p>
        </w:tc>
        <w:tc>
          <w:tcPr>
            <w:tcW w:w="1371" w:type="dxa"/>
            <w:vMerge w:val="restart"/>
            <w:tcBorders>
              <w:tl2br w:val="nil"/>
              <w:tr2bl w:val="nil"/>
            </w:tcBorders>
            <w:noWrap w:val="0"/>
            <w:vAlign w:val="center"/>
          </w:tcPr>
          <w:p w14:paraId="2BE2761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PM</w:t>
            </w:r>
            <w:r>
              <w:rPr>
                <w:rFonts w:hint="default" w:ascii="Times New Roman" w:hAnsi="Times New Roman" w:cs="Times New Roman" w:eastAsiaTheme="minorEastAsia"/>
                <w:szCs w:val="21"/>
                <w:vertAlign w:val="subscript"/>
                <w:lang w:val="en-US" w:eastAsia="zh-CN"/>
              </w:rPr>
              <w:t>10</w:t>
            </w:r>
          </w:p>
        </w:tc>
        <w:tc>
          <w:tcPr>
            <w:tcW w:w="1903" w:type="dxa"/>
            <w:tcBorders>
              <w:tl2br w:val="nil"/>
              <w:tr2bl w:val="nil"/>
            </w:tcBorders>
            <w:noWrap w:val="0"/>
            <w:vAlign w:val="center"/>
          </w:tcPr>
          <w:p w14:paraId="50D3BC1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年平均</w:t>
            </w:r>
          </w:p>
        </w:tc>
        <w:tc>
          <w:tcPr>
            <w:tcW w:w="859" w:type="dxa"/>
            <w:tcBorders>
              <w:tl2br w:val="nil"/>
              <w:tr2bl w:val="nil"/>
            </w:tcBorders>
            <w:noWrap w:val="0"/>
            <w:vAlign w:val="center"/>
          </w:tcPr>
          <w:p w14:paraId="30976B6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60</w:t>
            </w:r>
          </w:p>
        </w:tc>
        <w:tc>
          <w:tcPr>
            <w:tcW w:w="1156" w:type="dxa"/>
            <w:vMerge w:val="continue"/>
            <w:tcBorders>
              <w:tl2br w:val="nil"/>
              <w:tr2bl w:val="nil"/>
            </w:tcBorders>
            <w:noWrap w:val="0"/>
            <w:vAlign w:val="center"/>
          </w:tcPr>
          <w:p w14:paraId="12088BF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973" w:type="dxa"/>
            <w:vMerge w:val="continue"/>
            <w:tcBorders>
              <w:tl2br w:val="nil"/>
              <w:tr2bl w:val="nil"/>
            </w:tcBorders>
            <w:noWrap w:val="0"/>
            <w:vAlign w:val="center"/>
          </w:tcPr>
          <w:p w14:paraId="0F9357ED">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7A775A1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08" w:type="dxa"/>
            <w:vMerge w:val="continue"/>
            <w:tcBorders>
              <w:tl2br w:val="nil"/>
              <w:tr2bl w:val="nil"/>
            </w:tcBorders>
            <w:noWrap w:val="0"/>
            <w:vAlign w:val="center"/>
          </w:tcPr>
          <w:p w14:paraId="167D7F3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371" w:type="dxa"/>
            <w:vMerge w:val="continue"/>
            <w:tcBorders>
              <w:tl2br w:val="nil"/>
              <w:tr2bl w:val="nil"/>
            </w:tcBorders>
            <w:noWrap w:val="0"/>
            <w:vAlign w:val="center"/>
          </w:tcPr>
          <w:p w14:paraId="0A40043C">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903" w:type="dxa"/>
            <w:tcBorders>
              <w:tl2br w:val="nil"/>
              <w:tr2bl w:val="nil"/>
            </w:tcBorders>
            <w:noWrap w:val="0"/>
            <w:vAlign w:val="center"/>
          </w:tcPr>
          <w:p w14:paraId="1F8982C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24小时平均</w:t>
            </w:r>
          </w:p>
        </w:tc>
        <w:tc>
          <w:tcPr>
            <w:tcW w:w="859" w:type="dxa"/>
            <w:tcBorders>
              <w:tl2br w:val="nil"/>
              <w:tr2bl w:val="nil"/>
            </w:tcBorders>
            <w:noWrap w:val="0"/>
            <w:vAlign w:val="center"/>
          </w:tcPr>
          <w:p w14:paraId="25234C9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120</w:t>
            </w:r>
          </w:p>
        </w:tc>
        <w:tc>
          <w:tcPr>
            <w:tcW w:w="1156" w:type="dxa"/>
            <w:vMerge w:val="continue"/>
            <w:tcBorders>
              <w:tl2br w:val="nil"/>
              <w:tr2bl w:val="nil"/>
            </w:tcBorders>
            <w:noWrap w:val="0"/>
            <w:vAlign w:val="center"/>
          </w:tcPr>
          <w:p w14:paraId="7BA2CEB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973" w:type="dxa"/>
            <w:vMerge w:val="continue"/>
            <w:tcBorders>
              <w:tl2br w:val="nil"/>
              <w:tr2bl w:val="nil"/>
            </w:tcBorders>
            <w:noWrap w:val="0"/>
            <w:vAlign w:val="center"/>
          </w:tcPr>
          <w:p w14:paraId="1BBD1CCB">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7EA0F83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08" w:type="dxa"/>
            <w:vMerge w:val="restart"/>
            <w:tcBorders>
              <w:tl2br w:val="nil"/>
              <w:tr2bl w:val="nil"/>
            </w:tcBorders>
            <w:noWrap w:val="0"/>
            <w:vAlign w:val="center"/>
          </w:tcPr>
          <w:p w14:paraId="1B99B56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w:t>
            </w:r>
          </w:p>
        </w:tc>
        <w:tc>
          <w:tcPr>
            <w:tcW w:w="1371" w:type="dxa"/>
            <w:vMerge w:val="restart"/>
            <w:tcBorders>
              <w:tl2br w:val="nil"/>
              <w:tr2bl w:val="nil"/>
            </w:tcBorders>
            <w:noWrap w:val="0"/>
            <w:vAlign w:val="center"/>
          </w:tcPr>
          <w:p w14:paraId="790359B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PM</w:t>
            </w:r>
            <w:r>
              <w:rPr>
                <w:rFonts w:hint="default" w:ascii="Times New Roman" w:hAnsi="Times New Roman" w:cs="Times New Roman" w:eastAsiaTheme="minorEastAsia"/>
                <w:szCs w:val="21"/>
                <w:vertAlign w:val="subscript"/>
                <w:lang w:val="en-US" w:eastAsia="zh-CN"/>
              </w:rPr>
              <w:t>2.5</w:t>
            </w:r>
          </w:p>
        </w:tc>
        <w:tc>
          <w:tcPr>
            <w:tcW w:w="1903" w:type="dxa"/>
            <w:tcBorders>
              <w:tl2br w:val="nil"/>
              <w:tr2bl w:val="nil"/>
            </w:tcBorders>
            <w:noWrap w:val="0"/>
            <w:vAlign w:val="center"/>
          </w:tcPr>
          <w:p w14:paraId="4E9230E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年平均</w:t>
            </w:r>
          </w:p>
        </w:tc>
        <w:tc>
          <w:tcPr>
            <w:tcW w:w="859" w:type="dxa"/>
            <w:tcBorders>
              <w:tl2br w:val="nil"/>
              <w:tr2bl w:val="nil"/>
            </w:tcBorders>
            <w:noWrap w:val="0"/>
            <w:vAlign w:val="center"/>
          </w:tcPr>
          <w:p w14:paraId="36C3AE1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30</w:t>
            </w:r>
          </w:p>
        </w:tc>
        <w:tc>
          <w:tcPr>
            <w:tcW w:w="1156" w:type="dxa"/>
            <w:vMerge w:val="continue"/>
            <w:tcBorders>
              <w:tl2br w:val="nil"/>
              <w:tr2bl w:val="nil"/>
            </w:tcBorders>
            <w:noWrap w:val="0"/>
            <w:vAlign w:val="center"/>
          </w:tcPr>
          <w:p w14:paraId="1748A5D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973" w:type="dxa"/>
            <w:vMerge w:val="continue"/>
            <w:tcBorders>
              <w:tl2br w:val="nil"/>
              <w:tr2bl w:val="nil"/>
            </w:tcBorders>
            <w:noWrap w:val="0"/>
            <w:vAlign w:val="center"/>
          </w:tcPr>
          <w:p w14:paraId="1668A25B">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5BE7B06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08" w:type="dxa"/>
            <w:vMerge w:val="continue"/>
            <w:tcBorders>
              <w:tl2br w:val="nil"/>
              <w:tr2bl w:val="nil"/>
            </w:tcBorders>
            <w:noWrap w:val="0"/>
            <w:vAlign w:val="center"/>
          </w:tcPr>
          <w:p w14:paraId="4E8D71F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371" w:type="dxa"/>
            <w:vMerge w:val="continue"/>
            <w:tcBorders>
              <w:tl2br w:val="nil"/>
              <w:tr2bl w:val="nil"/>
            </w:tcBorders>
            <w:noWrap w:val="0"/>
            <w:vAlign w:val="center"/>
          </w:tcPr>
          <w:p w14:paraId="6E45A43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903" w:type="dxa"/>
            <w:tcBorders>
              <w:tl2br w:val="nil"/>
              <w:tr2bl w:val="nil"/>
            </w:tcBorders>
            <w:noWrap w:val="0"/>
            <w:vAlign w:val="center"/>
          </w:tcPr>
          <w:p w14:paraId="1D2E8D8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24小时平均</w:t>
            </w:r>
          </w:p>
        </w:tc>
        <w:tc>
          <w:tcPr>
            <w:tcW w:w="859" w:type="dxa"/>
            <w:tcBorders>
              <w:tl2br w:val="nil"/>
              <w:tr2bl w:val="nil"/>
            </w:tcBorders>
            <w:noWrap w:val="0"/>
            <w:vAlign w:val="center"/>
          </w:tcPr>
          <w:p w14:paraId="0867ECB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60</w:t>
            </w:r>
          </w:p>
        </w:tc>
        <w:tc>
          <w:tcPr>
            <w:tcW w:w="1156" w:type="dxa"/>
            <w:vMerge w:val="continue"/>
            <w:tcBorders>
              <w:tl2br w:val="nil"/>
              <w:tr2bl w:val="nil"/>
            </w:tcBorders>
            <w:noWrap w:val="0"/>
            <w:vAlign w:val="center"/>
          </w:tcPr>
          <w:p w14:paraId="37BCC59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973" w:type="dxa"/>
            <w:vMerge w:val="continue"/>
            <w:tcBorders>
              <w:tl2br w:val="nil"/>
              <w:tr2bl w:val="nil"/>
            </w:tcBorders>
            <w:noWrap w:val="0"/>
            <w:vAlign w:val="center"/>
          </w:tcPr>
          <w:p w14:paraId="5BEF07AB">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7DCF5AF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08" w:type="dxa"/>
            <w:vMerge w:val="restart"/>
            <w:tcBorders>
              <w:tl2br w:val="nil"/>
              <w:tr2bl w:val="nil"/>
            </w:tcBorders>
            <w:noWrap w:val="0"/>
            <w:vAlign w:val="center"/>
          </w:tcPr>
          <w:p w14:paraId="07B31B6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7</w:t>
            </w:r>
          </w:p>
        </w:tc>
        <w:tc>
          <w:tcPr>
            <w:tcW w:w="1371" w:type="dxa"/>
            <w:vMerge w:val="restart"/>
            <w:tcBorders>
              <w:tl2br w:val="nil"/>
              <w:tr2bl w:val="nil"/>
            </w:tcBorders>
            <w:noWrap w:val="0"/>
            <w:vAlign w:val="center"/>
          </w:tcPr>
          <w:p w14:paraId="3FAF6F8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TSP</w:t>
            </w:r>
          </w:p>
        </w:tc>
        <w:tc>
          <w:tcPr>
            <w:tcW w:w="1903" w:type="dxa"/>
            <w:tcBorders>
              <w:tl2br w:val="nil"/>
              <w:tr2bl w:val="nil"/>
            </w:tcBorders>
            <w:shd w:val="clear" w:color="auto" w:fill="auto"/>
            <w:noWrap w:val="0"/>
            <w:vAlign w:val="center"/>
          </w:tcPr>
          <w:p w14:paraId="7CEAB2AB">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年平均</w:t>
            </w:r>
          </w:p>
        </w:tc>
        <w:tc>
          <w:tcPr>
            <w:tcW w:w="859" w:type="dxa"/>
            <w:tcBorders>
              <w:tl2br w:val="nil"/>
              <w:tr2bl w:val="nil"/>
            </w:tcBorders>
            <w:noWrap w:val="0"/>
            <w:vAlign w:val="center"/>
          </w:tcPr>
          <w:p w14:paraId="288619A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200</w:t>
            </w:r>
          </w:p>
        </w:tc>
        <w:tc>
          <w:tcPr>
            <w:tcW w:w="1156" w:type="dxa"/>
            <w:vMerge w:val="restart"/>
            <w:tcBorders>
              <w:tl2br w:val="nil"/>
              <w:tr2bl w:val="nil"/>
            </w:tcBorders>
            <w:noWrap w:val="0"/>
            <w:vAlign w:val="center"/>
          </w:tcPr>
          <w:p w14:paraId="3BD946B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μg/m</w:t>
            </w:r>
            <w:r>
              <w:rPr>
                <w:rFonts w:hint="default" w:ascii="Times New Roman" w:hAnsi="Times New Roman" w:cs="Times New Roman" w:eastAsiaTheme="minorEastAsia"/>
                <w:szCs w:val="21"/>
                <w:vertAlign w:val="superscript"/>
                <w:lang w:val="en-US" w:eastAsia="zh-CN"/>
              </w:rPr>
              <w:t>3</w:t>
            </w:r>
          </w:p>
        </w:tc>
        <w:tc>
          <w:tcPr>
            <w:tcW w:w="2973" w:type="dxa"/>
            <w:vMerge w:val="continue"/>
            <w:tcBorders>
              <w:tl2br w:val="nil"/>
              <w:tr2bl w:val="nil"/>
            </w:tcBorders>
            <w:noWrap w:val="0"/>
            <w:vAlign w:val="center"/>
          </w:tcPr>
          <w:p w14:paraId="4448A8B2">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308E33B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08" w:type="dxa"/>
            <w:vMerge w:val="continue"/>
            <w:tcBorders>
              <w:tl2br w:val="nil"/>
              <w:tr2bl w:val="nil"/>
            </w:tcBorders>
            <w:noWrap w:val="0"/>
            <w:vAlign w:val="center"/>
          </w:tcPr>
          <w:p w14:paraId="164732A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371" w:type="dxa"/>
            <w:vMerge w:val="continue"/>
            <w:tcBorders>
              <w:tl2br w:val="nil"/>
              <w:tr2bl w:val="nil"/>
            </w:tcBorders>
            <w:noWrap w:val="0"/>
            <w:vAlign w:val="center"/>
          </w:tcPr>
          <w:p w14:paraId="0FF1E18A">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903" w:type="dxa"/>
            <w:tcBorders>
              <w:tl2br w:val="nil"/>
              <w:tr2bl w:val="nil"/>
            </w:tcBorders>
            <w:shd w:val="clear" w:color="auto" w:fill="auto"/>
            <w:noWrap w:val="0"/>
            <w:vAlign w:val="center"/>
          </w:tcPr>
          <w:p w14:paraId="49672A63">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24小时平均</w:t>
            </w:r>
          </w:p>
        </w:tc>
        <w:tc>
          <w:tcPr>
            <w:tcW w:w="859" w:type="dxa"/>
            <w:tcBorders>
              <w:tl2br w:val="nil"/>
              <w:tr2bl w:val="nil"/>
            </w:tcBorders>
            <w:noWrap w:val="0"/>
            <w:vAlign w:val="center"/>
          </w:tcPr>
          <w:p w14:paraId="43054AC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300</w:t>
            </w:r>
          </w:p>
        </w:tc>
        <w:tc>
          <w:tcPr>
            <w:tcW w:w="1156" w:type="dxa"/>
            <w:vMerge w:val="continue"/>
            <w:tcBorders>
              <w:tl2br w:val="nil"/>
              <w:tr2bl w:val="nil"/>
            </w:tcBorders>
            <w:noWrap w:val="0"/>
            <w:vAlign w:val="center"/>
          </w:tcPr>
          <w:p w14:paraId="555F0F6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973" w:type="dxa"/>
            <w:vMerge w:val="continue"/>
            <w:tcBorders>
              <w:tl2br w:val="nil"/>
              <w:tr2bl w:val="nil"/>
            </w:tcBorders>
            <w:noWrap w:val="0"/>
            <w:vAlign w:val="center"/>
          </w:tcPr>
          <w:p w14:paraId="5A6C2C4D">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3A5A8CF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08" w:type="dxa"/>
            <w:tcBorders>
              <w:tl2br w:val="nil"/>
              <w:tr2bl w:val="nil"/>
            </w:tcBorders>
            <w:noWrap w:val="0"/>
            <w:vAlign w:val="center"/>
          </w:tcPr>
          <w:p w14:paraId="19B00CB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9</w:t>
            </w:r>
          </w:p>
        </w:tc>
        <w:tc>
          <w:tcPr>
            <w:tcW w:w="1371" w:type="dxa"/>
            <w:tcBorders>
              <w:tl2br w:val="nil"/>
              <w:tr2bl w:val="nil"/>
            </w:tcBorders>
            <w:noWrap w:val="0"/>
            <w:vAlign w:val="center"/>
          </w:tcPr>
          <w:p w14:paraId="0D7A0C5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NH</w:t>
            </w:r>
            <w:r>
              <w:rPr>
                <w:rFonts w:hint="eastAsia" w:ascii="Times New Roman" w:hAnsi="Times New Roman" w:cs="Times New Roman" w:eastAsiaTheme="minorEastAsia"/>
                <w:szCs w:val="21"/>
                <w:vertAlign w:val="subscript"/>
                <w:lang w:val="en-US" w:eastAsia="zh-CN"/>
              </w:rPr>
              <w:t>3</w:t>
            </w:r>
          </w:p>
        </w:tc>
        <w:tc>
          <w:tcPr>
            <w:tcW w:w="1903" w:type="dxa"/>
            <w:tcBorders>
              <w:tl2br w:val="nil"/>
              <w:tr2bl w:val="nil"/>
            </w:tcBorders>
            <w:noWrap w:val="0"/>
            <w:vAlign w:val="center"/>
          </w:tcPr>
          <w:p w14:paraId="3AFDB1E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1h平均</w:t>
            </w:r>
          </w:p>
        </w:tc>
        <w:tc>
          <w:tcPr>
            <w:tcW w:w="859" w:type="dxa"/>
            <w:tcBorders>
              <w:tl2br w:val="nil"/>
              <w:tr2bl w:val="nil"/>
            </w:tcBorders>
            <w:noWrap w:val="0"/>
            <w:vAlign w:val="center"/>
          </w:tcPr>
          <w:p w14:paraId="5E8B4D7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200</w:t>
            </w:r>
          </w:p>
        </w:tc>
        <w:tc>
          <w:tcPr>
            <w:tcW w:w="1156" w:type="dxa"/>
            <w:vMerge w:val="restart"/>
            <w:tcBorders>
              <w:tl2br w:val="nil"/>
              <w:tr2bl w:val="nil"/>
            </w:tcBorders>
            <w:noWrap w:val="0"/>
            <w:vAlign w:val="center"/>
          </w:tcPr>
          <w:p w14:paraId="0634D41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μg/m</w:t>
            </w:r>
            <w:r>
              <w:rPr>
                <w:rFonts w:hint="default" w:ascii="Times New Roman" w:hAnsi="Times New Roman" w:cs="Times New Roman" w:eastAsiaTheme="minorEastAsia"/>
                <w:szCs w:val="21"/>
                <w:vertAlign w:val="superscript"/>
                <w:lang w:val="en-US" w:eastAsia="zh-CN"/>
              </w:rPr>
              <w:t>3</w:t>
            </w:r>
          </w:p>
        </w:tc>
        <w:tc>
          <w:tcPr>
            <w:tcW w:w="2973" w:type="dxa"/>
            <w:vMerge w:val="restart"/>
            <w:tcBorders>
              <w:tl2br w:val="nil"/>
              <w:tr2bl w:val="nil"/>
            </w:tcBorders>
            <w:noWrap w:val="0"/>
            <w:vAlign w:val="center"/>
          </w:tcPr>
          <w:p w14:paraId="7A5B3F6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《环境影响评价技术导则 大气环境》（HJ 2.2-2018）附录 D</w:t>
            </w:r>
          </w:p>
        </w:tc>
      </w:tr>
      <w:tr w14:paraId="50A2CCA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08" w:type="dxa"/>
            <w:tcBorders>
              <w:tl2br w:val="nil"/>
              <w:tr2bl w:val="nil"/>
            </w:tcBorders>
            <w:noWrap w:val="0"/>
            <w:vAlign w:val="center"/>
          </w:tcPr>
          <w:p w14:paraId="328AECA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w:t>
            </w:r>
          </w:p>
        </w:tc>
        <w:tc>
          <w:tcPr>
            <w:tcW w:w="1371" w:type="dxa"/>
            <w:tcBorders>
              <w:tl2br w:val="nil"/>
              <w:tr2bl w:val="nil"/>
            </w:tcBorders>
            <w:noWrap w:val="0"/>
            <w:vAlign w:val="center"/>
          </w:tcPr>
          <w:p w14:paraId="32A7D1E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H</w:t>
            </w:r>
            <w:r>
              <w:rPr>
                <w:rFonts w:hint="eastAsia" w:ascii="Times New Roman" w:hAnsi="Times New Roman" w:cs="Times New Roman" w:eastAsiaTheme="minorEastAsia"/>
                <w:szCs w:val="21"/>
                <w:vertAlign w:val="subscript"/>
                <w:lang w:val="en-US" w:eastAsia="zh-CN"/>
              </w:rPr>
              <w:t>2</w:t>
            </w:r>
            <w:r>
              <w:rPr>
                <w:rFonts w:hint="eastAsia" w:ascii="Times New Roman" w:hAnsi="Times New Roman" w:cs="Times New Roman" w:eastAsiaTheme="minorEastAsia"/>
                <w:szCs w:val="21"/>
                <w:lang w:val="en-US" w:eastAsia="zh-CN"/>
              </w:rPr>
              <w:t>S</w:t>
            </w:r>
          </w:p>
        </w:tc>
        <w:tc>
          <w:tcPr>
            <w:tcW w:w="1903" w:type="dxa"/>
            <w:tcBorders>
              <w:tl2br w:val="nil"/>
              <w:tr2bl w:val="nil"/>
            </w:tcBorders>
            <w:noWrap w:val="0"/>
            <w:vAlign w:val="center"/>
          </w:tcPr>
          <w:p w14:paraId="2230C1D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1h平均</w:t>
            </w:r>
          </w:p>
        </w:tc>
        <w:tc>
          <w:tcPr>
            <w:tcW w:w="859" w:type="dxa"/>
            <w:tcBorders>
              <w:tl2br w:val="nil"/>
              <w:tr2bl w:val="nil"/>
            </w:tcBorders>
            <w:noWrap w:val="0"/>
            <w:vAlign w:val="center"/>
          </w:tcPr>
          <w:p w14:paraId="5D68976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w:t>
            </w:r>
          </w:p>
        </w:tc>
        <w:tc>
          <w:tcPr>
            <w:tcW w:w="1156" w:type="dxa"/>
            <w:vMerge w:val="continue"/>
            <w:tcBorders>
              <w:tl2br w:val="nil"/>
              <w:tr2bl w:val="nil"/>
            </w:tcBorders>
            <w:noWrap w:val="0"/>
            <w:vAlign w:val="center"/>
          </w:tcPr>
          <w:p w14:paraId="1F6C061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973" w:type="dxa"/>
            <w:vMerge w:val="continue"/>
            <w:tcBorders>
              <w:tl2br w:val="nil"/>
              <w:tr2bl w:val="nil"/>
            </w:tcBorders>
            <w:noWrap w:val="0"/>
            <w:vAlign w:val="center"/>
          </w:tcPr>
          <w:p w14:paraId="79FCF693">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538578F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08" w:type="dxa"/>
            <w:tcBorders>
              <w:tl2br w:val="nil"/>
              <w:tr2bl w:val="nil"/>
            </w:tcBorders>
            <w:noWrap w:val="0"/>
            <w:vAlign w:val="center"/>
          </w:tcPr>
          <w:p w14:paraId="17EBA28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11</w:t>
            </w:r>
          </w:p>
        </w:tc>
        <w:tc>
          <w:tcPr>
            <w:tcW w:w="1371" w:type="dxa"/>
            <w:vMerge w:val="restart"/>
            <w:tcBorders>
              <w:tl2br w:val="nil"/>
              <w:tr2bl w:val="nil"/>
            </w:tcBorders>
            <w:noWrap w:val="0"/>
            <w:vAlign w:val="center"/>
          </w:tcPr>
          <w:p w14:paraId="3152D10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HCl</w:t>
            </w:r>
          </w:p>
        </w:tc>
        <w:tc>
          <w:tcPr>
            <w:tcW w:w="1903" w:type="dxa"/>
            <w:tcBorders>
              <w:tl2br w:val="nil"/>
              <w:tr2bl w:val="nil"/>
            </w:tcBorders>
            <w:noWrap w:val="0"/>
            <w:vAlign w:val="center"/>
          </w:tcPr>
          <w:p w14:paraId="210C4BE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日平均</w:t>
            </w:r>
          </w:p>
        </w:tc>
        <w:tc>
          <w:tcPr>
            <w:tcW w:w="859" w:type="dxa"/>
            <w:tcBorders>
              <w:tl2br w:val="nil"/>
              <w:tr2bl w:val="nil"/>
            </w:tcBorders>
            <w:noWrap w:val="0"/>
            <w:vAlign w:val="center"/>
          </w:tcPr>
          <w:p w14:paraId="22C6E9E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15</w:t>
            </w:r>
          </w:p>
        </w:tc>
        <w:tc>
          <w:tcPr>
            <w:tcW w:w="1156" w:type="dxa"/>
            <w:vMerge w:val="continue"/>
            <w:tcBorders>
              <w:tl2br w:val="nil"/>
              <w:tr2bl w:val="nil"/>
            </w:tcBorders>
            <w:noWrap w:val="0"/>
            <w:vAlign w:val="center"/>
          </w:tcPr>
          <w:p w14:paraId="40B9F5F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973" w:type="dxa"/>
            <w:vMerge w:val="continue"/>
            <w:tcBorders>
              <w:tl2br w:val="nil"/>
              <w:tr2bl w:val="nil"/>
            </w:tcBorders>
            <w:noWrap w:val="0"/>
            <w:vAlign w:val="center"/>
          </w:tcPr>
          <w:p w14:paraId="26969649">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2F7E78F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08" w:type="dxa"/>
            <w:tcBorders>
              <w:tl2br w:val="nil"/>
              <w:tr2bl w:val="nil"/>
            </w:tcBorders>
            <w:noWrap w:val="0"/>
            <w:vAlign w:val="center"/>
          </w:tcPr>
          <w:p w14:paraId="4572ADE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12</w:t>
            </w:r>
          </w:p>
        </w:tc>
        <w:tc>
          <w:tcPr>
            <w:tcW w:w="1371" w:type="dxa"/>
            <w:vMerge w:val="continue"/>
            <w:tcBorders>
              <w:tl2br w:val="nil"/>
              <w:tr2bl w:val="nil"/>
            </w:tcBorders>
            <w:noWrap w:val="0"/>
            <w:vAlign w:val="center"/>
          </w:tcPr>
          <w:p w14:paraId="75782E1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903" w:type="dxa"/>
            <w:tcBorders>
              <w:tl2br w:val="nil"/>
              <w:tr2bl w:val="nil"/>
            </w:tcBorders>
            <w:noWrap w:val="0"/>
            <w:vAlign w:val="center"/>
          </w:tcPr>
          <w:p w14:paraId="4740F69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1h平均</w:t>
            </w:r>
          </w:p>
        </w:tc>
        <w:tc>
          <w:tcPr>
            <w:tcW w:w="859" w:type="dxa"/>
            <w:tcBorders>
              <w:tl2br w:val="nil"/>
              <w:tr2bl w:val="nil"/>
            </w:tcBorders>
            <w:noWrap w:val="0"/>
            <w:vAlign w:val="center"/>
          </w:tcPr>
          <w:p w14:paraId="7ABFB2C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50</w:t>
            </w:r>
          </w:p>
        </w:tc>
        <w:tc>
          <w:tcPr>
            <w:tcW w:w="1156" w:type="dxa"/>
            <w:vMerge w:val="continue"/>
            <w:tcBorders>
              <w:tl2br w:val="nil"/>
              <w:tr2bl w:val="nil"/>
            </w:tcBorders>
            <w:noWrap w:val="0"/>
            <w:vAlign w:val="center"/>
          </w:tcPr>
          <w:p w14:paraId="46E2DAF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973" w:type="dxa"/>
            <w:vMerge w:val="continue"/>
            <w:tcBorders>
              <w:tl2br w:val="nil"/>
              <w:tr2bl w:val="nil"/>
            </w:tcBorders>
            <w:noWrap w:val="0"/>
            <w:vAlign w:val="center"/>
          </w:tcPr>
          <w:p w14:paraId="3C33A834">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3E900DA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08" w:type="dxa"/>
            <w:tcBorders>
              <w:tl2br w:val="nil"/>
              <w:tr2bl w:val="nil"/>
            </w:tcBorders>
            <w:noWrap w:val="0"/>
            <w:vAlign w:val="center"/>
          </w:tcPr>
          <w:p w14:paraId="6FC82DD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13</w:t>
            </w:r>
          </w:p>
        </w:tc>
        <w:tc>
          <w:tcPr>
            <w:tcW w:w="1371" w:type="dxa"/>
            <w:vMerge w:val="restart"/>
            <w:tcBorders>
              <w:tl2br w:val="nil"/>
              <w:tr2bl w:val="nil"/>
            </w:tcBorders>
            <w:noWrap w:val="0"/>
            <w:vAlign w:val="center"/>
          </w:tcPr>
          <w:p w14:paraId="23BD214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F</w:t>
            </w:r>
          </w:p>
        </w:tc>
        <w:tc>
          <w:tcPr>
            <w:tcW w:w="1903" w:type="dxa"/>
            <w:tcBorders>
              <w:tl2br w:val="nil"/>
              <w:tr2bl w:val="nil"/>
            </w:tcBorders>
            <w:noWrap w:val="0"/>
            <w:vAlign w:val="center"/>
          </w:tcPr>
          <w:p w14:paraId="561FAF3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24h平均</w:t>
            </w:r>
          </w:p>
        </w:tc>
        <w:tc>
          <w:tcPr>
            <w:tcW w:w="859" w:type="dxa"/>
            <w:tcBorders>
              <w:tl2br w:val="nil"/>
              <w:tr2bl w:val="nil"/>
            </w:tcBorders>
            <w:noWrap w:val="0"/>
            <w:vAlign w:val="center"/>
          </w:tcPr>
          <w:p w14:paraId="43EA7B5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w:t>
            </w:r>
          </w:p>
        </w:tc>
        <w:tc>
          <w:tcPr>
            <w:tcW w:w="1156" w:type="dxa"/>
            <w:vMerge w:val="continue"/>
            <w:tcBorders>
              <w:tl2br w:val="nil"/>
              <w:tr2bl w:val="nil"/>
            </w:tcBorders>
            <w:noWrap w:val="0"/>
            <w:vAlign w:val="center"/>
          </w:tcPr>
          <w:p w14:paraId="1964B79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973" w:type="dxa"/>
            <w:vMerge w:val="restart"/>
            <w:tcBorders>
              <w:tl2br w:val="nil"/>
              <w:tr2bl w:val="nil"/>
            </w:tcBorders>
            <w:noWrap w:val="0"/>
            <w:vAlign w:val="center"/>
          </w:tcPr>
          <w:p w14:paraId="38824CB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《环境空气质量标准》（GB3095-20</w:t>
            </w:r>
            <w:r>
              <w:rPr>
                <w:rFonts w:hint="eastAsia" w:ascii="Times New Roman" w:hAnsi="Times New Roman" w:cs="Times New Roman" w:eastAsiaTheme="minorEastAsia"/>
                <w:szCs w:val="21"/>
                <w:lang w:val="en-US" w:eastAsia="zh-CN"/>
              </w:rPr>
              <w:t>26</w:t>
            </w:r>
            <w:r>
              <w:rPr>
                <w:rFonts w:hint="default" w:ascii="Times New Roman" w:hAnsi="Times New Roman" w:cs="Times New Roman" w:eastAsiaTheme="minorEastAsia"/>
                <w:szCs w:val="21"/>
                <w:lang w:val="en-US" w:eastAsia="zh-CN"/>
              </w:rPr>
              <w:t>）</w:t>
            </w:r>
          </w:p>
        </w:tc>
      </w:tr>
      <w:tr w14:paraId="3541C9F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08" w:type="dxa"/>
            <w:tcBorders>
              <w:tl2br w:val="nil"/>
              <w:tr2bl w:val="nil"/>
            </w:tcBorders>
            <w:noWrap w:val="0"/>
            <w:vAlign w:val="center"/>
          </w:tcPr>
          <w:p w14:paraId="064ADE4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14</w:t>
            </w:r>
          </w:p>
        </w:tc>
        <w:tc>
          <w:tcPr>
            <w:tcW w:w="1371" w:type="dxa"/>
            <w:vMerge w:val="continue"/>
            <w:tcBorders>
              <w:tl2br w:val="nil"/>
              <w:tr2bl w:val="nil"/>
            </w:tcBorders>
            <w:noWrap w:val="0"/>
            <w:vAlign w:val="center"/>
          </w:tcPr>
          <w:p w14:paraId="4D3A810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903" w:type="dxa"/>
            <w:tcBorders>
              <w:tl2br w:val="nil"/>
              <w:tr2bl w:val="nil"/>
            </w:tcBorders>
            <w:noWrap w:val="0"/>
            <w:vAlign w:val="center"/>
          </w:tcPr>
          <w:p w14:paraId="71C5D94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1h平均</w:t>
            </w:r>
          </w:p>
        </w:tc>
        <w:tc>
          <w:tcPr>
            <w:tcW w:w="859" w:type="dxa"/>
            <w:tcBorders>
              <w:tl2br w:val="nil"/>
              <w:tr2bl w:val="nil"/>
            </w:tcBorders>
            <w:noWrap w:val="0"/>
            <w:vAlign w:val="center"/>
          </w:tcPr>
          <w:p w14:paraId="3A6DB90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20</w:t>
            </w:r>
          </w:p>
        </w:tc>
        <w:tc>
          <w:tcPr>
            <w:tcW w:w="1156" w:type="dxa"/>
            <w:vMerge w:val="continue"/>
            <w:tcBorders>
              <w:tl2br w:val="nil"/>
              <w:tr2bl w:val="nil"/>
            </w:tcBorders>
            <w:noWrap w:val="0"/>
            <w:vAlign w:val="center"/>
          </w:tcPr>
          <w:p w14:paraId="6627B1C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973" w:type="dxa"/>
            <w:vMerge w:val="continue"/>
            <w:tcBorders>
              <w:tl2br w:val="nil"/>
              <w:tr2bl w:val="nil"/>
            </w:tcBorders>
            <w:noWrap w:val="0"/>
            <w:vAlign w:val="center"/>
          </w:tcPr>
          <w:p w14:paraId="099A68FF">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1203B78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08" w:type="dxa"/>
            <w:tcBorders>
              <w:tl2br w:val="nil"/>
              <w:tr2bl w:val="nil"/>
            </w:tcBorders>
            <w:noWrap w:val="0"/>
            <w:vAlign w:val="center"/>
          </w:tcPr>
          <w:p w14:paraId="11A0E5E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15</w:t>
            </w:r>
          </w:p>
        </w:tc>
        <w:tc>
          <w:tcPr>
            <w:tcW w:w="1371" w:type="dxa"/>
            <w:tcBorders>
              <w:tl2br w:val="nil"/>
              <w:tr2bl w:val="nil"/>
            </w:tcBorders>
            <w:noWrap w:val="0"/>
            <w:vAlign w:val="center"/>
          </w:tcPr>
          <w:p w14:paraId="6B54DCD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As</w:t>
            </w:r>
          </w:p>
        </w:tc>
        <w:tc>
          <w:tcPr>
            <w:tcW w:w="1903" w:type="dxa"/>
            <w:tcBorders>
              <w:tl2br w:val="nil"/>
              <w:tr2bl w:val="nil"/>
            </w:tcBorders>
            <w:noWrap w:val="0"/>
            <w:vAlign w:val="center"/>
          </w:tcPr>
          <w:p w14:paraId="62E3431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年平均</w:t>
            </w:r>
          </w:p>
        </w:tc>
        <w:tc>
          <w:tcPr>
            <w:tcW w:w="859" w:type="dxa"/>
            <w:tcBorders>
              <w:tl2br w:val="nil"/>
              <w:tr2bl w:val="nil"/>
            </w:tcBorders>
            <w:noWrap w:val="0"/>
            <w:vAlign w:val="center"/>
          </w:tcPr>
          <w:p w14:paraId="34162C2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0.006</w:t>
            </w:r>
          </w:p>
        </w:tc>
        <w:tc>
          <w:tcPr>
            <w:tcW w:w="1156" w:type="dxa"/>
            <w:vMerge w:val="continue"/>
            <w:tcBorders>
              <w:tl2br w:val="nil"/>
              <w:tr2bl w:val="nil"/>
            </w:tcBorders>
            <w:noWrap w:val="0"/>
            <w:vAlign w:val="center"/>
          </w:tcPr>
          <w:p w14:paraId="3063C26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973" w:type="dxa"/>
            <w:vMerge w:val="continue"/>
            <w:tcBorders>
              <w:tl2br w:val="nil"/>
              <w:tr2bl w:val="nil"/>
            </w:tcBorders>
            <w:noWrap w:val="0"/>
            <w:vAlign w:val="center"/>
          </w:tcPr>
          <w:p w14:paraId="4D289470">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312151C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08" w:type="dxa"/>
            <w:tcBorders>
              <w:tl2br w:val="nil"/>
              <w:tr2bl w:val="nil"/>
            </w:tcBorders>
            <w:noWrap w:val="0"/>
            <w:vAlign w:val="center"/>
          </w:tcPr>
          <w:p w14:paraId="580EBBE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16</w:t>
            </w:r>
          </w:p>
        </w:tc>
        <w:tc>
          <w:tcPr>
            <w:tcW w:w="1371" w:type="dxa"/>
            <w:tcBorders>
              <w:tl2br w:val="nil"/>
              <w:tr2bl w:val="nil"/>
            </w:tcBorders>
            <w:noWrap w:val="0"/>
            <w:vAlign w:val="center"/>
          </w:tcPr>
          <w:p w14:paraId="1ED1750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Pb</w:t>
            </w:r>
          </w:p>
        </w:tc>
        <w:tc>
          <w:tcPr>
            <w:tcW w:w="1903" w:type="dxa"/>
            <w:tcBorders>
              <w:tl2br w:val="nil"/>
              <w:tr2bl w:val="nil"/>
            </w:tcBorders>
            <w:noWrap w:val="0"/>
            <w:vAlign w:val="center"/>
          </w:tcPr>
          <w:p w14:paraId="7849F1E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季平均</w:t>
            </w:r>
          </w:p>
        </w:tc>
        <w:tc>
          <w:tcPr>
            <w:tcW w:w="859" w:type="dxa"/>
            <w:tcBorders>
              <w:tl2br w:val="nil"/>
              <w:tr2bl w:val="nil"/>
            </w:tcBorders>
            <w:noWrap w:val="0"/>
            <w:vAlign w:val="center"/>
          </w:tcPr>
          <w:p w14:paraId="0AAA229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w:t>
            </w:r>
          </w:p>
        </w:tc>
        <w:tc>
          <w:tcPr>
            <w:tcW w:w="1156" w:type="dxa"/>
            <w:vMerge w:val="continue"/>
            <w:tcBorders>
              <w:tl2br w:val="nil"/>
              <w:tr2bl w:val="nil"/>
            </w:tcBorders>
            <w:noWrap w:val="0"/>
            <w:vAlign w:val="center"/>
          </w:tcPr>
          <w:p w14:paraId="37572FB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973" w:type="dxa"/>
            <w:vMerge w:val="continue"/>
            <w:tcBorders>
              <w:tl2br w:val="nil"/>
              <w:tr2bl w:val="nil"/>
            </w:tcBorders>
            <w:noWrap w:val="0"/>
            <w:vAlign w:val="center"/>
          </w:tcPr>
          <w:p w14:paraId="1F36EBA4">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4350E72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08" w:type="dxa"/>
            <w:tcBorders>
              <w:tl2br w:val="nil"/>
              <w:tr2bl w:val="nil"/>
            </w:tcBorders>
            <w:noWrap w:val="0"/>
            <w:vAlign w:val="center"/>
          </w:tcPr>
          <w:p w14:paraId="4F26DA6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17</w:t>
            </w:r>
          </w:p>
        </w:tc>
        <w:tc>
          <w:tcPr>
            <w:tcW w:w="1371" w:type="dxa"/>
            <w:tcBorders>
              <w:tl2br w:val="nil"/>
              <w:tr2bl w:val="nil"/>
            </w:tcBorders>
            <w:noWrap w:val="0"/>
            <w:vAlign w:val="center"/>
          </w:tcPr>
          <w:p w14:paraId="3D4F5E6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Hg</w:t>
            </w:r>
          </w:p>
        </w:tc>
        <w:tc>
          <w:tcPr>
            <w:tcW w:w="1903" w:type="dxa"/>
            <w:tcBorders>
              <w:tl2br w:val="nil"/>
              <w:tr2bl w:val="nil"/>
            </w:tcBorders>
            <w:noWrap w:val="0"/>
            <w:vAlign w:val="center"/>
          </w:tcPr>
          <w:p w14:paraId="157F7C2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年平均</w:t>
            </w:r>
          </w:p>
        </w:tc>
        <w:tc>
          <w:tcPr>
            <w:tcW w:w="859" w:type="dxa"/>
            <w:tcBorders>
              <w:tl2br w:val="nil"/>
              <w:tr2bl w:val="nil"/>
            </w:tcBorders>
            <w:noWrap w:val="0"/>
            <w:vAlign w:val="center"/>
          </w:tcPr>
          <w:p w14:paraId="59580D6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0.05</w:t>
            </w:r>
          </w:p>
        </w:tc>
        <w:tc>
          <w:tcPr>
            <w:tcW w:w="1156" w:type="dxa"/>
            <w:vMerge w:val="continue"/>
            <w:tcBorders>
              <w:tl2br w:val="nil"/>
              <w:tr2bl w:val="nil"/>
            </w:tcBorders>
            <w:noWrap w:val="0"/>
            <w:vAlign w:val="center"/>
          </w:tcPr>
          <w:p w14:paraId="5F46F03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973" w:type="dxa"/>
            <w:vMerge w:val="continue"/>
            <w:tcBorders>
              <w:tl2br w:val="nil"/>
              <w:tr2bl w:val="nil"/>
            </w:tcBorders>
            <w:noWrap w:val="0"/>
            <w:vAlign w:val="center"/>
          </w:tcPr>
          <w:p w14:paraId="73B479B2">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775F6EF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08" w:type="dxa"/>
            <w:tcBorders>
              <w:tl2br w:val="nil"/>
              <w:tr2bl w:val="nil"/>
            </w:tcBorders>
            <w:noWrap w:val="0"/>
            <w:vAlign w:val="center"/>
          </w:tcPr>
          <w:p w14:paraId="2207FA5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18</w:t>
            </w:r>
          </w:p>
        </w:tc>
        <w:tc>
          <w:tcPr>
            <w:tcW w:w="1371" w:type="dxa"/>
            <w:tcBorders>
              <w:tl2br w:val="nil"/>
              <w:tr2bl w:val="nil"/>
            </w:tcBorders>
            <w:noWrap w:val="0"/>
            <w:vAlign w:val="center"/>
          </w:tcPr>
          <w:p w14:paraId="5420CA0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Cd</w:t>
            </w:r>
          </w:p>
        </w:tc>
        <w:tc>
          <w:tcPr>
            <w:tcW w:w="1903" w:type="dxa"/>
            <w:tcBorders>
              <w:tl2br w:val="nil"/>
              <w:tr2bl w:val="nil"/>
            </w:tcBorders>
            <w:noWrap w:val="0"/>
            <w:vAlign w:val="center"/>
          </w:tcPr>
          <w:p w14:paraId="02E85DA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年平均</w:t>
            </w:r>
          </w:p>
        </w:tc>
        <w:tc>
          <w:tcPr>
            <w:tcW w:w="859" w:type="dxa"/>
            <w:tcBorders>
              <w:tl2br w:val="nil"/>
              <w:tr2bl w:val="nil"/>
            </w:tcBorders>
            <w:noWrap w:val="0"/>
            <w:vAlign w:val="center"/>
          </w:tcPr>
          <w:p w14:paraId="62AE145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0.005</w:t>
            </w:r>
          </w:p>
        </w:tc>
        <w:tc>
          <w:tcPr>
            <w:tcW w:w="1156" w:type="dxa"/>
            <w:vMerge w:val="continue"/>
            <w:tcBorders>
              <w:tl2br w:val="nil"/>
              <w:tr2bl w:val="nil"/>
            </w:tcBorders>
            <w:noWrap w:val="0"/>
            <w:vAlign w:val="center"/>
          </w:tcPr>
          <w:p w14:paraId="693B2C5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973" w:type="dxa"/>
            <w:vMerge w:val="continue"/>
            <w:tcBorders>
              <w:tl2br w:val="nil"/>
              <w:tr2bl w:val="nil"/>
            </w:tcBorders>
            <w:noWrap w:val="0"/>
            <w:vAlign w:val="center"/>
          </w:tcPr>
          <w:p w14:paraId="5EF24615">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4EE12DC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08" w:type="dxa"/>
            <w:tcBorders>
              <w:tl2br w:val="nil"/>
              <w:tr2bl w:val="nil"/>
            </w:tcBorders>
            <w:noWrap w:val="0"/>
            <w:vAlign w:val="center"/>
          </w:tcPr>
          <w:p w14:paraId="5F0572E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19</w:t>
            </w:r>
          </w:p>
        </w:tc>
        <w:tc>
          <w:tcPr>
            <w:tcW w:w="1371" w:type="dxa"/>
            <w:tcBorders>
              <w:tl2br w:val="nil"/>
              <w:tr2bl w:val="nil"/>
            </w:tcBorders>
            <w:noWrap w:val="0"/>
            <w:vAlign w:val="center"/>
          </w:tcPr>
          <w:p w14:paraId="1DFE4C0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二噁英</w:t>
            </w:r>
          </w:p>
        </w:tc>
        <w:tc>
          <w:tcPr>
            <w:tcW w:w="1903" w:type="dxa"/>
            <w:tcBorders>
              <w:tl2br w:val="nil"/>
              <w:tr2bl w:val="nil"/>
            </w:tcBorders>
            <w:noWrap w:val="0"/>
            <w:vAlign w:val="center"/>
          </w:tcPr>
          <w:p w14:paraId="22BFB72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年平均</w:t>
            </w:r>
          </w:p>
        </w:tc>
        <w:tc>
          <w:tcPr>
            <w:tcW w:w="859" w:type="dxa"/>
            <w:tcBorders>
              <w:tl2br w:val="nil"/>
              <w:tr2bl w:val="nil"/>
            </w:tcBorders>
            <w:noWrap w:val="0"/>
            <w:vAlign w:val="center"/>
          </w:tcPr>
          <w:p w14:paraId="026B4A3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0.6</w:t>
            </w:r>
          </w:p>
        </w:tc>
        <w:tc>
          <w:tcPr>
            <w:tcW w:w="1156" w:type="dxa"/>
            <w:tcBorders>
              <w:tl2br w:val="nil"/>
              <w:tr2bl w:val="nil"/>
            </w:tcBorders>
            <w:noWrap w:val="0"/>
            <w:vAlign w:val="center"/>
          </w:tcPr>
          <w:p w14:paraId="06635CC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PgTEQ/Nm</w:t>
            </w:r>
            <w:r>
              <w:rPr>
                <w:rFonts w:hint="eastAsia" w:ascii="Times New Roman" w:hAnsi="Times New Roman" w:cs="Times New Roman" w:eastAsiaTheme="minorEastAsia"/>
                <w:szCs w:val="21"/>
                <w:vertAlign w:val="superscript"/>
                <w:lang w:val="en-US" w:eastAsia="zh-CN"/>
              </w:rPr>
              <w:t>3</w:t>
            </w:r>
          </w:p>
        </w:tc>
        <w:tc>
          <w:tcPr>
            <w:tcW w:w="2973" w:type="dxa"/>
            <w:tcBorders>
              <w:tl2br w:val="nil"/>
              <w:tr2bl w:val="nil"/>
            </w:tcBorders>
            <w:noWrap w:val="0"/>
            <w:vAlign w:val="center"/>
          </w:tcPr>
          <w:p w14:paraId="0353461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日本环境厅中央环境审议会</w:t>
            </w:r>
          </w:p>
          <w:p w14:paraId="42F71C5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制定的环境标准</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（环境厅告示第68号，1999.12.27）</w:t>
            </w:r>
          </w:p>
        </w:tc>
      </w:tr>
    </w:tbl>
    <w:p w14:paraId="65EA65C2">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（2）水环境</w:t>
      </w:r>
    </w:p>
    <w:p w14:paraId="2C9C7AB7">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地表水环境：</w:t>
      </w:r>
      <w:r>
        <w:rPr>
          <w:rFonts w:hint="default" w:ascii="Times New Roman" w:hAnsi="Times New Roman" w:cs="Times New Roman" w:eastAsiaTheme="minorEastAsia"/>
          <w:sz w:val="24"/>
          <w:lang w:val="en-US" w:eastAsia="zh-CN"/>
        </w:rPr>
        <w:t>本项目建成投产后，</w:t>
      </w:r>
      <w:r>
        <w:rPr>
          <w:rFonts w:hint="eastAsia" w:ascii="Times New Roman" w:hAnsi="Times New Roman" w:cs="Times New Roman" w:eastAsiaTheme="minorEastAsia"/>
          <w:sz w:val="24"/>
          <w:lang w:val="en-US" w:eastAsia="zh-CN"/>
        </w:rPr>
        <w:t>生产废水经厂区现有污水处理设施处理完成后回用于清洗消毒及冷却用水，不外排</w:t>
      </w:r>
      <w:r>
        <w:rPr>
          <w:rFonts w:hint="default" w:ascii="Times New Roman" w:hAnsi="Times New Roman" w:cs="Times New Roman" w:eastAsiaTheme="minorEastAsia"/>
          <w:sz w:val="24"/>
          <w:lang w:val="en-US" w:eastAsia="zh-CN"/>
        </w:rPr>
        <w:t>。本项目与周围地表水系不存在直接水力联系。</w:t>
      </w:r>
    </w:p>
    <w:p w14:paraId="5358EB8C">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地下水环境：</w:t>
      </w:r>
      <w:r>
        <w:rPr>
          <w:rFonts w:hint="default" w:ascii="Times New Roman" w:hAnsi="Times New Roman" w:cs="Times New Roman" w:eastAsiaTheme="minorEastAsia"/>
          <w:sz w:val="24"/>
          <w:lang w:val="en-US" w:eastAsia="zh-CN"/>
        </w:rPr>
        <w:t>按照项目所在地水环境功能区划，区域地下水水质执行《地下水质量标准》（GB/T14848-2017）中Ⅲ类标准。</w:t>
      </w:r>
    </w:p>
    <w:p w14:paraId="5E34E1A1">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表2.4-2  地下水质量标准限值</w:t>
      </w:r>
    </w:p>
    <w:tbl>
      <w:tblPr>
        <w:tblStyle w:val="12"/>
        <w:tblW w:w="4998" w:type="pct"/>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autofit"/>
        <w:tblCellMar>
          <w:top w:w="0" w:type="dxa"/>
          <w:left w:w="0" w:type="dxa"/>
          <w:bottom w:w="0" w:type="dxa"/>
          <w:right w:w="0" w:type="dxa"/>
        </w:tblCellMar>
      </w:tblPr>
      <w:tblGrid>
        <w:gridCol w:w="675"/>
        <w:gridCol w:w="1886"/>
        <w:gridCol w:w="3721"/>
        <w:gridCol w:w="2031"/>
      </w:tblGrid>
      <w:tr w14:paraId="6120FBF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406" w:type="pct"/>
            <w:tcBorders>
              <w:tl2br w:val="nil"/>
              <w:tr2bl w:val="nil"/>
            </w:tcBorders>
            <w:noWrap w:val="0"/>
            <w:vAlign w:val="center"/>
          </w:tcPr>
          <w:p w14:paraId="68629D2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序号</w:t>
            </w:r>
          </w:p>
        </w:tc>
        <w:tc>
          <w:tcPr>
            <w:tcW w:w="1134" w:type="pct"/>
            <w:tcBorders>
              <w:tl2br w:val="nil"/>
              <w:tr2bl w:val="nil"/>
            </w:tcBorders>
            <w:noWrap w:val="0"/>
            <w:vAlign w:val="center"/>
          </w:tcPr>
          <w:p w14:paraId="434AEE2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项目</w:t>
            </w:r>
          </w:p>
        </w:tc>
        <w:tc>
          <w:tcPr>
            <w:tcW w:w="2237" w:type="pct"/>
            <w:tcBorders>
              <w:tl2br w:val="nil"/>
              <w:tr2bl w:val="nil"/>
            </w:tcBorders>
            <w:noWrap w:val="0"/>
            <w:vAlign w:val="center"/>
          </w:tcPr>
          <w:p w14:paraId="0365E98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单位（pH除外，无量纲）</w:t>
            </w:r>
          </w:p>
        </w:tc>
        <w:tc>
          <w:tcPr>
            <w:tcW w:w="1221" w:type="pct"/>
            <w:tcBorders>
              <w:tl2br w:val="nil"/>
              <w:tr2bl w:val="nil"/>
            </w:tcBorders>
            <w:noWrap w:val="0"/>
            <w:vAlign w:val="center"/>
          </w:tcPr>
          <w:p w14:paraId="4FA5DD5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Ⅲ类标准值</w:t>
            </w:r>
          </w:p>
        </w:tc>
      </w:tr>
      <w:tr w14:paraId="6120206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406" w:type="pct"/>
            <w:tcBorders>
              <w:tl2br w:val="nil"/>
              <w:tr2bl w:val="nil"/>
            </w:tcBorders>
            <w:noWrap w:val="0"/>
            <w:vAlign w:val="center"/>
          </w:tcPr>
          <w:p w14:paraId="0D892C7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p>
        </w:tc>
        <w:tc>
          <w:tcPr>
            <w:tcW w:w="1134" w:type="pct"/>
            <w:tcBorders>
              <w:tl2br w:val="nil"/>
              <w:tr2bl w:val="nil"/>
            </w:tcBorders>
            <w:noWrap w:val="0"/>
            <w:vAlign w:val="center"/>
          </w:tcPr>
          <w:p w14:paraId="019B1106">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pH</w:t>
            </w:r>
          </w:p>
        </w:tc>
        <w:tc>
          <w:tcPr>
            <w:tcW w:w="2237" w:type="pct"/>
            <w:tcBorders>
              <w:tl2br w:val="nil"/>
              <w:tr2bl w:val="nil"/>
            </w:tcBorders>
            <w:noWrap w:val="0"/>
            <w:vAlign w:val="center"/>
          </w:tcPr>
          <w:p w14:paraId="5B5403B1">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无量纲</w:t>
            </w:r>
          </w:p>
        </w:tc>
        <w:tc>
          <w:tcPr>
            <w:tcW w:w="1221" w:type="pct"/>
            <w:tcBorders>
              <w:tl2br w:val="nil"/>
              <w:tr2bl w:val="nil"/>
            </w:tcBorders>
            <w:noWrap w:val="0"/>
            <w:vAlign w:val="center"/>
          </w:tcPr>
          <w:p w14:paraId="314C836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6.5-8.5</w:t>
            </w:r>
          </w:p>
        </w:tc>
      </w:tr>
      <w:tr w14:paraId="143C650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406" w:type="pct"/>
            <w:tcBorders>
              <w:tl2br w:val="nil"/>
              <w:tr2bl w:val="nil"/>
            </w:tcBorders>
            <w:noWrap w:val="0"/>
            <w:vAlign w:val="center"/>
          </w:tcPr>
          <w:p w14:paraId="286DA3D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w:t>
            </w:r>
          </w:p>
        </w:tc>
        <w:tc>
          <w:tcPr>
            <w:tcW w:w="1134" w:type="pct"/>
            <w:tcBorders>
              <w:tl2br w:val="nil"/>
              <w:tr2bl w:val="nil"/>
            </w:tcBorders>
            <w:noWrap w:val="0"/>
            <w:vAlign w:val="center"/>
          </w:tcPr>
          <w:p w14:paraId="45ED7983">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氨氮</w:t>
            </w:r>
          </w:p>
        </w:tc>
        <w:tc>
          <w:tcPr>
            <w:tcW w:w="2237" w:type="pct"/>
            <w:tcBorders>
              <w:tl2br w:val="nil"/>
              <w:tr2bl w:val="nil"/>
            </w:tcBorders>
            <w:noWrap w:val="0"/>
            <w:vAlign w:val="center"/>
          </w:tcPr>
          <w:p w14:paraId="7C407839">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mg/L</w:t>
            </w:r>
          </w:p>
        </w:tc>
        <w:tc>
          <w:tcPr>
            <w:tcW w:w="1221" w:type="pct"/>
            <w:tcBorders>
              <w:tl2br w:val="nil"/>
              <w:tr2bl w:val="nil"/>
            </w:tcBorders>
            <w:noWrap w:val="0"/>
            <w:vAlign w:val="center"/>
          </w:tcPr>
          <w:p w14:paraId="5B22874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≤0.2</w:t>
            </w:r>
          </w:p>
        </w:tc>
      </w:tr>
      <w:tr w14:paraId="56CC422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406" w:type="pct"/>
            <w:tcBorders>
              <w:tl2br w:val="nil"/>
              <w:tr2bl w:val="nil"/>
            </w:tcBorders>
            <w:noWrap w:val="0"/>
            <w:vAlign w:val="center"/>
          </w:tcPr>
          <w:p w14:paraId="09A7046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w:t>
            </w:r>
          </w:p>
        </w:tc>
        <w:tc>
          <w:tcPr>
            <w:tcW w:w="1134" w:type="pct"/>
            <w:tcBorders>
              <w:tl2br w:val="nil"/>
              <w:tr2bl w:val="nil"/>
            </w:tcBorders>
            <w:noWrap w:val="0"/>
            <w:vAlign w:val="center"/>
          </w:tcPr>
          <w:p w14:paraId="34B945DC">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挥发酚</w:t>
            </w:r>
          </w:p>
        </w:tc>
        <w:tc>
          <w:tcPr>
            <w:tcW w:w="2237" w:type="pct"/>
            <w:tcBorders>
              <w:tl2br w:val="nil"/>
              <w:tr2bl w:val="nil"/>
            </w:tcBorders>
            <w:noWrap w:val="0"/>
            <w:vAlign w:val="center"/>
          </w:tcPr>
          <w:p w14:paraId="1D9FB789">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mg/L</w:t>
            </w:r>
          </w:p>
        </w:tc>
        <w:tc>
          <w:tcPr>
            <w:tcW w:w="1221" w:type="pct"/>
            <w:tcBorders>
              <w:tl2br w:val="nil"/>
              <w:tr2bl w:val="nil"/>
            </w:tcBorders>
            <w:noWrap w:val="0"/>
            <w:vAlign w:val="center"/>
          </w:tcPr>
          <w:p w14:paraId="7618F2F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≤0.002</w:t>
            </w:r>
          </w:p>
        </w:tc>
      </w:tr>
      <w:tr w14:paraId="79C7213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06" w:type="pct"/>
            <w:tcBorders>
              <w:tl2br w:val="nil"/>
              <w:tr2bl w:val="nil"/>
            </w:tcBorders>
            <w:noWrap w:val="0"/>
            <w:vAlign w:val="center"/>
          </w:tcPr>
          <w:p w14:paraId="3F7F28F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w:t>
            </w:r>
          </w:p>
        </w:tc>
        <w:tc>
          <w:tcPr>
            <w:tcW w:w="1134" w:type="pct"/>
            <w:tcBorders>
              <w:tl2br w:val="nil"/>
              <w:tr2bl w:val="nil"/>
            </w:tcBorders>
            <w:noWrap w:val="0"/>
            <w:vAlign w:val="center"/>
          </w:tcPr>
          <w:p w14:paraId="75229D4C">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六价铬</w:t>
            </w:r>
          </w:p>
        </w:tc>
        <w:tc>
          <w:tcPr>
            <w:tcW w:w="2237" w:type="pct"/>
            <w:tcBorders>
              <w:tl2br w:val="nil"/>
              <w:tr2bl w:val="nil"/>
            </w:tcBorders>
            <w:noWrap w:val="0"/>
            <w:vAlign w:val="center"/>
          </w:tcPr>
          <w:p w14:paraId="267A1443">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mg/L</w:t>
            </w:r>
          </w:p>
        </w:tc>
        <w:tc>
          <w:tcPr>
            <w:tcW w:w="1221" w:type="pct"/>
            <w:tcBorders>
              <w:tl2br w:val="nil"/>
              <w:tr2bl w:val="nil"/>
            </w:tcBorders>
            <w:noWrap w:val="0"/>
            <w:vAlign w:val="center"/>
          </w:tcPr>
          <w:p w14:paraId="797CEA5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≤0.05</w:t>
            </w:r>
          </w:p>
        </w:tc>
      </w:tr>
      <w:tr w14:paraId="2B84228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406" w:type="pct"/>
            <w:tcBorders>
              <w:tl2br w:val="nil"/>
              <w:tr2bl w:val="nil"/>
            </w:tcBorders>
            <w:noWrap w:val="0"/>
            <w:vAlign w:val="center"/>
          </w:tcPr>
          <w:p w14:paraId="2BDDBC6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w:t>
            </w:r>
          </w:p>
        </w:tc>
        <w:tc>
          <w:tcPr>
            <w:tcW w:w="1134" w:type="pct"/>
            <w:tcBorders>
              <w:tl2br w:val="nil"/>
              <w:tr2bl w:val="nil"/>
            </w:tcBorders>
            <w:noWrap w:val="0"/>
            <w:vAlign w:val="center"/>
          </w:tcPr>
          <w:p w14:paraId="625D653F">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氟化物</w:t>
            </w:r>
          </w:p>
        </w:tc>
        <w:tc>
          <w:tcPr>
            <w:tcW w:w="2237" w:type="pct"/>
            <w:tcBorders>
              <w:tl2br w:val="nil"/>
              <w:tr2bl w:val="nil"/>
            </w:tcBorders>
            <w:noWrap w:val="0"/>
            <w:vAlign w:val="center"/>
          </w:tcPr>
          <w:p w14:paraId="1FC81AB5">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mg/L</w:t>
            </w:r>
          </w:p>
        </w:tc>
        <w:tc>
          <w:tcPr>
            <w:tcW w:w="1221" w:type="pct"/>
            <w:tcBorders>
              <w:tl2br w:val="nil"/>
              <w:tr2bl w:val="nil"/>
            </w:tcBorders>
            <w:noWrap w:val="0"/>
            <w:vAlign w:val="center"/>
          </w:tcPr>
          <w:p w14:paraId="1E9D209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p>
        </w:tc>
      </w:tr>
      <w:tr w14:paraId="105C909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406" w:type="pct"/>
            <w:tcBorders>
              <w:tl2br w:val="nil"/>
              <w:tr2bl w:val="nil"/>
            </w:tcBorders>
            <w:noWrap w:val="0"/>
            <w:vAlign w:val="center"/>
          </w:tcPr>
          <w:p w14:paraId="4DE55A3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w:t>
            </w:r>
          </w:p>
        </w:tc>
        <w:tc>
          <w:tcPr>
            <w:tcW w:w="1134" w:type="pct"/>
            <w:tcBorders>
              <w:tl2br w:val="nil"/>
              <w:tr2bl w:val="nil"/>
            </w:tcBorders>
            <w:noWrap w:val="0"/>
            <w:vAlign w:val="center"/>
          </w:tcPr>
          <w:p w14:paraId="0CE9FFF3">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氰化物</w:t>
            </w:r>
          </w:p>
        </w:tc>
        <w:tc>
          <w:tcPr>
            <w:tcW w:w="2237" w:type="pct"/>
            <w:tcBorders>
              <w:tl2br w:val="nil"/>
              <w:tr2bl w:val="nil"/>
            </w:tcBorders>
            <w:noWrap w:val="0"/>
            <w:vAlign w:val="center"/>
          </w:tcPr>
          <w:p w14:paraId="5E367286">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mg/L</w:t>
            </w:r>
          </w:p>
        </w:tc>
        <w:tc>
          <w:tcPr>
            <w:tcW w:w="1221" w:type="pct"/>
            <w:tcBorders>
              <w:tl2br w:val="nil"/>
              <w:tr2bl w:val="nil"/>
            </w:tcBorders>
            <w:noWrap w:val="0"/>
            <w:vAlign w:val="center"/>
          </w:tcPr>
          <w:p w14:paraId="61503A5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≤0.05</w:t>
            </w:r>
          </w:p>
        </w:tc>
      </w:tr>
      <w:tr w14:paraId="604A9B4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406" w:type="pct"/>
            <w:tcBorders>
              <w:tl2br w:val="nil"/>
              <w:tr2bl w:val="nil"/>
            </w:tcBorders>
            <w:noWrap w:val="0"/>
            <w:vAlign w:val="center"/>
          </w:tcPr>
          <w:p w14:paraId="4786B89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7</w:t>
            </w:r>
          </w:p>
        </w:tc>
        <w:tc>
          <w:tcPr>
            <w:tcW w:w="1134" w:type="pct"/>
            <w:tcBorders>
              <w:tl2br w:val="nil"/>
              <w:tr2bl w:val="nil"/>
            </w:tcBorders>
            <w:noWrap w:val="0"/>
            <w:vAlign w:val="center"/>
          </w:tcPr>
          <w:p w14:paraId="75C85789">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溶解性总固体</w:t>
            </w:r>
          </w:p>
        </w:tc>
        <w:tc>
          <w:tcPr>
            <w:tcW w:w="2237" w:type="pct"/>
            <w:tcBorders>
              <w:tl2br w:val="nil"/>
              <w:tr2bl w:val="nil"/>
            </w:tcBorders>
            <w:noWrap w:val="0"/>
            <w:vAlign w:val="center"/>
          </w:tcPr>
          <w:p w14:paraId="0D94F76C">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mg/L</w:t>
            </w:r>
          </w:p>
        </w:tc>
        <w:tc>
          <w:tcPr>
            <w:tcW w:w="1221" w:type="pct"/>
            <w:tcBorders>
              <w:tl2br w:val="nil"/>
              <w:tr2bl w:val="nil"/>
            </w:tcBorders>
            <w:noWrap w:val="0"/>
            <w:vAlign w:val="center"/>
          </w:tcPr>
          <w:p w14:paraId="1896A18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≤1000</w:t>
            </w:r>
          </w:p>
        </w:tc>
      </w:tr>
      <w:tr w14:paraId="1AA1B44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406" w:type="pct"/>
            <w:tcBorders>
              <w:tl2br w:val="nil"/>
              <w:tr2bl w:val="nil"/>
            </w:tcBorders>
            <w:noWrap w:val="0"/>
            <w:vAlign w:val="center"/>
          </w:tcPr>
          <w:p w14:paraId="38C0087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8</w:t>
            </w:r>
          </w:p>
        </w:tc>
        <w:tc>
          <w:tcPr>
            <w:tcW w:w="1134" w:type="pct"/>
            <w:tcBorders>
              <w:tl2br w:val="nil"/>
              <w:tr2bl w:val="nil"/>
            </w:tcBorders>
            <w:noWrap w:val="0"/>
            <w:vAlign w:val="center"/>
          </w:tcPr>
          <w:p w14:paraId="5467B102">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硫酸盐</w:t>
            </w:r>
          </w:p>
        </w:tc>
        <w:tc>
          <w:tcPr>
            <w:tcW w:w="2237" w:type="pct"/>
            <w:tcBorders>
              <w:tl2br w:val="nil"/>
              <w:tr2bl w:val="nil"/>
            </w:tcBorders>
            <w:noWrap w:val="0"/>
            <w:vAlign w:val="center"/>
          </w:tcPr>
          <w:p w14:paraId="0DBBE73A">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mg/L</w:t>
            </w:r>
          </w:p>
        </w:tc>
        <w:tc>
          <w:tcPr>
            <w:tcW w:w="1221" w:type="pct"/>
            <w:tcBorders>
              <w:tl2br w:val="nil"/>
              <w:tr2bl w:val="nil"/>
            </w:tcBorders>
            <w:noWrap w:val="0"/>
            <w:vAlign w:val="center"/>
          </w:tcPr>
          <w:p w14:paraId="1DB4453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≤250</w:t>
            </w:r>
          </w:p>
        </w:tc>
      </w:tr>
      <w:tr w14:paraId="308B477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406" w:type="pct"/>
            <w:tcBorders>
              <w:tl2br w:val="nil"/>
              <w:tr2bl w:val="nil"/>
            </w:tcBorders>
            <w:noWrap w:val="0"/>
            <w:vAlign w:val="center"/>
          </w:tcPr>
          <w:p w14:paraId="1EA797E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9</w:t>
            </w:r>
          </w:p>
        </w:tc>
        <w:tc>
          <w:tcPr>
            <w:tcW w:w="1134" w:type="pct"/>
            <w:tcBorders>
              <w:tl2br w:val="nil"/>
              <w:tr2bl w:val="nil"/>
            </w:tcBorders>
            <w:noWrap w:val="0"/>
            <w:vAlign w:val="center"/>
          </w:tcPr>
          <w:p w14:paraId="3B70F600">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硝酸盐氮</w:t>
            </w:r>
          </w:p>
        </w:tc>
        <w:tc>
          <w:tcPr>
            <w:tcW w:w="2237" w:type="pct"/>
            <w:tcBorders>
              <w:tl2br w:val="nil"/>
              <w:tr2bl w:val="nil"/>
            </w:tcBorders>
            <w:noWrap w:val="0"/>
            <w:vAlign w:val="center"/>
          </w:tcPr>
          <w:p w14:paraId="6F4AF525">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mg/L</w:t>
            </w:r>
          </w:p>
        </w:tc>
        <w:tc>
          <w:tcPr>
            <w:tcW w:w="1221" w:type="pct"/>
            <w:tcBorders>
              <w:tl2br w:val="nil"/>
              <w:tr2bl w:val="nil"/>
            </w:tcBorders>
            <w:noWrap w:val="0"/>
            <w:vAlign w:val="center"/>
          </w:tcPr>
          <w:p w14:paraId="3BAF419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w:t>
            </w:r>
          </w:p>
        </w:tc>
      </w:tr>
      <w:tr w14:paraId="7246B27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406" w:type="pct"/>
            <w:tcBorders>
              <w:tl2br w:val="nil"/>
              <w:tr2bl w:val="nil"/>
            </w:tcBorders>
            <w:noWrap w:val="0"/>
            <w:vAlign w:val="center"/>
          </w:tcPr>
          <w:p w14:paraId="1216E64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10</w:t>
            </w:r>
          </w:p>
        </w:tc>
        <w:tc>
          <w:tcPr>
            <w:tcW w:w="1134" w:type="pct"/>
            <w:tcBorders>
              <w:tl2br w:val="nil"/>
              <w:tr2bl w:val="nil"/>
            </w:tcBorders>
            <w:noWrap w:val="0"/>
            <w:vAlign w:val="center"/>
          </w:tcPr>
          <w:p w14:paraId="12FF68A0">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氯化物</w:t>
            </w:r>
          </w:p>
        </w:tc>
        <w:tc>
          <w:tcPr>
            <w:tcW w:w="2237" w:type="pct"/>
            <w:tcBorders>
              <w:tl2br w:val="nil"/>
              <w:tr2bl w:val="nil"/>
            </w:tcBorders>
            <w:noWrap w:val="0"/>
            <w:vAlign w:val="center"/>
          </w:tcPr>
          <w:p w14:paraId="6F0728A3">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mg/L</w:t>
            </w:r>
          </w:p>
        </w:tc>
        <w:tc>
          <w:tcPr>
            <w:tcW w:w="1221" w:type="pct"/>
            <w:tcBorders>
              <w:tl2br w:val="nil"/>
              <w:tr2bl w:val="nil"/>
            </w:tcBorders>
            <w:noWrap w:val="0"/>
            <w:vAlign w:val="center"/>
          </w:tcPr>
          <w:p w14:paraId="11898FD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≤250</w:t>
            </w:r>
          </w:p>
        </w:tc>
      </w:tr>
      <w:tr w14:paraId="66FBB6A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406" w:type="pct"/>
            <w:tcBorders>
              <w:tl2br w:val="nil"/>
              <w:tr2bl w:val="nil"/>
            </w:tcBorders>
            <w:noWrap w:val="0"/>
            <w:vAlign w:val="center"/>
          </w:tcPr>
          <w:p w14:paraId="1C9E7A8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11</w:t>
            </w:r>
          </w:p>
        </w:tc>
        <w:tc>
          <w:tcPr>
            <w:tcW w:w="1134" w:type="pct"/>
            <w:tcBorders>
              <w:tl2br w:val="nil"/>
              <w:tr2bl w:val="nil"/>
            </w:tcBorders>
            <w:noWrap w:val="0"/>
            <w:vAlign w:val="center"/>
          </w:tcPr>
          <w:p w14:paraId="0CE94985">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总硬度</w:t>
            </w:r>
          </w:p>
        </w:tc>
        <w:tc>
          <w:tcPr>
            <w:tcW w:w="2237" w:type="pct"/>
            <w:tcBorders>
              <w:tl2br w:val="nil"/>
              <w:tr2bl w:val="nil"/>
            </w:tcBorders>
            <w:noWrap w:val="0"/>
            <w:vAlign w:val="center"/>
          </w:tcPr>
          <w:p w14:paraId="547309B0">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mg/L</w:t>
            </w:r>
          </w:p>
        </w:tc>
        <w:tc>
          <w:tcPr>
            <w:tcW w:w="1221" w:type="pct"/>
            <w:tcBorders>
              <w:tl2br w:val="nil"/>
              <w:tr2bl w:val="nil"/>
            </w:tcBorders>
            <w:noWrap w:val="0"/>
            <w:vAlign w:val="center"/>
          </w:tcPr>
          <w:p w14:paraId="79B90B8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≤450</w:t>
            </w:r>
          </w:p>
        </w:tc>
      </w:tr>
      <w:tr w14:paraId="284FE98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406" w:type="pct"/>
            <w:tcBorders>
              <w:tl2br w:val="nil"/>
              <w:tr2bl w:val="nil"/>
            </w:tcBorders>
            <w:noWrap w:val="0"/>
            <w:vAlign w:val="center"/>
          </w:tcPr>
          <w:p w14:paraId="4E517DA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12</w:t>
            </w:r>
          </w:p>
        </w:tc>
        <w:tc>
          <w:tcPr>
            <w:tcW w:w="1134" w:type="pct"/>
            <w:tcBorders>
              <w:tl2br w:val="nil"/>
              <w:tr2bl w:val="nil"/>
            </w:tcBorders>
            <w:noWrap w:val="0"/>
            <w:vAlign w:val="center"/>
          </w:tcPr>
          <w:p w14:paraId="09EF301A">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亚硝酸盐氮</w:t>
            </w:r>
          </w:p>
        </w:tc>
        <w:tc>
          <w:tcPr>
            <w:tcW w:w="2237" w:type="pct"/>
            <w:tcBorders>
              <w:tl2br w:val="nil"/>
              <w:tr2bl w:val="nil"/>
            </w:tcBorders>
            <w:noWrap w:val="0"/>
            <w:vAlign w:val="center"/>
          </w:tcPr>
          <w:p w14:paraId="681E3FA9">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mg/L</w:t>
            </w:r>
          </w:p>
        </w:tc>
        <w:tc>
          <w:tcPr>
            <w:tcW w:w="1221" w:type="pct"/>
            <w:tcBorders>
              <w:tl2br w:val="nil"/>
              <w:tr2bl w:val="nil"/>
            </w:tcBorders>
            <w:noWrap w:val="0"/>
            <w:vAlign w:val="center"/>
          </w:tcPr>
          <w:p w14:paraId="7954853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≤0.02</w:t>
            </w:r>
          </w:p>
        </w:tc>
      </w:tr>
      <w:tr w14:paraId="169F24E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406" w:type="pct"/>
            <w:tcBorders>
              <w:tl2br w:val="nil"/>
              <w:tr2bl w:val="nil"/>
            </w:tcBorders>
            <w:noWrap w:val="0"/>
            <w:vAlign w:val="center"/>
          </w:tcPr>
          <w:p w14:paraId="70C48C8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13</w:t>
            </w:r>
          </w:p>
        </w:tc>
        <w:tc>
          <w:tcPr>
            <w:tcW w:w="1134" w:type="pct"/>
            <w:tcBorders>
              <w:tl2br w:val="nil"/>
              <w:tr2bl w:val="nil"/>
            </w:tcBorders>
            <w:noWrap w:val="0"/>
            <w:vAlign w:val="center"/>
          </w:tcPr>
          <w:p w14:paraId="5222909D">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总大肠菌群</w:t>
            </w:r>
          </w:p>
        </w:tc>
        <w:tc>
          <w:tcPr>
            <w:tcW w:w="2237" w:type="pct"/>
            <w:tcBorders>
              <w:tl2br w:val="nil"/>
              <w:tr2bl w:val="nil"/>
            </w:tcBorders>
            <w:noWrap w:val="0"/>
            <w:vAlign w:val="center"/>
          </w:tcPr>
          <w:p w14:paraId="6AF4FEAE">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MPN/100mL</w:t>
            </w:r>
          </w:p>
        </w:tc>
        <w:tc>
          <w:tcPr>
            <w:tcW w:w="1221" w:type="pct"/>
            <w:tcBorders>
              <w:tl2br w:val="nil"/>
              <w:tr2bl w:val="nil"/>
            </w:tcBorders>
            <w:noWrap w:val="0"/>
            <w:vAlign w:val="center"/>
          </w:tcPr>
          <w:p w14:paraId="3BE3F34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w:t>
            </w:r>
          </w:p>
        </w:tc>
      </w:tr>
      <w:tr w14:paraId="5095213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406" w:type="pct"/>
            <w:tcBorders>
              <w:tl2br w:val="nil"/>
              <w:tr2bl w:val="nil"/>
            </w:tcBorders>
            <w:noWrap w:val="0"/>
            <w:vAlign w:val="center"/>
          </w:tcPr>
          <w:p w14:paraId="76F6CFB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14</w:t>
            </w:r>
          </w:p>
        </w:tc>
        <w:tc>
          <w:tcPr>
            <w:tcW w:w="1134" w:type="pct"/>
            <w:tcBorders>
              <w:tl2br w:val="nil"/>
              <w:tr2bl w:val="nil"/>
            </w:tcBorders>
            <w:noWrap w:val="0"/>
            <w:vAlign w:val="center"/>
          </w:tcPr>
          <w:p w14:paraId="6C05719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菌落总数</w:t>
            </w:r>
          </w:p>
        </w:tc>
        <w:tc>
          <w:tcPr>
            <w:tcW w:w="2237" w:type="pct"/>
            <w:tcBorders>
              <w:tl2br w:val="nil"/>
              <w:tr2bl w:val="nil"/>
            </w:tcBorders>
            <w:noWrap w:val="0"/>
            <w:vAlign w:val="center"/>
          </w:tcPr>
          <w:p w14:paraId="15179CD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CFU/mL</w:t>
            </w:r>
          </w:p>
        </w:tc>
        <w:tc>
          <w:tcPr>
            <w:tcW w:w="1221" w:type="pct"/>
            <w:tcBorders>
              <w:tl2br w:val="nil"/>
              <w:tr2bl w:val="nil"/>
            </w:tcBorders>
            <w:noWrap w:val="0"/>
            <w:vAlign w:val="center"/>
          </w:tcPr>
          <w:p w14:paraId="4AA42FF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≤100</w:t>
            </w:r>
          </w:p>
        </w:tc>
      </w:tr>
      <w:tr w14:paraId="4C9D8BE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406" w:type="pct"/>
            <w:tcBorders>
              <w:tl2br w:val="nil"/>
              <w:tr2bl w:val="nil"/>
            </w:tcBorders>
            <w:noWrap w:val="0"/>
            <w:vAlign w:val="center"/>
          </w:tcPr>
          <w:p w14:paraId="3054616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15</w:t>
            </w:r>
          </w:p>
        </w:tc>
        <w:tc>
          <w:tcPr>
            <w:tcW w:w="1134" w:type="pct"/>
            <w:tcBorders>
              <w:tl2br w:val="nil"/>
              <w:tr2bl w:val="nil"/>
            </w:tcBorders>
            <w:noWrap w:val="0"/>
            <w:vAlign w:val="center"/>
          </w:tcPr>
          <w:p w14:paraId="54D4B42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钾</w:t>
            </w:r>
          </w:p>
        </w:tc>
        <w:tc>
          <w:tcPr>
            <w:tcW w:w="2237" w:type="pct"/>
            <w:tcBorders>
              <w:tl2br w:val="nil"/>
              <w:tr2bl w:val="nil"/>
            </w:tcBorders>
            <w:noWrap w:val="0"/>
            <w:vAlign w:val="center"/>
          </w:tcPr>
          <w:p w14:paraId="58CA97E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mg/L</w:t>
            </w:r>
          </w:p>
        </w:tc>
        <w:tc>
          <w:tcPr>
            <w:tcW w:w="1221" w:type="pct"/>
            <w:tcBorders>
              <w:tl2br w:val="nil"/>
              <w:tr2bl w:val="nil"/>
            </w:tcBorders>
            <w:noWrap w:val="0"/>
            <w:vAlign w:val="center"/>
          </w:tcPr>
          <w:p w14:paraId="0714BA1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r>
      <w:tr w14:paraId="31797AF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406" w:type="pct"/>
            <w:tcBorders>
              <w:tl2br w:val="nil"/>
              <w:tr2bl w:val="nil"/>
            </w:tcBorders>
            <w:noWrap w:val="0"/>
            <w:vAlign w:val="center"/>
          </w:tcPr>
          <w:p w14:paraId="2DAF4F5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16</w:t>
            </w:r>
          </w:p>
        </w:tc>
        <w:tc>
          <w:tcPr>
            <w:tcW w:w="1134" w:type="pct"/>
            <w:tcBorders>
              <w:tl2br w:val="nil"/>
              <w:tr2bl w:val="nil"/>
            </w:tcBorders>
            <w:noWrap w:val="0"/>
            <w:vAlign w:val="center"/>
          </w:tcPr>
          <w:p w14:paraId="1CE93D72">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钠</w:t>
            </w:r>
          </w:p>
        </w:tc>
        <w:tc>
          <w:tcPr>
            <w:tcW w:w="2237" w:type="pct"/>
            <w:tcBorders>
              <w:tl2br w:val="nil"/>
              <w:tr2bl w:val="nil"/>
            </w:tcBorders>
            <w:noWrap w:val="0"/>
            <w:vAlign w:val="center"/>
          </w:tcPr>
          <w:p w14:paraId="1D0643E8">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mg/L</w:t>
            </w:r>
          </w:p>
        </w:tc>
        <w:tc>
          <w:tcPr>
            <w:tcW w:w="1221" w:type="pct"/>
            <w:tcBorders>
              <w:tl2br w:val="nil"/>
              <w:tr2bl w:val="nil"/>
            </w:tcBorders>
            <w:noWrap w:val="0"/>
            <w:vAlign w:val="center"/>
          </w:tcPr>
          <w:p w14:paraId="3FCC6A7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r>
      <w:tr w14:paraId="27BE908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406" w:type="pct"/>
            <w:tcBorders>
              <w:tl2br w:val="nil"/>
              <w:tr2bl w:val="nil"/>
            </w:tcBorders>
            <w:noWrap w:val="0"/>
            <w:vAlign w:val="center"/>
          </w:tcPr>
          <w:p w14:paraId="0CEBC8B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17</w:t>
            </w:r>
          </w:p>
        </w:tc>
        <w:tc>
          <w:tcPr>
            <w:tcW w:w="1134" w:type="pct"/>
            <w:tcBorders>
              <w:tl2br w:val="nil"/>
              <w:tr2bl w:val="nil"/>
            </w:tcBorders>
            <w:noWrap w:val="0"/>
            <w:vAlign w:val="center"/>
          </w:tcPr>
          <w:p w14:paraId="49DD2FF3">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钙</w:t>
            </w:r>
          </w:p>
        </w:tc>
        <w:tc>
          <w:tcPr>
            <w:tcW w:w="2237" w:type="pct"/>
            <w:tcBorders>
              <w:tl2br w:val="nil"/>
              <w:tr2bl w:val="nil"/>
            </w:tcBorders>
            <w:noWrap w:val="0"/>
            <w:vAlign w:val="center"/>
          </w:tcPr>
          <w:p w14:paraId="5E1A68A2">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mg/L</w:t>
            </w:r>
          </w:p>
        </w:tc>
        <w:tc>
          <w:tcPr>
            <w:tcW w:w="1221" w:type="pct"/>
            <w:tcBorders>
              <w:tl2br w:val="nil"/>
              <w:tr2bl w:val="nil"/>
            </w:tcBorders>
            <w:noWrap w:val="0"/>
            <w:vAlign w:val="center"/>
          </w:tcPr>
          <w:p w14:paraId="2604CBF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r>
      <w:tr w14:paraId="5E7BEC6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406" w:type="pct"/>
            <w:tcBorders>
              <w:tl2br w:val="nil"/>
              <w:tr2bl w:val="nil"/>
            </w:tcBorders>
            <w:noWrap w:val="0"/>
            <w:vAlign w:val="center"/>
          </w:tcPr>
          <w:p w14:paraId="7595D4B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18</w:t>
            </w:r>
          </w:p>
        </w:tc>
        <w:tc>
          <w:tcPr>
            <w:tcW w:w="1134" w:type="pct"/>
            <w:tcBorders>
              <w:tl2br w:val="nil"/>
              <w:tr2bl w:val="nil"/>
            </w:tcBorders>
            <w:noWrap w:val="0"/>
            <w:vAlign w:val="center"/>
          </w:tcPr>
          <w:p w14:paraId="1937BD5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镁</w:t>
            </w:r>
          </w:p>
        </w:tc>
        <w:tc>
          <w:tcPr>
            <w:tcW w:w="2237" w:type="pct"/>
            <w:tcBorders>
              <w:tl2br w:val="nil"/>
              <w:tr2bl w:val="nil"/>
            </w:tcBorders>
            <w:noWrap w:val="0"/>
            <w:vAlign w:val="center"/>
          </w:tcPr>
          <w:p w14:paraId="4D6F7AC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mg/L</w:t>
            </w:r>
          </w:p>
        </w:tc>
        <w:tc>
          <w:tcPr>
            <w:tcW w:w="1221" w:type="pct"/>
            <w:tcBorders>
              <w:tl2br w:val="nil"/>
              <w:tr2bl w:val="nil"/>
            </w:tcBorders>
            <w:noWrap w:val="0"/>
            <w:vAlign w:val="center"/>
          </w:tcPr>
          <w:p w14:paraId="474BAEA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r>
      <w:tr w14:paraId="4275733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406" w:type="pct"/>
            <w:tcBorders>
              <w:tl2br w:val="nil"/>
              <w:tr2bl w:val="nil"/>
            </w:tcBorders>
            <w:noWrap w:val="0"/>
            <w:vAlign w:val="center"/>
          </w:tcPr>
          <w:p w14:paraId="4564D7D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19</w:t>
            </w:r>
          </w:p>
        </w:tc>
        <w:tc>
          <w:tcPr>
            <w:tcW w:w="1134" w:type="pct"/>
            <w:tcBorders>
              <w:tl2br w:val="nil"/>
              <w:tr2bl w:val="nil"/>
            </w:tcBorders>
            <w:noWrap w:val="0"/>
            <w:vAlign w:val="center"/>
          </w:tcPr>
          <w:p w14:paraId="6D40490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CO</w:t>
            </w:r>
            <w:r>
              <w:rPr>
                <w:rFonts w:hint="default" w:ascii="Times New Roman" w:hAnsi="Times New Roman" w:cs="Times New Roman" w:eastAsiaTheme="minorEastAsia"/>
                <w:szCs w:val="21"/>
                <w:vertAlign w:val="subscript"/>
                <w:lang w:val="en-US" w:eastAsia="zh-CN"/>
              </w:rPr>
              <w:t>3</w:t>
            </w:r>
            <w:r>
              <w:rPr>
                <w:rFonts w:hint="default" w:ascii="Times New Roman" w:hAnsi="Times New Roman" w:cs="Times New Roman" w:eastAsiaTheme="minorEastAsia"/>
                <w:szCs w:val="21"/>
                <w:vertAlign w:val="superscript"/>
                <w:lang w:val="en-US" w:eastAsia="zh-CN"/>
              </w:rPr>
              <w:t>2-</w:t>
            </w:r>
          </w:p>
        </w:tc>
        <w:tc>
          <w:tcPr>
            <w:tcW w:w="2237" w:type="pct"/>
            <w:tcBorders>
              <w:tl2br w:val="nil"/>
              <w:tr2bl w:val="nil"/>
            </w:tcBorders>
            <w:noWrap w:val="0"/>
            <w:vAlign w:val="center"/>
          </w:tcPr>
          <w:p w14:paraId="199973C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mol/L</w:t>
            </w:r>
          </w:p>
        </w:tc>
        <w:tc>
          <w:tcPr>
            <w:tcW w:w="1221" w:type="pct"/>
            <w:tcBorders>
              <w:tl2br w:val="nil"/>
              <w:tr2bl w:val="nil"/>
            </w:tcBorders>
            <w:noWrap w:val="0"/>
            <w:vAlign w:val="center"/>
          </w:tcPr>
          <w:p w14:paraId="296B246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r>
      <w:tr w14:paraId="72AB686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406" w:type="pct"/>
            <w:tcBorders>
              <w:tl2br w:val="nil"/>
              <w:tr2bl w:val="nil"/>
            </w:tcBorders>
            <w:noWrap w:val="0"/>
            <w:vAlign w:val="center"/>
          </w:tcPr>
          <w:p w14:paraId="505224C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w:t>
            </w:r>
          </w:p>
        </w:tc>
        <w:tc>
          <w:tcPr>
            <w:tcW w:w="1134" w:type="pct"/>
            <w:tcBorders>
              <w:tl2br w:val="nil"/>
              <w:tr2bl w:val="nil"/>
            </w:tcBorders>
            <w:noWrap w:val="0"/>
            <w:vAlign w:val="center"/>
          </w:tcPr>
          <w:p w14:paraId="3ED6989F">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HCO</w:t>
            </w:r>
            <w:r>
              <w:rPr>
                <w:rFonts w:hint="default" w:ascii="Times New Roman" w:hAnsi="Times New Roman" w:cs="Times New Roman" w:eastAsiaTheme="minorEastAsia"/>
                <w:szCs w:val="21"/>
                <w:vertAlign w:val="superscript"/>
                <w:lang w:val="en-US" w:eastAsia="zh-CN"/>
              </w:rPr>
              <w:t>3-</w:t>
            </w:r>
          </w:p>
        </w:tc>
        <w:tc>
          <w:tcPr>
            <w:tcW w:w="2237" w:type="pct"/>
            <w:tcBorders>
              <w:tl2br w:val="nil"/>
              <w:tr2bl w:val="nil"/>
            </w:tcBorders>
            <w:noWrap w:val="0"/>
            <w:vAlign w:val="center"/>
          </w:tcPr>
          <w:p w14:paraId="7807D989">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mol/L</w:t>
            </w:r>
          </w:p>
        </w:tc>
        <w:tc>
          <w:tcPr>
            <w:tcW w:w="1221" w:type="pct"/>
            <w:tcBorders>
              <w:tl2br w:val="nil"/>
              <w:tr2bl w:val="nil"/>
            </w:tcBorders>
            <w:noWrap w:val="0"/>
            <w:vAlign w:val="center"/>
          </w:tcPr>
          <w:p w14:paraId="3CBEB44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r>
      <w:tr w14:paraId="2ABEE77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406" w:type="pct"/>
            <w:tcBorders>
              <w:tl2br w:val="nil"/>
              <w:tr2bl w:val="nil"/>
            </w:tcBorders>
            <w:noWrap w:val="0"/>
            <w:vAlign w:val="center"/>
          </w:tcPr>
          <w:p w14:paraId="7A13A62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21</w:t>
            </w:r>
          </w:p>
        </w:tc>
        <w:tc>
          <w:tcPr>
            <w:tcW w:w="1134" w:type="pct"/>
            <w:tcBorders>
              <w:tl2br w:val="nil"/>
              <w:tr2bl w:val="nil"/>
            </w:tcBorders>
            <w:noWrap w:val="0"/>
            <w:vAlign w:val="center"/>
          </w:tcPr>
          <w:p w14:paraId="4D3260E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锰</w:t>
            </w:r>
          </w:p>
        </w:tc>
        <w:tc>
          <w:tcPr>
            <w:tcW w:w="2237" w:type="pct"/>
            <w:tcBorders>
              <w:tl2br w:val="nil"/>
              <w:tr2bl w:val="nil"/>
            </w:tcBorders>
            <w:noWrap w:val="0"/>
            <w:vAlign w:val="center"/>
          </w:tcPr>
          <w:p w14:paraId="0FCFB23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mg/L</w:t>
            </w:r>
          </w:p>
        </w:tc>
        <w:tc>
          <w:tcPr>
            <w:tcW w:w="1221" w:type="pct"/>
            <w:tcBorders>
              <w:tl2br w:val="nil"/>
              <w:tr2bl w:val="nil"/>
            </w:tcBorders>
            <w:noWrap w:val="0"/>
            <w:vAlign w:val="center"/>
          </w:tcPr>
          <w:p w14:paraId="1FD8E66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≤0.1</w:t>
            </w:r>
          </w:p>
        </w:tc>
      </w:tr>
      <w:tr w14:paraId="7DF500C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406" w:type="pct"/>
            <w:tcBorders>
              <w:tl2br w:val="nil"/>
              <w:tr2bl w:val="nil"/>
            </w:tcBorders>
            <w:noWrap w:val="0"/>
            <w:vAlign w:val="center"/>
          </w:tcPr>
          <w:p w14:paraId="057858F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22</w:t>
            </w:r>
          </w:p>
        </w:tc>
        <w:tc>
          <w:tcPr>
            <w:tcW w:w="1134" w:type="pct"/>
            <w:tcBorders>
              <w:tl2br w:val="nil"/>
              <w:tr2bl w:val="nil"/>
            </w:tcBorders>
            <w:noWrap w:val="0"/>
            <w:vAlign w:val="center"/>
          </w:tcPr>
          <w:p w14:paraId="4800E72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铁</w:t>
            </w:r>
          </w:p>
        </w:tc>
        <w:tc>
          <w:tcPr>
            <w:tcW w:w="2237" w:type="pct"/>
            <w:tcBorders>
              <w:tl2br w:val="nil"/>
              <w:tr2bl w:val="nil"/>
            </w:tcBorders>
            <w:noWrap w:val="0"/>
            <w:vAlign w:val="center"/>
          </w:tcPr>
          <w:p w14:paraId="43D1BF3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mg/L</w:t>
            </w:r>
          </w:p>
        </w:tc>
        <w:tc>
          <w:tcPr>
            <w:tcW w:w="1221" w:type="pct"/>
            <w:tcBorders>
              <w:tl2br w:val="nil"/>
              <w:tr2bl w:val="nil"/>
            </w:tcBorders>
            <w:noWrap w:val="0"/>
            <w:vAlign w:val="center"/>
          </w:tcPr>
          <w:p w14:paraId="035318D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≤0.3</w:t>
            </w:r>
          </w:p>
        </w:tc>
      </w:tr>
      <w:tr w14:paraId="00D6DE4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406" w:type="pct"/>
            <w:tcBorders>
              <w:tl2br w:val="nil"/>
              <w:tr2bl w:val="nil"/>
            </w:tcBorders>
            <w:noWrap w:val="0"/>
            <w:vAlign w:val="center"/>
          </w:tcPr>
          <w:p w14:paraId="62E01FA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23</w:t>
            </w:r>
          </w:p>
        </w:tc>
        <w:tc>
          <w:tcPr>
            <w:tcW w:w="1134" w:type="pct"/>
            <w:tcBorders>
              <w:tl2br w:val="nil"/>
              <w:tr2bl w:val="nil"/>
            </w:tcBorders>
            <w:noWrap w:val="0"/>
            <w:vAlign w:val="center"/>
          </w:tcPr>
          <w:p w14:paraId="7FDA352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镉</w:t>
            </w:r>
          </w:p>
        </w:tc>
        <w:tc>
          <w:tcPr>
            <w:tcW w:w="2237" w:type="pct"/>
            <w:tcBorders>
              <w:tl2br w:val="nil"/>
              <w:tr2bl w:val="nil"/>
            </w:tcBorders>
            <w:noWrap w:val="0"/>
            <w:vAlign w:val="center"/>
          </w:tcPr>
          <w:p w14:paraId="1D26D9D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mg/L</w:t>
            </w:r>
          </w:p>
        </w:tc>
        <w:tc>
          <w:tcPr>
            <w:tcW w:w="1221" w:type="pct"/>
            <w:tcBorders>
              <w:tl2br w:val="nil"/>
              <w:tr2bl w:val="nil"/>
            </w:tcBorders>
            <w:noWrap w:val="0"/>
            <w:vAlign w:val="center"/>
          </w:tcPr>
          <w:p w14:paraId="0264F00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≤0.005</w:t>
            </w:r>
          </w:p>
        </w:tc>
      </w:tr>
      <w:tr w14:paraId="58317E6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406" w:type="pct"/>
            <w:tcBorders>
              <w:tl2br w:val="nil"/>
              <w:tr2bl w:val="nil"/>
            </w:tcBorders>
            <w:noWrap w:val="0"/>
            <w:vAlign w:val="center"/>
          </w:tcPr>
          <w:p w14:paraId="59A6060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24</w:t>
            </w:r>
          </w:p>
        </w:tc>
        <w:tc>
          <w:tcPr>
            <w:tcW w:w="1134" w:type="pct"/>
            <w:tcBorders>
              <w:tl2br w:val="nil"/>
              <w:tr2bl w:val="nil"/>
            </w:tcBorders>
            <w:noWrap w:val="0"/>
            <w:vAlign w:val="center"/>
          </w:tcPr>
          <w:p w14:paraId="55808222">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铅</w:t>
            </w:r>
          </w:p>
        </w:tc>
        <w:tc>
          <w:tcPr>
            <w:tcW w:w="2237" w:type="pct"/>
            <w:tcBorders>
              <w:tl2br w:val="nil"/>
              <w:tr2bl w:val="nil"/>
            </w:tcBorders>
            <w:noWrap w:val="0"/>
            <w:vAlign w:val="center"/>
          </w:tcPr>
          <w:p w14:paraId="1E2F92C6">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mg/L</w:t>
            </w:r>
          </w:p>
        </w:tc>
        <w:tc>
          <w:tcPr>
            <w:tcW w:w="1221" w:type="pct"/>
            <w:tcBorders>
              <w:tl2br w:val="nil"/>
              <w:tr2bl w:val="nil"/>
            </w:tcBorders>
            <w:noWrap w:val="0"/>
            <w:vAlign w:val="center"/>
          </w:tcPr>
          <w:p w14:paraId="5C38D017">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≤0.01</w:t>
            </w:r>
          </w:p>
        </w:tc>
      </w:tr>
      <w:tr w14:paraId="0EB0C99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406" w:type="pct"/>
            <w:tcBorders>
              <w:tl2br w:val="nil"/>
              <w:tr2bl w:val="nil"/>
            </w:tcBorders>
            <w:noWrap w:val="0"/>
            <w:vAlign w:val="center"/>
          </w:tcPr>
          <w:p w14:paraId="01DBF5A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25</w:t>
            </w:r>
          </w:p>
        </w:tc>
        <w:tc>
          <w:tcPr>
            <w:tcW w:w="1134" w:type="pct"/>
            <w:tcBorders>
              <w:tl2br w:val="nil"/>
              <w:tr2bl w:val="nil"/>
            </w:tcBorders>
            <w:noWrap w:val="0"/>
            <w:vAlign w:val="center"/>
          </w:tcPr>
          <w:p w14:paraId="5F6F5A5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汞</w:t>
            </w:r>
          </w:p>
        </w:tc>
        <w:tc>
          <w:tcPr>
            <w:tcW w:w="2237" w:type="pct"/>
            <w:tcBorders>
              <w:tl2br w:val="nil"/>
              <w:tr2bl w:val="nil"/>
            </w:tcBorders>
            <w:noWrap w:val="0"/>
            <w:vAlign w:val="center"/>
          </w:tcPr>
          <w:p w14:paraId="6304C3D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mg/L</w:t>
            </w:r>
          </w:p>
        </w:tc>
        <w:tc>
          <w:tcPr>
            <w:tcW w:w="1221" w:type="pct"/>
            <w:tcBorders>
              <w:tl2br w:val="nil"/>
              <w:tr2bl w:val="nil"/>
            </w:tcBorders>
            <w:noWrap w:val="0"/>
            <w:vAlign w:val="center"/>
          </w:tcPr>
          <w:p w14:paraId="5AD0F9E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≤0.001</w:t>
            </w:r>
          </w:p>
        </w:tc>
      </w:tr>
      <w:tr w14:paraId="0CF305C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406" w:type="pct"/>
            <w:tcBorders>
              <w:tl2br w:val="nil"/>
              <w:tr2bl w:val="nil"/>
            </w:tcBorders>
            <w:vAlign w:val="center"/>
          </w:tcPr>
          <w:p w14:paraId="42E94EA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26</w:t>
            </w:r>
          </w:p>
        </w:tc>
        <w:tc>
          <w:tcPr>
            <w:tcW w:w="1134" w:type="pct"/>
            <w:tcBorders>
              <w:tl2br w:val="nil"/>
              <w:tr2bl w:val="nil"/>
            </w:tcBorders>
            <w:vAlign w:val="center"/>
          </w:tcPr>
          <w:p w14:paraId="35A7D667">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砷</w:t>
            </w:r>
          </w:p>
        </w:tc>
        <w:tc>
          <w:tcPr>
            <w:tcW w:w="2237" w:type="pct"/>
            <w:tcBorders>
              <w:tl2br w:val="nil"/>
              <w:tr2bl w:val="nil"/>
            </w:tcBorders>
            <w:vAlign w:val="center"/>
          </w:tcPr>
          <w:p w14:paraId="19E154AD">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mg/L</w:t>
            </w:r>
          </w:p>
        </w:tc>
        <w:tc>
          <w:tcPr>
            <w:tcW w:w="1221" w:type="pct"/>
            <w:tcBorders>
              <w:tl2br w:val="nil"/>
              <w:tr2bl w:val="nil"/>
            </w:tcBorders>
            <w:vAlign w:val="center"/>
          </w:tcPr>
          <w:p w14:paraId="465CA506">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≤0.01</w:t>
            </w:r>
          </w:p>
        </w:tc>
      </w:tr>
    </w:tbl>
    <w:p w14:paraId="0FA3353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（3）声环境</w:t>
      </w:r>
    </w:p>
    <w:p w14:paraId="333EF202">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项目区执行《声环境质量标准》（GB3096-2008）中的</w:t>
      </w:r>
      <w:r>
        <w:rPr>
          <w:rFonts w:hint="eastAsia" w:ascii="Times New Roman" w:hAnsi="Times New Roman" w:cs="Times New Roman" w:eastAsiaTheme="minorEastAsia"/>
          <w:sz w:val="24"/>
          <w:lang w:val="en-US" w:eastAsia="zh-CN"/>
        </w:rPr>
        <w:t>3</w:t>
      </w:r>
      <w:r>
        <w:rPr>
          <w:rFonts w:hint="default" w:ascii="Times New Roman" w:hAnsi="Times New Roman" w:cs="Times New Roman" w:eastAsiaTheme="minorEastAsia"/>
          <w:sz w:val="24"/>
          <w:lang w:val="en-US" w:eastAsia="zh-CN"/>
        </w:rPr>
        <w:t>类标准，见表2.4-3。</w:t>
      </w:r>
    </w:p>
    <w:p w14:paraId="45EDC50C">
      <w:pPr>
        <w:adjustRightInd w:val="0"/>
        <w:snapToGrid w:val="0"/>
        <w:spacing w:before="250" w:beforeLines="50"/>
        <w:jc w:val="center"/>
        <w:rPr>
          <w:rFonts w:hint="default" w:ascii="Times New Roman" w:hAnsi="Times New Roman" w:cs="Times New Roman" w:eastAsiaTheme="minorEastAsia"/>
          <w:b/>
          <w:szCs w:val="21"/>
          <w:lang w:val="en-US" w:eastAsia="zh-CN"/>
        </w:rPr>
      </w:pPr>
      <w:bookmarkStart w:id="76" w:name="_Ref494789764"/>
      <w:r>
        <w:rPr>
          <w:rFonts w:hint="default" w:ascii="Times New Roman" w:hAnsi="Times New Roman" w:cs="Times New Roman" w:eastAsiaTheme="minorEastAsia"/>
          <w:b/>
          <w:szCs w:val="21"/>
          <w:lang w:val="en-US" w:eastAsia="zh-CN"/>
        </w:rPr>
        <w:t>表</w:t>
      </w:r>
      <w:bookmarkEnd w:id="76"/>
      <w:r>
        <w:rPr>
          <w:rFonts w:hint="default" w:ascii="Times New Roman" w:hAnsi="Times New Roman" w:cs="Times New Roman" w:eastAsiaTheme="minorEastAsia"/>
          <w:b/>
          <w:szCs w:val="21"/>
          <w:lang w:val="en-US" w:eastAsia="zh-CN"/>
        </w:rPr>
        <w:t>2.4-3  声环境质量标准</w:t>
      </w:r>
    </w:p>
    <w:p w14:paraId="27B391E4">
      <w:pPr>
        <w:adjustRightInd w:val="0"/>
        <w:snapToGrid w:val="0"/>
        <w:spacing w:before="250" w:beforeLines="50"/>
        <w:jc w:val="right"/>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单位：dB（A）</w:t>
      </w:r>
    </w:p>
    <w:tbl>
      <w:tblPr>
        <w:tblStyle w:val="1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4"/>
        <w:gridCol w:w="1082"/>
        <w:gridCol w:w="1055"/>
        <w:gridCol w:w="4388"/>
      </w:tblGrid>
      <w:tr w14:paraId="1A9A2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170" w:type="pct"/>
            <w:tcBorders>
              <w:tl2br w:val="nil"/>
              <w:tr2bl w:val="nil"/>
            </w:tcBorders>
            <w:noWrap w:val="0"/>
            <w:vAlign w:val="center"/>
          </w:tcPr>
          <w:p w14:paraId="2C4DC30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声功能区类别</w:t>
            </w:r>
          </w:p>
        </w:tc>
        <w:tc>
          <w:tcPr>
            <w:tcW w:w="635" w:type="pct"/>
            <w:tcBorders>
              <w:tl2br w:val="nil"/>
              <w:tr2bl w:val="nil"/>
            </w:tcBorders>
            <w:noWrap w:val="0"/>
            <w:vAlign w:val="center"/>
          </w:tcPr>
          <w:p w14:paraId="6A59FB8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昼间</w:t>
            </w:r>
          </w:p>
        </w:tc>
        <w:tc>
          <w:tcPr>
            <w:tcW w:w="619" w:type="pct"/>
            <w:tcBorders>
              <w:tl2br w:val="nil"/>
              <w:tr2bl w:val="nil"/>
            </w:tcBorders>
            <w:noWrap w:val="0"/>
            <w:vAlign w:val="center"/>
          </w:tcPr>
          <w:p w14:paraId="11437C3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夜间</w:t>
            </w:r>
          </w:p>
        </w:tc>
        <w:tc>
          <w:tcPr>
            <w:tcW w:w="2574" w:type="pct"/>
            <w:tcBorders>
              <w:tl2br w:val="nil"/>
              <w:tr2bl w:val="nil"/>
            </w:tcBorders>
            <w:noWrap w:val="0"/>
            <w:vAlign w:val="center"/>
          </w:tcPr>
          <w:p w14:paraId="6F78004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标准来源</w:t>
            </w:r>
          </w:p>
        </w:tc>
      </w:tr>
      <w:tr w14:paraId="3FCB5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1170" w:type="pct"/>
            <w:tcBorders>
              <w:tl2br w:val="nil"/>
              <w:tr2bl w:val="nil"/>
            </w:tcBorders>
            <w:noWrap w:val="0"/>
            <w:vAlign w:val="center"/>
          </w:tcPr>
          <w:p w14:paraId="1D349D9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w:t>
            </w:r>
          </w:p>
        </w:tc>
        <w:tc>
          <w:tcPr>
            <w:tcW w:w="635" w:type="pct"/>
            <w:tcBorders>
              <w:tl2br w:val="nil"/>
              <w:tr2bl w:val="nil"/>
            </w:tcBorders>
            <w:noWrap w:val="0"/>
            <w:vAlign w:val="center"/>
          </w:tcPr>
          <w:p w14:paraId="587327D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65</w:t>
            </w:r>
          </w:p>
        </w:tc>
        <w:tc>
          <w:tcPr>
            <w:tcW w:w="619" w:type="pct"/>
            <w:tcBorders>
              <w:tl2br w:val="nil"/>
              <w:tr2bl w:val="nil"/>
            </w:tcBorders>
            <w:noWrap w:val="0"/>
            <w:vAlign w:val="center"/>
          </w:tcPr>
          <w:p w14:paraId="4EA9C2D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55</w:t>
            </w:r>
          </w:p>
        </w:tc>
        <w:tc>
          <w:tcPr>
            <w:tcW w:w="2574" w:type="pct"/>
            <w:tcBorders>
              <w:tl2br w:val="nil"/>
              <w:tr2bl w:val="nil"/>
            </w:tcBorders>
            <w:noWrap w:val="0"/>
            <w:vAlign w:val="center"/>
          </w:tcPr>
          <w:p w14:paraId="69B0BF9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《声环境质量标准》（GB3096-2008）</w:t>
            </w:r>
          </w:p>
        </w:tc>
      </w:tr>
    </w:tbl>
    <w:p w14:paraId="244CAC7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（4）土壤环境</w:t>
      </w:r>
    </w:p>
    <w:p w14:paraId="49D7898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本项目用地属于</w:t>
      </w:r>
      <w:r>
        <w:rPr>
          <w:rFonts w:hint="eastAsia" w:ascii="Times New Roman" w:hAnsi="Times New Roman" w:cs="Times New Roman" w:eastAsiaTheme="minorEastAsia"/>
          <w:sz w:val="24"/>
          <w:lang w:val="en-US" w:eastAsia="zh-CN"/>
        </w:rPr>
        <w:t>工业用地</w:t>
      </w: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项目区周边均为建设用地，因此项目区内外</w:t>
      </w:r>
      <w:r>
        <w:rPr>
          <w:rFonts w:hint="default" w:ascii="Times New Roman" w:hAnsi="Times New Roman" w:cs="Times New Roman" w:eastAsiaTheme="minorEastAsia"/>
          <w:sz w:val="24"/>
          <w:lang w:val="en-US" w:eastAsia="zh-CN"/>
        </w:rPr>
        <w:t>土壤</w:t>
      </w:r>
      <w:r>
        <w:rPr>
          <w:rFonts w:hint="eastAsia" w:ascii="Times New Roman" w:hAnsi="Times New Roman" w:cs="Times New Roman" w:eastAsiaTheme="minorEastAsia"/>
          <w:sz w:val="24"/>
          <w:lang w:val="en-US" w:eastAsia="zh-CN"/>
        </w:rPr>
        <w:t>均</w:t>
      </w:r>
      <w:r>
        <w:rPr>
          <w:rFonts w:hint="default" w:ascii="Times New Roman" w:hAnsi="Times New Roman" w:cs="Times New Roman" w:eastAsiaTheme="minorEastAsia"/>
          <w:sz w:val="24"/>
          <w:lang w:val="en-US" w:eastAsia="zh-CN"/>
        </w:rPr>
        <w:t>执行《土壤环境质量 建设用地土壤污染风险管控标准（试行）》（GB36600-2018），标准值见表2.4-4</w:t>
      </w:r>
      <w:r>
        <w:rPr>
          <w:rFonts w:hint="eastAsia" w:ascii="Times New Roman" w:hAnsi="Times New Roman" w:cs="Times New Roman" w:eastAsiaTheme="minorEastAsia"/>
          <w:sz w:val="24"/>
          <w:lang w:val="en-US" w:eastAsia="zh-CN"/>
        </w:rPr>
        <w:t>。</w:t>
      </w:r>
    </w:p>
    <w:p w14:paraId="789619E8">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表2.4-4  建设用地土壤污染风险筛选值和管制值（基本项目）</w:t>
      </w:r>
    </w:p>
    <w:p w14:paraId="7B849117">
      <w:pPr>
        <w:adjustRightInd w:val="0"/>
        <w:snapToGrid w:val="0"/>
        <w:spacing w:before="250" w:beforeLines="50"/>
        <w:jc w:val="right"/>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单位：mg/kg</w:t>
      </w:r>
    </w:p>
    <w:tbl>
      <w:tblPr>
        <w:tblStyle w:val="1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3"/>
        <w:gridCol w:w="3125"/>
        <w:gridCol w:w="1946"/>
        <w:gridCol w:w="2005"/>
      </w:tblGrid>
      <w:tr w14:paraId="5A9FF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847" w:type="pct"/>
            <w:vMerge w:val="restart"/>
            <w:vAlign w:val="center"/>
          </w:tcPr>
          <w:p w14:paraId="6573E5F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序号</w:t>
            </w:r>
          </w:p>
        </w:tc>
        <w:tc>
          <w:tcPr>
            <w:tcW w:w="1834" w:type="pct"/>
            <w:vMerge w:val="restart"/>
            <w:vAlign w:val="center"/>
          </w:tcPr>
          <w:p w14:paraId="0489F95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污染物项目</w:t>
            </w:r>
          </w:p>
        </w:tc>
        <w:tc>
          <w:tcPr>
            <w:tcW w:w="1142" w:type="pct"/>
            <w:vAlign w:val="center"/>
          </w:tcPr>
          <w:p w14:paraId="67FB67D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筛选值</w:t>
            </w:r>
          </w:p>
        </w:tc>
        <w:tc>
          <w:tcPr>
            <w:tcW w:w="1176" w:type="pct"/>
            <w:vAlign w:val="center"/>
          </w:tcPr>
          <w:p w14:paraId="40AB380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管制值</w:t>
            </w:r>
          </w:p>
        </w:tc>
      </w:tr>
      <w:tr w14:paraId="731B4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7" w:type="pct"/>
            <w:vMerge w:val="continue"/>
            <w:vAlign w:val="center"/>
          </w:tcPr>
          <w:p w14:paraId="0577D97C">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834" w:type="pct"/>
            <w:vMerge w:val="continue"/>
            <w:vAlign w:val="center"/>
          </w:tcPr>
          <w:p w14:paraId="478612A3">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42" w:type="pct"/>
            <w:vAlign w:val="center"/>
          </w:tcPr>
          <w:p w14:paraId="1003CA8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第二类用地</w:t>
            </w:r>
          </w:p>
        </w:tc>
        <w:tc>
          <w:tcPr>
            <w:tcW w:w="1176" w:type="pct"/>
            <w:vAlign w:val="center"/>
          </w:tcPr>
          <w:p w14:paraId="5322B46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第二类用地</w:t>
            </w:r>
          </w:p>
        </w:tc>
      </w:tr>
      <w:tr w14:paraId="6E390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vAlign w:val="center"/>
          </w:tcPr>
          <w:p w14:paraId="01DCAAA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重金属和无机物</w:t>
            </w:r>
          </w:p>
        </w:tc>
      </w:tr>
      <w:tr w14:paraId="55840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47ECE97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p>
        </w:tc>
        <w:tc>
          <w:tcPr>
            <w:tcW w:w="1834" w:type="pct"/>
            <w:vAlign w:val="center"/>
          </w:tcPr>
          <w:p w14:paraId="14545D3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砷</w:t>
            </w:r>
          </w:p>
        </w:tc>
        <w:tc>
          <w:tcPr>
            <w:tcW w:w="1142" w:type="pct"/>
            <w:vAlign w:val="center"/>
          </w:tcPr>
          <w:p w14:paraId="59CA610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60</w:t>
            </w:r>
          </w:p>
        </w:tc>
        <w:tc>
          <w:tcPr>
            <w:tcW w:w="1176" w:type="pct"/>
            <w:vAlign w:val="center"/>
          </w:tcPr>
          <w:p w14:paraId="230C043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140</w:t>
            </w:r>
          </w:p>
        </w:tc>
      </w:tr>
      <w:tr w14:paraId="1FD7A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6868435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w:t>
            </w:r>
          </w:p>
        </w:tc>
        <w:tc>
          <w:tcPr>
            <w:tcW w:w="1834" w:type="pct"/>
            <w:vAlign w:val="center"/>
          </w:tcPr>
          <w:p w14:paraId="4CB171A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镉</w:t>
            </w:r>
          </w:p>
        </w:tc>
        <w:tc>
          <w:tcPr>
            <w:tcW w:w="1142" w:type="pct"/>
            <w:vAlign w:val="center"/>
          </w:tcPr>
          <w:p w14:paraId="19B99FF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65</w:t>
            </w:r>
          </w:p>
        </w:tc>
        <w:tc>
          <w:tcPr>
            <w:tcW w:w="1176" w:type="pct"/>
            <w:vAlign w:val="center"/>
          </w:tcPr>
          <w:p w14:paraId="55C9348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172</w:t>
            </w:r>
          </w:p>
        </w:tc>
      </w:tr>
      <w:tr w14:paraId="5FC9C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7D5FE3C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w:t>
            </w:r>
          </w:p>
        </w:tc>
        <w:tc>
          <w:tcPr>
            <w:tcW w:w="1834" w:type="pct"/>
            <w:vAlign w:val="center"/>
          </w:tcPr>
          <w:p w14:paraId="5C7D151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铬（六价）</w:t>
            </w:r>
          </w:p>
        </w:tc>
        <w:tc>
          <w:tcPr>
            <w:tcW w:w="1142" w:type="pct"/>
            <w:vAlign w:val="center"/>
          </w:tcPr>
          <w:p w14:paraId="1A35FA0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5.7</w:t>
            </w:r>
          </w:p>
        </w:tc>
        <w:tc>
          <w:tcPr>
            <w:tcW w:w="1176" w:type="pct"/>
            <w:vAlign w:val="center"/>
          </w:tcPr>
          <w:p w14:paraId="5FB7F1B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78</w:t>
            </w:r>
          </w:p>
        </w:tc>
      </w:tr>
      <w:tr w14:paraId="47121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74A6095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w:t>
            </w:r>
          </w:p>
        </w:tc>
        <w:tc>
          <w:tcPr>
            <w:tcW w:w="1834" w:type="pct"/>
            <w:vAlign w:val="center"/>
          </w:tcPr>
          <w:p w14:paraId="3D5F63D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铜</w:t>
            </w:r>
          </w:p>
        </w:tc>
        <w:tc>
          <w:tcPr>
            <w:tcW w:w="1142" w:type="pct"/>
            <w:vAlign w:val="center"/>
          </w:tcPr>
          <w:p w14:paraId="3D7B6A4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18000</w:t>
            </w:r>
          </w:p>
        </w:tc>
        <w:tc>
          <w:tcPr>
            <w:tcW w:w="1176" w:type="pct"/>
            <w:vAlign w:val="center"/>
          </w:tcPr>
          <w:p w14:paraId="6CFEEAF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36000</w:t>
            </w:r>
          </w:p>
        </w:tc>
      </w:tr>
      <w:tr w14:paraId="762DD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0782628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w:t>
            </w:r>
          </w:p>
        </w:tc>
        <w:tc>
          <w:tcPr>
            <w:tcW w:w="1834" w:type="pct"/>
            <w:vAlign w:val="center"/>
          </w:tcPr>
          <w:p w14:paraId="66B8992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铅</w:t>
            </w:r>
          </w:p>
        </w:tc>
        <w:tc>
          <w:tcPr>
            <w:tcW w:w="1142" w:type="pct"/>
            <w:vAlign w:val="center"/>
          </w:tcPr>
          <w:p w14:paraId="2A83EA7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800</w:t>
            </w:r>
          </w:p>
        </w:tc>
        <w:tc>
          <w:tcPr>
            <w:tcW w:w="1176" w:type="pct"/>
            <w:vAlign w:val="center"/>
          </w:tcPr>
          <w:p w14:paraId="30D735C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2500</w:t>
            </w:r>
          </w:p>
        </w:tc>
      </w:tr>
      <w:tr w14:paraId="2EAA3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7F429E8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w:t>
            </w:r>
          </w:p>
        </w:tc>
        <w:tc>
          <w:tcPr>
            <w:tcW w:w="1834" w:type="pct"/>
            <w:vAlign w:val="center"/>
          </w:tcPr>
          <w:p w14:paraId="1BF408F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汞</w:t>
            </w:r>
          </w:p>
        </w:tc>
        <w:tc>
          <w:tcPr>
            <w:tcW w:w="1142" w:type="pct"/>
            <w:vAlign w:val="center"/>
          </w:tcPr>
          <w:p w14:paraId="02536B0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38</w:t>
            </w:r>
          </w:p>
        </w:tc>
        <w:tc>
          <w:tcPr>
            <w:tcW w:w="1176" w:type="pct"/>
            <w:vAlign w:val="center"/>
          </w:tcPr>
          <w:p w14:paraId="7E56370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82</w:t>
            </w:r>
          </w:p>
        </w:tc>
      </w:tr>
      <w:tr w14:paraId="6D43B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397660F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7</w:t>
            </w:r>
          </w:p>
        </w:tc>
        <w:tc>
          <w:tcPr>
            <w:tcW w:w="1834" w:type="pct"/>
            <w:vAlign w:val="center"/>
          </w:tcPr>
          <w:p w14:paraId="112ED24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镍</w:t>
            </w:r>
          </w:p>
        </w:tc>
        <w:tc>
          <w:tcPr>
            <w:tcW w:w="1142" w:type="pct"/>
            <w:vAlign w:val="center"/>
          </w:tcPr>
          <w:p w14:paraId="795767D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900</w:t>
            </w:r>
          </w:p>
        </w:tc>
        <w:tc>
          <w:tcPr>
            <w:tcW w:w="1176" w:type="pct"/>
            <w:vAlign w:val="center"/>
          </w:tcPr>
          <w:p w14:paraId="4366F7E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2000</w:t>
            </w:r>
          </w:p>
        </w:tc>
      </w:tr>
      <w:tr w14:paraId="4C8B3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vAlign w:val="center"/>
          </w:tcPr>
          <w:p w14:paraId="1BF95F0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挥发性有机物</w:t>
            </w:r>
          </w:p>
        </w:tc>
      </w:tr>
      <w:tr w14:paraId="6B750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4854FC2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8</w:t>
            </w:r>
          </w:p>
        </w:tc>
        <w:tc>
          <w:tcPr>
            <w:tcW w:w="1834" w:type="pct"/>
            <w:vAlign w:val="center"/>
          </w:tcPr>
          <w:p w14:paraId="6E144B0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四氯化碳</w:t>
            </w:r>
          </w:p>
        </w:tc>
        <w:tc>
          <w:tcPr>
            <w:tcW w:w="1142" w:type="pct"/>
            <w:vAlign w:val="center"/>
          </w:tcPr>
          <w:p w14:paraId="7E64B83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2.8</w:t>
            </w:r>
          </w:p>
        </w:tc>
        <w:tc>
          <w:tcPr>
            <w:tcW w:w="1176" w:type="pct"/>
            <w:vAlign w:val="center"/>
          </w:tcPr>
          <w:p w14:paraId="2975C1E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36</w:t>
            </w:r>
          </w:p>
        </w:tc>
      </w:tr>
      <w:tr w14:paraId="18A37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75DFEF3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9</w:t>
            </w:r>
          </w:p>
        </w:tc>
        <w:tc>
          <w:tcPr>
            <w:tcW w:w="1834" w:type="pct"/>
            <w:vAlign w:val="center"/>
          </w:tcPr>
          <w:p w14:paraId="729C569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氯仿</w:t>
            </w:r>
          </w:p>
        </w:tc>
        <w:tc>
          <w:tcPr>
            <w:tcW w:w="1142" w:type="pct"/>
            <w:vAlign w:val="center"/>
          </w:tcPr>
          <w:p w14:paraId="3BB7D94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0.9</w:t>
            </w:r>
          </w:p>
        </w:tc>
        <w:tc>
          <w:tcPr>
            <w:tcW w:w="1176" w:type="pct"/>
            <w:vAlign w:val="center"/>
          </w:tcPr>
          <w:p w14:paraId="0A66AC4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10</w:t>
            </w:r>
          </w:p>
        </w:tc>
      </w:tr>
      <w:tr w14:paraId="56EBB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4B33D6C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10</w:t>
            </w:r>
          </w:p>
        </w:tc>
        <w:tc>
          <w:tcPr>
            <w:tcW w:w="1834" w:type="pct"/>
            <w:vAlign w:val="center"/>
          </w:tcPr>
          <w:p w14:paraId="04C8968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氯甲烷</w:t>
            </w:r>
          </w:p>
        </w:tc>
        <w:tc>
          <w:tcPr>
            <w:tcW w:w="1142" w:type="pct"/>
            <w:vAlign w:val="center"/>
          </w:tcPr>
          <w:p w14:paraId="31082B5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37</w:t>
            </w:r>
          </w:p>
        </w:tc>
        <w:tc>
          <w:tcPr>
            <w:tcW w:w="1176" w:type="pct"/>
            <w:vAlign w:val="center"/>
          </w:tcPr>
          <w:p w14:paraId="6515B6D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120</w:t>
            </w:r>
          </w:p>
        </w:tc>
      </w:tr>
      <w:tr w14:paraId="02815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7B0C236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11</w:t>
            </w:r>
          </w:p>
        </w:tc>
        <w:tc>
          <w:tcPr>
            <w:tcW w:w="1834" w:type="pct"/>
            <w:vAlign w:val="center"/>
          </w:tcPr>
          <w:p w14:paraId="4BFC57A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1,1-二氯乙烷</w:t>
            </w:r>
          </w:p>
        </w:tc>
        <w:tc>
          <w:tcPr>
            <w:tcW w:w="1142" w:type="pct"/>
            <w:vAlign w:val="center"/>
          </w:tcPr>
          <w:p w14:paraId="6FAB045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9</w:t>
            </w:r>
          </w:p>
        </w:tc>
        <w:tc>
          <w:tcPr>
            <w:tcW w:w="1176" w:type="pct"/>
            <w:vAlign w:val="center"/>
          </w:tcPr>
          <w:p w14:paraId="05E08A2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100</w:t>
            </w:r>
          </w:p>
        </w:tc>
      </w:tr>
      <w:tr w14:paraId="7FB13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03DDDF2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12</w:t>
            </w:r>
          </w:p>
        </w:tc>
        <w:tc>
          <w:tcPr>
            <w:tcW w:w="1834" w:type="pct"/>
            <w:vAlign w:val="center"/>
          </w:tcPr>
          <w:p w14:paraId="4B4A2CF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1,2-二氯乙烷</w:t>
            </w:r>
          </w:p>
        </w:tc>
        <w:tc>
          <w:tcPr>
            <w:tcW w:w="1142" w:type="pct"/>
            <w:vAlign w:val="center"/>
          </w:tcPr>
          <w:p w14:paraId="00A21FA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w:t>
            </w:r>
          </w:p>
        </w:tc>
        <w:tc>
          <w:tcPr>
            <w:tcW w:w="1176" w:type="pct"/>
            <w:vAlign w:val="center"/>
          </w:tcPr>
          <w:p w14:paraId="5A05062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21</w:t>
            </w:r>
          </w:p>
        </w:tc>
      </w:tr>
      <w:tr w14:paraId="44401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242818A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13</w:t>
            </w:r>
          </w:p>
        </w:tc>
        <w:tc>
          <w:tcPr>
            <w:tcW w:w="1834" w:type="pct"/>
            <w:vAlign w:val="center"/>
          </w:tcPr>
          <w:p w14:paraId="02A6299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1,1</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二氯乙烯</w:t>
            </w:r>
          </w:p>
        </w:tc>
        <w:tc>
          <w:tcPr>
            <w:tcW w:w="1142" w:type="pct"/>
            <w:vAlign w:val="center"/>
          </w:tcPr>
          <w:p w14:paraId="674B4D7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66</w:t>
            </w:r>
          </w:p>
        </w:tc>
        <w:tc>
          <w:tcPr>
            <w:tcW w:w="1176" w:type="pct"/>
            <w:vAlign w:val="center"/>
          </w:tcPr>
          <w:p w14:paraId="47371C8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200</w:t>
            </w:r>
          </w:p>
        </w:tc>
      </w:tr>
      <w:tr w14:paraId="7A18E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278C862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14</w:t>
            </w:r>
          </w:p>
        </w:tc>
        <w:tc>
          <w:tcPr>
            <w:tcW w:w="1834" w:type="pct"/>
            <w:vAlign w:val="center"/>
          </w:tcPr>
          <w:p w14:paraId="37F2AAE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顺-1,2-二氯乙烯</w:t>
            </w:r>
          </w:p>
        </w:tc>
        <w:tc>
          <w:tcPr>
            <w:tcW w:w="1142" w:type="pct"/>
            <w:vAlign w:val="center"/>
          </w:tcPr>
          <w:p w14:paraId="4A6A1AD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596</w:t>
            </w:r>
          </w:p>
        </w:tc>
        <w:tc>
          <w:tcPr>
            <w:tcW w:w="1176" w:type="pct"/>
            <w:vAlign w:val="center"/>
          </w:tcPr>
          <w:p w14:paraId="5D40F38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2000</w:t>
            </w:r>
          </w:p>
        </w:tc>
      </w:tr>
      <w:tr w14:paraId="65E5A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7CC4074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15</w:t>
            </w:r>
          </w:p>
        </w:tc>
        <w:tc>
          <w:tcPr>
            <w:tcW w:w="1834" w:type="pct"/>
            <w:vAlign w:val="center"/>
          </w:tcPr>
          <w:p w14:paraId="7A410CE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反-1,2-二氯乙烯</w:t>
            </w:r>
          </w:p>
        </w:tc>
        <w:tc>
          <w:tcPr>
            <w:tcW w:w="1142" w:type="pct"/>
            <w:vAlign w:val="center"/>
          </w:tcPr>
          <w:p w14:paraId="2269751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54</w:t>
            </w:r>
          </w:p>
        </w:tc>
        <w:tc>
          <w:tcPr>
            <w:tcW w:w="1176" w:type="pct"/>
            <w:vAlign w:val="center"/>
          </w:tcPr>
          <w:p w14:paraId="198233A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163</w:t>
            </w:r>
          </w:p>
        </w:tc>
      </w:tr>
      <w:tr w14:paraId="40929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7" w:type="pct"/>
            <w:vAlign w:val="center"/>
          </w:tcPr>
          <w:p w14:paraId="6196450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16</w:t>
            </w:r>
          </w:p>
        </w:tc>
        <w:tc>
          <w:tcPr>
            <w:tcW w:w="1834" w:type="pct"/>
            <w:vAlign w:val="center"/>
          </w:tcPr>
          <w:p w14:paraId="7F64D3D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二氯甲烷</w:t>
            </w:r>
          </w:p>
        </w:tc>
        <w:tc>
          <w:tcPr>
            <w:tcW w:w="1142" w:type="pct"/>
            <w:vAlign w:val="center"/>
          </w:tcPr>
          <w:p w14:paraId="7095E24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616</w:t>
            </w:r>
          </w:p>
        </w:tc>
        <w:tc>
          <w:tcPr>
            <w:tcW w:w="1176" w:type="pct"/>
            <w:vAlign w:val="center"/>
          </w:tcPr>
          <w:p w14:paraId="76E9EF7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2000</w:t>
            </w:r>
          </w:p>
        </w:tc>
      </w:tr>
      <w:tr w14:paraId="00060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077AAB6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17</w:t>
            </w:r>
          </w:p>
        </w:tc>
        <w:tc>
          <w:tcPr>
            <w:tcW w:w="1834" w:type="pct"/>
            <w:vAlign w:val="center"/>
          </w:tcPr>
          <w:p w14:paraId="63E02C3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1,2-二氯丙烷</w:t>
            </w:r>
          </w:p>
        </w:tc>
        <w:tc>
          <w:tcPr>
            <w:tcW w:w="1142" w:type="pct"/>
            <w:vAlign w:val="center"/>
          </w:tcPr>
          <w:p w14:paraId="6126D86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w:t>
            </w:r>
          </w:p>
        </w:tc>
        <w:tc>
          <w:tcPr>
            <w:tcW w:w="1176" w:type="pct"/>
            <w:vAlign w:val="center"/>
          </w:tcPr>
          <w:p w14:paraId="38E85F1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47</w:t>
            </w:r>
          </w:p>
        </w:tc>
      </w:tr>
      <w:tr w14:paraId="112D6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2202EBD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18</w:t>
            </w:r>
          </w:p>
        </w:tc>
        <w:tc>
          <w:tcPr>
            <w:tcW w:w="1834" w:type="pct"/>
            <w:vAlign w:val="center"/>
          </w:tcPr>
          <w:p w14:paraId="3A1F35F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1,1,1,2-四氯乙烷</w:t>
            </w:r>
          </w:p>
        </w:tc>
        <w:tc>
          <w:tcPr>
            <w:tcW w:w="1142" w:type="pct"/>
            <w:vAlign w:val="center"/>
          </w:tcPr>
          <w:p w14:paraId="1EDE804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10</w:t>
            </w:r>
          </w:p>
        </w:tc>
        <w:tc>
          <w:tcPr>
            <w:tcW w:w="1176" w:type="pct"/>
            <w:vAlign w:val="center"/>
          </w:tcPr>
          <w:p w14:paraId="6687EC6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100</w:t>
            </w:r>
          </w:p>
        </w:tc>
      </w:tr>
      <w:tr w14:paraId="0D7E3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1048EBA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19</w:t>
            </w:r>
          </w:p>
        </w:tc>
        <w:tc>
          <w:tcPr>
            <w:tcW w:w="1834" w:type="pct"/>
            <w:vAlign w:val="center"/>
          </w:tcPr>
          <w:p w14:paraId="1012A41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1,1,2,2-四氯乙烷</w:t>
            </w:r>
          </w:p>
        </w:tc>
        <w:tc>
          <w:tcPr>
            <w:tcW w:w="1142" w:type="pct"/>
            <w:vAlign w:val="center"/>
          </w:tcPr>
          <w:p w14:paraId="0C9042F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6.8</w:t>
            </w:r>
          </w:p>
        </w:tc>
        <w:tc>
          <w:tcPr>
            <w:tcW w:w="1176" w:type="pct"/>
            <w:vAlign w:val="center"/>
          </w:tcPr>
          <w:p w14:paraId="4785AEE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50</w:t>
            </w:r>
          </w:p>
        </w:tc>
      </w:tr>
      <w:tr w14:paraId="5CC38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4AF0823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w:t>
            </w:r>
          </w:p>
        </w:tc>
        <w:tc>
          <w:tcPr>
            <w:tcW w:w="1834" w:type="pct"/>
            <w:vAlign w:val="center"/>
          </w:tcPr>
          <w:p w14:paraId="3761F82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四氯乙烯</w:t>
            </w:r>
          </w:p>
        </w:tc>
        <w:tc>
          <w:tcPr>
            <w:tcW w:w="1142" w:type="pct"/>
            <w:vAlign w:val="center"/>
          </w:tcPr>
          <w:p w14:paraId="5DF8435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53</w:t>
            </w:r>
          </w:p>
        </w:tc>
        <w:tc>
          <w:tcPr>
            <w:tcW w:w="1176" w:type="pct"/>
            <w:vAlign w:val="center"/>
          </w:tcPr>
          <w:p w14:paraId="25E802E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183</w:t>
            </w:r>
          </w:p>
        </w:tc>
      </w:tr>
      <w:tr w14:paraId="4C993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452757E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21</w:t>
            </w:r>
          </w:p>
        </w:tc>
        <w:tc>
          <w:tcPr>
            <w:tcW w:w="1834" w:type="pct"/>
            <w:vAlign w:val="center"/>
          </w:tcPr>
          <w:p w14:paraId="3787CAB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1,1,1-三氯乙烷</w:t>
            </w:r>
          </w:p>
        </w:tc>
        <w:tc>
          <w:tcPr>
            <w:tcW w:w="1142" w:type="pct"/>
            <w:vAlign w:val="center"/>
          </w:tcPr>
          <w:p w14:paraId="2B85888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840</w:t>
            </w:r>
          </w:p>
        </w:tc>
        <w:tc>
          <w:tcPr>
            <w:tcW w:w="1176" w:type="pct"/>
            <w:vAlign w:val="center"/>
          </w:tcPr>
          <w:p w14:paraId="048C6E8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840</w:t>
            </w:r>
          </w:p>
        </w:tc>
      </w:tr>
      <w:tr w14:paraId="4DD42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24CECE2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22</w:t>
            </w:r>
          </w:p>
        </w:tc>
        <w:tc>
          <w:tcPr>
            <w:tcW w:w="1834" w:type="pct"/>
            <w:vAlign w:val="center"/>
          </w:tcPr>
          <w:p w14:paraId="36CC9F9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1.1,2-三氯乙烷</w:t>
            </w:r>
          </w:p>
        </w:tc>
        <w:tc>
          <w:tcPr>
            <w:tcW w:w="1142" w:type="pct"/>
            <w:vAlign w:val="center"/>
          </w:tcPr>
          <w:p w14:paraId="420BEBE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2.8</w:t>
            </w:r>
          </w:p>
        </w:tc>
        <w:tc>
          <w:tcPr>
            <w:tcW w:w="1176" w:type="pct"/>
            <w:vAlign w:val="center"/>
          </w:tcPr>
          <w:p w14:paraId="6D15A2E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15</w:t>
            </w:r>
          </w:p>
        </w:tc>
      </w:tr>
      <w:tr w14:paraId="524D3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04DFC1B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23</w:t>
            </w:r>
          </w:p>
        </w:tc>
        <w:tc>
          <w:tcPr>
            <w:tcW w:w="1834" w:type="pct"/>
            <w:vAlign w:val="center"/>
          </w:tcPr>
          <w:p w14:paraId="38CEEAE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三氯乙烯</w:t>
            </w:r>
          </w:p>
        </w:tc>
        <w:tc>
          <w:tcPr>
            <w:tcW w:w="1142" w:type="pct"/>
            <w:vAlign w:val="center"/>
          </w:tcPr>
          <w:p w14:paraId="36ACBCB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2.8</w:t>
            </w:r>
          </w:p>
        </w:tc>
        <w:tc>
          <w:tcPr>
            <w:tcW w:w="1176" w:type="pct"/>
            <w:vAlign w:val="center"/>
          </w:tcPr>
          <w:p w14:paraId="6E07C87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w:t>
            </w:r>
          </w:p>
        </w:tc>
      </w:tr>
      <w:tr w14:paraId="7DB1F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38D58A3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24</w:t>
            </w:r>
          </w:p>
        </w:tc>
        <w:tc>
          <w:tcPr>
            <w:tcW w:w="1834" w:type="pct"/>
            <w:vAlign w:val="center"/>
          </w:tcPr>
          <w:p w14:paraId="5EED610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1,2,3-三氯丙烷</w:t>
            </w:r>
          </w:p>
        </w:tc>
        <w:tc>
          <w:tcPr>
            <w:tcW w:w="1142" w:type="pct"/>
            <w:vAlign w:val="center"/>
          </w:tcPr>
          <w:p w14:paraId="399838E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0.5</w:t>
            </w:r>
          </w:p>
        </w:tc>
        <w:tc>
          <w:tcPr>
            <w:tcW w:w="1176" w:type="pct"/>
            <w:vAlign w:val="center"/>
          </w:tcPr>
          <w:p w14:paraId="6A35A36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w:t>
            </w:r>
          </w:p>
        </w:tc>
      </w:tr>
      <w:tr w14:paraId="77919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44F4956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25</w:t>
            </w:r>
          </w:p>
        </w:tc>
        <w:tc>
          <w:tcPr>
            <w:tcW w:w="1834" w:type="pct"/>
            <w:vAlign w:val="center"/>
          </w:tcPr>
          <w:p w14:paraId="294F326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氯乙烯</w:t>
            </w:r>
          </w:p>
        </w:tc>
        <w:tc>
          <w:tcPr>
            <w:tcW w:w="1142" w:type="pct"/>
            <w:vAlign w:val="center"/>
          </w:tcPr>
          <w:p w14:paraId="229BBF9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0.43</w:t>
            </w:r>
          </w:p>
        </w:tc>
        <w:tc>
          <w:tcPr>
            <w:tcW w:w="1176" w:type="pct"/>
            <w:vAlign w:val="center"/>
          </w:tcPr>
          <w:p w14:paraId="3EAC683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4.3</w:t>
            </w:r>
          </w:p>
        </w:tc>
      </w:tr>
      <w:tr w14:paraId="63998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0820267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26</w:t>
            </w:r>
          </w:p>
        </w:tc>
        <w:tc>
          <w:tcPr>
            <w:tcW w:w="1834" w:type="pct"/>
            <w:vAlign w:val="center"/>
          </w:tcPr>
          <w:p w14:paraId="7F9F156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苯</w:t>
            </w:r>
          </w:p>
        </w:tc>
        <w:tc>
          <w:tcPr>
            <w:tcW w:w="1142" w:type="pct"/>
            <w:vAlign w:val="center"/>
          </w:tcPr>
          <w:p w14:paraId="786FB63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w:t>
            </w:r>
          </w:p>
        </w:tc>
        <w:tc>
          <w:tcPr>
            <w:tcW w:w="1176" w:type="pct"/>
            <w:vAlign w:val="center"/>
          </w:tcPr>
          <w:p w14:paraId="6812D64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40</w:t>
            </w:r>
          </w:p>
        </w:tc>
      </w:tr>
      <w:tr w14:paraId="0F01B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38E839D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27</w:t>
            </w:r>
          </w:p>
        </w:tc>
        <w:tc>
          <w:tcPr>
            <w:tcW w:w="1834" w:type="pct"/>
            <w:vAlign w:val="center"/>
          </w:tcPr>
          <w:p w14:paraId="503F861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氯苯</w:t>
            </w:r>
          </w:p>
        </w:tc>
        <w:tc>
          <w:tcPr>
            <w:tcW w:w="1142" w:type="pct"/>
            <w:vAlign w:val="center"/>
          </w:tcPr>
          <w:p w14:paraId="3BEA312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270</w:t>
            </w:r>
          </w:p>
        </w:tc>
        <w:tc>
          <w:tcPr>
            <w:tcW w:w="1176" w:type="pct"/>
            <w:vAlign w:val="center"/>
          </w:tcPr>
          <w:p w14:paraId="7452614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1000</w:t>
            </w:r>
          </w:p>
        </w:tc>
      </w:tr>
      <w:tr w14:paraId="5FAD2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297A626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28</w:t>
            </w:r>
          </w:p>
        </w:tc>
        <w:tc>
          <w:tcPr>
            <w:tcW w:w="1834" w:type="pct"/>
            <w:vAlign w:val="center"/>
          </w:tcPr>
          <w:p w14:paraId="720F456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1,2-二氯苯</w:t>
            </w:r>
          </w:p>
        </w:tc>
        <w:tc>
          <w:tcPr>
            <w:tcW w:w="1142" w:type="pct"/>
            <w:vAlign w:val="center"/>
          </w:tcPr>
          <w:p w14:paraId="59AC14C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560</w:t>
            </w:r>
          </w:p>
        </w:tc>
        <w:tc>
          <w:tcPr>
            <w:tcW w:w="1176" w:type="pct"/>
            <w:vAlign w:val="center"/>
          </w:tcPr>
          <w:p w14:paraId="0A2C9AA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560</w:t>
            </w:r>
          </w:p>
        </w:tc>
      </w:tr>
      <w:tr w14:paraId="7527A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5B0CD90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29</w:t>
            </w:r>
          </w:p>
        </w:tc>
        <w:tc>
          <w:tcPr>
            <w:tcW w:w="1834" w:type="pct"/>
            <w:vAlign w:val="center"/>
          </w:tcPr>
          <w:p w14:paraId="598AC55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1,4-二氯苯</w:t>
            </w:r>
          </w:p>
        </w:tc>
        <w:tc>
          <w:tcPr>
            <w:tcW w:w="1142" w:type="pct"/>
            <w:vAlign w:val="center"/>
          </w:tcPr>
          <w:p w14:paraId="56676F3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w:t>
            </w:r>
          </w:p>
        </w:tc>
        <w:tc>
          <w:tcPr>
            <w:tcW w:w="1176" w:type="pct"/>
            <w:vAlign w:val="center"/>
          </w:tcPr>
          <w:p w14:paraId="31ED662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200</w:t>
            </w:r>
          </w:p>
        </w:tc>
      </w:tr>
      <w:tr w14:paraId="014F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7893A98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30</w:t>
            </w:r>
          </w:p>
        </w:tc>
        <w:tc>
          <w:tcPr>
            <w:tcW w:w="1834" w:type="pct"/>
            <w:vAlign w:val="center"/>
          </w:tcPr>
          <w:p w14:paraId="4598017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乙苯</w:t>
            </w:r>
          </w:p>
        </w:tc>
        <w:tc>
          <w:tcPr>
            <w:tcW w:w="1142" w:type="pct"/>
            <w:vAlign w:val="center"/>
          </w:tcPr>
          <w:p w14:paraId="0761C74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28</w:t>
            </w:r>
          </w:p>
        </w:tc>
        <w:tc>
          <w:tcPr>
            <w:tcW w:w="1176" w:type="pct"/>
            <w:vAlign w:val="center"/>
          </w:tcPr>
          <w:p w14:paraId="567255A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280</w:t>
            </w:r>
          </w:p>
        </w:tc>
      </w:tr>
      <w:tr w14:paraId="01616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13225A8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31</w:t>
            </w:r>
          </w:p>
        </w:tc>
        <w:tc>
          <w:tcPr>
            <w:tcW w:w="1834" w:type="pct"/>
            <w:vAlign w:val="center"/>
          </w:tcPr>
          <w:p w14:paraId="135A6FF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苯乙烯</w:t>
            </w:r>
          </w:p>
        </w:tc>
        <w:tc>
          <w:tcPr>
            <w:tcW w:w="1142" w:type="pct"/>
            <w:vAlign w:val="center"/>
          </w:tcPr>
          <w:p w14:paraId="27F41E8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1290</w:t>
            </w:r>
          </w:p>
        </w:tc>
        <w:tc>
          <w:tcPr>
            <w:tcW w:w="1176" w:type="pct"/>
            <w:vAlign w:val="center"/>
          </w:tcPr>
          <w:p w14:paraId="4E49470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1290</w:t>
            </w:r>
          </w:p>
        </w:tc>
      </w:tr>
      <w:tr w14:paraId="1DC5E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0516004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32</w:t>
            </w:r>
          </w:p>
        </w:tc>
        <w:tc>
          <w:tcPr>
            <w:tcW w:w="1834" w:type="pct"/>
            <w:vAlign w:val="center"/>
          </w:tcPr>
          <w:p w14:paraId="6662DBF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甲苯</w:t>
            </w:r>
          </w:p>
        </w:tc>
        <w:tc>
          <w:tcPr>
            <w:tcW w:w="1142" w:type="pct"/>
            <w:vAlign w:val="center"/>
          </w:tcPr>
          <w:p w14:paraId="75E44EA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1200</w:t>
            </w:r>
          </w:p>
        </w:tc>
        <w:tc>
          <w:tcPr>
            <w:tcW w:w="1176" w:type="pct"/>
            <w:vAlign w:val="center"/>
          </w:tcPr>
          <w:p w14:paraId="18A08EC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1200</w:t>
            </w:r>
          </w:p>
        </w:tc>
      </w:tr>
      <w:tr w14:paraId="1B9AF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1236B0E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33</w:t>
            </w:r>
          </w:p>
        </w:tc>
        <w:tc>
          <w:tcPr>
            <w:tcW w:w="1834" w:type="pct"/>
            <w:vAlign w:val="center"/>
          </w:tcPr>
          <w:p w14:paraId="59C757D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间二甲苯+对二甲苯</w:t>
            </w:r>
          </w:p>
        </w:tc>
        <w:tc>
          <w:tcPr>
            <w:tcW w:w="1142" w:type="pct"/>
            <w:vAlign w:val="center"/>
          </w:tcPr>
          <w:p w14:paraId="13B79AB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570</w:t>
            </w:r>
          </w:p>
        </w:tc>
        <w:tc>
          <w:tcPr>
            <w:tcW w:w="1176" w:type="pct"/>
            <w:vAlign w:val="center"/>
          </w:tcPr>
          <w:p w14:paraId="3D2419D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570</w:t>
            </w:r>
          </w:p>
        </w:tc>
      </w:tr>
      <w:tr w14:paraId="61F83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7384EBB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34</w:t>
            </w:r>
          </w:p>
        </w:tc>
        <w:tc>
          <w:tcPr>
            <w:tcW w:w="1834" w:type="pct"/>
            <w:vAlign w:val="center"/>
          </w:tcPr>
          <w:p w14:paraId="6A77342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邻二甲苯</w:t>
            </w:r>
          </w:p>
        </w:tc>
        <w:tc>
          <w:tcPr>
            <w:tcW w:w="1142" w:type="pct"/>
            <w:vAlign w:val="center"/>
          </w:tcPr>
          <w:p w14:paraId="3091188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640</w:t>
            </w:r>
          </w:p>
        </w:tc>
        <w:tc>
          <w:tcPr>
            <w:tcW w:w="1176" w:type="pct"/>
            <w:vAlign w:val="center"/>
          </w:tcPr>
          <w:p w14:paraId="6C84646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640</w:t>
            </w:r>
          </w:p>
        </w:tc>
      </w:tr>
      <w:tr w14:paraId="03682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vAlign w:val="center"/>
          </w:tcPr>
          <w:p w14:paraId="654B7D2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半挥发性有机物</w:t>
            </w:r>
          </w:p>
        </w:tc>
      </w:tr>
      <w:tr w14:paraId="582FB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437C8F9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35</w:t>
            </w:r>
          </w:p>
        </w:tc>
        <w:tc>
          <w:tcPr>
            <w:tcW w:w="1834" w:type="pct"/>
            <w:vAlign w:val="center"/>
          </w:tcPr>
          <w:p w14:paraId="22ED152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硝基苯</w:t>
            </w:r>
          </w:p>
        </w:tc>
        <w:tc>
          <w:tcPr>
            <w:tcW w:w="1142" w:type="pct"/>
            <w:vAlign w:val="center"/>
          </w:tcPr>
          <w:p w14:paraId="17FAAA1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76</w:t>
            </w:r>
          </w:p>
        </w:tc>
        <w:tc>
          <w:tcPr>
            <w:tcW w:w="1176" w:type="pct"/>
            <w:vAlign w:val="center"/>
          </w:tcPr>
          <w:p w14:paraId="14A5634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760</w:t>
            </w:r>
          </w:p>
        </w:tc>
      </w:tr>
      <w:tr w14:paraId="524CD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6F66226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36</w:t>
            </w:r>
          </w:p>
        </w:tc>
        <w:tc>
          <w:tcPr>
            <w:tcW w:w="1834" w:type="pct"/>
            <w:vAlign w:val="center"/>
          </w:tcPr>
          <w:p w14:paraId="331DC36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苯胺</w:t>
            </w:r>
          </w:p>
        </w:tc>
        <w:tc>
          <w:tcPr>
            <w:tcW w:w="1142" w:type="pct"/>
            <w:vAlign w:val="center"/>
          </w:tcPr>
          <w:p w14:paraId="068A56B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260</w:t>
            </w:r>
          </w:p>
        </w:tc>
        <w:tc>
          <w:tcPr>
            <w:tcW w:w="1176" w:type="pct"/>
            <w:vAlign w:val="center"/>
          </w:tcPr>
          <w:p w14:paraId="68120ED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663</w:t>
            </w:r>
          </w:p>
        </w:tc>
      </w:tr>
      <w:tr w14:paraId="7A261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pct"/>
            <w:vAlign w:val="center"/>
          </w:tcPr>
          <w:p w14:paraId="545A03E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37</w:t>
            </w:r>
          </w:p>
        </w:tc>
        <w:tc>
          <w:tcPr>
            <w:tcW w:w="1834" w:type="pct"/>
            <w:vAlign w:val="center"/>
          </w:tcPr>
          <w:p w14:paraId="6A740E4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2-氯酚</w:t>
            </w:r>
          </w:p>
        </w:tc>
        <w:tc>
          <w:tcPr>
            <w:tcW w:w="1142" w:type="pct"/>
            <w:vAlign w:val="center"/>
          </w:tcPr>
          <w:p w14:paraId="6145401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2256</w:t>
            </w:r>
          </w:p>
        </w:tc>
        <w:tc>
          <w:tcPr>
            <w:tcW w:w="1176" w:type="pct"/>
            <w:vAlign w:val="center"/>
          </w:tcPr>
          <w:p w14:paraId="5FBFBB5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4500</w:t>
            </w:r>
          </w:p>
        </w:tc>
      </w:tr>
      <w:tr w14:paraId="07712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47" w:type="pct"/>
            <w:vAlign w:val="center"/>
          </w:tcPr>
          <w:p w14:paraId="2DEAFB7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38</w:t>
            </w:r>
          </w:p>
        </w:tc>
        <w:tc>
          <w:tcPr>
            <w:tcW w:w="1834" w:type="pct"/>
            <w:vAlign w:val="center"/>
          </w:tcPr>
          <w:p w14:paraId="14352D1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苯并[a]蒽</w:t>
            </w:r>
          </w:p>
        </w:tc>
        <w:tc>
          <w:tcPr>
            <w:tcW w:w="1142" w:type="pct"/>
            <w:vAlign w:val="center"/>
          </w:tcPr>
          <w:p w14:paraId="63D97E7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15</w:t>
            </w:r>
          </w:p>
        </w:tc>
        <w:tc>
          <w:tcPr>
            <w:tcW w:w="1176" w:type="pct"/>
            <w:vAlign w:val="center"/>
          </w:tcPr>
          <w:p w14:paraId="7EB7AE4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151</w:t>
            </w:r>
          </w:p>
        </w:tc>
      </w:tr>
      <w:tr w14:paraId="74EDB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47" w:type="pct"/>
            <w:vAlign w:val="center"/>
          </w:tcPr>
          <w:p w14:paraId="5FE3CEE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39</w:t>
            </w:r>
          </w:p>
        </w:tc>
        <w:tc>
          <w:tcPr>
            <w:tcW w:w="1834" w:type="pct"/>
            <w:vAlign w:val="center"/>
          </w:tcPr>
          <w:p w14:paraId="5AF2E67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苯并[a]芘</w:t>
            </w:r>
          </w:p>
        </w:tc>
        <w:tc>
          <w:tcPr>
            <w:tcW w:w="1142" w:type="pct"/>
            <w:vAlign w:val="center"/>
          </w:tcPr>
          <w:p w14:paraId="3D1C97E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1.5</w:t>
            </w:r>
          </w:p>
        </w:tc>
        <w:tc>
          <w:tcPr>
            <w:tcW w:w="1176" w:type="pct"/>
            <w:vAlign w:val="center"/>
          </w:tcPr>
          <w:p w14:paraId="41C8AB6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15</w:t>
            </w:r>
          </w:p>
        </w:tc>
      </w:tr>
      <w:tr w14:paraId="12DD1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47" w:type="pct"/>
            <w:vAlign w:val="center"/>
          </w:tcPr>
          <w:p w14:paraId="1AEF0F4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40</w:t>
            </w:r>
          </w:p>
        </w:tc>
        <w:tc>
          <w:tcPr>
            <w:tcW w:w="1834" w:type="pct"/>
            <w:vAlign w:val="center"/>
          </w:tcPr>
          <w:p w14:paraId="60F25D3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苯并[b]荧蒽</w:t>
            </w:r>
          </w:p>
        </w:tc>
        <w:tc>
          <w:tcPr>
            <w:tcW w:w="1142" w:type="pct"/>
            <w:vAlign w:val="center"/>
          </w:tcPr>
          <w:p w14:paraId="7BBC7CC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15</w:t>
            </w:r>
          </w:p>
        </w:tc>
        <w:tc>
          <w:tcPr>
            <w:tcW w:w="1176" w:type="pct"/>
            <w:vAlign w:val="center"/>
          </w:tcPr>
          <w:p w14:paraId="59A86CA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151</w:t>
            </w:r>
          </w:p>
        </w:tc>
      </w:tr>
      <w:tr w14:paraId="743D0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47" w:type="pct"/>
            <w:vAlign w:val="center"/>
          </w:tcPr>
          <w:p w14:paraId="4C75D5A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41</w:t>
            </w:r>
          </w:p>
        </w:tc>
        <w:tc>
          <w:tcPr>
            <w:tcW w:w="1834" w:type="pct"/>
            <w:vAlign w:val="center"/>
          </w:tcPr>
          <w:p w14:paraId="6B463CD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苯并[k]荧蒽</w:t>
            </w:r>
          </w:p>
        </w:tc>
        <w:tc>
          <w:tcPr>
            <w:tcW w:w="1142" w:type="pct"/>
            <w:vAlign w:val="center"/>
          </w:tcPr>
          <w:p w14:paraId="3B5B404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151</w:t>
            </w:r>
          </w:p>
        </w:tc>
        <w:tc>
          <w:tcPr>
            <w:tcW w:w="1176" w:type="pct"/>
            <w:vAlign w:val="center"/>
          </w:tcPr>
          <w:p w14:paraId="270B6F8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1500</w:t>
            </w:r>
          </w:p>
        </w:tc>
      </w:tr>
      <w:tr w14:paraId="42374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47" w:type="pct"/>
            <w:vAlign w:val="center"/>
          </w:tcPr>
          <w:p w14:paraId="194B49F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42</w:t>
            </w:r>
          </w:p>
        </w:tc>
        <w:tc>
          <w:tcPr>
            <w:tcW w:w="1834" w:type="pct"/>
            <w:vAlign w:val="center"/>
          </w:tcPr>
          <w:p w14:paraId="03BEA13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䓛</w:t>
            </w:r>
          </w:p>
        </w:tc>
        <w:tc>
          <w:tcPr>
            <w:tcW w:w="1142" w:type="pct"/>
            <w:vAlign w:val="center"/>
          </w:tcPr>
          <w:p w14:paraId="3872549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1293</w:t>
            </w:r>
          </w:p>
        </w:tc>
        <w:tc>
          <w:tcPr>
            <w:tcW w:w="1176" w:type="pct"/>
            <w:vAlign w:val="center"/>
          </w:tcPr>
          <w:p w14:paraId="220AE98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12900</w:t>
            </w:r>
          </w:p>
        </w:tc>
      </w:tr>
      <w:tr w14:paraId="6DD87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47" w:type="pct"/>
            <w:vAlign w:val="center"/>
          </w:tcPr>
          <w:p w14:paraId="65AF317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43</w:t>
            </w:r>
          </w:p>
        </w:tc>
        <w:tc>
          <w:tcPr>
            <w:tcW w:w="1834" w:type="pct"/>
            <w:vAlign w:val="center"/>
          </w:tcPr>
          <w:p w14:paraId="68375C5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二苯并[a,h]蒽</w:t>
            </w:r>
          </w:p>
        </w:tc>
        <w:tc>
          <w:tcPr>
            <w:tcW w:w="1142" w:type="pct"/>
            <w:vAlign w:val="center"/>
          </w:tcPr>
          <w:p w14:paraId="7806BA1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1.5</w:t>
            </w:r>
          </w:p>
        </w:tc>
        <w:tc>
          <w:tcPr>
            <w:tcW w:w="1176" w:type="pct"/>
            <w:vAlign w:val="center"/>
          </w:tcPr>
          <w:p w14:paraId="3FB1B8E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15</w:t>
            </w:r>
          </w:p>
        </w:tc>
      </w:tr>
      <w:tr w14:paraId="6826D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47" w:type="pct"/>
            <w:vAlign w:val="center"/>
          </w:tcPr>
          <w:p w14:paraId="33C4592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44</w:t>
            </w:r>
          </w:p>
        </w:tc>
        <w:tc>
          <w:tcPr>
            <w:tcW w:w="1834" w:type="pct"/>
            <w:vAlign w:val="center"/>
          </w:tcPr>
          <w:p w14:paraId="50E0183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茚[1,2,3-cd]并芘</w:t>
            </w:r>
          </w:p>
        </w:tc>
        <w:tc>
          <w:tcPr>
            <w:tcW w:w="1142" w:type="pct"/>
            <w:vAlign w:val="center"/>
          </w:tcPr>
          <w:p w14:paraId="207CD7C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15</w:t>
            </w:r>
          </w:p>
        </w:tc>
        <w:tc>
          <w:tcPr>
            <w:tcW w:w="1176" w:type="pct"/>
            <w:vAlign w:val="center"/>
          </w:tcPr>
          <w:p w14:paraId="335F007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151</w:t>
            </w:r>
          </w:p>
        </w:tc>
      </w:tr>
      <w:tr w14:paraId="7643C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47" w:type="pct"/>
            <w:vAlign w:val="center"/>
          </w:tcPr>
          <w:p w14:paraId="7D574CA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45</w:t>
            </w:r>
          </w:p>
        </w:tc>
        <w:tc>
          <w:tcPr>
            <w:tcW w:w="1834" w:type="pct"/>
            <w:vAlign w:val="center"/>
          </w:tcPr>
          <w:p w14:paraId="7E436B8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萘</w:t>
            </w:r>
          </w:p>
        </w:tc>
        <w:tc>
          <w:tcPr>
            <w:tcW w:w="1142" w:type="pct"/>
            <w:vAlign w:val="center"/>
          </w:tcPr>
          <w:p w14:paraId="4AC07CB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70</w:t>
            </w:r>
          </w:p>
        </w:tc>
        <w:tc>
          <w:tcPr>
            <w:tcW w:w="1176" w:type="pct"/>
            <w:vAlign w:val="center"/>
          </w:tcPr>
          <w:p w14:paraId="67E1A5F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700</w:t>
            </w:r>
          </w:p>
        </w:tc>
      </w:tr>
      <w:tr w14:paraId="74E7F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519" w:type="dxa"/>
            <w:gridSpan w:val="4"/>
            <w:vAlign w:val="center"/>
          </w:tcPr>
          <w:p w14:paraId="09A74ABC">
            <w:pPr>
              <w:autoSpaceDE w:val="0"/>
              <w:autoSpaceDN w:val="0"/>
              <w:spacing w:line="300" w:lineRule="exact"/>
              <w:jc w:val="center"/>
              <w:rPr>
                <w:rFonts w:hint="default" w:ascii="Times New Roman" w:hAnsi="Times New Roman" w:cs="Times New Roman" w:eastAsiaTheme="minorEastAsia"/>
                <w:szCs w:val="21"/>
                <w:lang w:val="en-US" w:eastAsia="zh-CN"/>
              </w:rPr>
            </w:pPr>
            <w:bookmarkStart w:id="77" w:name="_Toc27808"/>
            <w:bookmarkStart w:id="78" w:name="_Toc12667"/>
            <w:r>
              <w:rPr>
                <w:rFonts w:hint="eastAsia" w:ascii="Times New Roman" w:hAnsi="Times New Roman" w:cs="Times New Roman"/>
                <w:szCs w:val="21"/>
                <w:lang w:val="en-US" w:eastAsia="zh-CN"/>
              </w:rPr>
              <w:t>多氯联苯、多溴联苯和二噁英类</w:t>
            </w:r>
          </w:p>
        </w:tc>
      </w:tr>
      <w:tr w14:paraId="352D4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443" w:type="dxa"/>
            <w:vAlign w:val="center"/>
          </w:tcPr>
          <w:p w14:paraId="1F68C30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46</w:t>
            </w:r>
          </w:p>
        </w:tc>
        <w:tc>
          <w:tcPr>
            <w:tcW w:w="3125" w:type="dxa"/>
            <w:vAlign w:val="center"/>
          </w:tcPr>
          <w:p w14:paraId="296B977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二噁英类（总毒性当量）</w:t>
            </w:r>
          </w:p>
        </w:tc>
        <w:tc>
          <w:tcPr>
            <w:tcW w:w="1946" w:type="dxa"/>
            <w:vAlign w:val="center"/>
          </w:tcPr>
          <w:p w14:paraId="51B2587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4×10</w:t>
            </w:r>
            <w:r>
              <w:rPr>
                <w:rFonts w:hint="eastAsia" w:ascii="Times New Roman" w:hAnsi="Times New Roman" w:cs="Times New Roman"/>
                <w:szCs w:val="21"/>
                <w:vertAlign w:val="superscript"/>
                <w:lang w:val="en-US" w:eastAsia="zh-CN"/>
              </w:rPr>
              <w:t>-5</w:t>
            </w:r>
          </w:p>
        </w:tc>
        <w:tc>
          <w:tcPr>
            <w:tcW w:w="2005" w:type="dxa"/>
            <w:vAlign w:val="center"/>
          </w:tcPr>
          <w:p w14:paraId="74107E9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4×10</w:t>
            </w:r>
            <w:r>
              <w:rPr>
                <w:rFonts w:hint="eastAsia" w:ascii="Times New Roman" w:hAnsi="Times New Roman" w:cs="Times New Roman"/>
                <w:szCs w:val="21"/>
                <w:vertAlign w:val="superscript"/>
                <w:lang w:val="en-US" w:eastAsia="zh-CN"/>
              </w:rPr>
              <w:t>-4</w:t>
            </w:r>
          </w:p>
        </w:tc>
      </w:tr>
      <w:tr w14:paraId="57E7F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519" w:type="dxa"/>
            <w:gridSpan w:val="4"/>
            <w:vAlign w:val="center"/>
          </w:tcPr>
          <w:p w14:paraId="4267DB0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石油烃类</w:t>
            </w:r>
          </w:p>
        </w:tc>
      </w:tr>
      <w:tr w14:paraId="3C2B2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443" w:type="dxa"/>
            <w:vAlign w:val="center"/>
          </w:tcPr>
          <w:p w14:paraId="711B382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47</w:t>
            </w:r>
          </w:p>
        </w:tc>
        <w:tc>
          <w:tcPr>
            <w:tcW w:w="3125" w:type="dxa"/>
            <w:vAlign w:val="center"/>
          </w:tcPr>
          <w:p w14:paraId="1E505A2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石油烃（C</w:t>
            </w:r>
            <w:r>
              <w:rPr>
                <w:rFonts w:hint="eastAsia" w:ascii="Times New Roman" w:hAnsi="Times New Roman" w:cs="Times New Roman"/>
                <w:szCs w:val="21"/>
                <w:vertAlign w:val="subscript"/>
                <w:lang w:val="en-US" w:eastAsia="zh-CN"/>
              </w:rPr>
              <w:t>10</w:t>
            </w:r>
            <w:r>
              <w:rPr>
                <w:rFonts w:hint="eastAsia" w:ascii="Times New Roman" w:hAnsi="Times New Roman" w:cs="Times New Roman"/>
                <w:szCs w:val="21"/>
                <w:lang w:val="en-US" w:eastAsia="zh-CN"/>
              </w:rPr>
              <w:t>～C</w:t>
            </w:r>
            <w:r>
              <w:rPr>
                <w:rFonts w:hint="eastAsia" w:ascii="Times New Roman" w:hAnsi="Times New Roman" w:cs="Times New Roman"/>
                <w:szCs w:val="21"/>
                <w:vertAlign w:val="subscript"/>
                <w:lang w:val="en-US" w:eastAsia="zh-CN"/>
              </w:rPr>
              <w:t>40</w:t>
            </w:r>
            <w:r>
              <w:rPr>
                <w:rFonts w:hint="eastAsia" w:ascii="Times New Roman" w:hAnsi="Times New Roman" w:cs="Times New Roman"/>
                <w:szCs w:val="21"/>
                <w:lang w:val="en-US" w:eastAsia="zh-CN"/>
              </w:rPr>
              <w:t>）</w:t>
            </w:r>
          </w:p>
        </w:tc>
        <w:tc>
          <w:tcPr>
            <w:tcW w:w="1946" w:type="dxa"/>
            <w:vAlign w:val="center"/>
          </w:tcPr>
          <w:p w14:paraId="5D77B3F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4500</w:t>
            </w:r>
          </w:p>
        </w:tc>
        <w:tc>
          <w:tcPr>
            <w:tcW w:w="2005" w:type="dxa"/>
            <w:vAlign w:val="center"/>
          </w:tcPr>
          <w:p w14:paraId="284C63D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9000</w:t>
            </w:r>
          </w:p>
        </w:tc>
      </w:tr>
    </w:tbl>
    <w:p w14:paraId="6B428669">
      <w:pPr>
        <w:pStyle w:val="4"/>
        <w:spacing w:before="120" w:after="120" w:line="500" w:lineRule="exact"/>
        <w:rPr>
          <w:rFonts w:hint="default" w:ascii="Times New Roman" w:hAnsi="Times New Roman" w:cs="Times New Roman" w:eastAsiaTheme="minorEastAsia"/>
          <w:kern w:val="0"/>
          <w:sz w:val="24"/>
          <w:szCs w:val="24"/>
          <w:lang w:val="en-US" w:eastAsia="zh-CN"/>
        </w:rPr>
      </w:pPr>
      <w:r>
        <w:rPr>
          <w:rFonts w:hint="default" w:ascii="Times New Roman" w:hAnsi="Times New Roman" w:cs="Times New Roman" w:eastAsiaTheme="minorEastAsia"/>
          <w:kern w:val="0"/>
          <w:sz w:val="24"/>
          <w:szCs w:val="24"/>
          <w:lang w:val="en-US" w:eastAsia="zh-CN"/>
        </w:rPr>
        <w:t>2.4.2污染物排放标准</w:t>
      </w:r>
      <w:bookmarkEnd w:id="77"/>
      <w:bookmarkEnd w:id="78"/>
    </w:p>
    <w:p w14:paraId="08BCEE37">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（1）废气</w:t>
      </w:r>
    </w:p>
    <w:p w14:paraId="309D6C6E">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施工期：施工期扬尘和粉尘排放执行《大气污染物综合排放标准》（GB16297-1996）表2二级标准中相关标准限值（即无组织排放周界外浓度最高点≤1.0mg/m</w:t>
      </w:r>
      <w:r>
        <w:rPr>
          <w:rFonts w:hint="default" w:ascii="Times New Roman" w:hAnsi="Times New Roman" w:cs="Times New Roman" w:eastAsiaTheme="minorEastAsia"/>
          <w:sz w:val="24"/>
          <w:highlight w:val="none"/>
          <w:vertAlign w:val="superscript"/>
          <w:lang w:val="en-US" w:eastAsia="zh-CN"/>
        </w:rPr>
        <w:t>3</w:t>
      </w:r>
      <w:r>
        <w:rPr>
          <w:rFonts w:hint="default" w:ascii="Times New Roman" w:hAnsi="Times New Roman" w:cs="Times New Roman" w:eastAsiaTheme="minorEastAsia"/>
          <w:sz w:val="24"/>
          <w:highlight w:val="none"/>
          <w:lang w:val="en-US" w:eastAsia="zh-CN"/>
        </w:rPr>
        <w:t>）。</w:t>
      </w:r>
    </w:p>
    <w:p w14:paraId="1A723FE2">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运营期：</w:t>
      </w:r>
      <w:r>
        <w:rPr>
          <w:rFonts w:hint="eastAsia" w:ascii="Times New Roman" w:hAnsi="Times New Roman" w:cs="Times New Roman" w:eastAsiaTheme="minorEastAsia"/>
          <w:sz w:val="24"/>
          <w:highlight w:val="none"/>
          <w:lang w:val="en-US" w:eastAsia="zh-CN"/>
        </w:rPr>
        <w:t>焚烧烟气中大气污染物执行《医疗废物处理处置污染控制标准》（</w:t>
      </w:r>
      <w:r>
        <w:rPr>
          <w:rFonts w:hint="default" w:ascii="Times New Roman" w:hAnsi="Times New Roman" w:cs="Times New Roman" w:eastAsiaTheme="minorEastAsia"/>
          <w:sz w:val="24"/>
          <w:highlight w:val="none"/>
          <w:lang w:val="en-US" w:eastAsia="zh-CN"/>
        </w:rPr>
        <w:t>GB39707</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2020</w:t>
      </w:r>
      <w:r>
        <w:rPr>
          <w:rFonts w:hint="eastAsia" w:ascii="Times New Roman" w:hAnsi="Times New Roman" w:cs="Times New Roman" w:eastAsiaTheme="minorEastAsia"/>
          <w:sz w:val="24"/>
          <w:highlight w:val="none"/>
          <w:lang w:val="en-US" w:eastAsia="zh-CN"/>
        </w:rPr>
        <w:t>）中表</w:t>
      </w:r>
      <w:r>
        <w:rPr>
          <w:rFonts w:hint="default" w:ascii="Times New Roman" w:hAnsi="Times New Roman" w:cs="Times New Roman" w:eastAsiaTheme="minorEastAsia"/>
          <w:sz w:val="24"/>
          <w:highlight w:val="none"/>
          <w:lang w:val="en-US" w:eastAsia="zh-CN"/>
        </w:rPr>
        <w:t>4</w:t>
      </w:r>
      <w:r>
        <w:rPr>
          <w:rFonts w:hint="eastAsia" w:ascii="Times New Roman" w:hAnsi="Times New Roman" w:cs="Times New Roman" w:eastAsiaTheme="minorEastAsia"/>
          <w:sz w:val="24"/>
          <w:highlight w:val="none"/>
          <w:lang w:val="en-US" w:eastAsia="zh-CN"/>
        </w:rPr>
        <w:t>限值要求；臭气浓度执行《恶臭污染物排放标准》（</w:t>
      </w:r>
      <w:r>
        <w:rPr>
          <w:rFonts w:hint="default" w:ascii="Times New Roman" w:hAnsi="Times New Roman" w:cs="Times New Roman" w:eastAsiaTheme="minorEastAsia"/>
          <w:sz w:val="24"/>
          <w:highlight w:val="none"/>
          <w:lang w:val="en-US" w:eastAsia="zh-CN"/>
        </w:rPr>
        <w:t>GB14554-93</w:t>
      </w:r>
      <w:r>
        <w:rPr>
          <w:rFonts w:hint="eastAsia" w:ascii="Times New Roman" w:hAnsi="Times New Roman" w:cs="Times New Roman" w:eastAsiaTheme="minorEastAsia"/>
          <w:sz w:val="24"/>
          <w:highlight w:val="none"/>
          <w:lang w:val="en-US" w:eastAsia="zh-CN"/>
        </w:rPr>
        <w:t>）表</w:t>
      </w:r>
      <w:r>
        <w:rPr>
          <w:rFonts w:hint="eastAsia" w:ascii="Times New Roman" w:hAnsi="Times New Roman" w:cs="Times New Roman"/>
          <w:sz w:val="24"/>
          <w:highlight w:val="none"/>
          <w:lang w:val="en-US" w:eastAsia="zh-CN"/>
        </w:rPr>
        <w:t>2恶臭污染物排放</w:t>
      </w:r>
      <w:r>
        <w:rPr>
          <w:rFonts w:hint="eastAsia" w:ascii="Times New Roman" w:hAnsi="Times New Roman" w:cs="Times New Roman" w:eastAsiaTheme="minorEastAsia"/>
          <w:sz w:val="24"/>
          <w:highlight w:val="none"/>
          <w:lang w:val="en-US" w:eastAsia="zh-CN"/>
        </w:rPr>
        <w:t>标准值。</w:t>
      </w:r>
    </w:p>
    <w:p w14:paraId="62C4811E">
      <w:pPr>
        <w:adjustRightInd w:val="0"/>
        <w:snapToGrid w:val="0"/>
        <w:spacing w:before="250"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 xml:space="preserve">表2.4-5  </w:t>
      </w:r>
      <w:r>
        <w:rPr>
          <w:rFonts w:hint="eastAsia" w:ascii="Times New Roman" w:hAnsi="Times New Roman" w:cs="Times New Roman"/>
          <w:b/>
          <w:szCs w:val="21"/>
          <w:lang w:val="en-US" w:eastAsia="zh-CN"/>
        </w:rPr>
        <w:t>焚烧烟气</w:t>
      </w:r>
      <w:r>
        <w:rPr>
          <w:rFonts w:hint="eastAsia" w:ascii="Times New Roman" w:hAnsi="Times New Roman" w:cs="Times New Roman" w:eastAsiaTheme="minorEastAsia"/>
          <w:b/>
          <w:szCs w:val="21"/>
          <w:lang w:val="en-US" w:eastAsia="zh-CN"/>
        </w:rPr>
        <w:t>有组织大气污染物排放标准</w:t>
      </w:r>
    </w:p>
    <w:p w14:paraId="27A9EF8C">
      <w:pPr>
        <w:adjustRightInd w:val="0"/>
        <w:snapToGrid w:val="0"/>
        <w:spacing w:before="250" w:beforeLines="50"/>
        <w:jc w:val="right"/>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单位：mg/m</w:t>
      </w:r>
      <w:r>
        <w:rPr>
          <w:rFonts w:hint="default" w:ascii="Times New Roman" w:hAnsi="Times New Roman" w:cs="Times New Roman" w:eastAsiaTheme="minorEastAsia"/>
          <w:b/>
          <w:szCs w:val="21"/>
          <w:vertAlign w:val="superscript"/>
          <w:lang w:val="en-US" w:eastAsia="zh-CN"/>
        </w:rPr>
        <w:t>3</w:t>
      </w:r>
      <w:r>
        <w:rPr>
          <w:rFonts w:hint="default" w:ascii="Times New Roman" w:hAnsi="Times New Roman" w:cs="Times New Roman" w:eastAsiaTheme="minorEastAsia"/>
          <w:b/>
          <w:szCs w:val="21"/>
          <w:lang w:val="en-US" w:eastAsia="zh-CN"/>
        </w:rPr>
        <w:t>（二噁英单位：ngTEQ/Nm</w:t>
      </w:r>
      <w:r>
        <w:rPr>
          <w:rFonts w:hint="default" w:ascii="Times New Roman" w:hAnsi="Times New Roman" w:cs="Times New Roman" w:eastAsiaTheme="minorEastAsia"/>
          <w:b/>
          <w:szCs w:val="21"/>
          <w:vertAlign w:val="superscript"/>
          <w:lang w:val="en-US" w:eastAsia="zh-CN"/>
        </w:rPr>
        <w:t>3</w:t>
      </w:r>
      <w:r>
        <w:rPr>
          <w:rFonts w:hint="default" w:ascii="Times New Roman" w:hAnsi="Times New Roman" w:cs="Times New Roman" w:eastAsiaTheme="minorEastAsia"/>
          <w:b/>
          <w:szCs w:val="21"/>
          <w:lang w:val="en-US" w:eastAsia="zh-CN"/>
        </w:rPr>
        <w:t>）</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3"/>
        <w:gridCol w:w="2395"/>
        <w:gridCol w:w="1863"/>
        <w:gridCol w:w="1628"/>
        <w:gridCol w:w="2093"/>
      </w:tblGrid>
      <w:tr w14:paraId="27051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 w:type="pct"/>
            <w:vAlign w:val="center"/>
          </w:tcPr>
          <w:p w14:paraId="29AAB22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序号</w:t>
            </w:r>
          </w:p>
        </w:tc>
        <w:tc>
          <w:tcPr>
            <w:tcW w:w="1405" w:type="pct"/>
            <w:vAlign w:val="center"/>
          </w:tcPr>
          <w:p w14:paraId="62BDDFE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污染物名称</w:t>
            </w:r>
          </w:p>
        </w:tc>
        <w:tc>
          <w:tcPr>
            <w:tcW w:w="1093" w:type="pct"/>
            <w:vAlign w:val="center"/>
          </w:tcPr>
          <w:p w14:paraId="17D11F1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取值时间</w:t>
            </w:r>
          </w:p>
        </w:tc>
        <w:tc>
          <w:tcPr>
            <w:tcW w:w="955" w:type="pct"/>
            <w:vAlign w:val="center"/>
          </w:tcPr>
          <w:p w14:paraId="5F687E2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限值</w:t>
            </w:r>
          </w:p>
        </w:tc>
        <w:tc>
          <w:tcPr>
            <w:tcW w:w="1226" w:type="pct"/>
            <w:vAlign w:val="center"/>
          </w:tcPr>
          <w:p w14:paraId="08AE9AF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执行标准</w:t>
            </w:r>
          </w:p>
        </w:tc>
      </w:tr>
      <w:tr w14:paraId="1BCCC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vAlign w:val="center"/>
          </w:tcPr>
          <w:p w14:paraId="58032EA8">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焚烧炉烟气</w:t>
            </w:r>
          </w:p>
        </w:tc>
      </w:tr>
      <w:tr w14:paraId="7202F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 w:type="pct"/>
            <w:vMerge w:val="restart"/>
            <w:vAlign w:val="center"/>
          </w:tcPr>
          <w:p w14:paraId="47DCB96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w:t>
            </w:r>
          </w:p>
        </w:tc>
        <w:tc>
          <w:tcPr>
            <w:tcW w:w="1405" w:type="pct"/>
            <w:vMerge w:val="restart"/>
            <w:vAlign w:val="center"/>
          </w:tcPr>
          <w:p w14:paraId="4A4330E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颗粒物</w:t>
            </w:r>
          </w:p>
        </w:tc>
        <w:tc>
          <w:tcPr>
            <w:tcW w:w="1093" w:type="pct"/>
            <w:vAlign w:val="center"/>
          </w:tcPr>
          <w:p w14:paraId="6E60A95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1小时均值</w:t>
            </w:r>
          </w:p>
        </w:tc>
        <w:tc>
          <w:tcPr>
            <w:tcW w:w="955" w:type="pct"/>
            <w:vAlign w:val="center"/>
          </w:tcPr>
          <w:p w14:paraId="5322DD4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30</w:t>
            </w:r>
          </w:p>
        </w:tc>
        <w:tc>
          <w:tcPr>
            <w:tcW w:w="1226" w:type="pct"/>
            <w:vMerge w:val="restart"/>
            <w:vAlign w:val="center"/>
          </w:tcPr>
          <w:p w14:paraId="7EF8380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医疗废物处理处置污染控制标准》</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GB39707</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2020</w:t>
            </w: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中表</w:t>
            </w:r>
            <w:r>
              <w:rPr>
                <w:rFonts w:hint="default" w:ascii="Times New Roman" w:hAnsi="Times New Roman" w:cs="Times New Roman" w:eastAsiaTheme="minorEastAsia"/>
                <w:szCs w:val="21"/>
                <w:lang w:val="en-US" w:eastAsia="zh-CN"/>
              </w:rPr>
              <w:t>4</w:t>
            </w:r>
          </w:p>
        </w:tc>
      </w:tr>
      <w:tr w14:paraId="307E8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 w:type="pct"/>
            <w:vMerge w:val="continue"/>
            <w:vAlign w:val="center"/>
          </w:tcPr>
          <w:p w14:paraId="45716F8D">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405" w:type="pct"/>
            <w:vMerge w:val="continue"/>
            <w:vAlign w:val="center"/>
          </w:tcPr>
          <w:p w14:paraId="38FECF3B">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093" w:type="pct"/>
            <w:vAlign w:val="center"/>
          </w:tcPr>
          <w:p w14:paraId="5C6F7C2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24小时均值</w:t>
            </w:r>
          </w:p>
        </w:tc>
        <w:tc>
          <w:tcPr>
            <w:tcW w:w="955" w:type="pct"/>
            <w:vAlign w:val="center"/>
          </w:tcPr>
          <w:p w14:paraId="0C9172E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20</w:t>
            </w:r>
          </w:p>
        </w:tc>
        <w:tc>
          <w:tcPr>
            <w:tcW w:w="1226" w:type="pct"/>
            <w:vMerge w:val="continue"/>
            <w:vAlign w:val="center"/>
          </w:tcPr>
          <w:p w14:paraId="5885B00B">
            <w:pPr>
              <w:adjustRightInd w:val="0"/>
              <w:snapToGrid w:val="0"/>
              <w:spacing w:before="250" w:beforeLines="50"/>
              <w:jc w:val="center"/>
              <w:rPr>
                <w:rFonts w:hint="default" w:ascii="Times New Roman" w:hAnsi="Times New Roman" w:eastAsia="华文中宋" w:cs="Times New Roman"/>
                <w:b w:val="0"/>
                <w:bCs/>
                <w:szCs w:val="21"/>
                <w:vertAlign w:val="baseline"/>
                <w:lang w:val="en-US" w:eastAsia="zh-CN"/>
              </w:rPr>
            </w:pPr>
          </w:p>
        </w:tc>
      </w:tr>
      <w:tr w14:paraId="79EFE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 w:type="pct"/>
            <w:vMerge w:val="restart"/>
            <w:vAlign w:val="center"/>
          </w:tcPr>
          <w:p w14:paraId="74D102D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w:t>
            </w:r>
          </w:p>
        </w:tc>
        <w:tc>
          <w:tcPr>
            <w:tcW w:w="1405" w:type="pct"/>
            <w:vMerge w:val="restart"/>
            <w:vAlign w:val="center"/>
          </w:tcPr>
          <w:p w14:paraId="1712917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CO</w:t>
            </w:r>
          </w:p>
        </w:tc>
        <w:tc>
          <w:tcPr>
            <w:tcW w:w="1093" w:type="pct"/>
            <w:vAlign w:val="center"/>
          </w:tcPr>
          <w:p w14:paraId="0F29168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1小时均值</w:t>
            </w:r>
          </w:p>
        </w:tc>
        <w:tc>
          <w:tcPr>
            <w:tcW w:w="955" w:type="pct"/>
            <w:vAlign w:val="center"/>
          </w:tcPr>
          <w:p w14:paraId="723ECAE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100</w:t>
            </w:r>
          </w:p>
        </w:tc>
        <w:tc>
          <w:tcPr>
            <w:tcW w:w="1226" w:type="pct"/>
            <w:vMerge w:val="continue"/>
            <w:vAlign w:val="center"/>
          </w:tcPr>
          <w:p w14:paraId="21FC1F17">
            <w:pPr>
              <w:adjustRightInd w:val="0"/>
              <w:snapToGrid w:val="0"/>
              <w:spacing w:before="250" w:beforeLines="50"/>
              <w:jc w:val="center"/>
              <w:rPr>
                <w:rFonts w:hint="default" w:ascii="Times New Roman" w:hAnsi="Times New Roman" w:eastAsia="华文中宋" w:cs="Times New Roman"/>
                <w:b w:val="0"/>
                <w:bCs/>
                <w:szCs w:val="21"/>
                <w:vertAlign w:val="baseline"/>
                <w:lang w:val="en-US" w:eastAsia="zh-CN"/>
              </w:rPr>
            </w:pPr>
          </w:p>
        </w:tc>
      </w:tr>
      <w:tr w14:paraId="20FD5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 w:type="pct"/>
            <w:vMerge w:val="continue"/>
            <w:vAlign w:val="center"/>
          </w:tcPr>
          <w:p w14:paraId="15EC1C1B">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405" w:type="pct"/>
            <w:vMerge w:val="continue"/>
            <w:vAlign w:val="center"/>
          </w:tcPr>
          <w:p w14:paraId="53189C5D">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093" w:type="pct"/>
            <w:vAlign w:val="center"/>
          </w:tcPr>
          <w:p w14:paraId="5B4C419B">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24小时均值</w:t>
            </w:r>
          </w:p>
        </w:tc>
        <w:tc>
          <w:tcPr>
            <w:tcW w:w="955" w:type="pct"/>
            <w:vAlign w:val="center"/>
          </w:tcPr>
          <w:p w14:paraId="3C5394E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80</w:t>
            </w:r>
          </w:p>
        </w:tc>
        <w:tc>
          <w:tcPr>
            <w:tcW w:w="1226" w:type="pct"/>
            <w:vMerge w:val="continue"/>
            <w:vAlign w:val="center"/>
          </w:tcPr>
          <w:p w14:paraId="0B09434E">
            <w:pPr>
              <w:adjustRightInd w:val="0"/>
              <w:snapToGrid w:val="0"/>
              <w:spacing w:before="250" w:beforeLines="50"/>
              <w:jc w:val="center"/>
              <w:rPr>
                <w:rFonts w:hint="default" w:ascii="Times New Roman" w:hAnsi="Times New Roman" w:eastAsia="华文中宋" w:cs="Times New Roman"/>
                <w:b w:val="0"/>
                <w:bCs/>
                <w:szCs w:val="21"/>
                <w:vertAlign w:val="baseline"/>
                <w:lang w:val="en-US" w:eastAsia="zh-CN"/>
              </w:rPr>
            </w:pPr>
          </w:p>
        </w:tc>
      </w:tr>
      <w:tr w14:paraId="22F9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 w:type="pct"/>
            <w:vMerge w:val="restart"/>
            <w:vAlign w:val="center"/>
          </w:tcPr>
          <w:p w14:paraId="599508A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w:t>
            </w:r>
          </w:p>
        </w:tc>
        <w:tc>
          <w:tcPr>
            <w:tcW w:w="1405" w:type="pct"/>
            <w:vMerge w:val="restart"/>
            <w:vAlign w:val="center"/>
          </w:tcPr>
          <w:p w14:paraId="08D519E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NOx</w:t>
            </w:r>
          </w:p>
        </w:tc>
        <w:tc>
          <w:tcPr>
            <w:tcW w:w="1093" w:type="pct"/>
            <w:vAlign w:val="center"/>
          </w:tcPr>
          <w:p w14:paraId="2CEDCA4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1小时均值</w:t>
            </w:r>
          </w:p>
        </w:tc>
        <w:tc>
          <w:tcPr>
            <w:tcW w:w="955" w:type="pct"/>
            <w:vAlign w:val="center"/>
          </w:tcPr>
          <w:p w14:paraId="4F4972E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300</w:t>
            </w:r>
          </w:p>
        </w:tc>
        <w:tc>
          <w:tcPr>
            <w:tcW w:w="1226" w:type="pct"/>
            <w:vMerge w:val="continue"/>
            <w:vAlign w:val="center"/>
          </w:tcPr>
          <w:p w14:paraId="6A254872">
            <w:pPr>
              <w:adjustRightInd w:val="0"/>
              <w:snapToGrid w:val="0"/>
              <w:spacing w:before="250" w:beforeLines="50"/>
              <w:jc w:val="center"/>
              <w:rPr>
                <w:rFonts w:hint="default" w:ascii="Times New Roman" w:hAnsi="Times New Roman" w:eastAsia="华文中宋" w:cs="Times New Roman"/>
                <w:b w:val="0"/>
                <w:bCs/>
                <w:szCs w:val="21"/>
                <w:vertAlign w:val="baseline"/>
                <w:lang w:val="en-US" w:eastAsia="zh-CN"/>
              </w:rPr>
            </w:pPr>
          </w:p>
        </w:tc>
      </w:tr>
      <w:tr w14:paraId="70637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 w:type="pct"/>
            <w:vMerge w:val="continue"/>
            <w:vAlign w:val="center"/>
          </w:tcPr>
          <w:p w14:paraId="766E61F4">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405" w:type="pct"/>
            <w:vMerge w:val="continue"/>
            <w:vAlign w:val="center"/>
          </w:tcPr>
          <w:p w14:paraId="3CC2742C">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093" w:type="pct"/>
            <w:vAlign w:val="center"/>
          </w:tcPr>
          <w:p w14:paraId="11E7BA24">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24小时均值</w:t>
            </w:r>
          </w:p>
        </w:tc>
        <w:tc>
          <w:tcPr>
            <w:tcW w:w="955" w:type="pct"/>
            <w:vAlign w:val="center"/>
          </w:tcPr>
          <w:p w14:paraId="17C5D54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250</w:t>
            </w:r>
          </w:p>
        </w:tc>
        <w:tc>
          <w:tcPr>
            <w:tcW w:w="1226" w:type="pct"/>
            <w:vMerge w:val="continue"/>
            <w:vAlign w:val="center"/>
          </w:tcPr>
          <w:p w14:paraId="3164EDC1">
            <w:pPr>
              <w:adjustRightInd w:val="0"/>
              <w:snapToGrid w:val="0"/>
              <w:spacing w:before="250" w:beforeLines="50"/>
              <w:jc w:val="center"/>
              <w:rPr>
                <w:rFonts w:hint="default" w:ascii="Times New Roman" w:hAnsi="Times New Roman" w:eastAsia="华文中宋" w:cs="Times New Roman"/>
                <w:b w:val="0"/>
                <w:bCs/>
                <w:szCs w:val="21"/>
                <w:vertAlign w:val="baseline"/>
                <w:lang w:val="en-US" w:eastAsia="zh-CN"/>
              </w:rPr>
            </w:pPr>
          </w:p>
        </w:tc>
      </w:tr>
      <w:tr w14:paraId="2F887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 w:type="pct"/>
            <w:vMerge w:val="restart"/>
            <w:vAlign w:val="center"/>
          </w:tcPr>
          <w:p w14:paraId="228E2C6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w:t>
            </w:r>
          </w:p>
        </w:tc>
        <w:tc>
          <w:tcPr>
            <w:tcW w:w="1405" w:type="pct"/>
            <w:vMerge w:val="restart"/>
            <w:vAlign w:val="center"/>
          </w:tcPr>
          <w:p w14:paraId="720D738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SO</w:t>
            </w:r>
            <w:r>
              <w:rPr>
                <w:rFonts w:hint="eastAsia" w:ascii="Times New Roman" w:hAnsi="Times New Roman" w:cs="Times New Roman" w:eastAsiaTheme="minorEastAsia"/>
                <w:szCs w:val="21"/>
                <w:vertAlign w:val="subscript"/>
                <w:lang w:val="en-US" w:eastAsia="zh-CN"/>
              </w:rPr>
              <w:t>2</w:t>
            </w:r>
          </w:p>
        </w:tc>
        <w:tc>
          <w:tcPr>
            <w:tcW w:w="1093" w:type="pct"/>
            <w:vAlign w:val="center"/>
          </w:tcPr>
          <w:p w14:paraId="040CA60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1小时均值</w:t>
            </w:r>
          </w:p>
        </w:tc>
        <w:tc>
          <w:tcPr>
            <w:tcW w:w="955" w:type="pct"/>
            <w:vAlign w:val="center"/>
          </w:tcPr>
          <w:p w14:paraId="3D4DF05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100</w:t>
            </w:r>
          </w:p>
        </w:tc>
        <w:tc>
          <w:tcPr>
            <w:tcW w:w="1226" w:type="pct"/>
            <w:vMerge w:val="continue"/>
            <w:vAlign w:val="center"/>
          </w:tcPr>
          <w:p w14:paraId="410D8EB9">
            <w:pPr>
              <w:adjustRightInd w:val="0"/>
              <w:snapToGrid w:val="0"/>
              <w:spacing w:before="250" w:beforeLines="50"/>
              <w:jc w:val="center"/>
              <w:rPr>
                <w:rFonts w:hint="default" w:ascii="Times New Roman" w:hAnsi="Times New Roman" w:eastAsia="华文中宋" w:cs="Times New Roman"/>
                <w:b w:val="0"/>
                <w:bCs/>
                <w:szCs w:val="21"/>
                <w:vertAlign w:val="baseline"/>
                <w:lang w:val="en-US" w:eastAsia="zh-CN"/>
              </w:rPr>
            </w:pPr>
          </w:p>
        </w:tc>
      </w:tr>
      <w:tr w14:paraId="3F521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 w:type="pct"/>
            <w:vMerge w:val="continue"/>
            <w:vAlign w:val="center"/>
          </w:tcPr>
          <w:p w14:paraId="2ADDC757">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405" w:type="pct"/>
            <w:vMerge w:val="continue"/>
            <w:vAlign w:val="center"/>
          </w:tcPr>
          <w:p w14:paraId="5DE0A3C8">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093" w:type="pct"/>
            <w:vAlign w:val="center"/>
          </w:tcPr>
          <w:p w14:paraId="54DEB937">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24小时均值</w:t>
            </w:r>
          </w:p>
        </w:tc>
        <w:tc>
          <w:tcPr>
            <w:tcW w:w="955" w:type="pct"/>
            <w:vAlign w:val="center"/>
          </w:tcPr>
          <w:p w14:paraId="7B0FF00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80</w:t>
            </w:r>
          </w:p>
        </w:tc>
        <w:tc>
          <w:tcPr>
            <w:tcW w:w="1226" w:type="pct"/>
            <w:vMerge w:val="continue"/>
            <w:vAlign w:val="center"/>
          </w:tcPr>
          <w:p w14:paraId="7251E8F5">
            <w:pPr>
              <w:adjustRightInd w:val="0"/>
              <w:snapToGrid w:val="0"/>
              <w:spacing w:before="250" w:beforeLines="50"/>
              <w:jc w:val="center"/>
              <w:rPr>
                <w:rFonts w:hint="default" w:ascii="Times New Roman" w:hAnsi="Times New Roman" w:eastAsia="华文中宋" w:cs="Times New Roman"/>
                <w:b w:val="0"/>
                <w:bCs/>
                <w:szCs w:val="21"/>
                <w:vertAlign w:val="baseline"/>
                <w:lang w:val="en-US" w:eastAsia="zh-CN"/>
              </w:rPr>
            </w:pPr>
          </w:p>
        </w:tc>
      </w:tr>
      <w:tr w14:paraId="21850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 w:type="pct"/>
            <w:vMerge w:val="restart"/>
            <w:vAlign w:val="center"/>
          </w:tcPr>
          <w:p w14:paraId="35027DB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w:t>
            </w:r>
          </w:p>
        </w:tc>
        <w:tc>
          <w:tcPr>
            <w:tcW w:w="1405" w:type="pct"/>
            <w:vMerge w:val="restart"/>
            <w:vAlign w:val="center"/>
          </w:tcPr>
          <w:p w14:paraId="61C5120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HF</w:t>
            </w:r>
          </w:p>
        </w:tc>
        <w:tc>
          <w:tcPr>
            <w:tcW w:w="1093" w:type="pct"/>
            <w:vAlign w:val="center"/>
          </w:tcPr>
          <w:p w14:paraId="01ABF83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1小时均值</w:t>
            </w:r>
          </w:p>
        </w:tc>
        <w:tc>
          <w:tcPr>
            <w:tcW w:w="955" w:type="pct"/>
            <w:vAlign w:val="center"/>
          </w:tcPr>
          <w:p w14:paraId="3BC75F8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w:t>
            </w:r>
          </w:p>
        </w:tc>
        <w:tc>
          <w:tcPr>
            <w:tcW w:w="1226" w:type="pct"/>
            <w:vMerge w:val="continue"/>
            <w:vAlign w:val="center"/>
          </w:tcPr>
          <w:p w14:paraId="6417C916">
            <w:pPr>
              <w:adjustRightInd w:val="0"/>
              <w:snapToGrid w:val="0"/>
              <w:spacing w:before="250" w:beforeLines="50"/>
              <w:jc w:val="center"/>
              <w:rPr>
                <w:rFonts w:hint="default" w:ascii="Times New Roman" w:hAnsi="Times New Roman" w:eastAsia="华文中宋" w:cs="Times New Roman"/>
                <w:b w:val="0"/>
                <w:bCs/>
                <w:szCs w:val="21"/>
                <w:vertAlign w:val="baseline"/>
                <w:lang w:val="en-US" w:eastAsia="zh-CN"/>
              </w:rPr>
            </w:pPr>
          </w:p>
        </w:tc>
      </w:tr>
      <w:tr w14:paraId="2FAE3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 w:type="pct"/>
            <w:vMerge w:val="continue"/>
            <w:vAlign w:val="center"/>
          </w:tcPr>
          <w:p w14:paraId="0967347D">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405" w:type="pct"/>
            <w:vMerge w:val="continue"/>
            <w:vAlign w:val="center"/>
          </w:tcPr>
          <w:p w14:paraId="6A8F9596">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093" w:type="pct"/>
            <w:vAlign w:val="center"/>
          </w:tcPr>
          <w:p w14:paraId="5BD6E79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24小时均值</w:t>
            </w:r>
          </w:p>
        </w:tc>
        <w:tc>
          <w:tcPr>
            <w:tcW w:w="955" w:type="pct"/>
            <w:vAlign w:val="center"/>
          </w:tcPr>
          <w:p w14:paraId="04C9B72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w:t>
            </w:r>
          </w:p>
        </w:tc>
        <w:tc>
          <w:tcPr>
            <w:tcW w:w="1226" w:type="pct"/>
            <w:vMerge w:val="continue"/>
            <w:vAlign w:val="center"/>
          </w:tcPr>
          <w:p w14:paraId="6042511F">
            <w:pPr>
              <w:adjustRightInd w:val="0"/>
              <w:snapToGrid w:val="0"/>
              <w:spacing w:before="250" w:beforeLines="50"/>
              <w:jc w:val="center"/>
              <w:rPr>
                <w:rFonts w:hint="default" w:ascii="Times New Roman" w:hAnsi="Times New Roman" w:eastAsia="华文中宋" w:cs="Times New Roman"/>
                <w:b w:val="0"/>
                <w:bCs/>
                <w:szCs w:val="21"/>
                <w:vertAlign w:val="baseline"/>
                <w:lang w:val="en-US" w:eastAsia="zh-CN"/>
              </w:rPr>
            </w:pPr>
          </w:p>
        </w:tc>
      </w:tr>
      <w:tr w14:paraId="2A32F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 w:type="pct"/>
            <w:vMerge w:val="restart"/>
            <w:vAlign w:val="center"/>
          </w:tcPr>
          <w:p w14:paraId="3EDA634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w:t>
            </w:r>
          </w:p>
        </w:tc>
        <w:tc>
          <w:tcPr>
            <w:tcW w:w="1405" w:type="pct"/>
            <w:vMerge w:val="restart"/>
            <w:vAlign w:val="center"/>
          </w:tcPr>
          <w:p w14:paraId="33946E4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HCl</w:t>
            </w:r>
          </w:p>
        </w:tc>
        <w:tc>
          <w:tcPr>
            <w:tcW w:w="1093" w:type="pct"/>
            <w:vAlign w:val="center"/>
          </w:tcPr>
          <w:p w14:paraId="7B31C38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1小时均值</w:t>
            </w:r>
          </w:p>
        </w:tc>
        <w:tc>
          <w:tcPr>
            <w:tcW w:w="955" w:type="pct"/>
            <w:vAlign w:val="center"/>
          </w:tcPr>
          <w:p w14:paraId="18A83F1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60</w:t>
            </w:r>
          </w:p>
        </w:tc>
        <w:tc>
          <w:tcPr>
            <w:tcW w:w="1226" w:type="pct"/>
            <w:vMerge w:val="continue"/>
            <w:vAlign w:val="center"/>
          </w:tcPr>
          <w:p w14:paraId="3C542B21">
            <w:pPr>
              <w:adjustRightInd w:val="0"/>
              <w:snapToGrid w:val="0"/>
              <w:spacing w:before="250" w:beforeLines="50"/>
              <w:jc w:val="center"/>
              <w:rPr>
                <w:rFonts w:hint="default" w:ascii="Times New Roman" w:hAnsi="Times New Roman" w:eastAsia="华文中宋" w:cs="Times New Roman"/>
                <w:b w:val="0"/>
                <w:bCs/>
                <w:szCs w:val="21"/>
                <w:vertAlign w:val="baseline"/>
                <w:lang w:val="en-US" w:eastAsia="zh-CN"/>
              </w:rPr>
            </w:pPr>
          </w:p>
        </w:tc>
      </w:tr>
      <w:tr w14:paraId="1755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 w:type="pct"/>
            <w:vMerge w:val="continue"/>
            <w:vAlign w:val="center"/>
          </w:tcPr>
          <w:p w14:paraId="6C98C6F5">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405" w:type="pct"/>
            <w:vMerge w:val="continue"/>
            <w:vAlign w:val="center"/>
          </w:tcPr>
          <w:p w14:paraId="28833D21">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093" w:type="pct"/>
            <w:vAlign w:val="center"/>
          </w:tcPr>
          <w:p w14:paraId="58C3390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24小时均值</w:t>
            </w:r>
          </w:p>
        </w:tc>
        <w:tc>
          <w:tcPr>
            <w:tcW w:w="955" w:type="pct"/>
            <w:vAlign w:val="center"/>
          </w:tcPr>
          <w:p w14:paraId="449045D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50</w:t>
            </w:r>
          </w:p>
        </w:tc>
        <w:tc>
          <w:tcPr>
            <w:tcW w:w="1226" w:type="pct"/>
            <w:vMerge w:val="continue"/>
            <w:vAlign w:val="center"/>
          </w:tcPr>
          <w:p w14:paraId="06E8D89A">
            <w:pPr>
              <w:adjustRightInd w:val="0"/>
              <w:snapToGrid w:val="0"/>
              <w:spacing w:before="250" w:beforeLines="50"/>
              <w:jc w:val="center"/>
              <w:rPr>
                <w:rFonts w:hint="default" w:ascii="Times New Roman" w:hAnsi="Times New Roman" w:eastAsia="华文中宋" w:cs="Times New Roman"/>
                <w:b w:val="0"/>
                <w:bCs/>
                <w:szCs w:val="21"/>
                <w:vertAlign w:val="baseline"/>
                <w:lang w:val="en-US" w:eastAsia="zh-CN"/>
              </w:rPr>
            </w:pPr>
          </w:p>
        </w:tc>
      </w:tr>
      <w:tr w14:paraId="7C6D8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 w:type="pct"/>
            <w:vAlign w:val="center"/>
          </w:tcPr>
          <w:p w14:paraId="4103269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w:t>
            </w:r>
          </w:p>
        </w:tc>
        <w:tc>
          <w:tcPr>
            <w:tcW w:w="1405" w:type="pct"/>
            <w:vAlign w:val="center"/>
          </w:tcPr>
          <w:p w14:paraId="3C368CF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汞及其化合物</w:t>
            </w:r>
          </w:p>
        </w:tc>
        <w:tc>
          <w:tcPr>
            <w:tcW w:w="1093" w:type="pct"/>
            <w:vAlign w:val="center"/>
          </w:tcPr>
          <w:p w14:paraId="578C222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测定均值</w:t>
            </w:r>
          </w:p>
        </w:tc>
        <w:tc>
          <w:tcPr>
            <w:tcW w:w="955" w:type="pct"/>
            <w:vAlign w:val="center"/>
          </w:tcPr>
          <w:p w14:paraId="292D4D2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0.05</w:t>
            </w:r>
          </w:p>
        </w:tc>
        <w:tc>
          <w:tcPr>
            <w:tcW w:w="1226" w:type="pct"/>
            <w:vMerge w:val="continue"/>
            <w:vAlign w:val="center"/>
          </w:tcPr>
          <w:p w14:paraId="429415D3">
            <w:pPr>
              <w:adjustRightInd w:val="0"/>
              <w:snapToGrid w:val="0"/>
              <w:spacing w:before="250" w:beforeLines="50"/>
              <w:jc w:val="center"/>
              <w:rPr>
                <w:rFonts w:hint="default" w:ascii="Times New Roman" w:hAnsi="Times New Roman" w:eastAsia="华文中宋" w:cs="Times New Roman"/>
                <w:b w:val="0"/>
                <w:bCs/>
                <w:szCs w:val="21"/>
                <w:vertAlign w:val="baseline"/>
                <w:lang w:val="en-US" w:eastAsia="zh-CN"/>
              </w:rPr>
            </w:pPr>
          </w:p>
        </w:tc>
      </w:tr>
      <w:tr w14:paraId="2AFE4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 w:type="pct"/>
            <w:vAlign w:val="center"/>
          </w:tcPr>
          <w:p w14:paraId="643759D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8</w:t>
            </w:r>
          </w:p>
        </w:tc>
        <w:tc>
          <w:tcPr>
            <w:tcW w:w="1405" w:type="pct"/>
            <w:vAlign w:val="center"/>
          </w:tcPr>
          <w:p w14:paraId="7AE8228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铊及其化合物</w:t>
            </w:r>
          </w:p>
        </w:tc>
        <w:tc>
          <w:tcPr>
            <w:tcW w:w="1093" w:type="pct"/>
            <w:vAlign w:val="center"/>
          </w:tcPr>
          <w:p w14:paraId="6BB7B56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测定均值</w:t>
            </w:r>
          </w:p>
        </w:tc>
        <w:tc>
          <w:tcPr>
            <w:tcW w:w="955" w:type="pct"/>
            <w:vAlign w:val="center"/>
          </w:tcPr>
          <w:p w14:paraId="103BA90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0.05</w:t>
            </w:r>
          </w:p>
        </w:tc>
        <w:tc>
          <w:tcPr>
            <w:tcW w:w="1226" w:type="pct"/>
            <w:vMerge w:val="continue"/>
            <w:vAlign w:val="center"/>
          </w:tcPr>
          <w:p w14:paraId="33E26652">
            <w:pPr>
              <w:adjustRightInd w:val="0"/>
              <w:snapToGrid w:val="0"/>
              <w:spacing w:before="250" w:beforeLines="50"/>
              <w:jc w:val="center"/>
              <w:rPr>
                <w:rFonts w:hint="default" w:ascii="Times New Roman" w:hAnsi="Times New Roman" w:eastAsia="华文中宋" w:cs="Times New Roman"/>
                <w:b w:val="0"/>
                <w:bCs/>
                <w:szCs w:val="21"/>
                <w:vertAlign w:val="baseline"/>
                <w:lang w:val="en-US" w:eastAsia="zh-CN"/>
              </w:rPr>
            </w:pPr>
          </w:p>
        </w:tc>
      </w:tr>
      <w:tr w14:paraId="4AB7F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 w:type="pct"/>
            <w:vAlign w:val="center"/>
          </w:tcPr>
          <w:p w14:paraId="1115545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9</w:t>
            </w:r>
          </w:p>
        </w:tc>
        <w:tc>
          <w:tcPr>
            <w:tcW w:w="1405" w:type="pct"/>
            <w:vAlign w:val="center"/>
          </w:tcPr>
          <w:p w14:paraId="288A970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镉及其化合物</w:t>
            </w:r>
          </w:p>
        </w:tc>
        <w:tc>
          <w:tcPr>
            <w:tcW w:w="1093" w:type="pct"/>
            <w:vAlign w:val="center"/>
          </w:tcPr>
          <w:p w14:paraId="617ED57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测定均值</w:t>
            </w:r>
          </w:p>
        </w:tc>
        <w:tc>
          <w:tcPr>
            <w:tcW w:w="955" w:type="pct"/>
            <w:vAlign w:val="center"/>
          </w:tcPr>
          <w:p w14:paraId="7F97BD2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0.05</w:t>
            </w:r>
          </w:p>
        </w:tc>
        <w:tc>
          <w:tcPr>
            <w:tcW w:w="1226" w:type="pct"/>
            <w:vMerge w:val="continue"/>
            <w:vAlign w:val="center"/>
          </w:tcPr>
          <w:p w14:paraId="28F29BC9">
            <w:pPr>
              <w:adjustRightInd w:val="0"/>
              <w:snapToGrid w:val="0"/>
              <w:spacing w:before="250" w:beforeLines="50"/>
              <w:jc w:val="center"/>
              <w:rPr>
                <w:rFonts w:hint="default" w:ascii="Times New Roman" w:hAnsi="Times New Roman" w:eastAsia="华文中宋" w:cs="Times New Roman"/>
                <w:b w:val="0"/>
                <w:bCs/>
                <w:szCs w:val="21"/>
                <w:vertAlign w:val="baseline"/>
                <w:lang w:val="en-US" w:eastAsia="zh-CN"/>
              </w:rPr>
            </w:pPr>
          </w:p>
        </w:tc>
      </w:tr>
      <w:tr w14:paraId="330CD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 w:type="pct"/>
            <w:vAlign w:val="center"/>
          </w:tcPr>
          <w:p w14:paraId="606571F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w:t>
            </w:r>
          </w:p>
        </w:tc>
        <w:tc>
          <w:tcPr>
            <w:tcW w:w="1405" w:type="pct"/>
            <w:vAlign w:val="center"/>
          </w:tcPr>
          <w:p w14:paraId="35C689D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铅及其化合物</w:t>
            </w:r>
          </w:p>
        </w:tc>
        <w:tc>
          <w:tcPr>
            <w:tcW w:w="1093" w:type="pct"/>
            <w:vAlign w:val="center"/>
          </w:tcPr>
          <w:p w14:paraId="00AFA02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测定均值</w:t>
            </w:r>
          </w:p>
        </w:tc>
        <w:tc>
          <w:tcPr>
            <w:tcW w:w="955" w:type="pct"/>
            <w:vAlign w:val="center"/>
          </w:tcPr>
          <w:p w14:paraId="4D026D4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0.5</w:t>
            </w:r>
          </w:p>
        </w:tc>
        <w:tc>
          <w:tcPr>
            <w:tcW w:w="1226" w:type="pct"/>
            <w:vMerge w:val="continue"/>
            <w:vAlign w:val="center"/>
          </w:tcPr>
          <w:p w14:paraId="43405C7E">
            <w:pPr>
              <w:adjustRightInd w:val="0"/>
              <w:snapToGrid w:val="0"/>
              <w:spacing w:before="250" w:beforeLines="50"/>
              <w:jc w:val="center"/>
              <w:rPr>
                <w:rFonts w:hint="default" w:ascii="Times New Roman" w:hAnsi="Times New Roman" w:eastAsia="华文中宋" w:cs="Times New Roman"/>
                <w:b w:val="0"/>
                <w:bCs/>
                <w:szCs w:val="21"/>
                <w:vertAlign w:val="baseline"/>
                <w:lang w:val="en-US" w:eastAsia="zh-CN"/>
              </w:rPr>
            </w:pPr>
          </w:p>
        </w:tc>
      </w:tr>
      <w:tr w14:paraId="50A1E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 w:type="pct"/>
            <w:vAlign w:val="center"/>
          </w:tcPr>
          <w:p w14:paraId="1F66570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11</w:t>
            </w:r>
          </w:p>
        </w:tc>
        <w:tc>
          <w:tcPr>
            <w:tcW w:w="1405" w:type="pct"/>
            <w:vAlign w:val="center"/>
          </w:tcPr>
          <w:p w14:paraId="401A694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砷及其化合物</w:t>
            </w:r>
          </w:p>
        </w:tc>
        <w:tc>
          <w:tcPr>
            <w:tcW w:w="1093" w:type="pct"/>
            <w:vAlign w:val="center"/>
          </w:tcPr>
          <w:p w14:paraId="17216BF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测定均值</w:t>
            </w:r>
          </w:p>
        </w:tc>
        <w:tc>
          <w:tcPr>
            <w:tcW w:w="955" w:type="pct"/>
            <w:vAlign w:val="center"/>
          </w:tcPr>
          <w:p w14:paraId="0DF3FD5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0.5</w:t>
            </w:r>
          </w:p>
        </w:tc>
        <w:tc>
          <w:tcPr>
            <w:tcW w:w="1226" w:type="pct"/>
            <w:vMerge w:val="continue"/>
            <w:vAlign w:val="center"/>
          </w:tcPr>
          <w:p w14:paraId="128EC34E">
            <w:pPr>
              <w:adjustRightInd w:val="0"/>
              <w:snapToGrid w:val="0"/>
              <w:spacing w:before="250" w:beforeLines="50"/>
              <w:jc w:val="center"/>
              <w:rPr>
                <w:rFonts w:hint="default" w:ascii="Times New Roman" w:hAnsi="Times New Roman" w:eastAsia="华文中宋" w:cs="Times New Roman"/>
                <w:b w:val="0"/>
                <w:bCs/>
                <w:szCs w:val="21"/>
                <w:vertAlign w:val="baseline"/>
                <w:lang w:val="en-US" w:eastAsia="zh-CN"/>
              </w:rPr>
            </w:pPr>
          </w:p>
        </w:tc>
      </w:tr>
      <w:tr w14:paraId="11A4B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 w:type="pct"/>
            <w:vAlign w:val="center"/>
          </w:tcPr>
          <w:p w14:paraId="1D5A775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12</w:t>
            </w:r>
          </w:p>
        </w:tc>
        <w:tc>
          <w:tcPr>
            <w:tcW w:w="1405" w:type="pct"/>
            <w:vAlign w:val="center"/>
          </w:tcPr>
          <w:p w14:paraId="6ABFD28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铬及其化合物</w:t>
            </w:r>
          </w:p>
        </w:tc>
        <w:tc>
          <w:tcPr>
            <w:tcW w:w="1093" w:type="pct"/>
            <w:vAlign w:val="center"/>
          </w:tcPr>
          <w:p w14:paraId="288673B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测定均值</w:t>
            </w:r>
          </w:p>
        </w:tc>
        <w:tc>
          <w:tcPr>
            <w:tcW w:w="955" w:type="pct"/>
            <w:vAlign w:val="center"/>
          </w:tcPr>
          <w:p w14:paraId="62D3D5C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0.5</w:t>
            </w:r>
          </w:p>
        </w:tc>
        <w:tc>
          <w:tcPr>
            <w:tcW w:w="1226" w:type="pct"/>
            <w:vMerge w:val="continue"/>
            <w:vAlign w:val="center"/>
          </w:tcPr>
          <w:p w14:paraId="468C3FA8">
            <w:pPr>
              <w:adjustRightInd w:val="0"/>
              <w:snapToGrid w:val="0"/>
              <w:spacing w:before="250" w:beforeLines="50"/>
              <w:jc w:val="center"/>
              <w:rPr>
                <w:rFonts w:hint="default" w:ascii="Times New Roman" w:hAnsi="Times New Roman" w:eastAsia="华文中宋" w:cs="Times New Roman"/>
                <w:b w:val="0"/>
                <w:bCs/>
                <w:szCs w:val="21"/>
                <w:vertAlign w:val="baseline"/>
                <w:lang w:val="en-US" w:eastAsia="zh-CN"/>
              </w:rPr>
            </w:pPr>
          </w:p>
        </w:tc>
      </w:tr>
      <w:tr w14:paraId="73619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 w:type="pct"/>
            <w:vAlign w:val="center"/>
          </w:tcPr>
          <w:p w14:paraId="0858050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13</w:t>
            </w:r>
          </w:p>
        </w:tc>
        <w:tc>
          <w:tcPr>
            <w:tcW w:w="1405" w:type="pct"/>
            <w:vAlign w:val="center"/>
          </w:tcPr>
          <w:p w14:paraId="3C71B56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锡、锑、铜、锰、镍及其化合物（以Sn+Sb+Cu+Mn+Ni计）</w:t>
            </w:r>
          </w:p>
        </w:tc>
        <w:tc>
          <w:tcPr>
            <w:tcW w:w="1093" w:type="pct"/>
            <w:vAlign w:val="center"/>
          </w:tcPr>
          <w:p w14:paraId="377F64F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测定均值</w:t>
            </w:r>
          </w:p>
        </w:tc>
        <w:tc>
          <w:tcPr>
            <w:tcW w:w="955" w:type="pct"/>
            <w:vAlign w:val="center"/>
          </w:tcPr>
          <w:p w14:paraId="240181D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2.0</w:t>
            </w:r>
          </w:p>
        </w:tc>
        <w:tc>
          <w:tcPr>
            <w:tcW w:w="1226" w:type="pct"/>
            <w:vMerge w:val="continue"/>
            <w:vAlign w:val="center"/>
          </w:tcPr>
          <w:p w14:paraId="5D2587DE">
            <w:pPr>
              <w:adjustRightInd w:val="0"/>
              <w:snapToGrid w:val="0"/>
              <w:spacing w:before="250" w:beforeLines="50"/>
              <w:jc w:val="center"/>
              <w:rPr>
                <w:rFonts w:hint="default" w:ascii="Times New Roman" w:hAnsi="Times New Roman" w:eastAsia="华文中宋" w:cs="Times New Roman"/>
                <w:b w:val="0"/>
                <w:bCs/>
                <w:szCs w:val="21"/>
                <w:vertAlign w:val="baseline"/>
                <w:lang w:val="en-US" w:eastAsia="zh-CN"/>
              </w:rPr>
            </w:pPr>
          </w:p>
        </w:tc>
      </w:tr>
      <w:tr w14:paraId="77CB8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 w:type="pct"/>
            <w:vAlign w:val="center"/>
          </w:tcPr>
          <w:p w14:paraId="39A1416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14</w:t>
            </w:r>
          </w:p>
        </w:tc>
        <w:tc>
          <w:tcPr>
            <w:tcW w:w="1405" w:type="pct"/>
            <w:vAlign w:val="center"/>
          </w:tcPr>
          <w:p w14:paraId="1FE3DAC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二噁英</w:t>
            </w:r>
          </w:p>
        </w:tc>
        <w:tc>
          <w:tcPr>
            <w:tcW w:w="1093" w:type="pct"/>
            <w:vAlign w:val="center"/>
          </w:tcPr>
          <w:p w14:paraId="691EEF2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测定均值</w:t>
            </w:r>
          </w:p>
        </w:tc>
        <w:tc>
          <w:tcPr>
            <w:tcW w:w="955" w:type="pct"/>
            <w:vAlign w:val="center"/>
          </w:tcPr>
          <w:p w14:paraId="5919B12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0.5</w:t>
            </w:r>
          </w:p>
        </w:tc>
        <w:tc>
          <w:tcPr>
            <w:tcW w:w="1226" w:type="pct"/>
            <w:vMerge w:val="continue"/>
            <w:vAlign w:val="center"/>
          </w:tcPr>
          <w:p w14:paraId="550C485D">
            <w:pPr>
              <w:adjustRightInd w:val="0"/>
              <w:snapToGrid w:val="0"/>
              <w:spacing w:before="250" w:beforeLines="50"/>
              <w:jc w:val="center"/>
              <w:rPr>
                <w:rFonts w:hint="default" w:ascii="Times New Roman" w:hAnsi="Times New Roman" w:eastAsia="华文中宋" w:cs="Times New Roman"/>
                <w:b w:val="0"/>
                <w:bCs/>
                <w:szCs w:val="21"/>
                <w:vertAlign w:val="baseline"/>
                <w:lang w:val="en-US" w:eastAsia="zh-CN"/>
              </w:rPr>
            </w:pPr>
          </w:p>
        </w:tc>
      </w:tr>
    </w:tbl>
    <w:p w14:paraId="53B3A586">
      <w:pPr>
        <w:adjustRightInd w:val="0"/>
        <w:snapToGrid w:val="0"/>
        <w:spacing w:before="250" w:beforeLines="50"/>
        <w:ind w:firstLine="422" w:firstLineChars="200"/>
        <w:jc w:val="center"/>
        <w:rPr>
          <w:rFonts w:hint="eastAsia" w:ascii="Times New Roman" w:hAnsi="Times New Roman" w:eastAsia="华文中宋" w:cs="Times New Roman"/>
          <w:b/>
          <w:szCs w:val="21"/>
          <w:lang w:val="en-US" w:eastAsia="zh-CN"/>
        </w:rPr>
      </w:pPr>
      <w:r>
        <w:rPr>
          <w:rFonts w:hint="eastAsia" w:ascii="Times New Roman" w:hAnsi="Times New Roman" w:cs="Times New Roman" w:eastAsiaTheme="minorEastAsia"/>
          <w:b/>
          <w:szCs w:val="21"/>
          <w:lang w:val="en-US" w:eastAsia="zh-CN"/>
        </w:rPr>
        <w:t>表2.4-</w:t>
      </w:r>
      <w:r>
        <w:rPr>
          <w:rFonts w:hint="eastAsia" w:ascii="Times New Roman" w:hAnsi="Times New Roman" w:cs="Times New Roman"/>
          <w:b/>
          <w:szCs w:val="21"/>
          <w:lang w:val="en-US" w:eastAsia="zh-CN"/>
        </w:rPr>
        <w:t xml:space="preserve">6  </w:t>
      </w:r>
      <w:r>
        <w:rPr>
          <w:rFonts w:hint="eastAsia" w:ascii="Times New Roman" w:hAnsi="Times New Roman" w:eastAsia="华文中宋" w:cs="Times New Roman"/>
          <w:b/>
          <w:szCs w:val="21"/>
          <w:lang w:val="en-US" w:eastAsia="zh-CN"/>
        </w:rPr>
        <w:t>医废暂存间有组织大气污染物排放标准</w:t>
      </w:r>
    </w:p>
    <w:p w14:paraId="7ED09D12">
      <w:pPr>
        <w:adjustRightInd w:val="0"/>
        <w:snapToGrid w:val="0"/>
        <w:spacing w:before="250" w:beforeLines="50"/>
        <w:ind w:firstLine="422" w:firstLineChars="200"/>
        <w:jc w:val="right"/>
        <w:rPr>
          <w:rFonts w:hint="default" w:ascii="Times New Roman" w:hAnsi="Times New Roman" w:eastAsia="华文中宋" w:cs="Times New Roman"/>
          <w:b/>
          <w:szCs w:val="21"/>
          <w:lang w:val="en-US" w:eastAsia="zh-CN"/>
        </w:rPr>
      </w:pPr>
      <w:r>
        <w:rPr>
          <w:rFonts w:hint="eastAsia" w:ascii="Times New Roman" w:hAnsi="Times New Roman" w:eastAsia="华文中宋" w:cs="Times New Roman"/>
          <w:b/>
          <w:szCs w:val="21"/>
          <w:lang w:val="en-US" w:eastAsia="zh-CN"/>
        </w:rPr>
        <w:t>单位：kg/h</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3410"/>
      </w:tblGrid>
      <w:tr w14:paraId="199CE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4" w:type="dxa"/>
          </w:tcPr>
          <w:p w14:paraId="10909E46">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序号</w:t>
            </w:r>
          </w:p>
        </w:tc>
        <w:tc>
          <w:tcPr>
            <w:tcW w:w="1704" w:type="dxa"/>
          </w:tcPr>
          <w:p w14:paraId="495A06B2">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污染物名称</w:t>
            </w:r>
          </w:p>
        </w:tc>
        <w:tc>
          <w:tcPr>
            <w:tcW w:w="1704" w:type="dxa"/>
          </w:tcPr>
          <w:p w14:paraId="337F3BA3">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限值</w:t>
            </w:r>
          </w:p>
        </w:tc>
        <w:tc>
          <w:tcPr>
            <w:tcW w:w="3410" w:type="dxa"/>
          </w:tcPr>
          <w:p w14:paraId="5F49034C">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执行标准</w:t>
            </w:r>
          </w:p>
        </w:tc>
      </w:tr>
      <w:tr w14:paraId="3EE98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4B31E9DF">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1</w:t>
            </w:r>
          </w:p>
        </w:tc>
        <w:tc>
          <w:tcPr>
            <w:tcW w:w="1704" w:type="dxa"/>
            <w:vAlign w:val="center"/>
          </w:tcPr>
          <w:p w14:paraId="124EF7BF">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硫化氢</w:t>
            </w:r>
          </w:p>
        </w:tc>
        <w:tc>
          <w:tcPr>
            <w:tcW w:w="1704" w:type="dxa"/>
          </w:tcPr>
          <w:p w14:paraId="350610D1">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0.33</w:t>
            </w:r>
          </w:p>
        </w:tc>
        <w:tc>
          <w:tcPr>
            <w:tcW w:w="3410" w:type="dxa"/>
            <w:vMerge w:val="restart"/>
          </w:tcPr>
          <w:p w14:paraId="3A7B7CF0">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《恶臭污染物排放标准》（</w:t>
            </w:r>
            <w:r>
              <w:rPr>
                <w:rFonts w:hint="default" w:ascii="Times New Roman" w:hAnsi="Times New Roman" w:cs="Times New Roman"/>
                <w:szCs w:val="21"/>
                <w:lang w:val="en-US" w:eastAsia="zh-CN"/>
              </w:rPr>
              <w:t>GB14554-93</w:t>
            </w:r>
            <w:r>
              <w:rPr>
                <w:rFonts w:hint="eastAsia" w:ascii="Times New Roman" w:hAnsi="Times New Roman" w:cs="Times New Roman"/>
                <w:szCs w:val="21"/>
                <w:lang w:val="en-US" w:eastAsia="zh-CN"/>
              </w:rPr>
              <w:t>）表2</w:t>
            </w:r>
          </w:p>
        </w:tc>
      </w:tr>
      <w:tr w14:paraId="3278A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4028A458">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2</w:t>
            </w:r>
          </w:p>
        </w:tc>
        <w:tc>
          <w:tcPr>
            <w:tcW w:w="1704" w:type="dxa"/>
            <w:vAlign w:val="center"/>
          </w:tcPr>
          <w:p w14:paraId="6B1C2F6B">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氨</w:t>
            </w:r>
          </w:p>
        </w:tc>
        <w:tc>
          <w:tcPr>
            <w:tcW w:w="1704" w:type="dxa"/>
          </w:tcPr>
          <w:p w14:paraId="31E8FF78">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4.9</w:t>
            </w:r>
          </w:p>
        </w:tc>
        <w:tc>
          <w:tcPr>
            <w:tcW w:w="3410" w:type="dxa"/>
            <w:vMerge w:val="continue"/>
          </w:tcPr>
          <w:p w14:paraId="5A64BA93">
            <w:pPr>
              <w:adjustRightInd w:val="0"/>
              <w:snapToGrid w:val="0"/>
              <w:spacing w:line="500" w:lineRule="exact"/>
              <w:jc w:val="left"/>
              <w:rPr>
                <w:rFonts w:hint="default" w:ascii="Times New Roman" w:hAnsi="Times New Roman" w:cs="Times New Roman" w:eastAsiaTheme="minorEastAsia"/>
                <w:sz w:val="24"/>
                <w:vertAlign w:val="baseline"/>
                <w:lang w:val="en-US" w:eastAsia="zh-CN"/>
              </w:rPr>
            </w:pPr>
          </w:p>
        </w:tc>
      </w:tr>
    </w:tbl>
    <w:p w14:paraId="2C5275A0">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2</w:t>
      </w: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废水</w:t>
      </w:r>
    </w:p>
    <w:p w14:paraId="26409559">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生产废水执行《医疗机构水污染物排放标准》（GB18466-2005）、《城市污水再生利用工业用水水质》（GB/T19923-2024）和《污水综合排放标准》（GB8978-1996）Ⅱ类，较严限值后作为清洗消毒和冷却用水全部回用（经比对，项目废水污染物执行标准中《医疗机构水污染物排放标准》（</w:t>
      </w:r>
      <w:r>
        <w:rPr>
          <w:rFonts w:hint="eastAsia" w:ascii="Times New Roman" w:hAnsi="Times New Roman" w:cs="Times New Roman"/>
          <w:sz w:val="24"/>
          <w:lang w:val="en-US" w:eastAsia="zh-CN"/>
        </w:rPr>
        <w:t>GB 18466</w:t>
      </w:r>
      <w:r>
        <w:rPr>
          <w:rFonts w:hint="default" w:ascii="Times New Roman" w:hAnsi="Times New Roman" w:cs="Times New Roman" w:eastAsiaTheme="minorEastAsia"/>
          <w:sz w:val="24"/>
          <w:lang w:val="en-US" w:eastAsia="zh-CN"/>
        </w:rPr>
        <w:t>-2005）、《城市污水再生利用工业用水水质》（GB/T19923-2024）限值要求均严于《污水综合排放标准》（GB8978-1996）Ⅱ类要求）。</w:t>
      </w:r>
    </w:p>
    <w:p w14:paraId="541E9A3E">
      <w:pPr>
        <w:adjustRightInd w:val="0"/>
        <w:snapToGrid w:val="0"/>
        <w:spacing w:before="250"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表2.4-7  废水回用执行标准</w:t>
      </w:r>
    </w:p>
    <w:tbl>
      <w:tblPr>
        <w:tblStyle w:val="1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
        <w:gridCol w:w="2645"/>
        <w:gridCol w:w="1266"/>
        <w:gridCol w:w="1592"/>
        <w:gridCol w:w="2157"/>
      </w:tblGrid>
      <w:tr w14:paraId="181B5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pct"/>
            <w:vAlign w:val="center"/>
          </w:tcPr>
          <w:p w14:paraId="1CDD8ED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序号</w:t>
            </w:r>
          </w:p>
        </w:tc>
        <w:tc>
          <w:tcPr>
            <w:tcW w:w="1552" w:type="pct"/>
            <w:vAlign w:val="center"/>
          </w:tcPr>
          <w:p w14:paraId="2AD30B7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控制项目</w:t>
            </w:r>
          </w:p>
        </w:tc>
        <w:tc>
          <w:tcPr>
            <w:tcW w:w="743" w:type="pct"/>
            <w:vAlign w:val="center"/>
          </w:tcPr>
          <w:p w14:paraId="7671899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排放限值</w:t>
            </w:r>
          </w:p>
        </w:tc>
        <w:tc>
          <w:tcPr>
            <w:tcW w:w="934" w:type="pct"/>
            <w:vAlign w:val="center"/>
          </w:tcPr>
          <w:p w14:paraId="0A3EF80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单位</w:t>
            </w:r>
          </w:p>
        </w:tc>
        <w:tc>
          <w:tcPr>
            <w:tcW w:w="1266" w:type="pct"/>
            <w:vAlign w:val="center"/>
          </w:tcPr>
          <w:p w14:paraId="4FC1977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标准来源</w:t>
            </w:r>
          </w:p>
        </w:tc>
      </w:tr>
      <w:tr w14:paraId="2AD9B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pct"/>
            <w:shd w:val="clear" w:color="auto" w:fill="auto"/>
            <w:vAlign w:val="center"/>
          </w:tcPr>
          <w:p w14:paraId="5890708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w:t>
            </w:r>
          </w:p>
        </w:tc>
        <w:tc>
          <w:tcPr>
            <w:tcW w:w="1552" w:type="pct"/>
            <w:shd w:val="clear" w:color="auto" w:fill="auto"/>
            <w:vAlign w:val="center"/>
          </w:tcPr>
          <w:p w14:paraId="71BDB7E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粪大肠菌群数</w:t>
            </w:r>
          </w:p>
        </w:tc>
        <w:tc>
          <w:tcPr>
            <w:tcW w:w="743" w:type="pct"/>
            <w:vAlign w:val="center"/>
          </w:tcPr>
          <w:p w14:paraId="24EFA7E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500</w:t>
            </w:r>
          </w:p>
        </w:tc>
        <w:tc>
          <w:tcPr>
            <w:tcW w:w="934" w:type="pct"/>
            <w:vAlign w:val="center"/>
          </w:tcPr>
          <w:p w14:paraId="6E67A20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MPN/L</w:t>
            </w:r>
          </w:p>
        </w:tc>
        <w:tc>
          <w:tcPr>
            <w:tcW w:w="1266" w:type="pct"/>
            <w:vMerge w:val="restart"/>
            <w:vAlign w:val="center"/>
          </w:tcPr>
          <w:p w14:paraId="2F847E6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《医疗机构水污染物排放标准》（GB18466-2005）表2限值要求</w:t>
            </w:r>
          </w:p>
        </w:tc>
      </w:tr>
      <w:tr w14:paraId="5AF69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pct"/>
            <w:shd w:val="clear" w:color="auto" w:fill="auto"/>
            <w:vAlign w:val="center"/>
          </w:tcPr>
          <w:p w14:paraId="6AA47E4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w:t>
            </w:r>
          </w:p>
        </w:tc>
        <w:tc>
          <w:tcPr>
            <w:tcW w:w="1552" w:type="pct"/>
            <w:shd w:val="clear" w:color="auto" w:fill="auto"/>
            <w:vAlign w:val="center"/>
          </w:tcPr>
          <w:p w14:paraId="6C59856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pH</w:t>
            </w:r>
          </w:p>
        </w:tc>
        <w:tc>
          <w:tcPr>
            <w:tcW w:w="743" w:type="pct"/>
            <w:vAlign w:val="center"/>
          </w:tcPr>
          <w:p w14:paraId="1EE98E3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6-9</w:t>
            </w:r>
          </w:p>
        </w:tc>
        <w:tc>
          <w:tcPr>
            <w:tcW w:w="934" w:type="pct"/>
            <w:vAlign w:val="center"/>
          </w:tcPr>
          <w:p w14:paraId="2D3A9A6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1266" w:type="pct"/>
            <w:vMerge w:val="continue"/>
            <w:vAlign w:val="center"/>
          </w:tcPr>
          <w:p w14:paraId="38F39401">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3AE90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pct"/>
            <w:shd w:val="clear" w:color="auto" w:fill="auto"/>
            <w:vAlign w:val="center"/>
          </w:tcPr>
          <w:p w14:paraId="3863067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w:t>
            </w:r>
          </w:p>
        </w:tc>
        <w:tc>
          <w:tcPr>
            <w:tcW w:w="1552" w:type="pct"/>
            <w:shd w:val="clear" w:color="auto" w:fill="auto"/>
            <w:vAlign w:val="center"/>
          </w:tcPr>
          <w:p w14:paraId="6335BFE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悬浮物（SS）</w:t>
            </w:r>
          </w:p>
        </w:tc>
        <w:tc>
          <w:tcPr>
            <w:tcW w:w="743" w:type="pct"/>
            <w:vAlign w:val="center"/>
          </w:tcPr>
          <w:p w14:paraId="3DC5348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20</w:t>
            </w:r>
          </w:p>
        </w:tc>
        <w:tc>
          <w:tcPr>
            <w:tcW w:w="934" w:type="pct"/>
            <w:vAlign w:val="center"/>
          </w:tcPr>
          <w:p w14:paraId="6B2AC69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mg/L</w:t>
            </w:r>
          </w:p>
        </w:tc>
        <w:tc>
          <w:tcPr>
            <w:tcW w:w="1266" w:type="pct"/>
            <w:vMerge w:val="continue"/>
            <w:vAlign w:val="center"/>
          </w:tcPr>
          <w:p w14:paraId="77BE56EE">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05050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pct"/>
            <w:shd w:val="clear" w:color="auto" w:fill="auto"/>
            <w:vAlign w:val="center"/>
          </w:tcPr>
          <w:p w14:paraId="793068E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9</w:t>
            </w:r>
          </w:p>
        </w:tc>
        <w:tc>
          <w:tcPr>
            <w:tcW w:w="1552" w:type="pct"/>
            <w:shd w:val="clear" w:color="auto" w:fill="auto"/>
            <w:vAlign w:val="center"/>
          </w:tcPr>
          <w:p w14:paraId="6D4D283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总汞</w:t>
            </w:r>
          </w:p>
        </w:tc>
        <w:tc>
          <w:tcPr>
            <w:tcW w:w="743" w:type="pct"/>
            <w:vAlign w:val="center"/>
          </w:tcPr>
          <w:p w14:paraId="6E5612F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0.05</w:t>
            </w:r>
          </w:p>
        </w:tc>
        <w:tc>
          <w:tcPr>
            <w:tcW w:w="934" w:type="pct"/>
            <w:vAlign w:val="center"/>
          </w:tcPr>
          <w:p w14:paraId="2B9E4CB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mg/L</w:t>
            </w:r>
          </w:p>
        </w:tc>
        <w:tc>
          <w:tcPr>
            <w:tcW w:w="1266" w:type="pct"/>
            <w:vMerge w:val="continue"/>
            <w:vAlign w:val="center"/>
          </w:tcPr>
          <w:p w14:paraId="33F9F827">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7B52F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pct"/>
            <w:shd w:val="clear" w:color="auto" w:fill="auto"/>
            <w:vAlign w:val="center"/>
          </w:tcPr>
          <w:p w14:paraId="7232E2C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w:t>
            </w:r>
          </w:p>
        </w:tc>
        <w:tc>
          <w:tcPr>
            <w:tcW w:w="1552" w:type="pct"/>
            <w:shd w:val="clear" w:color="auto" w:fill="auto"/>
            <w:vAlign w:val="center"/>
          </w:tcPr>
          <w:p w14:paraId="179D29D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总镉</w:t>
            </w:r>
          </w:p>
        </w:tc>
        <w:tc>
          <w:tcPr>
            <w:tcW w:w="743" w:type="pct"/>
            <w:vAlign w:val="center"/>
          </w:tcPr>
          <w:p w14:paraId="6AA99E6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0.1</w:t>
            </w:r>
          </w:p>
        </w:tc>
        <w:tc>
          <w:tcPr>
            <w:tcW w:w="934" w:type="pct"/>
            <w:vAlign w:val="center"/>
          </w:tcPr>
          <w:p w14:paraId="41F598E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mg/L</w:t>
            </w:r>
          </w:p>
        </w:tc>
        <w:tc>
          <w:tcPr>
            <w:tcW w:w="1266" w:type="pct"/>
            <w:vMerge w:val="continue"/>
            <w:vAlign w:val="center"/>
          </w:tcPr>
          <w:p w14:paraId="7AA4DDEC">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776AD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pct"/>
            <w:shd w:val="clear" w:color="auto" w:fill="auto"/>
            <w:vAlign w:val="center"/>
          </w:tcPr>
          <w:p w14:paraId="43B1169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11</w:t>
            </w:r>
          </w:p>
        </w:tc>
        <w:tc>
          <w:tcPr>
            <w:tcW w:w="1552" w:type="pct"/>
            <w:shd w:val="clear" w:color="auto" w:fill="auto"/>
            <w:vAlign w:val="center"/>
          </w:tcPr>
          <w:p w14:paraId="0587D27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总铬</w:t>
            </w:r>
          </w:p>
        </w:tc>
        <w:tc>
          <w:tcPr>
            <w:tcW w:w="743" w:type="pct"/>
            <w:vAlign w:val="center"/>
          </w:tcPr>
          <w:p w14:paraId="150388C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1.5</w:t>
            </w:r>
          </w:p>
        </w:tc>
        <w:tc>
          <w:tcPr>
            <w:tcW w:w="934" w:type="pct"/>
            <w:vAlign w:val="center"/>
          </w:tcPr>
          <w:p w14:paraId="14F7606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mg/L</w:t>
            </w:r>
          </w:p>
        </w:tc>
        <w:tc>
          <w:tcPr>
            <w:tcW w:w="1266" w:type="pct"/>
            <w:vMerge w:val="continue"/>
            <w:vAlign w:val="center"/>
          </w:tcPr>
          <w:p w14:paraId="098BAE30">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4540D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pct"/>
            <w:shd w:val="clear" w:color="auto" w:fill="auto"/>
            <w:vAlign w:val="center"/>
          </w:tcPr>
          <w:p w14:paraId="2C78140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12</w:t>
            </w:r>
          </w:p>
        </w:tc>
        <w:tc>
          <w:tcPr>
            <w:tcW w:w="1552" w:type="pct"/>
            <w:shd w:val="clear" w:color="auto" w:fill="auto"/>
            <w:vAlign w:val="center"/>
          </w:tcPr>
          <w:p w14:paraId="0A23C0D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六价铬</w:t>
            </w:r>
          </w:p>
        </w:tc>
        <w:tc>
          <w:tcPr>
            <w:tcW w:w="743" w:type="pct"/>
            <w:vAlign w:val="center"/>
          </w:tcPr>
          <w:p w14:paraId="036C120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0.5</w:t>
            </w:r>
          </w:p>
        </w:tc>
        <w:tc>
          <w:tcPr>
            <w:tcW w:w="934" w:type="pct"/>
            <w:vAlign w:val="center"/>
          </w:tcPr>
          <w:p w14:paraId="4B96F85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mg/L</w:t>
            </w:r>
          </w:p>
        </w:tc>
        <w:tc>
          <w:tcPr>
            <w:tcW w:w="1266" w:type="pct"/>
            <w:vMerge w:val="continue"/>
            <w:vAlign w:val="center"/>
          </w:tcPr>
          <w:p w14:paraId="3D71E374">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7858F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pct"/>
            <w:shd w:val="clear" w:color="auto" w:fill="auto"/>
            <w:vAlign w:val="center"/>
          </w:tcPr>
          <w:p w14:paraId="374B56F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13</w:t>
            </w:r>
          </w:p>
        </w:tc>
        <w:tc>
          <w:tcPr>
            <w:tcW w:w="1552" w:type="pct"/>
            <w:shd w:val="clear" w:color="auto" w:fill="auto"/>
            <w:vAlign w:val="center"/>
          </w:tcPr>
          <w:p w14:paraId="072F5D4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总砷</w:t>
            </w:r>
          </w:p>
        </w:tc>
        <w:tc>
          <w:tcPr>
            <w:tcW w:w="743" w:type="pct"/>
            <w:vAlign w:val="center"/>
          </w:tcPr>
          <w:p w14:paraId="6A02E7F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0.5</w:t>
            </w:r>
          </w:p>
        </w:tc>
        <w:tc>
          <w:tcPr>
            <w:tcW w:w="934" w:type="pct"/>
            <w:vAlign w:val="center"/>
          </w:tcPr>
          <w:p w14:paraId="7310ED5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mg/L</w:t>
            </w:r>
          </w:p>
        </w:tc>
        <w:tc>
          <w:tcPr>
            <w:tcW w:w="1266" w:type="pct"/>
            <w:vMerge w:val="continue"/>
            <w:vAlign w:val="center"/>
          </w:tcPr>
          <w:p w14:paraId="2EE9F789">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437C4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pct"/>
            <w:shd w:val="clear" w:color="auto" w:fill="auto"/>
            <w:vAlign w:val="center"/>
          </w:tcPr>
          <w:p w14:paraId="0B304CE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14</w:t>
            </w:r>
          </w:p>
        </w:tc>
        <w:tc>
          <w:tcPr>
            <w:tcW w:w="1552" w:type="pct"/>
            <w:shd w:val="clear" w:color="auto" w:fill="auto"/>
            <w:vAlign w:val="center"/>
          </w:tcPr>
          <w:p w14:paraId="75D7CDC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总铅</w:t>
            </w:r>
          </w:p>
        </w:tc>
        <w:tc>
          <w:tcPr>
            <w:tcW w:w="743" w:type="pct"/>
            <w:vAlign w:val="center"/>
          </w:tcPr>
          <w:p w14:paraId="43EAA77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w:t>
            </w:r>
          </w:p>
        </w:tc>
        <w:tc>
          <w:tcPr>
            <w:tcW w:w="934" w:type="pct"/>
            <w:vAlign w:val="center"/>
          </w:tcPr>
          <w:p w14:paraId="2CA2576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mg/L</w:t>
            </w:r>
          </w:p>
        </w:tc>
        <w:tc>
          <w:tcPr>
            <w:tcW w:w="1266" w:type="pct"/>
            <w:vMerge w:val="continue"/>
            <w:vAlign w:val="center"/>
          </w:tcPr>
          <w:p w14:paraId="24FF9CBF">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0648D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pct"/>
            <w:shd w:val="clear" w:color="auto" w:fill="auto"/>
            <w:vAlign w:val="center"/>
          </w:tcPr>
          <w:p w14:paraId="339B09E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18</w:t>
            </w:r>
          </w:p>
        </w:tc>
        <w:tc>
          <w:tcPr>
            <w:tcW w:w="1552" w:type="pct"/>
            <w:shd w:val="clear" w:color="auto" w:fill="auto"/>
            <w:vAlign w:val="center"/>
          </w:tcPr>
          <w:p w14:paraId="5708C97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生化需氧量（BOD）</w:t>
            </w:r>
          </w:p>
        </w:tc>
        <w:tc>
          <w:tcPr>
            <w:tcW w:w="743" w:type="pct"/>
            <w:vAlign w:val="center"/>
          </w:tcPr>
          <w:p w14:paraId="642483A1">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w:t>
            </w:r>
          </w:p>
        </w:tc>
        <w:tc>
          <w:tcPr>
            <w:tcW w:w="934" w:type="pct"/>
            <w:vAlign w:val="center"/>
          </w:tcPr>
          <w:p w14:paraId="58BC7B7C">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mg/L</w:t>
            </w:r>
          </w:p>
        </w:tc>
        <w:tc>
          <w:tcPr>
            <w:tcW w:w="1266" w:type="pct"/>
            <w:vMerge w:val="restart"/>
            <w:vAlign w:val="center"/>
          </w:tcPr>
          <w:p w14:paraId="0707F6C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《城市污水再生利用 工业用水水质》（GB/T19923-2024）表1（直流冷却水、洗涤用水）</w:t>
            </w:r>
          </w:p>
        </w:tc>
      </w:tr>
      <w:tr w14:paraId="7D132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pct"/>
            <w:shd w:val="clear" w:color="auto" w:fill="auto"/>
            <w:vAlign w:val="center"/>
          </w:tcPr>
          <w:p w14:paraId="25EF880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19</w:t>
            </w:r>
          </w:p>
        </w:tc>
        <w:tc>
          <w:tcPr>
            <w:tcW w:w="1552" w:type="pct"/>
            <w:shd w:val="clear" w:color="auto" w:fill="auto"/>
            <w:vAlign w:val="center"/>
          </w:tcPr>
          <w:p w14:paraId="3D74748D">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氨氮</w:t>
            </w:r>
          </w:p>
        </w:tc>
        <w:tc>
          <w:tcPr>
            <w:tcW w:w="743" w:type="pct"/>
            <w:vAlign w:val="center"/>
          </w:tcPr>
          <w:p w14:paraId="3115775E">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w:t>
            </w:r>
          </w:p>
        </w:tc>
        <w:tc>
          <w:tcPr>
            <w:tcW w:w="934" w:type="pct"/>
            <w:vAlign w:val="center"/>
          </w:tcPr>
          <w:p w14:paraId="73198057">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mg/L</w:t>
            </w:r>
          </w:p>
        </w:tc>
        <w:tc>
          <w:tcPr>
            <w:tcW w:w="1266" w:type="pct"/>
            <w:vMerge w:val="continue"/>
            <w:vAlign w:val="center"/>
          </w:tcPr>
          <w:p w14:paraId="106CBA59">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33E15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pct"/>
            <w:shd w:val="clear" w:color="auto" w:fill="auto"/>
            <w:vAlign w:val="center"/>
          </w:tcPr>
          <w:p w14:paraId="27D3EBB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20</w:t>
            </w:r>
          </w:p>
        </w:tc>
        <w:tc>
          <w:tcPr>
            <w:tcW w:w="1552" w:type="pct"/>
            <w:shd w:val="clear" w:color="auto" w:fill="auto"/>
            <w:vAlign w:val="center"/>
          </w:tcPr>
          <w:p w14:paraId="541931FE">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石油类</w:t>
            </w:r>
          </w:p>
        </w:tc>
        <w:tc>
          <w:tcPr>
            <w:tcW w:w="743" w:type="pct"/>
            <w:vAlign w:val="center"/>
          </w:tcPr>
          <w:p w14:paraId="69D07253">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w:t>
            </w:r>
          </w:p>
        </w:tc>
        <w:tc>
          <w:tcPr>
            <w:tcW w:w="934" w:type="pct"/>
            <w:vAlign w:val="center"/>
          </w:tcPr>
          <w:p w14:paraId="256CDA65">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mg/L</w:t>
            </w:r>
          </w:p>
        </w:tc>
        <w:tc>
          <w:tcPr>
            <w:tcW w:w="1266" w:type="pct"/>
            <w:vMerge w:val="continue"/>
            <w:vAlign w:val="center"/>
          </w:tcPr>
          <w:p w14:paraId="1E621C46">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10101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pct"/>
            <w:shd w:val="clear" w:color="auto" w:fill="auto"/>
            <w:vAlign w:val="center"/>
          </w:tcPr>
          <w:p w14:paraId="697A07A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34</w:t>
            </w:r>
          </w:p>
        </w:tc>
        <w:tc>
          <w:tcPr>
            <w:tcW w:w="1552" w:type="pct"/>
            <w:shd w:val="clear" w:color="auto" w:fill="auto"/>
            <w:vAlign w:val="center"/>
          </w:tcPr>
          <w:p w14:paraId="15E04693">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化学需氧量（COD）</w:t>
            </w:r>
          </w:p>
        </w:tc>
        <w:tc>
          <w:tcPr>
            <w:tcW w:w="743" w:type="pct"/>
            <w:vAlign w:val="center"/>
          </w:tcPr>
          <w:p w14:paraId="3846B10D">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50</w:t>
            </w:r>
          </w:p>
        </w:tc>
        <w:tc>
          <w:tcPr>
            <w:tcW w:w="934" w:type="pct"/>
            <w:vAlign w:val="center"/>
          </w:tcPr>
          <w:p w14:paraId="197CE6F0">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mg/L</w:t>
            </w:r>
          </w:p>
        </w:tc>
        <w:tc>
          <w:tcPr>
            <w:tcW w:w="1266" w:type="pct"/>
            <w:vMerge w:val="continue"/>
            <w:vAlign w:val="center"/>
          </w:tcPr>
          <w:p w14:paraId="453CBE09">
            <w:pPr>
              <w:autoSpaceDE w:val="0"/>
              <w:autoSpaceDN w:val="0"/>
              <w:spacing w:line="300" w:lineRule="exact"/>
              <w:jc w:val="center"/>
              <w:rPr>
                <w:rFonts w:hint="default" w:ascii="Times New Roman" w:hAnsi="Times New Roman" w:cs="Times New Roman" w:eastAsiaTheme="minorEastAsia"/>
                <w:szCs w:val="21"/>
                <w:lang w:val="en-US" w:eastAsia="zh-CN"/>
              </w:rPr>
            </w:pPr>
          </w:p>
        </w:tc>
      </w:tr>
    </w:tbl>
    <w:p w14:paraId="094A793A">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（3）噪声</w:t>
      </w:r>
    </w:p>
    <w:p w14:paraId="40DE178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施工噪声执行《建筑施工噪声排放标准》（</w:t>
      </w:r>
      <w:r>
        <w:rPr>
          <w:rFonts w:hint="default" w:ascii="Times New Roman" w:hAnsi="Times New Roman" w:cs="Times New Roman" w:eastAsiaTheme="minorEastAsia"/>
          <w:sz w:val="24"/>
          <w:lang w:val="en-US" w:eastAsia="zh-CN"/>
        </w:rPr>
        <w:t>GB12523-20</w:t>
      </w:r>
      <w:r>
        <w:rPr>
          <w:rFonts w:hint="eastAsia" w:ascii="Times New Roman" w:hAnsi="Times New Roman" w:cs="Times New Roman" w:eastAsiaTheme="minorEastAsia"/>
          <w:sz w:val="24"/>
          <w:lang w:val="en-US" w:eastAsia="zh-CN"/>
        </w:rPr>
        <w:t>25）中相应限值；厂界噪声执行《工业企业厂界环境噪声排放标准》（</w:t>
      </w:r>
      <w:r>
        <w:rPr>
          <w:rFonts w:hint="default" w:ascii="Times New Roman" w:hAnsi="Times New Roman" w:cs="Times New Roman" w:eastAsiaTheme="minorEastAsia"/>
          <w:sz w:val="24"/>
          <w:lang w:val="en-US" w:eastAsia="zh-CN"/>
        </w:rPr>
        <w:t>GB12348-2008</w:t>
      </w:r>
      <w:r>
        <w:rPr>
          <w:rFonts w:hint="eastAsia" w:ascii="Times New Roman" w:hAnsi="Times New Roman" w:cs="Times New Roman" w:eastAsiaTheme="minorEastAsia"/>
          <w:sz w:val="24"/>
          <w:lang w:val="en-US" w:eastAsia="zh-CN"/>
        </w:rPr>
        <w:t>）3类标准。</w:t>
      </w:r>
      <w:r>
        <w:rPr>
          <w:rFonts w:hint="default" w:ascii="Times New Roman" w:hAnsi="Times New Roman" w:cs="Times New Roman" w:eastAsiaTheme="minorEastAsia"/>
          <w:sz w:val="24"/>
          <w:lang w:val="en-US" w:eastAsia="zh-CN"/>
        </w:rPr>
        <w:t>标准值见表2.4-</w:t>
      </w:r>
      <w:r>
        <w:rPr>
          <w:rFonts w:hint="eastAsia" w:ascii="Times New Roman" w:hAnsi="Times New Roman" w:cs="Times New Roman" w:eastAsiaTheme="minorEastAsia"/>
          <w:sz w:val="24"/>
          <w:lang w:val="en-US" w:eastAsia="zh-CN"/>
        </w:rPr>
        <w:t>8</w:t>
      </w:r>
      <w:r>
        <w:rPr>
          <w:rFonts w:hint="default" w:ascii="Times New Roman" w:hAnsi="Times New Roman" w:cs="Times New Roman" w:eastAsiaTheme="minorEastAsia"/>
          <w:sz w:val="24"/>
          <w:lang w:val="en-US" w:eastAsia="zh-CN"/>
        </w:rPr>
        <w:t>。</w:t>
      </w:r>
    </w:p>
    <w:p w14:paraId="79A0FF2B">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表2.</w:t>
      </w:r>
      <w:r>
        <w:rPr>
          <w:rFonts w:hint="eastAsia" w:ascii="Times New Roman" w:hAnsi="Times New Roman" w:cs="Times New Roman" w:eastAsiaTheme="minorEastAsia"/>
          <w:b/>
          <w:szCs w:val="21"/>
          <w:lang w:val="en-US" w:eastAsia="zh-CN"/>
        </w:rPr>
        <w:t>4</w:t>
      </w:r>
      <w:r>
        <w:rPr>
          <w:rFonts w:hint="default" w:ascii="Times New Roman" w:hAnsi="Times New Roman" w:cs="Times New Roman" w:eastAsiaTheme="minorEastAsia"/>
          <w:b/>
          <w:szCs w:val="21"/>
          <w:lang w:val="en-US" w:eastAsia="zh-CN"/>
        </w:rPr>
        <w:t>-</w:t>
      </w:r>
      <w:r>
        <w:rPr>
          <w:rFonts w:hint="eastAsia" w:ascii="Times New Roman" w:hAnsi="Times New Roman" w:cs="Times New Roman" w:eastAsiaTheme="minorEastAsia"/>
          <w:b/>
          <w:szCs w:val="21"/>
          <w:lang w:val="en-US" w:eastAsia="zh-CN"/>
        </w:rPr>
        <w:t>8</w:t>
      </w:r>
      <w:r>
        <w:rPr>
          <w:rFonts w:hint="default" w:ascii="Times New Roman" w:hAnsi="Times New Roman" w:cs="Times New Roman" w:eastAsiaTheme="minorEastAsia"/>
          <w:b/>
          <w:szCs w:val="21"/>
          <w:lang w:val="en-US" w:eastAsia="zh-CN"/>
        </w:rPr>
        <w:t xml:space="preserve">  工业企业厂界环境噪声排放限值</w:t>
      </w:r>
    </w:p>
    <w:tbl>
      <w:tblPr>
        <w:tblStyle w:val="1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2"/>
        <w:gridCol w:w="869"/>
        <w:gridCol w:w="1239"/>
        <w:gridCol w:w="5199"/>
      </w:tblGrid>
      <w:tr w14:paraId="27750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1" w:type="pct"/>
            <w:tcBorders>
              <w:tl2br w:val="nil"/>
              <w:tr2bl w:val="nil"/>
            </w:tcBorders>
            <w:noWrap w:val="0"/>
            <w:vAlign w:val="center"/>
          </w:tcPr>
          <w:p w14:paraId="7966B01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项目</w:t>
            </w:r>
          </w:p>
        </w:tc>
        <w:tc>
          <w:tcPr>
            <w:tcW w:w="510" w:type="pct"/>
            <w:tcBorders>
              <w:tl2br w:val="nil"/>
              <w:tr2bl w:val="nil"/>
            </w:tcBorders>
            <w:noWrap w:val="0"/>
            <w:vAlign w:val="center"/>
          </w:tcPr>
          <w:p w14:paraId="2F6F5CD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时段</w:t>
            </w:r>
          </w:p>
        </w:tc>
        <w:tc>
          <w:tcPr>
            <w:tcW w:w="727" w:type="pct"/>
            <w:tcBorders>
              <w:tl2br w:val="nil"/>
              <w:tr2bl w:val="nil"/>
            </w:tcBorders>
            <w:noWrap w:val="0"/>
            <w:vAlign w:val="center"/>
          </w:tcPr>
          <w:p w14:paraId="5E6C5FE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标准值</w:t>
            </w:r>
          </w:p>
        </w:tc>
        <w:tc>
          <w:tcPr>
            <w:tcW w:w="3050" w:type="pct"/>
            <w:tcBorders>
              <w:tl2br w:val="nil"/>
              <w:tr2bl w:val="nil"/>
            </w:tcBorders>
            <w:noWrap w:val="0"/>
            <w:vAlign w:val="center"/>
          </w:tcPr>
          <w:p w14:paraId="79F38C8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标准来源</w:t>
            </w:r>
          </w:p>
        </w:tc>
      </w:tr>
      <w:tr w14:paraId="72256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1" w:type="pct"/>
            <w:vMerge w:val="restart"/>
            <w:tcBorders>
              <w:tl2br w:val="nil"/>
              <w:tr2bl w:val="nil"/>
            </w:tcBorders>
            <w:noWrap w:val="0"/>
            <w:vAlign w:val="center"/>
          </w:tcPr>
          <w:p w14:paraId="418653A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施工期噪声</w:t>
            </w:r>
          </w:p>
        </w:tc>
        <w:tc>
          <w:tcPr>
            <w:tcW w:w="510" w:type="pct"/>
            <w:tcBorders>
              <w:tl2br w:val="nil"/>
              <w:tr2bl w:val="nil"/>
            </w:tcBorders>
            <w:noWrap w:val="0"/>
            <w:vAlign w:val="center"/>
          </w:tcPr>
          <w:p w14:paraId="47E3EFD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昼间</w:t>
            </w:r>
          </w:p>
        </w:tc>
        <w:tc>
          <w:tcPr>
            <w:tcW w:w="727" w:type="pct"/>
            <w:tcBorders>
              <w:tl2br w:val="nil"/>
              <w:tr2bl w:val="nil"/>
            </w:tcBorders>
            <w:noWrap w:val="0"/>
            <w:vAlign w:val="center"/>
          </w:tcPr>
          <w:p w14:paraId="785C972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70</w:t>
            </w:r>
          </w:p>
        </w:tc>
        <w:tc>
          <w:tcPr>
            <w:tcW w:w="3050" w:type="pct"/>
            <w:vMerge w:val="restart"/>
            <w:tcBorders>
              <w:tl2br w:val="nil"/>
              <w:tr2bl w:val="nil"/>
            </w:tcBorders>
            <w:noWrap w:val="0"/>
            <w:vAlign w:val="center"/>
          </w:tcPr>
          <w:p w14:paraId="3966C73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《建筑施工噪声排放标准》（GB12523-2025）</w:t>
            </w:r>
          </w:p>
        </w:tc>
      </w:tr>
      <w:tr w14:paraId="5A046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1" w:type="pct"/>
            <w:vMerge w:val="continue"/>
            <w:tcBorders>
              <w:tl2br w:val="nil"/>
              <w:tr2bl w:val="nil"/>
            </w:tcBorders>
            <w:noWrap w:val="0"/>
            <w:vAlign w:val="center"/>
          </w:tcPr>
          <w:p w14:paraId="276260A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10" w:type="pct"/>
            <w:tcBorders>
              <w:tl2br w:val="nil"/>
              <w:tr2bl w:val="nil"/>
            </w:tcBorders>
            <w:noWrap w:val="0"/>
            <w:vAlign w:val="center"/>
          </w:tcPr>
          <w:p w14:paraId="3A1CDE4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夜间</w:t>
            </w:r>
          </w:p>
        </w:tc>
        <w:tc>
          <w:tcPr>
            <w:tcW w:w="727" w:type="pct"/>
            <w:tcBorders>
              <w:tl2br w:val="nil"/>
              <w:tr2bl w:val="nil"/>
            </w:tcBorders>
            <w:noWrap w:val="0"/>
            <w:vAlign w:val="center"/>
          </w:tcPr>
          <w:p w14:paraId="6210ACD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55</w:t>
            </w:r>
          </w:p>
        </w:tc>
        <w:tc>
          <w:tcPr>
            <w:tcW w:w="3050" w:type="pct"/>
            <w:vMerge w:val="continue"/>
            <w:tcBorders>
              <w:tl2br w:val="nil"/>
              <w:tr2bl w:val="nil"/>
            </w:tcBorders>
            <w:noWrap w:val="0"/>
            <w:vAlign w:val="center"/>
          </w:tcPr>
          <w:p w14:paraId="21AF6E52">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482DC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1" w:type="pct"/>
            <w:vMerge w:val="restart"/>
            <w:tcBorders>
              <w:tl2br w:val="nil"/>
              <w:tr2bl w:val="nil"/>
            </w:tcBorders>
            <w:noWrap w:val="0"/>
            <w:vAlign w:val="center"/>
          </w:tcPr>
          <w:p w14:paraId="302D0C2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运营期噪声</w:t>
            </w:r>
          </w:p>
        </w:tc>
        <w:tc>
          <w:tcPr>
            <w:tcW w:w="510" w:type="pct"/>
            <w:tcBorders>
              <w:tl2br w:val="nil"/>
              <w:tr2bl w:val="nil"/>
            </w:tcBorders>
            <w:noWrap w:val="0"/>
            <w:vAlign w:val="center"/>
          </w:tcPr>
          <w:p w14:paraId="585FDBA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昼间</w:t>
            </w:r>
          </w:p>
        </w:tc>
        <w:tc>
          <w:tcPr>
            <w:tcW w:w="727" w:type="pct"/>
            <w:tcBorders>
              <w:tl2br w:val="nil"/>
              <w:tr2bl w:val="nil"/>
            </w:tcBorders>
            <w:noWrap w:val="0"/>
            <w:vAlign w:val="center"/>
          </w:tcPr>
          <w:p w14:paraId="7CB8A99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65</w:t>
            </w:r>
          </w:p>
        </w:tc>
        <w:tc>
          <w:tcPr>
            <w:tcW w:w="3050" w:type="pct"/>
            <w:vMerge w:val="restart"/>
            <w:tcBorders>
              <w:tl2br w:val="nil"/>
              <w:tr2bl w:val="nil"/>
            </w:tcBorders>
            <w:noWrap w:val="0"/>
            <w:vAlign w:val="center"/>
          </w:tcPr>
          <w:p w14:paraId="525ADB4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《工业企业厂界环境噪声排放标准》（GB12348-2008）3类标准</w:t>
            </w:r>
          </w:p>
        </w:tc>
      </w:tr>
      <w:tr w14:paraId="799E2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1" w:type="pct"/>
            <w:vMerge w:val="continue"/>
            <w:tcBorders>
              <w:tl2br w:val="nil"/>
              <w:tr2bl w:val="nil"/>
            </w:tcBorders>
            <w:noWrap w:val="0"/>
            <w:vAlign w:val="center"/>
          </w:tcPr>
          <w:p w14:paraId="4C691C8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10" w:type="pct"/>
            <w:tcBorders>
              <w:tl2br w:val="nil"/>
              <w:tr2bl w:val="nil"/>
            </w:tcBorders>
            <w:noWrap w:val="0"/>
            <w:vAlign w:val="center"/>
          </w:tcPr>
          <w:p w14:paraId="6653FE1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夜间</w:t>
            </w:r>
          </w:p>
        </w:tc>
        <w:tc>
          <w:tcPr>
            <w:tcW w:w="727" w:type="pct"/>
            <w:tcBorders>
              <w:tl2br w:val="nil"/>
              <w:tr2bl w:val="nil"/>
            </w:tcBorders>
            <w:noWrap w:val="0"/>
            <w:vAlign w:val="center"/>
          </w:tcPr>
          <w:p w14:paraId="17983E1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55</w:t>
            </w:r>
          </w:p>
        </w:tc>
        <w:tc>
          <w:tcPr>
            <w:tcW w:w="3050" w:type="pct"/>
            <w:vMerge w:val="continue"/>
            <w:tcBorders>
              <w:tl2br w:val="nil"/>
              <w:tr2bl w:val="nil"/>
            </w:tcBorders>
            <w:noWrap w:val="0"/>
            <w:vAlign w:val="center"/>
          </w:tcPr>
          <w:p w14:paraId="22344C0D">
            <w:pPr>
              <w:keepNext/>
              <w:keepLines w:val="0"/>
              <w:pageBreakBefore w:val="0"/>
              <w:widowControl/>
              <w:kinsoku/>
              <w:wordWrap/>
              <w:overflowPunct/>
              <w:topLinePunct/>
              <w:autoSpaceDE/>
              <w:autoSpaceDN/>
              <w:bidi w:val="0"/>
              <w:adjustRightInd w:val="0"/>
              <w:snapToGrid w:val="0"/>
              <w:spacing w:line="360" w:lineRule="auto"/>
              <w:ind w:left="0" w:leftChars="0" w:right="0" w:firstLine="0" w:firstLineChars="0"/>
              <w:jc w:val="center"/>
              <w:textAlignment w:val="auto"/>
              <w:rPr>
                <w:rFonts w:hint="default" w:ascii="Times New Roman" w:hAnsi="Times New Roman" w:eastAsia="宋体" w:cs="Times New Roman"/>
                <w:color w:val="000000" w:themeColor="text1"/>
                <w:spacing w:val="0"/>
                <w:kern w:val="0"/>
                <w:position w:val="0"/>
                <w:szCs w:val="21"/>
                <w14:textFill>
                  <w14:solidFill>
                    <w14:schemeClr w14:val="tx1"/>
                  </w14:solidFill>
                </w14:textFill>
              </w:rPr>
            </w:pPr>
          </w:p>
        </w:tc>
      </w:tr>
    </w:tbl>
    <w:p w14:paraId="2EFD9432">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（4）固废</w:t>
      </w:r>
    </w:p>
    <w:p w14:paraId="37EB549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项目产生的一般固废处置执行《中华人民共和国固体废物污染环境防治法》中的有关规定和《一般工业固体废物贮存和填埋污染控制标准》（GB18599-2020）相关要求；项目产生的危险废物执行《危险废物贮存污染控制标准》（GB18597-2023）</w:t>
      </w:r>
      <w:r>
        <w:rPr>
          <w:rFonts w:hint="eastAsia" w:ascii="Times New Roman" w:hAnsi="Times New Roman" w:cs="Times New Roman" w:eastAsiaTheme="minorEastAsia"/>
          <w:sz w:val="24"/>
          <w:lang w:val="en-US" w:eastAsia="zh-CN"/>
        </w:rPr>
        <w:t>的要求</w:t>
      </w:r>
      <w:r>
        <w:rPr>
          <w:rFonts w:hint="default" w:ascii="Times New Roman" w:hAnsi="Times New Roman" w:cs="Times New Roman" w:eastAsiaTheme="minorEastAsia"/>
          <w:sz w:val="24"/>
          <w:lang w:val="en-US" w:eastAsia="zh-CN"/>
        </w:rPr>
        <w:t>。</w:t>
      </w:r>
    </w:p>
    <w:p w14:paraId="2AA86D7C">
      <w:pPr>
        <w:pStyle w:val="3"/>
        <w:spacing w:before="120" w:after="120" w:line="500" w:lineRule="exact"/>
        <w:ind w:left="375" w:hanging="375" w:firstLineChars="0"/>
        <w:contextualSpacing/>
        <w:rPr>
          <w:rFonts w:hint="default" w:ascii="Times New Roman" w:hAnsi="Times New Roman" w:cs="Times New Roman" w:eastAsiaTheme="minorEastAsia"/>
          <w:snapToGrid w:val="0"/>
          <w:kern w:val="0"/>
          <w:sz w:val="28"/>
          <w:szCs w:val="28"/>
          <w:lang w:val="en-US" w:eastAsia="zh-CN"/>
        </w:rPr>
      </w:pPr>
      <w:bookmarkStart w:id="79" w:name="_Toc20490"/>
      <w:bookmarkStart w:id="80" w:name="_Toc31700"/>
      <w:r>
        <w:rPr>
          <w:rFonts w:hint="default" w:ascii="Times New Roman" w:hAnsi="Times New Roman" w:cs="Times New Roman" w:eastAsiaTheme="minorEastAsia"/>
          <w:snapToGrid w:val="0"/>
          <w:kern w:val="0"/>
          <w:sz w:val="28"/>
          <w:szCs w:val="28"/>
          <w:lang w:val="en-US" w:eastAsia="zh-CN"/>
        </w:rPr>
        <w:t>2.5评价工作等级和评价范围</w:t>
      </w:r>
      <w:bookmarkEnd w:id="79"/>
      <w:bookmarkEnd w:id="80"/>
    </w:p>
    <w:p w14:paraId="15E8BC18">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81" w:name="_Toc13546"/>
      <w:bookmarkStart w:id="82" w:name="_Toc11946"/>
      <w:bookmarkStart w:id="83" w:name="_Toc31545"/>
      <w:bookmarkStart w:id="84" w:name="_Toc27840"/>
      <w:bookmarkStart w:id="85" w:name="_Toc17827"/>
      <w:r>
        <w:rPr>
          <w:rFonts w:hint="default" w:ascii="Times New Roman" w:hAnsi="Times New Roman" w:cs="Times New Roman" w:eastAsiaTheme="minorEastAsia"/>
          <w:kern w:val="0"/>
          <w:sz w:val="24"/>
          <w:szCs w:val="24"/>
          <w:lang w:val="en-US" w:eastAsia="zh-CN"/>
        </w:rPr>
        <w:t>2.5.1大气环境评价等级和评价范围</w:t>
      </w:r>
      <w:bookmarkEnd w:id="81"/>
      <w:bookmarkEnd w:id="82"/>
      <w:bookmarkEnd w:id="83"/>
      <w:bookmarkEnd w:id="84"/>
      <w:bookmarkEnd w:id="85"/>
    </w:p>
    <w:p w14:paraId="59903728">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bookmarkStart w:id="86" w:name="_Toc18660"/>
      <w:bookmarkStart w:id="87" w:name="_Toc8622"/>
      <w:bookmarkStart w:id="88" w:name="_Toc7687"/>
      <w:r>
        <w:rPr>
          <w:rFonts w:hint="default" w:ascii="Times New Roman" w:hAnsi="Times New Roman" w:cs="Times New Roman" w:eastAsiaTheme="minorEastAsia"/>
          <w:sz w:val="24"/>
          <w:lang w:val="en-US" w:eastAsia="zh-CN"/>
        </w:rPr>
        <w:t>（1）评价工作等级</w:t>
      </w:r>
      <w:bookmarkEnd w:id="86"/>
      <w:bookmarkEnd w:id="87"/>
      <w:bookmarkEnd w:id="88"/>
    </w:p>
    <w:p w14:paraId="3C83E633">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根据《环境影响评价技术导则</w:t>
      </w:r>
      <w:r>
        <w:rPr>
          <w:rFonts w:hint="eastAsia" w:ascii="Times New Roman" w:hAnsi="Times New Roman" w:cs="Times New Roman"/>
          <w:sz w:val="24"/>
          <w:lang w:val="en-US" w:eastAsia="zh-CN"/>
        </w:rPr>
        <w:t xml:space="preserve"> </w:t>
      </w:r>
      <w:r>
        <w:rPr>
          <w:rFonts w:hint="default" w:ascii="Times New Roman" w:hAnsi="Times New Roman" w:cs="Times New Roman" w:eastAsiaTheme="minorEastAsia"/>
          <w:sz w:val="24"/>
          <w:lang w:val="en-US" w:eastAsia="zh-CN"/>
        </w:rPr>
        <w:t>大气环境》（HJ2.2-2018）评价等级判定要求，选择项目污染源正常排放的主要污染物及排放参数，采用附录A推荐模型中AERSCREEN估算模型分别计算项目污染源的最大环境影响，然后按照评价工作分级判据进行分级，用于评价等级及评价范围的判定。</w:t>
      </w:r>
    </w:p>
    <w:p w14:paraId="5B15F237">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①判断依据</w:t>
      </w:r>
    </w:p>
    <w:p w14:paraId="7AEB0E94">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mc:AlternateContent>
          <mc:Choice Requires="wps">
            <w:drawing>
              <wp:anchor distT="0" distB="0" distL="114300" distR="114300" simplePos="0" relativeHeight="251661312" behindDoc="1" locked="0" layoutInCell="0" allowOverlap="1">
                <wp:simplePos x="0" y="0"/>
                <wp:positionH relativeFrom="page">
                  <wp:posOffset>3351530</wp:posOffset>
                </wp:positionH>
                <wp:positionV relativeFrom="paragraph">
                  <wp:posOffset>1012825</wp:posOffset>
                </wp:positionV>
                <wp:extent cx="876300" cy="355600"/>
                <wp:effectExtent l="0" t="0" r="0" b="0"/>
                <wp:wrapNone/>
                <wp:docPr id="3" name="矩形 3"/>
                <wp:cNvGraphicFramePr/>
                <a:graphic xmlns:a="http://schemas.openxmlformats.org/drawingml/2006/main">
                  <a:graphicData uri="http://schemas.microsoft.com/office/word/2010/wordprocessingShape">
                    <wps:wsp>
                      <wps:cNvSpPr>
                        <a:spLocks noChangeArrowheads="1"/>
                      </wps:cNvSpPr>
                      <wps:spPr bwMode="auto">
                        <a:xfrm>
                          <a:off x="0" y="0"/>
                          <a:ext cx="876300" cy="355600"/>
                        </a:xfrm>
                        <a:prstGeom prst="rect">
                          <a:avLst/>
                        </a:prstGeom>
                        <a:noFill/>
                        <a:ln>
                          <a:noFill/>
                        </a:ln>
                        <a:effectLst/>
                      </wps:spPr>
                      <wps:txbx>
                        <w:txbxContent>
                          <w:p w14:paraId="01B81FD7">
                            <w:pPr>
                              <w:widowControl/>
                              <w:autoSpaceDE/>
                              <w:autoSpaceDN/>
                              <w:spacing w:line="560" w:lineRule="atLeast"/>
                              <w:ind w:firstLine="480"/>
                            </w:pPr>
                          </w:p>
                          <w:p w14:paraId="0921EE18">
                            <w:pPr>
                              <w:ind w:firstLine="480"/>
                            </w:pPr>
                          </w:p>
                        </w:txbxContent>
                      </wps:txbx>
                      <wps:bodyPr rot="0" vert="horz" wrap="square" lIns="0" tIns="0" rIns="0" bIns="0" anchor="t" anchorCtr="0" upright="1">
                        <a:noAutofit/>
                      </wps:bodyPr>
                    </wps:wsp>
                  </a:graphicData>
                </a:graphic>
              </wp:anchor>
            </w:drawing>
          </mc:Choice>
          <mc:Fallback>
            <w:pict>
              <v:rect id="_x0000_s1026" o:spid="_x0000_s1026" o:spt="1" style="position:absolute;left:0pt;margin-left:263.9pt;margin-top:79.75pt;height:28pt;width:69pt;mso-position-horizontal-relative:page;z-index:-251655168;mso-width-relative:page;mso-height-relative:page;" filled="f" stroked="f" coordsize="21600,21600" o:allowincell="f" o:gfxdata="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M1vHK2gAAAAsBAAAPAAAAAAAAAAEAIAAAACIAAABk&#10;cnMvZG93bnJldi54bWxQSwECFAAUAAAACACHTuJA59BDewQCAAAFBAAADgAAAAAAAAABACAAAAAp&#10;AQAAZHJzL2Uyb0RvYy54bWxQSwUGAAAAAAYABgBZAQAAnwUAAAAA&#10;">
                <v:fill on="f" focussize="0,0"/>
                <v:stroke on="f"/>
                <v:imagedata o:title=""/>
                <o:lock v:ext="edit" aspectratio="f"/>
                <v:textbox inset="0mm,0mm,0mm,0mm">
                  <w:txbxContent>
                    <w:p w14:paraId="01B81FD7">
                      <w:pPr>
                        <w:widowControl/>
                        <w:autoSpaceDE/>
                        <w:autoSpaceDN/>
                        <w:spacing w:line="560" w:lineRule="atLeast"/>
                        <w:ind w:firstLine="480"/>
                      </w:pPr>
                    </w:p>
                    <w:p w14:paraId="0921EE18">
                      <w:pPr>
                        <w:ind w:firstLine="480"/>
                      </w:pPr>
                    </w:p>
                  </w:txbxContent>
                </v:textbox>
              </v:rect>
            </w:pict>
          </mc:Fallback>
        </mc:AlternateContent>
      </w:r>
      <w:r>
        <w:rPr>
          <w:rFonts w:hint="default" w:ascii="Times New Roman" w:hAnsi="Times New Roman" w:cs="Times New Roman" w:eastAsiaTheme="minorEastAsia"/>
          <w:sz w:val="24"/>
          <w:lang w:val="en-US" w:eastAsia="zh-CN"/>
        </w:rPr>
        <w:t>根据《环境影响评价技术导则</w:t>
      </w:r>
      <w:r>
        <w:rPr>
          <w:rFonts w:hint="eastAsia" w:ascii="Times New Roman" w:hAnsi="Times New Roman" w:cs="Times New Roman"/>
          <w:sz w:val="24"/>
          <w:lang w:val="en-US" w:eastAsia="zh-CN"/>
        </w:rPr>
        <w:t xml:space="preserve"> </w:t>
      </w:r>
      <w:r>
        <w:rPr>
          <w:rFonts w:hint="default" w:ascii="Times New Roman" w:hAnsi="Times New Roman" w:cs="Times New Roman" w:eastAsiaTheme="minorEastAsia"/>
          <w:sz w:val="24"/>
          <w:lang w:val="en-US" w:eastAsia="zh-CN"/>
        </w:rPr>
        <w:t>大气环境》（HJ2.2-2018），根据项目污染源初步调查结果，分别计算项目排放主要污染物的最大地面质量浓度的占标率Pi及地面质量浓度达标准限值10%时所对应的最远距离D10%来判定。</w:t>
      </w:r>
    </w:p>
    <w:p w14:paraId="214ADA08">
      <w:pPr>
        <w:keepNext/>
        <w:keepLines w:val="0"/>
        <w:pageBreakBefore w:val="0"/>
        <w:widowControl/>
        <w:kinsoku/>
        <w:wordWrap/>
        <w:overflowPunct/>
        <w:topLinePunct/>
        <w:autoSpaceDE/>
        <w:autoSpaceDN/>
        <w:bidi w:val="0"/>
        <w:adjustRightInd w:val="0"/>
        <w:snapToGrid w:val="0"/>
        <w:spacing w:line="360" w:lineRule="auto"/>
        <w:ind w:left="0" w:leftChars="0" w:right="0" w:firstLine="0" w:firstLineChars="0"/>
        <w:jc w:val="center"/>
        <w:textAlignment w:val="auto"/>
        <w:rPr>
          <w:rFonts w:hint="default" w:ascii="Times New Roman" w:hAnsi="Times New Roman" w:eastAsia="宋体" w:cs="Times New Roman"/>
          <w:color w:val="000000" w:themeColor="text1"/>
          <w:spacing w:val="0"/>
          <w:kern w:val="0"/>
          <w:position w:val="0"/>
          <w14:textFill>
            <w14:solidFill>
              <w14:schemeClr w14:val="tx1"/>
            </w14:solidFill>
          </w14:textFill>
        </w:rPr>
      </w:pPr>
      <w:r>
        <w:rPr>
          <w:rFonts w:hint="default" w:ascii="Times New Roman" w:hAnsi="Times New Roman" w:eastAsia="宋体" w:cs="Times New Roman"/>
          <w:color w:val="000000" w:themeColor="text1"/>
          <w:spacing w:val="0"/>
          <w:kern w:val="0"/>
          <w:position w:val="0"/>
          <w:lang w:val="en-US" w:bidi="ar-SA"/>
          <w14:textFill>
            <w14:solidFill>
              <w14:schemeClr w14:val="tx1"/>
            </w14:solidFill>
          </w14:textFill>
        </w:rPr>
        <w:drawing>
          <wp:inline distT="0" distB="0" distL="114300" distR="114300">
            <wp:extent cx="1377315" cy="551180"/>
            <wp:effectExtent l="0" t="0" r="13335" b="1270"/>
            <wp:docPr id="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
                    <pic:cNvPicPr>
                      <a:picLocks noChangeAspect="1"/>
                    </pic:cNvPicPr>
                  </pic:nvPicPr>
                  <pic:blipFill>
                    <a:blip r:embed="rId9"/>
                    <a:stretch>
                      <a:fillRect/>
                    </a:stretch>
                  </pic:blipFill>
                  <pic:spPr>
                    <a:xfrm>
                      <a:off x="0" y="0"/>
                      <a:ext cx="1377315" cy="551180"/>
                    </a:xfrm>
                    <a:prstGeom prst="rect">
                      <a:avLst/>
                    </a:prstGeom>
                    <a:noFill/>
                    <a:ln>
                      <a:noFill/>
                    </a:ln>
                  </pic:spPr>
                </pic:pic>
              </a:graphicData>
            </a:graphic>
          </wp:inline>
        </w:drawing>
      </w:r>
    </w:p>
    <w:p w14:paraId="3A2489BB">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其中：Pi——第i个污染物的最大地面空气质量浓度占标率，%；</w:t>
      </w:r>
    </w:p>
    <w:p w14:paraId="6C718040">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Ci——采用估算模型计算出的第i个污染物的最大1h地面空气质量浓度，mg/m</w:t>
      </w:r>
      <w:r>
        <w:rPr>
          <w:rFonts w:hint="default" w:ascii="Times New Roman" w:hAnsi="Times New Roman" w:cs="Times New Roman" w:eastAsiaTheme="minorEastAsia"/>
          <w:sz w:val="24"/>
          <w:vertAlign w:val="superscript"/>
          <w:lang w:val="en-US" w:eastAsia="zh-CN"/>
        </w:rPr>
        <w:t>3</w:t>
      </w:r>
      <w:r>
        <w:rPr>
          <w:rFonts w:hint="default" w:ascii="Times New Roman" w:hAnsi="Times New Roman" w:cs="Times New Roman" w:eastAsiaTheme="minorEastAsia"/>
          <w:sz w:val="24"/>
          <w:lang w:val="en-US" w:eastAsia="zh-CN"/>
        </w:rPr>
        <w:t>；</w:t>
      </w:r>
    </w:p>
    <w:p w14:paraId="3F62FAD0">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C0i——第i个污染物的环境空气质量标准（一般选用GB3095中1小时平均取样时间的二级标准的浓度限值，对仅有8h平均质量浓度限值、日平均质量浓度限值或年平均质量浓度限值的，可分别按2倍、3倍、6倍折算为1h平均质量浓度限值），mg/m</w:t>
      </w:r>
      <w:r>
        <w:rPr>
          <w:rFonts w:hint="default" w:ascii="Times New Roman" w:hAnsi="Times New Roman" w:cs="Times New Roman" w:eastAsiaTheme="minorEastAsia"/>
          <w:sz w:val="24"/>
          <w:vertAlign w:val="superscript"/>
          <w:lang w:val="en-US" w:eastAsia="zh-CN"/>
        </w:rPr>
        <w:t>3</w:t>
      </w:r>
      <w:r>
        <w:rPr>
          <w:rFonts w:hint="default" w:ascii="Times New Roman" w:hAnsi="Times New Roman" w:cs="Times New Roman" w:eastAsiaTheme="minorEastAsia"/>
          <w:sz w:val="24"/>
          <w:lang w:val="en-US" w:eastAsia="zh-CN"/>
        </w:rPr>
        <w:t>。</w:t>
      </w:r>
    </w:p>
    <w:p w14:paraId="58929D31">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表2.5-1  大气评价工作分级判据</w:t>
      </w:r>
    </w:p>
    <w:tbl>
      <w:tblPr>
        <w:tblStyle w:val="12"/>
        <w:tblW w:w="5053"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0" w:type="dxa"/>
          <w:bottom w:w="0" w:type="dxa"/>
          <w:right w:w="0" w:type="dxa"/>
        </w:tblCellMar>
      </w:tblPr>
      <w:tblGrid>
        <w:gridCol w:w="3667"/>
        <w:gridCol w:w="4747"/>
      </w:tblGrid>
      <w:tr w14:paraId="3448BE0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179" w:type="pct"/>
            <w:tcBorders>
              <w:tl2br w:val="nil"/>
              <w:tr2bl w:val="nil"/>
            </w:tcBorders>
            <w:noWrap w:val="0"/>
            <w:vAlign w:val="center"/>
          </w:tcPr>
          <w:p w14:paraId="77201FC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评价工作等级</w:t>
            </w:r>
          </w:p>
        </w:tc>
        <w:tc>
          <w:tcPr>
            <w:tcW w:w="2820" w:type="pct"/>
            <w:tcBorders>
              <w:tl2br w:val="nil"/>
              <w:tr2bl w:val="nil"/>
            </w:tcBorders>
            <w:noWrap w:val="0"/>
            <w:vAlign w:val="center"/>
          </w:tcPr>
          <w:p w14:paraId="0ADAED0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评价工作分级判据</w:t>
            </w:r>
          </w:p>
        </w:tc>
      </w:tr>
      <w:tr w14:paraId="6DE56F9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179" w:type="pct"/>
            <w:tcBorders>
              <w:tl2br w:val="nil"/>
              <w:tr2bl w:val="nil"/>
            </w:tcBorders>
            <w:shd w:val="clear" w:color="auto" w:fill="auto"/>
            <w:noWrap w:val="0"/>
            <w:vAlign w:val="center"/>
          </w:tcPr>
          <w:p w14:paraId="3B52C21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一级</w:t>
            </w:r>
          </w:p>
        </w:tc>
        <w:tc>
          <w:tcPr>
            <w:tcW w:w="2820" w:type="pct"/>
            <w:tcBorders>
              <w:tl2br w:val="nil"/>
              <w:tr2bl w:val="nil"/>
            </w:tcBorders>
            <w:shd w:val="clear" w:color="auto" w:fill="auto"/>
            <w:noWrap w:val="0"/>
            <w:vAlign w:val="center"/>
          </w:tcPr>
          <w:p w14:paraId="523207B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Pmax≥10%</w:t>
            </w:r>
          </w:p>
        </w:tc>
      </w:tr>
      <w:tr w14:paraId="1770FB7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88" w:hRule="atLeast"/>
          <w:jc w:val="center"/>
        </w:trPr>
        <w:tc>
          <w:tcPr>
            <w:tcW w:w="2179" w:type="pct"/>
            <w:tcBorders>
              <w:tl2br w:val="nil"/>
              <w:tr2bl w:val="nil"/>
            </w:tcBorders>
            <w:shd w:val="clear" w:color="auto" w:fill="auto"/>
            <w:noWrap w:val="0"/>
            <w:vAlign w:val="center"/>
          </w:tcPr>
          <w:p w14:paraId="6ACCBB4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二级</w:t>
            </w:r>
          </w:p>
        </w:tc>
        <w:tc>
          <w:tcPr>
            <w:tcW w:w="2820" w:type="pct"/>
            <w:tcBorders>
              <w:tl2br w:val="nil"/>
              <w:tr2bl w:val="nil"/>
            </w:tcBorders>
            <w:shd w:val="clear" w:color="auto" w:fill="auto"/>
            <w:noWrap w:val="0"/>
            <w:vAlign w:val="center"/>
          </w:tcPr>
          <w:p w14:paraId="09CFE8B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1%≤Pmax&lt;10%</w:t>
            </w:r>
          </w:p>
        </w:tc>
      </w:tr>
      <w:tr w14:paraId="223E6D1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179" w:type="pct"/>
            <w:tcBorders>
              <w:tl2br w:val="nil"/>
              <w:tr2bl w:val="nil"/>
            </w:tcBorders>
            <w:noWrap w:val="0"/>
            <w:vAlign w:val="center"/>
          </w:tcPr>
          <w:p w14:paraId="1B9B531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三级</w:t>
            </w:r>
          </w:p>
        </w:tc>
        <w:tc>
          <w:tcPr>
            <w:tcW w:w="2820" w:type="pct"/>
            <w:tcBorders>
              <w:tl2br w:val="nil"/>
              <w:tr2bl w:val="nil"/>
            </w:tcBorders>
            <w:noWrap w:val="0"/>
            <w:vAlign w:val="center"/>
          </w:tcPr>
          <w:p w14:paraId="65FF8D3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Pmax&lt;1%</w:t>
            </w:r>
          </w:p>
        </w:tc>
      </w:tr>
    </w:tbl>
    <w:p w14:paraId="7E03D8B4">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②判别估算过程</w:t>
      </w:r>
    </w:p>
    <w:p w14:paraId="2F959C27">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本项目估算模型计算参数见表2.5-2，废气污染物最大落地浓度及占标率估算结果见表2.5-3。</w:t>
      </w:r>
    </w:p>
    <w:p w14:paraId="6945E886">
      <w:pPr>
        <w:adjustRightInd w:val="0"/>
        <w:snapToGrid w:val="0"/>
        <w:spacing w:before="250" w:beforeLines="50"/>
        <w:ind w:firstLine="422" w:firstLineChars="200"/>
        <w:jc w:val="center"/>
        <w:rPr>
          <w:rFonts w:hint="default" w:ascii="Times New Roman" w:hAnsi="Times New Roman" w:eastAsia="华文中宋" w:cs="Times New Roman"/>
          <w:b/>
          <w:szCs w:val="21"/>
          <w:lang w:val="en-US" w:eastAsia="zh-CN"/>
        </w:rPr>
      </w:pPr>
      <w:r>
        <w:rPr>
          <w:rFonts w:hint="default" w:ascii="Times New Roman" w:hAnsi="Times New Roman" w:eastAsia="华文中宋" w:cs="Times New Roman"/>
          <w:b/>
          <w:szCs w:val="21"/>
          <w:lang w:val="en-US" w:eastAsia="zh-CN"/>
        </w:rPr>
        <w:t>表</w:t>
      </w:r>
      <w:r>
        <w:rPr>
          <w:rFonts w:hint="default" w:ascii="Times New Roman" w:hAnsi="Times New Roman" w:cs="Times New Roman" w:eastAsiaTheme="minorEastAsia"/>
          <w:b/>
          <w:szCs w:val="21"/>
          <w:lang w:val="en-US" w:eastAsia="zh-CN"/>
        </w:rPr>
        <w:t>2.5-2  估算模型参数表</w:t>
      </w:r>
    </w:p>
    <w:tbl>
      <w:tblPr>
        <w:tblStyle w:val="12"/>
        <w:tblW w:w="4999" w:type="pct"/>
        <w:tblInd w:w="0" w:type="dxa"/>
        <w:tblBorders>
          <w:top w:val="single" w:color="000000" w:sz="8" w:space="0"/>
          <w:left w:val="single" w:color="000000" w:sz="8" w:space="0"/>
          <w:bottom w:val="single" w:color="000000" w:sz="8" w:space="0"/>
          <w:right w:val="single" w:color="000000" w:sz="8" w:space="0"/>
          <w:insideH w:val="single" w:color="auto" w:sz="8" w:space="0"/>
          <w:insideV w:val="single" w:color="auto" w:sz="8" w:space="0"/>
        </w:tblBorders>
        <w:tblLayout w:type="autofit"/>
        <w:tblCellMar>
          <w:top w:w="0" w:type="dxa"/>
          <w:left w:w="108" w:type="dxa"/>
          <w:bottom w:w="0" w:type="dxa"/>
          <w:right w:w="108" w:type="dxa"/>
        </w:tblCellMar>
      </w:tblPr>
      <w:tblGrid>
        <w:gridCol w:w="3318"/>
        <w:gridCol w:w="4058"/>
        <w:gridCol w:w="1144"/>
      </w:tblGrid>
      <w:tr w14:paraId="52CEE9A4">
        <w:tblPrEx>
          <w:tblBorders>
            <w:top w:val="single" w:color="000000" w:sz="8" w:space="0"/>
            <w:left w:val="single" w:color="000000" w:sz="8" w:space="0"/>
            <w:bottom w:val="single" w:color="000000" w:sz="8" w:space="0"/>
            <w:right w:val="single" w:color="000000" w:sz="8" w:space="0"/>
            <w:insideH w:val="single" w:color="auto" w:sz="8" w:space="0"/>
            <w:insideV w:val="single" w:color="auto" w:sz="8" w:space="0"/>
          </w:tblBorders>
          <w:tblCellMar>
            <w:top w:w="0" w:type="dxa"/>
            <w:left w:w="108" w:type="dxa"/>
            <w:bottom w:w="0" w:type="dxa"/>
            <w:right w:w="108" w:type="dxa"/>
          </w:tblCellMar>
        </w:tblPrEx>
        <w:trPr>
          <w:trHeight w:val="0" w:hRule="atLeast"/>
        </w:trPr>
        <w:tc>
          <w:tcPr>
            <w:tcW w:w="4328" w:type="pct"/>
            <w:gridSpan w:val="2"/>
            <w:tcBorders>
              <w:tl2br w:val="nil"/>
              <w:tr2bl w:val="nil"/>
            </w:tcBorders>
            <w:noWrap w:val="0"/>
            <w:vAlign w:val="center"/>
          </w:tcPr>
          <w:p w14:paraId="7DE2640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参数</w:t>
            </w:r>
          </w:p>
        </w:tc>
        <w:tc>
          <w:tcPr>
            <w:tcW w:w="671" w:type="pct"/>
            <w:tcBorders>
              <w:tl2br w:val="nil"/>
              <w:tr2bl w:val="nil"/>
            </w:tcBorders>
            <w:noWrap w:val="0"/>
            <w:vAlign w:val="center"/>
          </w:tcPr>
          <w:p w14:paraId="22FB3B0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取值</w:t>
            </w:r>
          </w:p>
        </w:tc>
      </w:tr>
      <w:tr w14:paraId="4D71433A">
        <w:tblPrEx>
          <w:tblBorders>
            <w:top w:val="single" w:color="000000" w:sz="8" w:space="0"/>
            <w:left w:val="single" w:color="000000" w:sz="8" w:space="0"/>
            <w:bottom w:val="single" w:color="000000" w:sz="8" w:space="0"/>
            <w:right w:val="single" w:color="000000" w:sz="8" w:space="0"/>
            <w:insideH w:val="single" w:color="auto" w:sz="8" w:space="0"/>
            <w:insideV w:val="single" w:color="auto" w:sz="8" w:space="0"/>
          </w:tblBorders>
          <w:tblCellMar>
            <w:top w:w="0" w:type="dxa"/>
            <w:left w:w="108" w:type="dxa"/>
            <w:bottom w:w="0" w:type="dxa"/>
            <w:right w:w="108" w:type="dxa"/>
          </w:tblCellMar>
        </w:tblPrEx>
        <w:trPr>
          <w:trHeight w:val="0" w:hRule="atLeast"/>
        </w:trPr>
        <w:tc>
          <w:tcPr>
            <w:tcW w:w="1947" w:type="pct"/>
            <w:vMerge w:val="restart"/>
            <w:tcBorders>
              <w:tl2br w:val="nil"/>
              <w:tr2bl w:val="nil"/>
            </w:tcBorders>
            <w:noWrap w:val="0"/>
            <w:vAlign w:val="center"/>
          </w:tcPr>
          <w:p w14:paraId="46D0A52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城市/农村选项</w:t>
            </w:r>
          </w:p>
        </w:tc>
        <w:tc>
          <w:tcPr>
            <w:tcW w:w="2380" w:type="pct"/>
            <w:tcBorders>
              <w:tl2br w:val="nil"/>
              <w:tr2bl w:val="nil"/>
            </w:tcBorders>
            <w:noWrap w:val="0"/>
            <w:vAlign w:val="center"/>
          </w:tcPr>
          <w:p w14:paraId="4DD76F9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城市/农村</w:t>
            </w:r>
          </w:p>
        </w:tc>
        <w:tc>
          <w:tcPr>
            <w:tcW w:w="1239" w:type="dxa"/>
            <w:tcBorders>
              <w:tl2br w:val="nil"/>
              <w:tr2bl w:val="nil"/>
            </w:tcBorders>
            <w:noWrap w:val="0"/>
            <w:vAlign w:val="center"/>
          </w:tcPr>
          <w:p w14:paraId="2565A39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城市</w:t>
            </w:r>
          </w:p>
        </w:tc>
      </w:tr>
      <w:tr w14:paraId="44BEFCCB">
        <w:tblPrEx>
          <w:tblBorders>
            <w:top w:val="single" w:color="000000" w:sz="8" w:space="0"/>
            <w:left w:val="single" w:color="000000" w:sz="8" w:space="0"/>
            <w:bottom w:val="single" w:color="000000" w:sz="8" w:space="0"/>
            <w:right w:val="single" w:color="000000" w:sz="8" w:space="0"/>
            <w:insideH w:val="single" w:color="auto" w:sz="8" w:space="0"/>
            <w:insideV w:val="single" w:color="auto" w:sz="8" w:space="0"/>
          </w:tblBorders>
          <w:tblCellMar>
            <w:top w:w="0" w:type="dxa"/>
            <w:left w:w="108" w:type="dxa"/>
            <w:bottom w:w="0" w:type="dxa"/>
            <w:right w:w="108" w:type="dxa"/>
          </w:tblCellMar>
        </w:tblPrEx>
        <w:trPr>
          <w:trHeight w:val="0" w:hRule="atLeast"/>
        </w:trPr>
        <w:tc>
          <w:tcPr>
            <w:tcW w:w="1947" w:type="pct"/>
            <w:vMerge w:val="continue"/>
            <w:tcBorders>
              <w:tl2br w:val="nil"/>
              <w:tr2bl w:val="nil"/>
            </w:tcBorders>
            <w:noWrap w:val="0"/>
            <w:vAlign w:val="center"/>
          </w:tcPr>
          <w:p w14:paraId="3985EF8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380" w:type="pct"/>
            <w:tcBorders>
              <w:tl2br w:val="nil"/>
              <w:tr2bl w:val="nil"/>
            </w:tcBorders>
            <w:noWrap w:val="0"/>
            <w:vAlign w:val="center"/>
          </w:tcPr>
          <w:p w14:paraId="2D3B5BA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人口数（城市人口数）</w:t>
            </w:r>
          </w:p>
        </w:tc>
        <w:tc>
          <w:tcPr>
            <w:tcW w:w="1239" w:type="dxa"/>
            <w:tcBorders>
              <w:tl2br w:val="nil"/>
              <w:tr2bl w:val="nil"/>
            </w:tcBorders>
            <w:noWrap w:val="0"/>
            <w:vAlign w:val="center"/>
          </w:tcPr>
          <w:p w14:paraId="7CFB560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1万</w:t>
            </w:r>
          </w:p>
        </w:tc>
      </w:tr>
      <w:tr w14:paraId="3179824E">
        <w:tblPrEx>
          <w:tblBorders>
            <w:top w:val="single" w:color="000000" w:sz="8" w:space="0"/>
            <w:left w:val="single" w:color="000000" w:sz="8" w:space="0"/>
            <w:bottom w:val="single" w:color="000000" w:sz="8" w:space="0"/>
            <w:right w:val="single" w:color="000000" w:sz="8" w:space="0"/>
            <w:insideH w:val="single" w:color="auto" w:sz="8" w:space="0"/>
            <w:insideV w:val="single" w:color="auto" w:sz="8" w:space="0"/>
          </w:tblBorders>
          <w:tblCellMar>
            <w:top w:w="0" w:type="dxa"/>
            <w:left w:w="108" w:type="dxa"/>
            <w:bottom w:w="0" w:type="dxa"/>
            <w:right w:w="108" w:type="dxa"/>
          </w:tblCellMar>
        </w:tblPrEx>
        <w:trPr>
          <w:trHeight w:val="0" w:hRule="atLeast"/>
        </w:trPr>
        <w:tc>
          <w:tcPr>
            <w:tcW w:w="4328" w:type="pct"/>
            <w:gridSpan w:val="2"/>
            <w:tcBorders>
              <w:tl2br w:val="nil"/>
              <w:tr2bl w:val="nil"/>
            </w:tcBorders>
            <w:noWrap w:val="0"/>
            <w:vAlign w:val="center"/>
          </w:tcPr>
          <w:p w14:paraId="212E705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最高环境温度/℃</w:t>
            </w:r>
          </w:p>
        </w:tc>
        <w:tc>
          <w:tcPr>
            <w:tcW w:w="1239" w:type="dxa"/>
            <w:tcBorders>
              <w:tl2br w:val="nil"/>
              <w:tr2bl w:val="nil"/>
            </w:tcBorders>
            <w:noWrap w:val="0"/>
            <w:vAlign w:val="center"/>
          </w:tcPr>
          <w:p w14:paraId="54ED2FC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45</w:t>
            </w:r>
          </w:p>
        </w:tc>
      </w:tr>
      <w:tr w14:paraId="786B47FF">
        <w:tblPrEx>
          <w:tblBorders>
            <w:top w:val="single" w:color="000000" w:sz="8" w:space="0"/>
            <w:left w:val="single" w:color="000000" w:sz="8" w:space="0"/>
            <w:bottom w:val="single" w:color="000000" w:sz="8" w:space="0"/>
            <w:right w:val="single" w:color="000000" w:sz="8"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4328" w:type="pct"/>
            <w:gridSpan w:val="2"/>
            <w:tcBorders>
              <w:tl2br w:val="nil"/>
              <w:tr2bl w:val="nil"/>
            </w:tcBorders>
            <w:noWrap w:val="0"/>
            <w:vAlign w:val="center"/>
          </w:tcPr>
          <w:p w14:paraId="7E3071B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最低环境温度/℃</w:t>
            </w:r>
          </w:p>
        </w:tc>
        <w:tc>
          <w:tcPr>
            <w:tcW w:w="1239" w:type="dxa"/>
            <w:tcBorders>
              <w:tl2br w:val="nil"/>
              <w:tr2bl w:val="nil"/>
            </w:tcBorders>
            <w:noWrap w:val="0"/>
            <w:vAlign w:val="center"/>
          </w:tcPr>
          <w:p w14:paraId="3BCEEEE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-20</w:t>
            </w:r>
          </w:p>
        </w:tc>
      </w:tr>
      <w:tr w14:paraId="27F357AF">
        <w:tblPrEx>
          <w:tblBorders>
            <w:top w:val="single" w:color="000000" w:sz="8" w:space="0"/>
            <w:left w:val="single" w:color="000000" w:sz="8" w:space="0"/>
            <w:bottom w:val="single" w:color="000000" w:sz="8" w:space="0"/>
            <w:right w:val="single" w:color="000000" w:sz="8" w:space="0"/>
            <w:insideH w:val="single" w:color="auto" w:sz="8" w:space="0"/>
            <w:insideV w:val="single" w:color="auto" w:sz="8" w:space="0"/>
          </w:tblBorders>
          <w:tblCellMar>
            <w:top w:w="0" w:type="dxa"/>
            <w:left w:w="108" w:type="dxa"/>
            <w:bottom w:w="0" w:type="dxa"/>
            <w:right w:w="108" w:type="dxa"/>
          </w:tblCellMar>
        </w:tblPrEx>
        <w:trPr>
          <w:trHeight w:val="0" w:hRule="atLeast"/>
        </w:trPr>
        <w:tc>
          <w:tcPr>
            <w:tcW w:w="4328" w:type="pct"/>
            <w:gridSpan w:val="2"/>
            <w:tcBorders>
              <w:tl2br w:val="nil"/>
              <w:tr2bl w:val="nil"/>
            </w:tcBorders>
            <w:noWrap w:val="0"/>
            <w:vAlign w:val="center"/>
          </w:tcPr>
          <w:p w14:paraId="2E7F40C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土地利用类型</w:t>
            </w:r>
          </w:p>
        </w:tc>
        <w:tc>
          <w:tcPr>
            <w:tcW w:w="1239" w:type="dxa"/>
            <w:tcBorders>
              <w:tl2br w:val="nil"/>
              <w:tr2bl w:val="nil"/>
            </w:tcBorders>
            <w:noWrap w:val="0"/>
            <w:vAlign w:val="center"/>
          </w:tcPr>
          <w:p w14:paraId="121FCA8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城市</w:t>
            </w:r>
          </w:p>
        </w:tc>
      </w:tr>
      <w:tr w14:paraId="74AFF607">
        <w:tblPrEx>
          <w:tblBorders>
            <w:top w:val="single" w:color="000000" w:sz="8" w:space="0"/>
            <w:left w:val="single" w:color="000000" w:sz="8" w:space="0"/>
            <w:bottom w:val="single" w:color="000000" w:sz="8" w:space="0"/>
            <w:right w:val="single" w:color="000000" w:sz="8" w:space="0"/>
            <w:insideH w:val="single" w:color="auto" w:sz="8" w:space="0"/>
            <w:insideV w:val="single" w:color="auto" w:sz="8" w:space="0"/>
          </w:tblBorders>
          <w:tblCellMar>
            <w:top w:w="0" w:type="dxa"/>
            <w:left w:w="108" w:type="dxa"/>
            <w:bottom w:w="0" w:type="dxa"/>
            <w:right w:w="108" w:type="dxa"/>
          </w:tblCellMar>
        </w:tblPrEx>
        <w:trPr>
          <w:trHeight w:val="295" w:hRule="atLeast"/>
        </w:trPr>
        <w:tc>
          <w:tcPr>
            <w:tcW w:w="4328" w:type="pct"/>
            <w:gridSpan w:val="2"/>
            <w:tcBorders>
              <w:tl2br w:val="nil"/>
              <w:tr2bl w:val="nil"/>
            </w:tcBorders>
            <w:noWrap w:val="0"/>
            <w:vAlign w:val="center"/>
          </w:tcPr>
          <w:p w14:paraId="4857B81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区域湿度条件</w:t>
            </w:r>
          </w:p>
        </w:tc>
        <w:tc>
          <w:tcPr>
            <w:tcW w:w="1239" w:type="dxa"/>
            <w:tcBorders>
              <w:tl2br w:val="nil"/>
              <w:tr2bl w:val="nil"/>
            </w:tcBorders>
            <w:noWrap w:val="0"/>
            <w:vAlign w:val="center"/>
          </w:tcPr>
          <w:p w14:paraId="0B542B2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干燥</w:t>
            </w:r>
          </w:p>
        </w:tc>
      </w:tr>
      <w:tr w14:paraId="1816F80D">
        <w:tblPrEx>
          <w:tblBorders>
            <w:top w:val="single" w:color="000000" w:sz="8" w:space="0"/>
            <w:left w:val="single" w:color="000000" w:sz="8" w:space="0"/>
            <w:bottom w:val="single" w:color="000000" w:sz="8" w:space="0"/>
            <w:right w:val="single" w:color="000000" w:sz="8" w:space="0"/>
            <w:insideH w:val="single" w:color="auto" w:sz="8" w:space="0"/>
            <w:insideV w:val="single" w:color="auto" w:sz="8" w:space="0"/>
          </w:tblBorders>
          <w:tblCellMar>
            <w:top w:w="0" w:type="dxa"/>
            <w:left w:w="108" w:type="dxa"/>
            <w:bottom w:w="0" w:type="dxa"/>
            <w:right w:w="108" w:type="dxa"/>
          </w:tblCellMar>
        </w:tblPrEx>
        <w:trPr>
          <w:trHeight w:val="0" w:hRule="atLeast"/>
        </w:trPr>
        <w:tc>
          <w:tcPr>
            <w:tcW w:w="1947" w:type="pct"/>
            <w:vMerge w:val="restart"/>
            <w:tcBorders>
              <w:tl2br w:val="nil"/>
              <w:tr2bl w:val="nil"/>
            </w:tcBorders>
            <w:noWrap w:val="0"/>
            <w:vAlign w:val="center"/>
          </w:tcPr>
          <w:p w14:paraId="5662D0C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是否考虑地形</w:t>
            </w:r>
          </w:p>
        </w:tc>
        <w:tc>
          <w:tcPr>
            <w:tcW w:w="2380" w:type="pct"/>
            <w:tcBorders>
              <w:tl2br w:val="nil"/>
              <w:tr2bl w:val="nil"/>
            </w:tcBorders>
            <w:noWrap w:val="0"/>
            <w:vAlign w:val="center"/>
          </w:tcPr>
          <w:p w14:paraId="1C1E8A3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考虑地形</w:t>
            </w:r>
          </w:p>
        </w:tc>
        <w:tc>
          <w:tcPr>
            <w:tcW w:w="1239" w:type="dxa"/>
            <w:tcBorders>
              <w:tl2br w:val="nil"/>
              <w:tr2bl w:val="nil"/>
            </w:tcBorders>
            <w:noWrap w:val="0"/>
            <w:vAlign w:val="center"/>
          </w:tcPr>
          <w:p w14:paraId="63B4F60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是</w:t>
            </w:r>
          </w:p>
        </w:tc>
      </w:tr>
      <w:tr w14:paraId="037D529D">
        <w:tblPrEx>
          <w:tblBorders>
            <w:top w:val="single" w:color="000000" w:sz="8" w:space="0"/>
            <w:left w:val="single" w:color="000000" w:sz="8" w:space="0"/>
            <w:bottom w:val="single" w:color="000000" w:sz="8" w:space="0"/>
            <w:right w:val="single" w:color="000000" w:sz="8" w:space="0"/>
            <w:insideH w:val="single" w:color="auto" w:sz="8" w:space="0"/>
            <w:insideV w:val="single" w:color="auto" w:sz="8" w:space="0"/>
          </w:tblBorders>
          <w:tblCellMar>
            <w:top w:w="0" w:type="dxa"/>
            <w:left w:w="108" w:type="dxa"/>
            <w:bottom w:w="0" w:type="dxa"/>
            <w:right w:w="108" w:type="dxa"/>
          </w:tblCellMar>
        </w:tblPrEx>
        <w:trPr>
          <w:trHeight w:val="0" w:hRule="atLeast"/>
        </w:trPr>
        <w:tc>
          <w:tcPr>
            <w:tcW w:w="1947" w:type="pct"/>
            <w:vMerge w:val="continue"/>
            <w:tcBorders>
              <w:tl2br w:val="nil"/>
              <w:tr2bl w:val="nil"/>
            </w:tcBorders>
            <w:noWrap w:val="0"/>
            <w:vAlign w:val="center"/>
          </w:tcPr>
          <w:p w14:paraId="22DD0AD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380" w:type="pct"/>
            <w:tcBorders>
              <w:tl2br w:val="nil"/>
              <w:tr2bl w:val="nil"/>
            </w:tcBorders>
            <w:noWrap w:val="0"/>
            <w:vAlign w:val="center"/>
          </w:tcPr>
          <w:p w14:paraId="725FB97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地形数据分辨率（m）</w:t>
            </w:r>
          </w:p>
        </w:tc>
        <w:tc>
          <w:tcPr>
            <w:tcW w:w="1239" w:type="dxa"/>
            <w:tcBorders>
              <w:tl2br w:val="nil"/>
              <w:tr2bl w:val="nil"/>
            </w:tcBorders>
            <w:noWrap w:val="0"/>
            <w:vAlign w:val="center"/>
          </w:tcPr>
          <w:p w14:paraId="6C3AA5A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90</w:t>
            </w:r>
          </w:p>
        </w:tc>
      </w:tr>
      <w:tr w14:paraId="7085669A">
        <w:tblPrEx>
          <w:tblBorders>
            <w:top w:val="single" w:color="000000" w:sz="8" w:space="0"/>
            <w:left w:val="single" w:color="000000" w:sz="8" w:space="0"/>
            <w:bottom w:val="single" w:color="000000" w:sz="8" w:space="0"/>
            <w:right w:val="single" w:color="000000" w:sz="8" w:space="0"/>
            <w:insideH w:val="single" w:color="auto" w:sz="8" w:space="0"/>
            <w:insideV w:val="single" w:color="auto" w:sz="8" w:space="0"/>
          </w:tblBorders>
          <w:tblCellMar>
            <w:top w:w="0" w:type="dxa"/>
            <w:left w:w="108" w:type="dxa"/>
            <w:bottom w:w="0" w:type="dxa"/>
            <w:right w:w="108" w:type="dxa"/>
          </w:tblCellMar>
        </w:tblPrEx>
        <w:trPr>
          <w:trHeight w:val="0" w:hRule="atLeast"/>
        </w:trPr>
        <w:tc>
          <w:tcPr>
            <w:tcW w:w="1947" w:type="pct"/>
            <w:vMerge w:val="restart"/>
            <w:tcBorders>
              <w:tl2br w:val="nil"/>
              <w:tr2bl w:val="nil"/>
            </w:tcBorders>
            <w:noWrap w:val="0"/>
            <w:vAlign w:val="center"/>
          </w:tcPr>
          <w:p w14:paraId="044EE18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是否考虑岸线熏烟</w:t>
            </w:r>
          </w:p>
        </w:tc>
        <w:tc>
          <w:tcPr>
            <w:tcW w:w="2380" w:type="pct"/>
            <w:tcBorders>
              <w:tl2br w:val="nil"/>
              <w:tr2bl w:val="nil"/>
            </w:tcBorders>
            <w:noWrap w:val="0"/>
            <w:vAlign w:val="center"/>
          </w:tcPr>
          <w:p w14:paraId="07949BA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考虑岸线熏烟</w:t>
            </w:r>
          </w:p>
        </w:tc>
        <w:tc>
          <w:tcPr>
            <w:tcW w:w="1239" w:type="dxa"/>
            <w:tcBorders>
              <w:tl2br w:val="nil"/>
              <w:tr2bl w:val="nil"/>
            </w:tcBorders>
            <w:noWrap w:val="0"/>
            <w:vAlign w:val="center"/>
          </w:tcPr>
          <w:p w14:paraId="76DBC99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否</w:t>
            </w:r>
          </w:p>
        </w:tc>
      </w:tr>
      <w:tr w14:paraId="531A364F">
        <w:tblPrEx>
          <w:tblBorders>
            <w:top w:val="single" w:color="000000" w:sz="8" w:space="0"/>
            <w:left w:val="single" w:color="000000" w:sz="8" w:space="0"/>
            <w:bottom w:val="single" w:color="000000" w:sz="8" w:space="0"/>
            <w:right w:val="single" w:color="000000" w:sz="8" w:space="0"/>
            <w:insideH w:val="single" w:color="auto" w:sz="8" w:space="0"/>
            <w:insideV w:val="single" w:color="auto" w:sz="8" w:space="0"/>
          </w:tblBorders>
          <w:tblCellMar>
            <w:top w:w="0" w:type="dxa"/>
            <w:left w:w="108" w:type="dxa"/>
            <w:bottom w:w="0" w:type="dxa"/>
            <w:right w:w="108" w:type="dxa"/>
          </w:tblCellMar>
        </w:tblPrEx>
        <w:trPr>
          <w:trHeight w:val="0" w:hRule="atLeast"/>
        </w:trPr>
        <w:tc>
          <w:tcPr>
            <w:tcW w:w="1947" w:type="pct"/>
            <w:vMerge w:val="continue"/>
            <w:tcBorders>
              <w:tl2br w:val="nil"/>
              <w:tr2bl w:val="nil"/>
            </w:tcBorders>
            <w:noWrap w:val="0"/>
            <w:vAlign w:val="center"/>
          </w:tcPr>
          <w:p w14:paraId="6CDADDE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380" w:type="pct"/>
            <w:tcBorders>
              <w:tl2br w:val="nil"/>
              <w:tr2bl w:val="nil"/>
            </w:tcBorders>
            <w:noWrap w:val="0"/>
            <w:vAlign w:val="center"/>
          </w:tcPr>
          <w:p w14:paraId="193C7B2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岸线距离/m</w:t>
            </w:r>
          </w:p>
        </w:tc>
        <w:tc>
          <w:tcPr>
            <w:tcW w:w="1239" w:type="dxa"/>
            <w:tcBorders>
              <w:tl2br w:val="nil"/>
              <w:tr2bl w:val="nil"/>
            </w:tcBorders>
            <w:noWrap w:val="0"/>
            <w:vAlign w:val="center"/>
          </w:tcPr>
          <w:p w14:paraId="4654301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r>
      <w:tr w14:paraId="03B57C8B">
        <w:tblPrEx>
          <w:tblBorders>
            <w:top w:val="single" w:color="000000" w:sz="8" w:space="0"/>
            <w:left w:val="single" w:color="000000" w:sz="8" w:space="0"/>
            <w:bottom w:val="single" w:color="000000" w:sz="8" w:space="0"/>
            <w:right w:val="single" w:color="000000" w:sz="8" w:space="0"/>
            <w:insideH w:val="single" w:color="auto" w:sz="8" w:space="0"/>
            <w:insideV w:val="single" w:color="auto" w:sz="8" w:space="0"/>
          </w:tblBorders>
          <w:tblCellMar>
            <w:top w:w="0" w:type="dxa"/>
            <w:left w:w="108" w:type="dxa"/>
            <w:bottom w:w="0" w:type="dxa"/>
            <w:right w:w="108" w:type="dxa"/>
          </w:tblCellMar>
        </w:tblPrEx>
        <w:trPr>
          <w:trHeight w:val="0" w:hRule="atLeast"/>
        </w:trPr>
        <w:tc>
          <w:tcPr>
            <w:tcW w:w="1947" w:type="pct"/>
            <w:vMerge w:val="continue"/>
            <w:tcBorders>
              <w:tl2br w:val="nil"/>
              <w:tr2bl w:val="nil"/>
            </w:tcBorders>
            <w:noWrap w:val="0"/>
            <w:vAlign w:val="center"/>
          </w:tcPr>
          <w:p w14:paraId="5DED8E3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380" w:type="pct"/>
            <w:tcBorders>
              <w:tl2br w:val="nil"/>
              <w:tr2bl w:val="nil"/>
            </w:tcBorders>
            <w:noWrap w:val="0"/>
            <w:vAlign w:val="center"/>
          </w:tcPr>
          <w:p w14:paraId="0F9335A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岸线方向/°</w:t>
            </w:r>
          </w:p>
        </w:tc>
        <w:tc>
          <w:tcPr>
            <w:tcW w:w="1239" w:type="dxa"/>
            <w:tcBorders>
              <w:tl2br w:val="nil"/>
              <w:tr2bl w:val="nil"/>
            </w:tcBorders>
            <w:noWrap w:val="0"/>
            <w:vAlign w:val="center"/>
          </w:tcPr>
          <w:p w14:paraId="3AB6024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r>
    </w:tbl>
    <w:p w14:paraId="7F1E61B7">
      <w:pPr>
        <w:adjustRightInd w:val="0"/>
        <w:snapToGrid w:val="0"/>
        <w:spacing w:line="500" w:lineRule="exact"/>
        <w:ind w:firstLine="480" w:firstLineChars="200"/>
        <w:jc w:val="left"/>
        <w:rPr>
          <w:rFonts w:hint="default" w:ascii="Times New Roman" w:hAnsi="Times New Roman" w:cs="Times New Roman" w:eastAsiaTheme="minorEastAsia"/>
          <w:sz w:val="24"/>
          <w:lang w:val="zh-CN" w:eastAsia="zh-CN"/>
        </w:rPr>
        <w:sectPr>
          <w:footerReference r:id="rId4" w:type="default"/>
          <w:pgSz w:w="11906" w:h="16838"/>
          <w:pgMar w:top="1440" w:right="1800" w:bottom="1440" w:left="1800" w:header="851" w:footer="992" w:gutter="0"/>
          <w:pgNumType w:fmt="decimal" w:start="1"/>
          <w:cols w:space="425" w:num="1"/>
          <w:docGrid w:type="lines" w:linePitch="312" w:charSpace="0"/>
        </w:sectPr>
      </w:pPr>
      <w:bookmarkStart w:id="89" w:name="_Toc30075"/>
      <w:bookmarkStart w:id="90" w:name="_Toc857"/>
      <w:bookmarkStart w:id="91" w:name="_Toc13569"/>
    </w:p>
    <w:p w14:paraId="7F18E9E7">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③评价等级判定结果</w:t>
      </w:r>
    </w:p>
    <w:p w14:paraId="044E6B83">
      <w:pPr>
        <w:adjustRightInd w:val="0"/>
        <w:snapToGrid w:val="0"/>
        <w:spacing w:before="250" w:beforeLines="50"/>
        <w:ind w:firstLine="480" w:firstLineChars="200"/>
        <w:jc w:val="both"/>
        <w:rPr>
          <w:rFonts w:hint="default" w:ascii="Times New Roman" w:hAnsi="Times New Roman" w:cs="Times New Roman" w:eastAsiaTheme="minorEastAsia"/>
          <w:sz w:val="24"/>
          <w:lang w:val="zh-CN" w:eastAsia="zh-CN"/>
        </w:rPr>
      </w:pPr>
      <w:r>
        <w:rPr>
          <w:rFonts w:hint="default" w:ascii="Times New Roman" w:hAnsi="Times New Roman" w:cs="Times New Roman" w:eastAsiaTheme="minorEastAsia"/>
          <w:sz w:val="24"/>
          <w:lang w:val="en-US" w:eastAsia="zh-CN"/>
        </w:rPr>
        <w:t>本项目估算模式预测结果见表2.5</w:t>
      </w:r>
      <w:r>
        <w:rPr>
          <w:rFonts w:hint="eastAsia" w:ascii="Times New Roman" w:hAnsi="Times New Roman" w:cs="Times New Roman"/>
          <w:sz w:val="24"/>
          <w:lang w:val="en-US" w:eastAsia="zh-CN"/>
        </w:rPr>
        <w:t>-3</w:t>
      </w:r>
      <w:r>
        <w:rPr>
          <w:rFonts w:hint="default" w:ascii="Times New Roman" w:hAnsi="Times New Roman" w:cs="Times New Roman" w:eastAsiaTheme="minorEastAsia"/>
          <w:sz w:val="24"/>
          <w:lang w:val="zh-CN" w:eastAsia="zh-CN"/>
        </w:rPr>
        <w:t>。</w:t>
      </w:r>
    </w:p>
    <w:p w14:paraId="3D372D16">
      <w:pPr>
        <w:adjustRightInd w:val="0"/>
        <w:snapToGrid w:val="0"/>
        <w:spacing w:before="250" w:beforeLines="50"/>
        <w:ind w:firstLine="422" w:firstLineChars="200"/>
        <w:jc w:val="center"/>
        <w:rPr>
          <w:rFonts w:hint="eastAsia"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en-US"/>
        </w:rPr>
        <w:t>表</w:t>
      </w:r>
      <w:r>
        <w:rPr>
          <w:rFonts w:hint="eastAsia" w:ascii="Times New Roman" w:hAnsi="Times New Roman" w:cs="Times New Roman"/>
          <w:b/>
          <w:szCs w:val="21"/>
          <w:lang w:val="en-US" w:eastAsia="zh-CN"/>
        </w:rPr>
        <w:t>2.5</w:t>
      </w:r>
      <w:r>
        <w:rPr>
          <w:rFonts w:hint="default" w:ascii="Times New Roman" w:hAnsi="Times New Roman" w:cs="Times New Roman" w:eastAsiaTheme="minorEastAsia"/>
          <w:b/>
          <w:szCs w:val="21"/>
          <w:lang w:val="en-US" w:eastAsia="en-US"/>
        </w:rPr>
        <w:t>-</w:t>
      </w:r>
      <w:r>
        <w:rPr>
          <w:rFonts w:hint="eastAsia" w:ascii="Times New Roman" w:hAnsi="Times New Roman" w:cs="Times New Roman"/>
          <w:b/>
          <w:szCs w:val="21"/>
          <w:lang w:val="en-US" w:eastAsia="zh-CN"/>
        </w:rPr>
        <w:t>3</w:t>
      </w:r>
      <w:r>
        <w:rPr>
          <w:rFonts w:hint="default" w:ascii="Times New Roman" w:hAnsi="Times New Roman" w:cs="Times New Roman" w:eastAsiaTheme="minorEastAsia"/>
          <w:b/>
          <w:szCs w:val="21"/>
          <w:lang w:val="en-US" w:eastAsia="zh-CN"/>
        </w:rPr>
        <w:t xml:space="preserve">  </w:t>
      </w:r>
      <w:r>
        <w:rPr>
          <w:rFonts w:cs="Times New Roman"/>
          <w:b/>
          <w:kern w:val="0"/>
          <w:szCs w:val="24"/>
        </w:rPr>
        <w:t>污染源排放情况</w:t>
      </w:r>
      <w:r>
        <w:rPr>
          <w:rFonts w:cs="Times New Roman"/>
          <w:b/>
          <w:kern w:val="0"/>
          <w:szCs w:val="20"/>
        </w:rPr>
        <w:t>表</w:t>
      </w:r>
      <w:r>
        <w:rPr>
          <w:rFonts w:hint="eastAsia" w:cs="Times New Roman"/>
          <w:b/>
          <w:kern w:val="0"/>
          <w:szCs w:val="20"/>
          <w:lang w:eastAsia="zh-CN"/>
        </w:rPr>
        <w:t>（</w:t>
      </w:r>
      <w:r>
        <w:rPr>
          <w:rFonts w:hint="eastAsia" w:cs="Times New Roman"/>
          <w:b/>
          <w:kern w:val="0"/>
          <w:szCs w:val="20"/>
          <w:lang w:val="en-US" w:eastAsia="zh-CN"/>
        </w:rPr>
        <w:t>点源</w:t>
      </w:r>
      <w:r>
        <w:rPr>
          <w:rFonts w:hint="eastAsia" w:cs="Times New Roman"/>
          <w:b/>
          <w:kern w:val="0"/>
          <w:szCs w:val="20"/>
          <w:lang w:eastAsia="zh-CN"/>
        </w:rPr>
        <w:t>）</w:t>
      </w:r>
    </w:p>
    <w:tbl>
      <w:tblPr>
        <w:tblStyle w:val="16"/>
        <w:tblW w:w="14493" w:type="dxa"/>
        <w:tblInd w:w="0" w:type="dxa"/>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633"/>
        <w:gridCol w:w="1238"/>
        <w:gridCol w:w="1260"/>
        <w:gridCol w:w="856"/>
        <w:gridCol w:w="855"/>
        <w:gridCol w:w="1238"/>
        <w:gridCol w:w="674"/>
        <w:gridCol w:w="868"/>
        <w:gridCol w:w="614"/>
        <w:gridCol w:w="880"/>
        <w:gridCol w:w="885"/>
        <w:gridCol w:w="687"/>
        <w:gridCol w:w="940"/>
        <w:gridCol w:w="1178"/>
        <w:gridCol w:w="1687"/>
      </w:tblGrid>
      <w:tr w14:paraId="7F0E20E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633" w:type="dxa"/>
            <w:vMerge w:val="restart"/>
            <w:tcBorders>
              <w:tl2br w:val="nil"/>
              <w:tr2bl w:val="nil"/>
            </w:tcBorders>
            <w:vAlign w:val="center"/>
          </w:tcPr>
          <w:p w14:paraId="7AA7C9D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编号</w:t>
            </w:r>
          </w:p>
        </w:tc>
        <w:tc>
          <w:tcPr>
            <w:tcW w:w="1238" w:type="dxa"/>
            <w:vMerge w:val="restart"/>
            <w:tcBorders>
              <w:tl2br w:val="nil"/>
              <w:tr2bl w:val="nil"/>
            </w:tcBorders>
            <w:vAlign w:val="center"/>
          </w:tcPr>
          <w:p w14:paraId="6B43CC8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名称</w:t>
            </w:r>
          </w:p>
        </w:tc>
        <w:tc>
          <w:tcPr>
            <w:tcW w:w="1260" w:type="dxa"/>
            <w:vMerge w:val="restart"/>
            <w:tcBorders>
              <w:tl2br w:val="nil"/>
              <w:tr2bl w:val="nil"/>
            </w:tcBorders>
            <w:vAlign w:val="center"/>
          </w:tcPr>
          <w:p w14:paraId="4C58AAD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排气筒底部</w:t>
            </w:r>
            <w:r>
              <w:rPr>
                <w:rFonts w:hint="eastAsia" w:ascii="Times New Roman" w:hAnsi="Times New Roman" w:cs="Times New Roman"/>
                <w:szCs w:val="21"/>
                <w:highlight w:val="none"/>
                <w:lang w:val="en-US" w:eastAsia="zh-CN"/>
              </w:rPr>
              <w:t>海拔</w:t>
            </w:r>
            <w:r>
              <w:rPr>
                <w:rFonts w:hint="default" w:ascii="Times New Roman" w:hAnsi="Times New Roman" w:cs="Times New Roman" w:eastAsiaTheme="minorEastAsia"/>
                <w:szCs w:val="21"/>
                <w:highlight w:val="none"/>
                <w:lang w:val="en-US" w:eastAsia="zh-CN"/>
              </w:rPr>
              <w:t>/m</w:t>
            </w:r>
          </w:p>
        </w:tc>
        <w:tc>
          <w:tcPr>
            <w:tcW w:w="856" w:type="dxa"/>
            <w:vMerge w:val="restart"/>
            <w:tcBorders>
              <w:tl2br w:val="nil"/>
              <w:tr2bl w:val="nil"/>
            </w:tcBorders>
            <w:vAlign w:val="center"/>
          </w:tcPr>
          <w:p w14:paraId="5265059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排气筒高度/m</w:t>
            </w:r>
          </w:p>
        </w:tc>
        <w:tc>
          <w:tcPr>
            <w:tcW w:w="855" w:type="dxa"/>
            <w:vMerge w:val="restart"/>
            <w:tcBorders>
              <w:tl2br w:val="nil"/>
              <w:tr2bl w:val="nil"/>
            </w:tcBorders>
            <w:vAlign w:val="center"/>
          </w:tcPr>
          <w:p w14:paraId="2CDA99C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排气筒内径/m</w:t>
            </w:r>
          </w:p>
        </w:tc>
        <w:tc>
          <w:tcPr>
            <w:tcW w:w="1238" w:type="dxa"/>
            <w:vMerge w:val="restart"/>
            <w:tcBorders>
              <w:tl2br w:val="nil"/>
              <w:tr2bl w:val="nil"/>
            </w:tcBorders>
            <w:vAlign w:val="center"/>
          </w:tcPr>
          <w:p w14:paraId="3B14E3C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烟气流速/（m/s）</w:t>
            </w:r>
          </w:p>
        </w:tc>
        <w:tc>
          <w:tcPr>
            <w:tcW w:w="674" w:type="dxa"/>
            <w:vMerge w:val="restart"/>
            <w:tcBorders>
              <w:tl2br w:val="nil"/>
              <w:tr2bl w:val="nil"/>
            </w:tcBorders>
            <w:vAlign w:val="center"/>
          </w:tcPr>
          <w:p w14:paraId="70472E3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烟气温度/℃</w:t>
            </w:r>
          </w:p>
        </w:tc>
        <w:tc>
          <w:tcPr>
            <w:tcW w:w="868" w:type="dxa"/>
            <w:vMerge w:val="restart"/>
            <w:tcBorders>
              <w:tl2br w:val="nil"/>
              <w:tr2bl w:val="nil"/>
            </w:tcBorders>
            <w:vAlign w:val="center"/>
          </w:tcPr>
          <w:p w14:paraId="7C94E7A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年排放小时数/h</w:t>
            </w:r>
          </w:p>
        </w:tc>
        <w:tc>
          <w:tcPr>
            <w:tcW w:w="614" w:type="dxa"/>
            <w:vMerge w:val="restart"/>
            <w:tcBorders>
              <w:tl2br w:val="nil"/>
              <w:tr2bl w:val="nil"/>
            </w:tcBorders>
            <w:vAlign w:val="center"/>
          </w:tcPr>
          <w:p w14:paraId="0C1A96B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排放工况</w:t>
            </w:r>
          </w:p>
        </w:tc>
        <w:tc>
          <w:tcPr>
            <w:tcW w:w="6257" w:type="dxa"/>
            <w:gridSpan w:val="6"/>
            <w:tcBorders>
              <w:bottom w:val="single" w:color="auto" w:sz="4" w:space="0"/>
              <w:tl2br w:val="nil"/>
              <w:tr2bl w:val="nil"/>
            </w:tcBorders>
            <w:vAlign w:val="center"/>
          </w:tcPr>
          <w:p w14:paraId="54B048F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排放速率（kg/h）</w:t>
            </w:r>
          </w:p>
        </w:tc>
      </w:tr>
      <w:tr w14:paraId="35B9D8C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633" w:type="dxa"/>
            <w:vMerge w:val="continue"/>
            <w:tcBorders>
              <w:tl2br w:val="nil"/>
              <w:tr2bl w:val="nil"/>
            </w:tcBorders>
            <w:vAlign w:val="center"/>
          </w:tcPr>
          <w:p w14:paraId="20567BB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1238" w:type="dxa"/>
            <w:vMerge w:val="continue"/>
            <w:tcBorders>
              <w:tl2br w:val="nil"/>
              <w:tr2bl w:val="nil"/>
            </w:tcBorders>
            <w:vAlign w:val="center"/>
          </w:tcPr>
          <w:p w14:paraId="4214B81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1260" w:type="dxa"/>
            <w:vMerge w:val="continue"/>
            <w:tcBorders>
              <w:tl2br w:val="nil"/>
              <w:tr2bl w:val="nil"/>
            </w:tcBorders>
            <w:vAlign w:val="center"/>
          </w:tcPr>
          <w:p w14:paraId="0BC1AE5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856" w:type="dxa"/>
            <w:vMerge w:val="continue"/>
            <w:tcBorders>
              <w:tl2br w:val="nil"/>
              <w:tr2bl w:val="nil"/>
            </w:tcBorders>
            <w:vAlign w:val="center"/>
          </w:tcPr>
          <w:p w14:paraId="331CECD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855" w:type="dxa"/>
            <w:vMerge w:val="continue"/>
            <w:tcBorders>
              <w:tl2br w:val="nil"/>
              <w:tr2bl w:val="nil"/>
            </w:tcBorders>
            <w:vAlign w:val="center"/>
          </w:tcPr>
          <w:p w14:paraId="1C28D74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1238" w:type="dxa"/>
            <w:vMerge w:val="continue"/>
            <w:tcBorders>
              <w:tl2br w:val="nil"/>
              <w:tr2bl w:val="nil"/>
            </w:tcBorders>
            <w:vAlign w:val="center"/>
          </w:tcPr>
          <w:p w14:paraId="4C83A18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674" w:type="dxa"/>
            <w:vMerge w:val="continue"/>
            <w:tcBorders>
              <w:tl2br w:val="nil"/>
              <w:tr2bl w:val="nil"/>
            </w:tcBorders>
            <w:vAlign w:val="center"/>
          </w:tcPr>
          <w:p w14:paraId="1C69FAA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868" w:type="dxa"/>
            <w:vMerge w:val="continue"/>
            <w:tcBorders>
              <w:tl2br w:val="nil"/>
              <w:tr2bl w:val="nil"/>
            </w:tcBorders>
            <w:vAlign w:val="center"/>
          </w:tcPr>
          <w:p w14:paraId="0FED913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614" w:type="dxa"/>
            <w:vMerge w:val="continue"/>
            <w:tcBorders>
              <w:tl2br w:val="nil"/>
              <w:tr2bl w:val="nil"/>
            </w:tcBorders>
            <w:vAlign w:val="center"/>
          </w:tcPr>
          <w:p w14:paraId="575E33A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880" w:type="dxa"/>
            <w:tcBorders>
              <w:top w:val="single" w:color="auto" w:sz="4" w:space="0"/>
              <w:bottom w:val="single" w:color="auto" w:sz="4" w:space="0"/>
              <w:right w:val="single" w:color="auto" w:sz="4" w:space="0"/>
              <w:tl2br w:val="nil"/>
              <w:tr2bl w:val="nil"/>
            </w:tcBorders>
            <w:vAlign w:val="center"/>
          </w:tcPr>
          <w:p w14:paraId="6D03B87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PM</w:t>
            </w:r>
            <w:r>
              <w:rPr>
                <w:rFonts w:hint="eastAsia" w:ascii="Times New Roman" w:hAnsi="Times New Roman" w:cs="Times New Roman"/>
                <w:szCs w:val="21"/>
                <w:highlight w:val="none"/>
                <w:vertAlign w:val="subscript"/>
                <w:lang w:val="en-US" w:eastAsia="zh-CN"/>
              </w:rPr>
              <w:t>10</w:t>
            </w:r>
          </w:p>
        </w:tc>
        <w:tc>
          <w:tcPr>
            <w:tcW w:w="885" w:type="dxa"/>
            <w:tcBorders>
              <w:top w:val="single" w:color="auto" w:sz="4" w:space="0"/>
              <w:left w:val="single" w:color="auto" w:sz="4" w:space="0"/>
              <w:bottom w:val="single" w:color="auto" w:sz="4" w:space="0"/>
              <w:tl2br w:val="nil"/>
              <w:tr2bl w:val="nil"/>
            </w:tcBorders>
            <w:vAlign w:val="center"/>
          </w:tcPr>
          <w:p w14:paraId="1C72893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PM</w:t>
            </w:r>
            <w:r>
              <w:rPr>
                <w:rFonts w:hint="eastAsia" w:ascii="Times New Roman" w:hAnsi="Times New Roman" w:cs="Times New Roman"/>
                <w:szCs w:val="21"/>
                <w:highlight w:val="none"/>
                <w:vertAlign w:val="subscript"/>
                <w:lang w:val="en-US" w:eastAsia="zh-CN"/>
              </w:rPr>
              <w:t>2.5</w:t>
            </w:r>
          </w:p>
        </w:tc>
        <w:tc>
          <w:tcPr>
            <w:tcW w:w="687" w:type="dxa"/>
            <w:tcBorders>
              <w:top w:val="single" w:color="auto" w:sz="4" w:space="0"/>
              <w:bottom w:val="single" w:color="auto" w:sz="4" w:space="0"/>
              <w:tl2br w:val="nil"/>
              <w:tr2bl w:val="nil"/>
            </w:tcBorders>
            <w:vAlign w:val="center"/>
          </w:tcPr>
          <w:p w14:paraId="079CD67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NO</w:t>
            </w:r>
            <w:r>
              <w:rPr>
                <w:rFonts w:hint="eastAsia" w:ascii="Times New Roman" w:hAnsi="Times New Roman" w:cs="Times New Roman"/>
                <w:szCs w:val="21"/>
                <w:highlight w:val="none"/>
                <w:vertAlign w:val="subscript"/>
                <w:lang w:val="en-US" w:eastAsia="zh-CN"/>
              </w:rPr>
              <w:t>2</w:t>
            </w:r>
          </w:p>
        </w:tc>
        <w:tc>
          <w:tcPr>
            <w:tcW w:w="940" w:type="dxa"/>
            <w:tcBorders>
              <w:top w:val="single" w:color="auto" w:sz="4" w:space="0"/>
              <w:bottom w:val="single" w:color="auto" w:sz="4" w:space="0"/>
              <w:tl2br w:val="nil"/>
              <w:tr2bl w:val="nil"/>
            </w:tcBorders>
            <w:vAlign w:val="center"/>
          </w:tcPr>
          <w:p w14:paraId="6F9322B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SO</w:t>
            </w:r>
            <w:r>
              <w:rPr>
                <w:rFonts w:hint="eastAsia" w:ascii="Times New Roman" w:hAnsi="Times New Roman" w:cs="Times New Roman"/>
                <w:szCs w:val="21"/>
                <w:highlight w:val="none"/>
                <w:vertAlign w:val="subscript"/>
                <w:lang w:val="en-US" w:eastAsia="zh-CN"/>
              </w:rPr>
              <w:t>2</w:t>
            </w:r>
          </w:p>
        </w:tc>
        <w:tc>
          <w:tcPr>
            <w:tcW w:w="1178" w:type="dxa"/>
            <w:tcBorders>
              <w:top w:val="single" w:color="auto" w:sz="4" w:space="0"/>
              <w:bottom w:val="single" w:color="auto" w:sz="4" w:space="0"/>
              <w:tl2br w:val="nil"/>
              <w:tr2bl w:val="nil"/>
            </w:tcBorders>
            <w:vAlign w:val="center"/>
          </w:tcPr>
          <w:p w14:paraId="054D16B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CO</w:t>
            </w:r>
          </w:p>
        </w:tc>
        <w:tc>
          <w:tcPr>
            <w:tcW w:w="1687" w:type="dxa"/>
            <w:tcBorders>
              <w:top w:val="single" w:color="auto" w:sz="4" w:space="0"/>
              <w:bottom w:val="single" w:color="auto" w:sz="4" w:space="0"/>
              <w:tl2br w:val="nil"/>
              <w:tr2bl w:val="nil"/>
            </w:tcBorders>
            <w:vAlign w:val="center"/>
          </w:tcPr>
          <w:p w14:paraId="2ED0BE6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HCl</w:t>
            </w:r>
          </w:p>
        </w:tc>
      </w:tr>
      <w:tr w14:paraId="36681EB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633" w:type="dxa"/>
            <w:vMerge w:val="restart"/>
            <w:tcBorders>
              <w:tl2br w:val="nil"/>
              <w:tr2bl w:val="nil"/>
            </w:tcBorders>
            <w:vAlign w:val="center"/>
          </w:tcPr>
          <w:p w14:paraId="7A39B5E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DA001</w:t>
            </w:r>
          </w:p>
        </w:tc>
        <w:tc>
          <w:tcPr>
            <w:tcW w:w="1238" w:type="dxa"/>
            <w:vMerge w:val="restart"/>
            <w:tcBorders>
              <w:tl2br w:val="nil"/>
              <w:tr2bl w:val="nil"/>
            </w:tcBorders>
            <w:vAlign w:val="center"/>
          </w:tcPr>
          <w:p w14:paraId="45DBBA6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焚烧炉废气排放口</w:t>
            </w:r>
          </w:p>
        </w:tc>
        <w:tc>
          <w:tcPr>
            <w:tcW w:w="1260" w:type="dxa"/>
            <w:vMerge w:val="restart"/>
            <w:tcBorders>
              <w:tl2br w:val="nil"/>
              <w:tr2bl w:val="nil"/>
            </w:tcBorders>
            <w:vAlign w:val="center"/>
          </w:tcPr>
          <w:p w14:paraId="715EA34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1304</w:t>
            </w:r>
          </w:p>
        </w:tc>
        <w:tc>
          <w:tcPr>
            <w:tcW w:w="856" w:type="dxa"/>
            <w:vMerge w:val="restart"/>
            <w:tcBorders>
              <w:tl2br w:val="nil"/>
              <w:tr2bl w:val="nil"/>
            </w:tcBorders>
            <w:vAlign w:val="center"/>
          </w:tcPr>
          <w:p w14:paraId="7CFCF24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20</w:t>
            </w:r>
          </w:p>
        </w:tc>
        <w:tc>
          <w:tcPr>
            <w:tcW w:w="855" w:type="dxa"/>
            <w:vMerge w:val="restart"/>
            <w:tcBorders>
              <w:tl2br w:val="nil"/>
              <w:tr2bl w:val="nil"/>
            </w:tcBorders>
            <w:vAlign w:val="center"/>
          </w:tcPr>
          <w:p w14:paraId="67B39F6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0.25</w:t>
            </w:r>
          </w:p>
        </w:tc>
        <w:tc>
          <w:tcPr>
            <w:tcW w:w="1238" w:type="dxa"/>
            <w:vMerge w:val="restart"/>
            <w:tcBorders>
              <w:tl2br w:val="nil"/>
              <w:tr2bl w:val="nil"/>
            </w:tcBorders>
            <w:vAlign w:val="center"/>
          </w:tcPr>
          <w:p w14:paraId="46ABA4E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12.907</w:t>
            </w:r>
          </w:p>
        </w:tc>
        <w:tc>
          <w:tcPr>
            <w:tcW w:w="674" w:type="dxa"/>
            <w:vMerge w:val="restart"/>
            <w:tcBorders>
              <w:tl2br w:val="nil"/>
              <w:tr2bl w:val="nil"/>
            </w:tcBorders>
            <w:vAlign w:val="center"/>
          </w:tcPr>
          <w:p w14:paraId="2F85647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80</w:t>
            </w:r>
          </w:p>
        </w:tc>
        <w:tc>
          <w:tcPr>
            <w:tcW w:w="868" w:type="dxa"/>
            <w:vMerge w:val="restart"/>
            <w:tcBorders>
              <w:tl2br w:val="nil"/>
              <w:tr2bl w:val="nil"/>
            </w:tcBorders>
            <w:vAlign w:val="center"/>
          </w:tcPr>
          <w:p w14:paraId="6E0A30B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8760</w:t>
            </w:r>
          </w:p>
        </w:tc>
        <w:tc>
          <w:tcPr>
            <w:tcW w:w="614" w:type="dxa"/>
            <w:vMerge w:val="restart"/>
            <w:tcBorders>
              <w:tl2br w:val="nil"/>
              <w:tr2bl w:val="nil"/>
            </w:tcBorders>
            <w:vAlign w:val="center"/>
          </w:tcPr>
          <w:p w14:paraId="03199C6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正常</w:t>
            </w:r>
          </w:p>
          <w:p w14:paraId="3F79647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排放</w:t>
            </w:r>
          </w:p>
        </w:tc>
        <w:tc>
          <w:tcPr>
            <w:tcW w:w="880" w:type="dxa"/>
            <w:tcBorders>
              <w:top w:val="single" w:color="auto" w:sz="4" w:space="0"/>
              <w:bottom w:val="single" w:color="auto" w:sz="4" w:space="0"/>
              <w:right w:val="single" w:color="auto" w:sz="4" w:space="0"/>
              <w:tl2br w:val="nil"/>
              <w:tr2bl w:val="nil"/>
            </w:tcBorders>
            <w:shd w:val="clear" w:color="auto" w:fill="auto"/>
            <w:vAlign w:val="center"/>
          </w:tcPr>
          <w:p w14:paraId="405DA8E5">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default"/>
                <w:sz w:val="18"/>
                <w:szCs w:val="18"/>
                <w:highlight w:val="none"/>
                <w:lang w:val="en-US" w:eastAsia="zh-CN"/>
              </w:rPr>
            </w:pPr>
            <w:r>
              <w:rPr>
                <w:rFonts w:hint="eastAsia"/>
                <w:sz w:val="18"/>
                <w:szCs w:val="18"/>
                <w:highlight w:val="none"/>
                <w:lang w:val="en-US" w:eastAsia="zh-CN"/>
              </w:rPr>
              <w:t>0.02</w:t>
            </w:r>
          </w:p>
        </w:tc>
        <w:tc>
          <w:tcPr>
            <w:tcW w:w="885" w:type="dxa"/>
            <w:tcBorders>
              <w:top w:val="single" w:color="auto" w:sz="4" w:space="0"/>
              <w:left w:val="single" w:color="auto" w:sz="4" w:space="0"/>
              <w:bottom w:val="single" w:color="auto" w:sz="4" w:space="0"/>
              <w:tl2br w:val="nil"/>
              <w:tr2bl w:val="nil"/>
            </w:tcBorders>
            <w:shd w:val="clear" w:color="auto" w:fill="auto"/>
            <w:vAlign w:val="center"/>
          </w:tcPr>
          <w:p w14:paraId="30DB0DFB">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default"/>
                <w:sz w:val="18"/>
                <w:szCs w:val="18"/>
                <w:highlight w:val="none"/>
                <w:lang w:val="en-US" w:eastAsia="zh-CN"/>
              </w:rPr>
            </w:pPr>
            <w:r>
              <w:rPr>
                <w:rFonts w:hint="eastAsia"/>
                <w:sz w:val="18"/>
                <w:szCs w:val="18"/>
                <w:highlight w:val="none"/>
                <w:lang w:val="en-US" w:eastAsia="zh-CN"/>
              </w:rPr>
              <w:t>0.01</w:t>
            </w:r>
          </w:p>
        </w:tc>
        <w:tc>
          <w:tcPr>
            <w:tcW w:w="687" w:type="dxa"/>
            <w:tcBorders>
              <w:top w:val="single" w:color="auto" w:sz="4" w:space="0"/>
              <w:bottom w:val="single" w:color="auto" w:sz="4" w:space="0"/>
              <w:tl2br w:val="nil"/>
              <w:tr2bl w:val="nil"/>
            </w:tcBorders>
            <w:vAlign w:val="center"/>
          </w:tcPr>
          <w:p w14:paraId="6D16D907">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default"/>
                <w:sz w:val="18"/>
                <w:szCs w:val="18"/>
                <w:highlight w:val="none"/>
                <w:lang w:val="en-US" w:eastAsia="zh-CN"/>
              </w:rPr>
            </w:pPr>
            <w:r>
              <w:rPr>
                <w:rFonts w:hint="eastAsia"/>
                <w:sz w:val="18"/>
                <w:szCs w:val="18"/>
                <w:highlight w:val="none"/>
                <w:lang w:val="en-US" w:eastAsia="zh-CN"/>
              </w:rPr>
              <w:t>0.143</w:t>
            </w:r>
          </w:p>
        </w:tc>
        <w:tc>
          <w:tcPr>
            <w:tcW w:w="940" w:type="dxa"/>
            <w:tcBorders>
              <w:top w:val="single" w:color="auto" w:sz="4" w:space="0"/>
              <w:bottom w:val="single" w:color="auto" w:sz="4" w:space="0"/>
              <w:tl2br w:val="nil"/>
              <w:tr2bl w:val="nil"/>
            </w:tcBorders>
            <w:vAlign w:val="center"/>
          </w:tcPr>
          <w:p w14:paraId="64FF398C">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default"/>
                <w:sz w:val="18"/>
                <w:szCs w:val="18"/>
                <w:highlight w:val="none"/>
                <w:lang w:val="en-US" w:eastAsia="zh-CN"/>
              </w:rPr>
            </w:pPr>
            <w:r>
              <w:rPr>
                <w:rFonts w:hint="eastAsia"/>
                <w:sz w:val="18"/>
                <w:szCs w:val="18"/>
                <w:highlight w:val="none"/>
                <w:lang w:val="en-US" w:eastAsia="zh-CN"/>
              </w:rPr>
              <w:t>0.029</w:t>
            </w:r>
          </w:p>
        </w:tc>
        <w:tc>
          <w:tcPr>
            <w:tcW w:w="1178" w:type="dxa"/>
            <w:tcBorders>
              <w:top w:val="single" w:color="auto" w:sz="4" w:space="0"/>
              <w:bottom w:val="single" w:color="auto" w:sz="4" w:space="0"/>
              <w:tl2br w:val="nil"/>
              <w:tr2bl w:val="nil"/>
            </w:tcBorders>
            <w:vAlign w:val="center"/>
          </w:tcPr>
          <w:p w14:paraId="1BABA6A4">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default"/>
                <w:sz w:val="18"/>
                <w:szCs w:val="18"/>
                <w:highlight w:val="none"/>
                <w:lang w:val="en-US" w:eastAsia="zh-CN"/>
              </w:rPr>
            </w:pPr>
            <w:r>
              <w:rPr>
                <w:rFonts w:hint="eastAsia"/>
                <w:sz w:val="18"/>
                <w:szCs w:val="18"/>
                <w:highlight w:val="none"/>
                <w:lang w:val="en-US" w:eastAsia="zh-CN"/>
              </w:rPr>
              <w:t>0.039</w:t>
            </w:r>
          </w:p>
        </w:tc>
        <w:tc>
          <w:tcPr>
            <w:tcW w:w="1687" w:type="dxa"/>
            <w:tcBorders>
              <w:top w:val="single" w:color="auto" w:sz="4" w:space="0"/>
              <w:bottom w:val="single" w:color="auto" w:sz="4" w:space="0"/>
              <w:tl2br w:val="nil"/>
              <w:tr2bl w:val="nil"/>
            </w:tcBorders>
            <w:vAlign w:val="center"/>
          </w:tcPr>
          <w:p w14:paraId="7AA01045">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default"/>
                <w:sz w:val="18"/>
                <w:szCs w:val="18"/>
                <w:highlight w:val="none"/>
                <w:lang w:val="en-US" w:eastAsia="zh-CN"/>
              </w:rPr>
            </w:pPr>
            <w:r>
              <w:rPr>
                <w:rFonts w:hint="eastAsia"/>
                <w:sz w:val="18"/>
                <w:szCs w:val="18"/>
                <w:highlight w:val="none"/>
                <w:lang w:val="en-US" w:eastAsia="zh-CN"/>
              </w:rPr>
              <w:t>0.017</w:t>
            </w:r>
          </w:p>
        </w:tc>
      </w:tr>
      <w:tr w14:paraId="07C20CA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633" w:type="dxa"/>
            <w:vMerge w:val="continue"/>
            <w:tcBorders>
              <w:tl2br w:val="nil"/>
              <w:tr2bl w:val="nil"/>
            </w:tcBorders>
            <w:vAlign w:val="center"/>
          </w:tcPr>
          <w:p w14:paraId="3F1B25A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1238" w:type="dxa"/>
            <w:vMerge w:val="continue"/>
            <w:tcBorders>
              <w:tl2br w:val="nil"/>
              <w:tr2bl w:val="nil"/>
            </w:tcBorders>
            <w:vAlign w:val="center"/>
          </w:tcPr>
          <w:p w14:paraId="6D693A5E">
            <w:pPr>
              <w:autoSpaceDE w:val="0"/>
              <w:autoSpaceDN w:val="0"/>
              <w:spacing w:line="300" w:lineRule="exact"/>
              <w:jc w:val="center"/>
              <w:rPr>
                <w:rFonts w:hint="eastAsia" w:ascii="Times New Roman" w:hAnsi="Times New Roman" w:cs="Times New Roman"/>
                <w:szCs w:val="21"/>
                <w:highlight w:val="none"/>
                <w:lang w:val="en-US" w:eastAsia="zh-CN"/>
              </w:rPr>
            </w:pPr>
          </w:p>
        </w:tc>
        <w:tc>
          <w:tcPr>
            <w:tcW w:w="1260" w:type="dxa"/>
            <w:vMerge w:val="continue"/>
            <w:tcBorders>
              <w:tl2br w:val="nil"/>
              <w:tr2bl w:val="nil"/>
            </w:tcBorders>
            <w:vAlign w:val="center"/>
          </w:tcPr>
          <w:p w14:paraId="1DEC6A86">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p>
        </w:tc>
        <w:tc>
          <w:tcPr>
            <w:tcW w:w="856" w:type="dxa"/>
            <w:vMerge w:val="continue"/>
            <w:tcBorders>
              <w:tl2br w:val="nil"/>
              <w:tr2bl w:val="nil"/>
            </w:tcBorders>
            <w:vAlign w:val="center"/>
          </w:tcPr>
          <w:p w14:paraId="0B1D9184">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p>
        </w:tc>
        <w:tc>
          <w:tcPr>
            <w:tcW w:w="855" w:type="dxa"/>
            <w:vMerge w:val="continue"/>
            <w:tcBorders>
              <w:tl2br w:val="nil"/>
              <w:tr2bl w:val="nil"/>
            </w:tcBorders>
            <w:vAlign w:val="center"/>
          </w:tcPr>
          <w:p w14:paraId="5E301C60">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p>
        </w:tc>
        <w:tc>
          <w:tcPr>
            <w:tcW w:w="1238" w:type="dxa"/>
            <w:vMerge w:val="continue"/>
            <w:tcBorders>
              <w:tl2br w:val="nil"/>
              <w:tr2bl w:val="nil"/>
            </w:tcBorders>
            <w:vAlign w:val="center"/>
          </w:tcPr>
          <w:p w14:paraId="1F37CA5D">
            <w:pPr>
              <w:autoSpaceDE w:val="0"/>
              <w:autoSpaceDN w:val="0"/>
              <w:spacing w:line="300" w:lineRule="exact"/>
              <w:jc w:val="center"/>
              <w:rPr>
                <w:rFonts w:hint="eastAsia" w:ascii="Times New Roman" w:hAnsi="Times New Roman" w:cs="Times New Roman"/>
                <w:szCs w:val="21"/>
                <w:highlight w:val="yellow"/>
                <w:lang w:val="en-US" w:eastAsia="zh-CN"/>
              </w:rPr>
            </w:pPr>
          </w:p>
        </w:tc>
        <w:tc>
          <w:tcPr>
            <w:tcW w:w="674" w:type="dxa"/>
            <w:vMerge w:val="continue"/>
            <w:tcBorders>
              <w:tl2br w:val="nil"/>
              <w:tr2bl w:val="nil"/>
            </w:tcBorders>
            <w:vAlign w:val="center"/>
          </w:tcPr>
          <w:p w14:paraId="390C9CC2">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p>
        </w:tc>
        <w:tc>
          <w:tcPr>
            <w:tcW w:w="868" w:type="dxa"/>
            <w:vMerge w:val="continue"/>
            <w:tcBorders>
              <w:tl2br w:val="nil"/>
              <w:tr2bl w:val="nil"/>
            </w:tcBorders>
            <w:vAlign w:val="center"/>
          </w:tcPr>
          <w:p w14:paraId="537E20CA">
            <w:pPr>
              <w:autoSpaceDE w:val="0"/>
              <w:autoSpaceDN w:val="0"/>
              <w:spacing w:line="300" w:lineRule="exact"/>
              <w:jc w:val="center"/>
              <w:rPr>
                <w:rFonts w:hint="eastAsia" w:ascii="Times New Roman" w:hAnsi="Times New Roman" w:cs="Times New Roman"/>
                <w:szCs w:val="21"/>
                <w:highlight w:val="yellow"/>
                <w:lang w:val="en-US" w:eastAsia="zh-CN"/>
              </w:rPr>
            </w:pPr>
          </w:p>
        </w:tc>
        <w:tc>
          <w:tcPr>
            <w:tcW w:w="614" w:type="dxa"/>
            <w:vMerge w:val="continue"/>
            <w:tcBorders>
              <w:tl2br w:val="nil"/>
              <w:tr2bl w:val="nil"/>
            </w:tcBorders>
            <w:vAlign w:val="center"/>
          </w:tcPr>
          <w:p w14:paraId="032ACE4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880" w:type="dxa"/>
            <w:tcBorders>
              <w:top w:val="single" w:color="auto" w:sz="4" w:space="0"/>
              <w:bottom w:val="single" w:color="auto" w:sz="4" w:space="0"/>
              <w:right w:val="single" w:color="auto" w:sz="4" w:space="0"/>
              <w:tl2br w:val="nil"/>
              <w:tr2bl w:val="nil"/>
            </w:tcBorders>
            <w:shd w:val="clear" w:color="auto" w:fill="auto"/>
            <w:vAlign w:val="center"/>
          </w:tcPr>
          <w:p w14:paraId="035F5CD4">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default"/>
                <w:sz w:val="18"/>
                <w:szCs w:val="18"/>
                <w:highlight w:val="none"/>
                <w:lang w:val="en-US" w:eastAsia="zh-CN"/>
              </w:rPr>
            </w:pPr>
            <w:r>
              <w:rPr>
                <w:rFonts w:hint="eastAsia"/>
                <w:sz w:val="18"/>
                <w:szCs w:val="18"/>
                <w:highlight w:val="none"/>
                <w:lang w:val="en-US" w:eastAsia="zh-CN"/>
              </w:rPr>
              <w:t>Hg</w:t>
            </w:r>
          </w:p>
        </w:tc>
        <w:tc>
          <w:tcPr>
            <w:tcW w:w="885" w:type="dxa"/>
            <w:tcBorders>
              <w:top w:val="single" w:color="auto" w:sz="4" w:space="0"/>
              <w:left w:val="single" w:color="auto" w:sz="4" w:space="0"/>
              <w:bottom w:val="single" w:color="auto" w:sz="4" w:space="0"/>
              <w:tl2br w:val="nil"/>
              <w:tr2bl w:val="nil"/>
            </w:tcBorders>
            <w:shd w:val="clear" w:color="auto" w:fill="auto"/>
            <w:vAlign w:val="center"/>
          </w:tcPr>
          <w:p w14:paraId="02F39255">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default"/>
                <w:sz w:val="18"/>
                <w:szCs w:val="18"/>
                <w:highlight w:val="none"/>
                <w:lang w:val="en-US" w:eastAsia="zh-CN"/>
              </w:rPr>
            </w:pPr>
            <w:r>
              <w:rPr>
                <w:rFonts w:hint="eastAsia"/>
                <w:sz w:val="18"/>
                <w:szCs w:val="18"/>
                <w:highlight w:val="none"/>
                <w:lang w:val="en-US" w:eastAsia="zh-CN"/>
              </w:rPr>
              <w:t>Pb</w:t>
            </w:r>
          </w:p>
        </w:tc>
        <w:tc>
          <w:tcPr>
            <w:tcW w:w="687" w:type="dxa"/>
            <w:tcBorders>
              <w:top w:val="single" w:color="auto" w:sz="4" w:space="0"/>
              <w:bottom w:val="single" w:color="auto" w:sz="4" w:space="0"/>
              <w:tl2br w:val="nil"/>
              <w:tr2bl w:val="nil"/>
            </w:tcBorders>
            <w:vAlign w:val="center"/>
          </w:tcPr>
          <w:p w14:paraId="7F9A28C7">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default"/>
                <w:sz w:val="18"/>
                <w:szCs w:val="18"/>
                <w:highlight w:val="none"/>
                <w:lang w:val="en-US" w:eastAsia="zh-CN"/>
              </w:rPr>
            </w:pPr>
            <w:r>
              <w:rPr>
                <w:rFonts w:hint="eastAsia"/>
                <w:sz w:val="18"/>
                <w:szCs w:val="18"/>
                <w:highlight w:val="none"/>
                <w:lang w:val="en-US" w:eastAsia="zh-CN"/>
              </w:rPr>
              <w:t>As</w:t>
            </w:r>
          </w:p>
        </w:tc>
        <w:tc>
          <w:tcPr>
            <w:tcW w:w="940" w:type="dxa"/>
            <w:tcBorders>
              <w:top w:val="single" w:color="auto" w:sz="4" w:space="0"/>
              <w:bottom w:val="single" w:color="auto" w:sz="4" w:space="0"/>
              <w:tl2br w:val="nil"/>
              <w:tr2bl w:val="nil"/>
            </w:tcBorders>
            <w:vAlign w:val="center"/>
          </w:tcPr>
          <w:p w14:paraId="138EB1D3">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default"/>
                <w:sz w:val="18"/>
                <w:szCs w:val="18"/>
                <w:highlight w:val="none"/>
                <w:lang w:val="en-US" w:eastAsia="zh-CN"/>
              </w:rPr>
            </w:pPr>
            <w:r>
              <w:rPr>
                <w:rFonts w:hint="eastAsia"/>
                <w:sz w:val="18"/>
                <w:szCs w:val="18"/>
                <w:highlight w:val="none"/>
                <w:lang w:val="en-US" w:eastAsia="zh-CN"/>
              </w:rPr>
              <w:t>Cd</w:t>
            </w:r>
          </w:p>
        </w:tc>
        <w:tc>
          <w:tcPr>
            <w:tcW w:w="1178" w:type="dxa"/>
            <w:tcBorders>
              <w:top w:val="single" w:color="auto" w:sz="4" w:space="0"/>
              <w:bottom w:val="single" w:color="auto" w:sz="4" w:space="0"/>
              <w:tl2br w:val="nil"/>
              <w:tr2bl w:val="nil"/>
            </w:tcBorders>
            <w:vAlign w:val="center"/>
          </w:tcPr>
          <w:p w14:paraId="05CB66DC">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eastAsia"/>
                <w:sz w:val="18"/>
                <w:szCs w:val="18"/>
                <w:highlight w:val="none"/>
                <w:lang w:val="en-US" w:eastAsia="zh-CN"/>
              </w:rPr>
            </w:pPr>
            <w:r>
              <w:rPr>
                <w:rFonts w:hint="eastAsia"/>
                <w:sz w:val="18"/>
                <w:szCs w:val="18"/>
                <w:highlight w:val="none"/>
                <w:lang w:val="en-US" w:eastAsia="zh-CN"/>
              </w:rPr>
              <w:t>二噁英</w:t>
            </w:r>
          </w:p>
        </w:tc>
        <w:tc>
          <w:tcPr>
            <w:tcW w:w="1687" w:type="dxa"/>
            <w:tcBorders>
              <w:top w:val="single" w:color="auto" w:sz="4" w:space="0"/>
              <w:bottom w:val="single" w:color="auto" w:sz="4" w:space="0"/>
              <w:tl2br w:val="nil"/>
              <w:tr2bl w:val="nil"/>
            </w:tcBorders>
            <w:vAlign w:val="center"/>
          </w:tcPr>
          <w:p w14:paraId="08877393">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eastAsia"/>
                <w:sz w:val="18"/>
                <w:szCs w:val="18"/>
                <w:highlight w:val="none"/>
                <w:lang w:val="en-US" w:eastAsia="zh-CN"/>
              </w:rPr>
            </w:pPr>
            <w:r>
              <w:rPr>
                <w:rFonts w:hint="eastAsia"/>
                <w:sz w:val="18"/>
                <w:szCs w:val="18"/>
                <w:highlight w:val="none"/>
                <w:lang w:val="en-US" w:eastAsia="zh-CN"/>
              </w:rPr>
              <w:t>氟化物</w:t>
            </w:r>
          </w:p>
        </w:tc>
      </w:tr>
      <w:tr w14:paraId="7E05022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633" w:type="dxa"/>
            <w:vMerge w:val="continue"/>
            <w:tcBorders>
              <w:tl2br w:val="nil"/>
              <w:tr2bl w:val="nil"/>
            </w:tcBorders>
            <w:vAlign w:val="center"/>
          </w:tcPr>
          <w:p w14:paraId="69E6BB2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1238" w:type="dxa"/>
            <w:vMerge w:val="continue"/>
            <w:tcBorders>
              <w:tl2br w:val="nil"/>
              <w:tr2bl w:val="nil"/>
            </w:tcBorders>
            <w:vAlign w:val="center"/>
          </w:tcPr>
          <w:p w14:paraId="792F739B">
            <w:pPr>
              <w:autoSpaceDE w:val="0"/>
              <w:autoSpaceDN w:val="0"/>
              <w:spacing w:line="300" w:lineRule="exact"/>
              <w:jc w:val="center"/>
              <w:rPr>
                <w:rFonts w:hint="eastAsia" w:ascii="Times New Roman" w:hAnsi="Times New Roman" w:cs="Times New Roman"/>
                <w:szCs w:val="21"/>
                <w:highlight w:val="none"/>
                <w:lang w:val="en-US" w:eastAsia="zh-CN"/>
              </w:rPr>
            </w:pPr>
          </w:p>
        </w:tc>
        <w:tc>
          <w:tcPr>
            <w:tcW w:w="1260" w:type="dxa"/>
            <w:vMerge w:val="continue"/>
            <w:tcBorders>
              <w:tl2br w:val="nil"/>
              <w:tr2bl w:val="nil"/>
            </w:tcBorders>
            <w:vAlign w:val="center"/>
          </w:tcPr>
          <w:p w14:paraId="362328BC">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p>
        </w:tc>
        <w:tc>
          <w:tcPr>
            <w:tcW w:w="856" w:type="dxa"/>
            <w:vMerge w:val="continue"/>
            <w:tcBorders>
              <w:tl2br w:val="nil"/>
              <w:tr2bl w:val="nil"/>
            </w:tcBorders>
            <w:vAlign w:val="center"/>
          </w:tcPr>
          <w:p w14:paraId="0ED35B56">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p>
        </w:tc>
        <w:tc>
          <w:tcPr>
            <w:tcW w:w="855" w:type="dxa"/>
            <w:vMerge w:val="continue"/>
            <w:tcBorders>
              <w:tl2br w:val="nil"/>
              <w:tr2bl w:val="nil"/>
            </w:tcBorders>
            <w:vAlign w:val="center"/>
          </w:tcPr>
          <w:p w14:paraId="31A3C5B4">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p>
        </w:tc>
        <w:tc>
          <w:tcPr>
            <w:tcW w:w="1238" w:type="dxa"/>
            <w:vMerge w:val="continue"/>
            <w:tcBorders>
              <w:tl2br w:val="nil"/>
              <w:tr2bl w:val="nil"/>
            </w:tcBorders>
            <w:vAlign w:val="center"/>
          </w:tcPr>
          <w:p w14:paraId="771494D9">
            <w:pPr>
              <w:autoSpaceDE w:val="0"/>
              <w:autoSpaceDN w:val="0"/>
              <w:spacing w:line="300" w:lineRule="exact"/>
              <w:jc w:val="center"/>
              <w:rPr>
                <w:rFonts w:hint="eastAsia" w:ascii="Times New Roman" w:hAnsi="Times New Roman" w:cs="Times New Roman"/>
                <w:szCs w:val="21"/>
                <w:highlight w:val="yellow"/>
                <w:lang w:val="en-US" w:eastAsia="zh-CN"/>
              </w:rPr>
            </w:pPr>
          </w:p>
        </w:tc>
        <w:tc>
          <w:tcPr>
            <w:tcW w:w="674" w:type="dxa"/>
            <w:vMerge w:val="continue"/>
            <w:tcBorders>
              <w:tl2br w:val="nil"/>
              <w:tr2bl w:val="nil"/>
            </w:tcBorders>
            <w:vAlign w:val="center"/>
          </w:tcPr>
          <w:p w14:paraId="49E855C4">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p>
        </w:tc>
        <w:tc>
          <w:tcPr>
            <w:tcW w:w="868" w:type="dxa"/>
            <w:vMerge w:val="continue"/>
            <w:tcBorders>
              <w:tl2br w:val="nil"/>
              <w:tr2bl w:val="nil"/>
            </w:tcBorders>
            <w:vAlign w:val="center"/>
          </w:tcPr>
          <w:p w14:paraId="5661DA91">
            <w:pPr>
              <w:autoSpaceDE w:val="0"/>
              <w:autoSpaceDN w:val="0"/>
              <w:spacing w:line="300" w:lineRule="exact"/>
              <w:jc w:val="center"/>
              <w:rPr>
                <w:rFonts w:hint="eastAsia" w:ascii="Times New Roman" w:hAnsi="Times New Roman" w:cs="Times New Roman"/>
                <w:szCs w:val="21"/>
                <w:highlight w:val="yellow"/>
                <w:lang w:val="en-US" w:eastAsia="zh-CN"/>
              </w:rPr>
            </w:pPr>
          </w:p>
        </w:tc>
        <w:tc>
          <w:tcPr>
            <w:tcW w:w="614" w:type="dxa"/>
            <w:vMerge w:val="continue"/>
            <w:tcBorders>
              <w:tl2br w:val="nil"/>
              <w:tr2bl w:val="nil"/>
            </w:tcBorders>
            <w:vAlign w:val="center"/>
          </w:tcPr>
          <w:p w14:paraId="09DE65A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880" w:type="dxa"/>
            <w:tcBorders>
              <w:top w:val="single" w:color="auto" w:sz="4" w:space="0"/>
              <w:bottom w:val="single" w:color="auto" w:sz="4" w:space="0"/>
              <w:right w:val="single" w:color="auto" w:sz="4" w:space="0"/>
              <w:tl2br w:val="nil"/>
              <w:tr2bl w:val="nil"/>
            </w:tcBorders>
            <w:shd w:val="clear" w:color="auto" w:fill="auto"/>
            <w:vAlign w:val="center"/>
          </w:tcPr>
          <w:p w14:paraId="1F74407F">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default"/>
                <w:sz w:val="18"/>
                <w:szCs w:val="18"/>
                <w:highlight w:val="none"/>
                <w:lang w:val="en-US" w:eastAsia="zh-CN"/>
              </w:rPr>
            </w:pPr>
            <w:r>
              <w:rPr>
                <w:rFonts w:hint="eastAsia"/>
                <w:sz w:val="18"/>
                <w:szCs w:val="18"/>
                <w:highlight w:val="none"/>
                <w:lang w:val="en-US" w:eastAsia="zh-CN"/>
              </w:rPr>
              <w:t>8.157×10</w:t>
            </w:r>
            <w:r>
              <w:rPr>
                <w:rFonts w:hint="eastAsia"/>
                <w:sz w:val="18"/>
                <w:szCs w:val="18"/>
                <w:highlight w:val="none"/>
                <w:vertAlign w:val="superscript"/>
                <w:lang w:val="en-US" w:eastAsia="zh-CN"/>
              </w:rPr>
              <w:t>-9</w:t>
            </w:r>
          </w:p>
        </w:tc>
        <w:tc>
          <w:tcPr>
            <w:tcW w:w="885" w:type="dxa"/>
            <w:tcBorders>
              <w:top w:val="single" w:color="auto" w:sz="4" w:space="0"/>
              <w:left w:val="single" w:color="auto" w:sz="4" w:space="0"/>
              <w:bottom w:val="single" w:color="auto" w:sz="4" w:space="0"/>
              <w:tl2br w:val="nil"/>
              <w:tr2bl w:val="nil"/>
            </w:tcBorders>
            <w:shd w:val="clear" w:color="auto" w:fill="auto"/>
            <w:vAlign w:val="center"/>
          </w:tcPr>
          <w:p w14:paraId="3853DEA7">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default"/>
                <w:sz w:val="18"/>
                <w:szCs w:val="18"/>
                <w:highlight w:val="none"/>
                <w:lang w:val="en-US" w:eastAsia="zh-CN"/>
              </w:rPr>
            </w:pPr>
            <w:r>
              <w:rPr>
                <w:rFonts w:hint="eastAsia"/>
                <w:sz w:val="18"/>
                <w:szCs w:val="18"/>
                <w:highlight w:val="none"/>
                <w:lang w:val="en-US" w:eastAsia="zh-CN"/>
              </w:rPr>
              <w:t>1.466×10</w:t>
            </w:r>
            <w:r>
              <w:rPr>
                <w:rFonts w:hint="eastAsia"/>
                <w:sz w:val="18"/>
                <w:szCs w:val="18"/>
                <w:highlight w:val="none"/>
                <w:vertAlign w:val="superscript"/>
                <w:lang w:val="en-US" w:eastAsia="zh-CN"/>
              </w:rPr>
              <w:t>-5</w:t>
            </w:r>
          </w:p>
        </w:tc>
        <w:tc>
          <w:tcPr>
            <w:tcW w:w="687" w:type="dxa"/>
            <w:tcBorders>
              <w:top w:val="single" w:color="auto" w:sz="4" w:space="0"/>
              <w:bottom w:val="single" w:color="auto" w:sz="4" w:space="0"/>
              <w:tl2br w:val="nil"/>
              <w:tr2bl w:val="nil"/>
            </w:tcBorders>
            <w:vAlign w:val="center"/>
          </w:tcPr>
          <w:p w14:paraId="3E1C1B0C">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default"/>
                <w:sz w:val="18"/>
                <w:szCs w:val="18"/>
                <w:highlight w:val="none"/>
                <w:lang w:val="en-US" w:eastAsia="zh-CN"/>
              </w:rPr>
            </w:pPr>
            <w:r>
              <w:rPr>
                <w:rFonts w:hint="eastAsia"/>
                <w:sz w:val="18"/>
                <w:szCs w:val="18"/>
                <w:highlight w:val="none"/>
                <w:lang w:val="en-US" w:eastAsia="zh-CN"/>
              </w:rPr>
              <w:t>0.00015</w:t>
            </w:r>
          </w:p>
        </w:tc>
        <w:tc>
          <w:tcPr>
            <w:tcW w:w="940" w:type="dxa"/>
            <w:tcBorders>
              <w:top w:val="single" w:color="auto" w:sz="4" w:space="0"/>
              <w:bottom w:val="single" w:color="auto" w:sz="4" w:space="0"/>
              <w:tl2br w:val="nil"/>
              <w:tr2bl w:val="nil"/>
            </w:tcBorders>
            <w:vAlign w:val="center"/>
          </w:tcPr>
          <w:p w14:paraId="7594B800">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eastAsia"/>
                <w:sz w:val="18"/>
                <w:szCs w:val="18"/>
                <w:highlight w:val="none"/>
                <w:lang w:val="en-US" w:eastAsia="zh-CN"/>
              </w:rPr>
            </w:pPr>
            <w:r>
              <w:rPr>
                <w:rFonts w:hint="eastAsia"/>
                <w:sz w:val="18"/>
                <w:szCs w:val="18"/>
                <w:highlight w:val="none"/>
                <w:lang w:val="en-US" w:eastAsia="zh-CN"/>
              </w:rPr>
              <w:t>1.75×10</w:t>
            </w:r>
            <w:r>
              <w:rPr>
                <w:rFonts w:hint="eastAsia"/>
                <w:sz w:val="18"/>
                <w:szCs w:val="18"/>
                <w:highlight w:val="none"/>
                <w:vertAlign w:val="superscript"/>
                <w:lang w:val="en-US" w:eastAsia="zh-CN"/>
              </w:rPr>
              <w:t>-7</w:t>
            </w:r>
          </w:p>
        </w:tc>
        <w:tc>
          <w:tcPr>
            <w:tcW w:w="1178" w:type="dxa"/>
            <w:tcBorders>
              <w:top w:val="single" w:color="auto" w:sz="4" w:space="0"/>
              <w:bottom w:val="single" w:color="auto" w:sz="4" w:space="0"/>
              <w:tl2br w:val="nil"/>
              <w:tr2bl w:val="nil"/>
            </w:tcBorders>
            <w:vAlign w:val="center"/>
          </w:tcPr>
          <w:p w14:paraId="55892FED">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default"/>
                <w:sz w:val="18"/>
                <w:szCs w:val="18"/>
                <w:highlight w:val="none"/>
                <w:lang w:val="en-US" w:eastAsia="zh-CN"/>
              </w:rPr>
            </w:pPr>
            <w:r>
              <w:rPr>
                <w:rFonts w:hint="eastAsia"/>
                <w:sz w:val="18"/>
                <w:szCs w:val="18"/>
                <w:highlight w:val="none"/>
                <w:lang w:val="en-US" w:eastAsia="zh-CN"/>
              </w:rPr>
              <w:t>5.747×10</w:t>
            </w:r>
            <w:r>
              <w:rPr>
                <w:rFonts w:hint="eastAsia"/>
                <w:sz w:val="18"/>
                <w:szCs w:val="18"/>
                <w:highlight w:val="none"/>
                <w:vertAlign w:val="superscript"/>
                <w:lang w:val="en-US" w:eastAsia="zh-CN"/>
              </w:rPr>
              <w:t>-12</w:t>
            </w:r>
          </w:p>
        </w:tc>
        <w:tc>
          <w:tcPr>
            <w:tcW w:w="1687" w:type="dxa"/>
            <w:tcBorders>
              <w:top w:val="single" w:color="auto" w:sz="4" w:space="0"/>
              <w:bottom w:val="single" w:color="auto" w:sz="4" w:space="0"/>
              <w:tl2br w:val="nil"/>
              <w:tr2bl w:val="nil"/>
            </w:tcBorders>
            <w:vAlign w:val="center"/>
          </w:tcPr>
          <w:p w14:paraId="43F38478">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default"/>
                <w:sz w:val="18"/>
                <w:szCs w:val="18"/>
                <w:highlight w:val="none"/>
                <w:lang w:val="en-US" w:eastAsia="zh-CN"/>
              </w:rPr>
            </w:pPr>
            <w:r>
              <w:rPr>
                <w:rFonts w:hint="eastAsia"/>
                <w:sz w:val="18"/>
                <w:szCs w:val="18"/>
                <w:highlight w:val="none"/>
                <w:lang w:val="en-US" w:eastAsia="zh-CN"/>
              </w:rPr>
              <w:t>0.004542</w:t>
            </w:r>
          </w:p>
        </w:tc>
      </w:tr>
      <w:tr w14:paraId="3F64E6B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633" w:type="dxa"/>
            <w:vMerge w:val="restart"/>
            <w:tcBorders>
              <w:tl2br w:val="nil"/>
              <w:tr2bl w:val="nil"/>
            </w:tcBorders>
            <w:vAlign w:val="center"/>
          </w:tcPr>
          <w:p w14:paraId="524FF02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DA002</w:t>
            </w:r>
          </w:p>
        </w:tc>
        <w:tc>
          <w:tcPr>
            <w:tcW w:w="1238" w:type="dxa"/>
            <w:vMerge w:val="restart"/>
            <w:tcBorders>
              <w:tl2br w:val="nil"/>
              <w:tr2bl w:val="nil"/>
            </w:tcBorders>
            <w:vAlign w:val="center"/>
          </w:tcPr>
          <w:p w14:paraId="75101F5A">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医疗废物暂存间排放口</w:t>
            </w:r>
          </w:p>
        </w:tc>
        <w:tc>
          <w:tcPr>
            <w:tcW w:w="1260" w:type="dxa"/>
            <w:vMerge w:val="restart"/>
            <w:tcBorders>
              <w:tl2br w:val="nil"/>
              <w:tr2bl w:val="nil"/>
            </w:tcBorders>
            <w:vAlign w:val="center"/>
          </w:tcPr>
          <w:p w14:paraId="53A2E76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1305</w:t>
            </w:r>
          </w:p>
        </w:tc>
        <w:tc>
          <w:tcPr>
            <w:tcW w:w="856" w:type="dxa"/>
            <w:vMerge w:val="restart"/>
            <w:tcBorders>
              <w:tl2br w:val="nil"/>
              <w:tr2bl w:val="nil"/>
            </w:tcBorders>
            <w:vAlign w:val="center"/>
          </w:tcPr>
          <w:p w14:paraId="51846D1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15</w:t>
            </w:r>
          </w:p>
        </w:tc>
        <w:tc>
          <w:tcPr>
            <w:tcW w:w="855" w:type="dxa"/>
            <w:vMerge w:val="restart"/>
            <w:tcBorders>
              <w:tl2br w:val="nil"/>
              <w:tr2bl w:val="nil"/>
            </w:tcBorders>
            <w:vAlign w:val="center"/>
          </w:tcPr>
          <w:p w14:paraId="406B45A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0.25</w:t>
            </w:r>
          </w:p>
        </w:tc>
        <w:tc>
          <w:tcPr>
            <w:tcW w:w="1238" w:type="dxa"/>
            <w:vMerge w:val="restart"/>
            <w:tcBorders>
              <w:tl2br w:val="nil"/>
              <w:tr2bl w:val="nil"/>
            </w:tcBorders>
            <w:vAlign w:val="center"/>
          </w:tcPr>
          <w:p w14:paraId="5F305456">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11.32</w:t>
            </w:r>
          </w:p>
        </w:tc>
        <w:tc>
          <w:tcPr>
            <w:tcW w:w="674" w:type="dxa"/>
            <w:vMerge w:val="restart"/>
            <w:tcBorders>
              <w:tl2br w:val="nil"/>
              <w:tr2bl w:val="nil"/>
            </w:tcBorders>
            <w:vAlign w:val="center"/>
          </w:tcPr>
          <w:p w14:paraId="136B362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25</w:t>
            </w:r>
          </w:p>
        </w:tc>
        <w:tc>
          <w:tcPr>
            <w:tcW w:w="868" w:type="dxa"/>
            <w:vMerge w:val="restart"/>
            <w:tcBorders>
              <w:tl2br w:val="nil"/>
              <w:tr2bl w:val="nil"/>
            </w:tcBorders>
            <w:vAlign w:val="center"/>
          </w:tcPr>
          <w:p w14:paraId="3A8E65E1">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8760</w:t>
            </w:r>
          </w:p>
        </w:tc>
        <w:tc>
          <w:tcPr>
            <w:tcW w:w="614" w:type="dxa"/>
            <w:vMerge w:val="restart"/>
            <w:tcBorders>
              <w:tl2br w:val="nil"/>
              <w:tr2bl w:val="nil"/>
            </w:tcBorders>
            <w:vAlign w:val="center"/>
          </w:tcPr>
          <w:p w14:paraId="57DB7DA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正常</w:t>
            </w:r>
          </w:p>
          <w:p w14:paraId="0642356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排放</w:t>
            </w:r>
          </w:p>
        </w:tc>
        <w:tc>
          <w:tcPr>
            <w:tcW w:w="880" w:type="dxa"/>
            <w:tcBorders>
              <w:top w:val="single" w:color="auto" w:sz="4" w:space="0"/>
              <w:bottom w:val="single" w:color="auto" w:sz="4" w:space="0"/>
              <w:right w:val="single" w:color="auto" w:sz="4" w:space="0"/>
              <w:tl2br w:val="nil"/>
              <w:tr2bl w:val="nil"/>
            </w:tcBorders>
            <w:shd w:val="clear" w:color="auto" w:fill="auto"/>
            <w:vAlign w:val="center"/>
          </w:tcPr>
          <w:p w14:paraId="7E10E044">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cs="Times New Roman" w:eastAsiaTheme="minorEastAsia"/>
                <w:szCs w:val="21"/>
                <w:lang w:val="en-US" w:eastAsia="zh-CN"/>
              </w:rPr>
            </w:pPr>
            <w:r>
              <w:rPr>
                <w:rFonts w:hint="eastAsia"/>
                <w:sz w:val="18"/>
                <w:szCs w:val="18"/>
                <w:highlight w:val="none"/>
                <w:lang w:val="en-US" w:eastAsia="zh-CN"/>
              </w:rPr>
              <w:t>H</w:t>
            </w:r>
            <w:r>
              <w:rPr>
                <w:rFonts w:hint="eastAsia"/>
                <w:sz w:val="18"/>
                <w:szCs w:val="18"/>
                <w:highlight w:val="none"/>
                <w:vertAlign w:val="subscript"/>
                <w:lang w:val="en-US" w:eastAsia="zh-CN"/>
              </w:rPr>
              <w:t>2</w:t>
            </w:r>
            <w:r>
              <w:rPr>
                <w:rFonts w:hint="eastAsia"/>
                <w:sz w:val="18"/>
                <w:szCs w:val="18"/>
                <w:highlight w:val="none"/>
                <w:lang w:val="en-US" w:eastAsia="zh-CN"/>
              </w:rPr>
              <w:t>S</w:t>
            </w:r>
          </w:p>
        </w:tc>
        <w:tc>
          <w:tcPr>
            <w:tcW w:w="885" w:type="dxa"/>
            <w:tcBorders>
              <w:top w:val="single" w:color="auto" w:sz="4" w:space="0"/>
              <w:left w:val="single" w:color="auto" w:sz="4" w:space="0"/>
              <w:bottom w:val="single" w:color="auto" w:sz="4" w:space="0"/>
              <w:tl2br w:val="nil"/>
              <w:tr2bl w:val="nil"/>
            </w:tcBorders>
            <w:shd w:val="clear" w:color="auto" w:fill="auto"/>
            <w:vAlign w:val="center"/>
          </w:tcPr>
          <w:p w14:paraId="7AE9672F">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cs="Times New Roman"/>
                <w:szCs w:val="21"/>
                <w:highlight w:val="none"/>
                <w:lang w:val="en-US" w:eastAsia="zh-CN"/>
              </w:rPr>
            </w:pPr>
            <w:r>
              <w:rPr>
                <w:rFonts w:hint="eastAsia" w:cs="Times New Roman"/>
                <w:sz w:val="18"/>
                <w:szCs w:val="18"/>
                <w:lang w:val="en-US" w:eastAsia="zh-CN"/>
              </w:rPr>
              <w:t>NH</w:t>
            </w:r>
            <w:r>
              <w:rPr>
                <w:rFonts w:hint="eastAsia" w:cs="Times New Roman"/>
                <w:sz w:val="18"/>
                <w:szCs w:val="18"/>
                <w:vertAlign w:val="subscript"/>
                <w:lang w:val="en-US" w:eastAsia="zh-CN"/>
              </w:rPr>
              <w:t>3</w:t>
            </w:r>
          </w:p>
        </w:tc>
        <w:tc>
          <w:tcPr>
            <w:tcW w:w="687" w:type="dxa"/>
            <w:tcBorders>
              <w:top w:val="single" w:color="auto" w:sz="4" w:space="0"/>
              <w:bottom w:val="single" w:color="auto" w:sz="4" w:space="0"/>
              <w:tl2br w:val="nil"/>
              <w:tr2bl w:val="nil"/>
            </w:tcBorders>
            <w:vAlign w:val="center"/>
          </w:tcPr>
          <w:p w14:paraId="70DAD39A">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w:t>
            </w:r>
          </w:p>
        </w:tc>
        <w:tc>
          <w:tcPr>
            <w:tcW w:w="940" w:type="dxa"/>
            <w:tcBorders>
              <w:top w:val="single" w:color="auto" w:sz="4" w:space="0"/>
              <w:bottom w:val="single" w:color="auto" w:sz="4" w:space="0"/>
              <w:tl2br w:val="nil"/>
              <w:tr2bl w:val="nil"/>
            </w:tcBorders>
            <w:vAlign w:val="center"/>
          </w:tcPr>
          <w:p w14:paraId="2D5DB89B">
            <w:pPr>
              <w:autoSpaceDE w:val="0"/>
              <w:autoSpaceDN w:val="0"/>
              <w:spacing w:line="300" w:lineRule="exact"/>
              <w:jc w:val="center"/>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w:t>
            </w:r>
          </w:p>
        </w:tc>
        <w:tc>
          <w:tcPr>
            <w:tcW w:w="1178" w:type="dxa"/>
            <w:tcBorders>
              <w:top w:val="single" w:color="auto" w:sz="4" w:space="0"/>
              <w:bottom w:val="single" w:color="auto" w:sz="4" w:space="0"/>
              <w:tl2br w:val="nil"/>
              <w:tr2bl w:val="nil"/>
            </w:tcBorders>
            <w:vAlign w:val="center"/>
          </w:tcPr>
          <w:p w14:paraId="62D2D02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w:t>
            </w:r>
          </w:p>
        </w:tc>
        <w:tc>
          <w:tcPr>
            <w:tcW w:w="1687" w:type="dxa"/>
            <w:tcBorders>
              <w:top w:val="single" w:color="auto" w:sz="4" w:space="0"/>
              <w:bottom w:val="single" w:color="auto" w:sz="4" w:space="0"/>
              <w:tl2br w:val="nil"/>
              <w:tr2bl w:val="nil"/>
            </w:tcBorders>
            <w:vAlign w:val="center"/>
          </w:tcPr>
          <w:p w14:paraId="3373A9FA">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w:t>
            </w:r>
          </w:p>
        </w:tc>
      </w:tr>
      <w:tr w14:paraId="0FB9CC4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633" w:type="dxa"/>
            <w:vMerge w:val="continue"/>
            <w:tcBorders>
              <w:tl2br w:val="nil"/>
              <w:tr2bl w:val="nil"/>
            </w:tcBorders>
            <w:vAlign w:val="center"/>
          </w:tcPr>
          <w:p w14:paraId="0FE3D035">
            <w:pPr>
              <w:autoSpaceDE w:val="0"/>
              <w:autoSpaceDN w:val="0"/>
              <w:spacing w:line="300" w:lineRule="exact"/>
              <w:jc w:val="center"/>
              <w:rPr>
                <w:rFonts w:hint="eastAsia" w:ascii="Times New Roman" w:hAnsi="Times New Roman" w:cs="Times New Roman"/>
                <w:szCs w:val="21"/>
                <w:highlight w:val="none"/>
                <w:lang w:val="en-US" w:eastAsia="zh-CN"/>
              </w:rPr>
            </w:pPr>
          </w:p>
        </w:tc>
        <w:tc>
          <w:tcPr>
            <w:tcW w:w="1238" w:type="dxa"/>
            <w:vMerge w:val="continue"/>
            <w:tcBorders>
              <w:tl2br w:val="nil"/>
              <w:tr2bl w:val="nil"/>
            </w:tcBorders>
            <w:vAlign w:val="center"/>
          </w:tcPr>
          <w:p w14:paraId="65D40BA0">
            <w:pPr>
              <w:autoSpaceDE w:val="0"/>
              <w:autoSpaceDN w:val="0"/>
              <w:spacing w:line="300" w:lineRule="exact"/>
              <w:jc w:val="center"/>
              <w:rPr>
                <w:rFonts w:hint="eastAsia" w:ascii="Times New Roman" w:hAnsi="Times New Roman" w:cs="Times New Roman"/>
                <w:szCs w:val="21"/>
                <w:highlight w:val="none"/>
                <w:lang w:val="en-US" w:eastAsia="zh-CN"/>
              </w:rPr>
            </w:pPr>
          </w:p>
        </w:tc>
        <w:tc>
          <w:tcPr>
            <w:tcW w:w="1260" w:type="dxa"/>
            <w:vMerge w:val="continue"/>
            <w:tcBorders>
              <w:tl2br w:val="nil"/>
              <w:tr2bl w:val="nil"/>
            </w:tcBorders>
            <w:vAlign w:val="center"/>
          </w:tcPr>
          <w:p w14:paraId="729FE626">
            <w:pPr>
              <w:autoSpaceDE w:val="0"/>
              <w:autoSpaceDN w:val="0"/>
              <w:spacing w:line="300" w:lineRule="exact"/>
              <w:jc w:val="center"/>
              <w:rPr>
                <w:rFonts w:hint="eastAsia" w:ascii="Times New Roman" w:hAnsi="Times New Roman" w:cs="Times New Roman"/>
                <w:szCs w:val="21"/>
                <w:highlight w:val="yellow"/>
                <w:lang w:val="en-US" w:eastAsia="zh-CN"/>
              </w:rPr>
            </w:pPr>
          </w:p>
        </w:tc>
        <w:tc>
          <w:tcPr>
            <w:tcW w:w="856" w:type="dxa"/>
            <w:vMerge w:val="continue"/>
            <w:tcBorders>
              <w:tl2br w:val="nil"/>
              <w:tr2bl w:val="nil"/>
            </w:tcBorders>
            <w:vAlign w:val="center"/>
          </w:tcPr>
          <w:p w14:paraId="6B46C93C">
            <w:pPr>
              <w:autoSpaceDE w:val="0"/>
              <w:autoSpaceDN w:val="0"/>
              <w:spacing w:line="300" w:lineRule="exact"/>
              <w:jc w:val="center"/>
              <w:rPr>
                <w:rFonts w:hint="eastAsia" w:ascii="Times New Roman" w:hAnsi="Times New Roman" w:cs="Times New Roman"/>
                <w:szCs w:val="21"/>
                <w:highlight w:val="yellow"/>
                <w:lang w:val="en-US" w:eastAsia="zh-CN"/>
              </w:rPr>
            </w:pPr>
          </w:p>
        </w:tc>
        <w:tc>
          <w:tcPr>
            <w:tcW w:w="855" w:type="dxa"/>
            <w:vMerge w:val="continue"/>
            <w:tcBorders>
              <w:tl2br w:val="nil"/>
              <w:tr2bl w:val="nil"/>
            </w:tcBorders>
            <w:vAlign w:val="center"/>
          </w:tcPr>
          <w:p w14:paraId="27F5865D">
            <w:pPr>
              <w:autoSpaceDE w:val="0"/>
              <w:autoSpaceDN w:val="0"/>
              <w:spacing w:line="300" w:lineRule="exact"/>
              <w:jc w:val="center"/>
              <w:rPr>
                <w:rFonts w:hint="eastAsia" w:ascii="Times New Roman" w:hAnsi="Times New Roman" w:cs="Times New Roman"/>
                <w:szCs w:val="21"/>
                <w:highlight w:val="yellow"/>
                <w:lang w:val="en-US" w:eastAsia="zh-CN"/>
              </w:rPr>
            </w:pPr>
          </w:p>
        </w:tc>
        <w:tc>
          <w:tcPr>
            <w:tcW w:w="1238" w:type="dxa"/>
            <w:vMerge w:val="continue"/>
            <w:tcBorders>
              <w:tl2br w:val="nil"/>
              <w:tr2bl w:val="nil"/>
            </w:tcBorders>
            <w:vAlign w:val="center"/>
          </w:tcPr>
          <w:p w14:paraId="434656B3">
            <w:pPr>
              <w:autoSpaceDE w:val="0"/>
              <w:autoSpaceDN w:val="0"/>
              <w:spacing w:line="300" w:lineRule="exact"/>
              <w:jc w:val="center"/>
              <w:rPr>
                <w:rFonts w:hint="eastAsia" w:ascii="Times New Roman" w:hAnsi="Times New Roman" w:cs="Times New Roman"/>
                <w:szCs w:val="21"/>
                <w:highlight w:val="yellow"/>
                <w:lang w:val="en-US" w:eastAsia="zh-CN"/>
              </w:rPr>
            </w:pPr>
          </w:p>
        </w:tc>
        <w:tc>
          <w:tcPr>
            <w:tcW w:w="674" w:type="dxa"/>
            <w:vMerge w:val="continue"/>
            <w:tcBorders>
              <w:tl2br w:val="nil"/>
              <w:tr2bl w:val="nil"/>
            </w:tcBorders>
            <w:vAlign w:val="center"/>
          </w:tcPr>
          <w:p w14:paraId="3708769B">
            <w:pPr>
              <w:autoSpaceDE w:val="0"/>
              <w:autoSpaceDN w:val="0"/>
              <w:spacing w:line="300" w:lineRule="exact"/>
              <w:jc w:val="center"/>
              <w:rPr>
                <w:rFonts w:hint="eastAsia" w:ascii="Times New Roman" w:hAnsi="Times New Roman" w:cs="Times New Roman"/>
                <w:szCs w:val="21"/>
                <w:highlight w:val="yellow"/>
                <w:lang w:val="en-US" w:eastAsia="zh-CN"/>
              </w:rPr>
            </w:pPr>
          </w:p>
        </w:tc>
        <w:tc>
          <w:tcPr>
            <w:tcW w:w="868" w:type="dxa"/>
            <w:vMerge w:val="continue"/>
            <w:tcBorders>
              <w:tl2br w:val="nil"/>
              <w:tr2bl w:val="nil"/>
            </w:tcBorders>
            <w:vAlign w:val="center"/>
          </w:tcPr>
          <w:p w14:paraId="49178D0F">
            <w:pPr>
              <w:autoSpaceDE w:val="0"/>
              <w:autoSpaceDN w:val="0"/>
              <w:spacing w:line="300" w:lineRule="exact"/>
              <w:jc w:val="center"/>
              <w:rPr>
                <w:rFonts w:hint="eastAsia" w:ascii="Times New Roman" w:hAnsi="Times New Roman" w:cs="Times New Roman"/>
                <w:szCs w:val="21"/>
                <w:highlight w:val="yellow"/>
                <w:lang w:val="en-US" w:eastAsia="zh-CN"/>
              </w:rPr>
            </w:pPr>
          </w:p>
        </w:tc>
        <w:tc>
          <w:tcPr>
            <w:tcW w:w="614" w:type="dxa"/>
            <w:vMerge w:val="continue"/>
            <w:tcBorders>
              <w:tl2br w:val="nil"/>
              <w:tr2bl w:val="nil"/>
            </w:tcBorders>
            <w:vAlign w:val="center"/>
          </w:tcPr>
          <w:p w14:paraId="2D33561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880" w:type="dxa"/>
            <w:tcBorders>
              <w:top w:val="single" w:color="auto" w:sz="4" w:space="0"/>
              <w:bottom w:val="single" w:color="auto" w:sz="4" w:space="0"/>
              <w:right w:val="single" w:color="auto" w:sz="4" w:space="0"/>
              <w:tl2br w:val="nil"/>
              <w:tr2bl w:val="nil"/>
            </w:tcBorders>
            <w:shd w:val="clear" w:color="auto" w:fill="auto"/>
            <w:vAlign w:val="center"/>
          </w:tcPr>
          <w:p w14:paraId="2A6EBEA8">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eastAsia"/>
                <w:sz w:val="18"/>
                <w:szCs w:val="18"/>
                <w:highlight w:val="none"/>
                <w:lang w:val="en-US" w:eastAsia="zh-CN"/>
              </w:rPr>
            </w:pPr>
            <w:r>
              <w:rPr>
                <w:rFonts w:hint="eastAsia"/>
                <w:sz w:val="18"/>
                <w:szCs w:val="18"/>
                <w:highlight w:val="none"/>
                <w:lang w:val="en-US" w:eastAsia="zh-CN"/>
              </w:rPr>
              <w:t>5.34×10</w:t>
            </w:r>
            <w:r>
              <w:rPr>
                <w:rFonts w:hint="eastAsia"/>
                <w:sz w:val="18"/>
                <w:szCs w:val="18"/>
                <w:highlight w:val="none"/>
                <w:vertAlign w:val="superscript"/>
                <w:lang w:val="en-US" w:eastAsia="zh-CN"/>
              </w:rPr>
              <w:t>-4</w:t>
            </w:r>
          </w:p>
        </w:tc>
        <w:tc>
          <w:tcPr>
            <w:tcW w:w="885" w:type="dxa"/>
            <w:tcBorders>
              <w:top w:val="single" w:color="auto" w:sz="4" w:space="0"/>
              <w:left w:val="single" w:color="auto" w:sz="4" w:space="0"/>
              <w:bottom w:val="single" w:color="auto" w:sz="4" w:space="0"/>
              <w:tl2br w:val="nil"/>
              <w:tr2bl w:val="nil"/>
            </w:tcBorders>
            <w:shd w:val="clear" w:color="auto" w:fill="auto"/>
            <w:vAlign w:val="center"/>
          </w:tcPr>
          <w:p w14:paraId="2C68EB14">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eastAsia"/>
                <w:sz w:val="18"/>
                <w:szCs w:val="18"/>
                <w:highlight w:val="none"/>
                <w:lang w:val="en-US" w:eastAsia="zh-CN"/>
              </w:rPr>
            </w:pPr>
            <w:r>
              <w:rPr>
                <w:rFonts w:hint="eastAsia"/>
                <w:sz w:val="18"/>
                <w:szCs w:val="18"/>
                <w:highlight w:val="none"/>
                <w:lang w:val="en-US" w:eastAsia="zh-CN"/>
              </w:rPr>
              <w:t>4.237×10</w:t>
            </w:r>
            <w:r>
              <w:rPr>
                <w:rFonts w:hint="eastAsia"/>
                <w:sz w:val="18"/>
                <w:szCs w:val="18"/>
                <w:highlight w:val="none"/>
                <w:vertAlign w:val="superscript"/>
                <w:lang w:val="en-US" w:eastAsia="zh-CN"/>
              </w:rPr>
              <w:t>-4</w:t>
            </w:r>
          </w:p>
        </w:tc>
        <w:tc>
          <w:tcPr>
            <w:tcW w:w="687" w:type="dxa"/>
            <w:tcBorders>
              <w:top w:val="single" w:color="auto" w:sz="4" w:space="0"/>
              <w:bottom w:val="single" w:color="auto" w:sz="4" w:space="0"/>
              <w:tl2br w:val="nil"/>
              <w:tr2bl w:val="nil"/>
            </w:tcBorders>
            <w:vAlign w:val="center"/>
          </w:tcPr>
          <w:p w14:paraId="2E4307E2">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eastAsia"/>
                <w:sz w:val="18"/>
                <w:szCs w:val="18"/>
                <w:highlight w:val="none"/>
                <w:lang w:val="en-US" w:eastAsia="zh-CN"/>
              </w:rPr>
            </w:pPr>
            <w:r>
              <w:rPr>
                <w:rFonts w:hint="eastAsia"/>
                <w:sz w:val="18"/>
                <w:szCs w:val="18"/>
                <w:highlight w:val="none"/>
                <w:lang w:val="en-US" w:eastAsia="zh-CN"/>
              </w:rPr>
              <w:t>/</w:t>
            </w:r>
          </w:p>
        </w:tc>
        <w:tc>
          <w:tcPr>
            <w:tcW w:w="940" w:type="dxa"/>
            <w:tcBorders>
              <w:top w:val="single" w:color="auto" w:sz="4" w:space="0"/>
              <w:bottom w:val="single" w:color="auto" w:sz="4" w:space="0"/>
              <w:tl2br w:val="nil"/>
              <w:tr2bl w:val="nil"/>
            </w:tcBorders>
            <w:vAlign w:val="center"/>
          </w:tcPr>
          <w:p w14:paraId="25428379">
            <w:pPr>
              <w:autoSpaceDE w:val="0"/>
              <w:autoSpaceDN w:val="0"/>
              <w:spacing w:line="300" w:lineRule="exact"/>
              <w:jc w:val="center"/>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w:t>
            </w:r>
          </w:p>
        </w:tc>
        <w:tc>
          <w:tcPr>
            <w:tcW w:w="1178" w:type="dxa"/>
            <w:tcBorders>
              <w:top w:val="single" w:color="auto" w:sz="4" w:space="0"/>
              <w:bottom w:val="single" w:color="auto" w:sz="4" w:space="0"/>
              <w:tl2br w:val="nil"/>
              <w:tr2bl w:val="nil"/>
            </w:tcBorders>
            <w:vAlign w:val="center"/>
          </w:tcPr>
          <w:p w14:paraId="52D68E4F">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w:t>
            </w:r>
          </w:p>
        </w:tc>
        <w:tc>
          <w:tcPr>
            <w:tcW w:w="1687" w:type="dxa"/>
            <w:tcBorders>
              <w:top w:val="single" w:color="auto" w:sz="4" w:space="0"/>
              <w:bottom w:val="single" w:color="auto" w:sz="4" w:space="0"/>
              <w:tl2br w:val="nil"/>
              <w:tr2bl w:val="nil"/>
            </w:tcBorders>
            <w:vAlign w:val="center"/>
          </w:tcPr>
          <w:p w14:paraId="381ACDEC">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w:t>
            </w:r>
          </w:p>
        </w:tc>
      </w:tr>
    </w:tbl>
    <w:p w14:paraId="4E6C206F">
      <w:pPr>
        <w:adjustRightInd w:val="0"/>
        <w:snapToGrid w:val="0"/>
        <w:spacing w:line="500" w:lineRule="exact"/>
        <w:ind w:firstLine="480" w:firstLineChars="200"/>
        <w:jc w:val="left"/>
        <w:rPr>
          <w:rFonts w:hint="default" w:ascii="Times New Roman" w:hAnsi="Times New Roman" w:cs="Times New Roman" w:eastAsiaTheme="minorEastAsia"/>
          <w:sz w:val="24"/>
          <w:lang w:val="zh-CN" w:eastAsia="zh-CN"/>
        </w:rPr>
        <w:sectPr>
          <w:pgSz w:w="16838" w:h="11906" w:orient="landscape"/>
          <w:pgMar w:top="1800" w:right="1440" w:bottom="1800" w:left="1440" w:header="851" w:footer="992" w:gutter="0"/>
          <w:pgNumType w:fmt="decimal"/>
          <w:cols w:space="425" w:num="1"/>
          <w:docGrid w:type="lines" w:linePitch="312" w:charSpace="0"/>
        </w:sectPr>
      </w:pPr>
    </w:p>
    <w:p w14:paraId="5B703177">
      <w:pPr>
        <w:adjustRightInd w:val="0"/>
        <w:snapToGrid w:val="0"/>
        <w:spacing w:line="500" w:lineRule="exact"/>
        <w:jc w:val="left"/>
        <w:rPr>
          <w:rFonts w:hint="default" w:ascii="Times New Roman" w:hAnsi="Times New Roman" w:cs="Times New Roman" w:eastAsiaTheme="minorEastAsia"/>
          <w:sz w:val="24"/>
          <w:lang w:val="zh-CN" w:eastAsia="zh-CN"/>
        </w:rPr>
      </w:pPr>
    </w:p>
    <w:p w14:paraId="0FA5FBB4">
      <w:pPr>
        <w:adjustRightInd w:val="0"/>
        <w:snapToGrid w:val="0"/>
        <w:spacing w:before="250" w:beforeLines="50"/>
        <w:ind w:firstLine="422" w:firstLineChars="200"/>
        <w:jc w:val="center"/>
        <w:rPr>
          <w:rFonts w:hint="default" w:ascii="Times New Roman" w:hAnsi="Times New Roman" w:eastAsia="华文中宋" w:cs="Times New Roman"/>
          <w:b/>
          <w:szCs w:val="21"/>
          <w:lang w:val="en-US" w:eastAsia="zh-CN"/>
        </w:rPr>
      </w:pPr>
      <w:r>
        <w:rPr>
          <w:rFonts w:hint="default" w:ascii="Times New Roman" w:hAnsi="Times New Roman" w:eastAsia="华文中宋" w:cs="Times New Roman"/>
          <w:b/>
          <w:szCs w:val="21"/>
          <w:lang w:val="en-US" w:eastAsia="zh-CN"/>
        </w:rPr>
        <w:t>表2.5-</w:t>
      </w:r>
      <w:r>
        <w:rPr>
          <w:rFonts w:hint="eastAsia" w:ascii="Times New Roman" w:hAnsi="Times New Roman" w:eastAsia="华文中宋" w:cs="Times New Roman"/>
          <w:b/>
          <w:szCs w:val="21"/>
          <w:lang w:val="en-US" w:eastAsia="zh-CN"/>
        </w:rPr>
        <w:t>4</w:t>
      </w:r>
      <w:r>
        <w:rPr>
          <w:rFonts w:hint="default" w:ascii="Times New Roman" w:hAnsi="Times New Roman" w:eastAsia="华文中宋" w:cs="Times New Roman"/>
          <w:b/>
          <w:szCs w:val="21"/>
          <w:lang w:val="en-US" w:eastAsia="zh-CN"/>
        </w:rPr>
        <w:t xml:space="preserve">  大气污染物预测结果表</w:t>
      </w:r>
    </w:p>
    <w:tbl>
      <w:tblPr>
        <w:tblStyle w:val="12"/>
        <w:tblW w:w="4995"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574"/>
        <w:gridCol w:w="1292"/>
        <w:gridCol w:w="1949"/>
        <w:gridCol w:w="1454"/>
        <w:gridCol w:w="1094"/>
        <w:gridCol w:w="1152"/>
      </w:tblGrid>
      <w:tr w14:paraId="40F8BAC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45" w:hRule="atLeast"/>
        </w:trPr>
        <w:tc>
          <w:tcPr>
            <w:tcW w:w="924" w:type="pct"/>
            <w:tcBorders>
              <w:tl2br w:val="nil"/>
              <w:tr2bl w:val="nil"/>
            </w:tcBorders>
            <w:vAlign w:val="center"/>
          </w:tcPr>
          <w:p w14:paraId="24B823F5">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污染源名称</w:t>
            </w:r>
          </w:p>
        </w:tc>
        <w:tc>
          <w:tcPr>
            <w:tcW w:w="758" w:type="pct"/>
            <w:tcBorders>
              <w:tl2br w:val="nil"/>
              <w:tr2bl w:val="nil"/>
            </w:tcBorders>
            <w:vAlign w:val="center"/>
          </w:tcPr>
          <w:p w14:paraId="2785FD24">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评价因子</w:t>
            </w:r>
          </w:p>
        </w:tc>
        <w:tc>
          <w:tcPr>
            <w:tcW w:w="1144" w:type="pct"/>
            <w:tcBorders>
              <w:tl2br w:val="nil"/>
              <w:tr2bl w:val="nil"/>
            </w:tcBorders>
            <w:vAlign w:val="center"/>
          </w:tcPr>
          <w:p w14:paraId="54B856A3">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评价标准（μg/m³）</w:t>
            </w:r>
          </w:p>
        </w:tc>
        <w:tc>
          <w:tcPr>
            <w:tcW w:w="853" w:type="pct"/>
            <w:tcBorders>
              <w:tl2br w:val="nil"/>
              <w:tr2bl w:val="nil"/>
            </w:tcBorders>
            <w:vAlign w:val="center"/>
          </w:tcPr>
          <w:p w14:paraId="3B4F361B">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Cmax(μg/m³)</w:t>
            </w:r>
          </w:p>
        </w:tc>
        <w:tc>
          <w:tcPr>
            <w:tcW w:w="642" w:type="pct"/>
            <w:tcBorders>
              <w:tl2br w:val="nil"/>
              <w:tr2bl w:val="nil"/>
            </w:tcBorders>
            <w:vAlign w:val="center"/>
          </w:tcPr>
          <w:p w14:paraId="21298303">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Pmax(%)</w:t>
            </w:r>
          </w:p>
        </w:tc>
        <w:tc>
          <w:tcPr>
            <w:tcW w:w="676" w:type="pct"/>
            <w:tcBorders>
              <w:tl2br w:val="nil"/>
              <w:tr2bl w:val="nil"/>
            </w:tcBorders>
            <w:vAlign w:val="center"/>
          </w:tcPr>
          <w:p w14:paraId="7589F226">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D10%(m)</w:t>
            </w:r>
          </w:p>
        </w:tc>
      </w:tr>
      <w:tr w14:paraId="7A1DF00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0" w:hRule="atLeast"/>
        </w:trPr>
        <w:tc>
          <w:tcPr>
            <w:tcW w:w="924" w:type="pct"/>
            <w:vMerge w:val="restart"/>
            <w:tcBorders>
              <w:tl2br w:val="nil"/>
              <w:tr2bl w:val="nil"/>
            </w:tcBorders>
            <w:vAlign w:val="center"/>
          </w:tcPr>
          <w:p w14:paraId="088A924D">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焚烧炉焚烧废气排放口（DA001）</w:t>
            </w:r>
          </w:p>
        </w:tc>
        <w:tc>
          <w:tcPr>
            <w:tcW w:w="758" w:type="pct"/>
            <w:tcBorders>
              <w:tl2br w:val="nil"/>
              <w:tr2bl w:val="nil"/>
            </w:tcBorders>
            <w:shd w:val="clear" w:color="auto" w:fill="auto"/>
            <w:vAlign w:val="center"/>
          </w:tcPr>
          <w:p w14:paraId="2DEC446A">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NO</w:t>
            </w:r>
            <w:r>
              <w:rPr>
                <w:rFonts w:hint="eastAsia" w:ascii="Times New Roman" w:hAnsi="Times New Roman" w:eastAsia="华文中宋" w:cs="Times New Roman"/>
                <w:szCs w:val="21"/>
                <w:highlight w:val="none"/>
                <w:vertAlign w:val="subscript"/>
                <w:lang w:val="en-US" w:eastAsia="zh-CN"/>
              </w:rPr>
              <w:t>2</w:t>
            </w:r>
          </w:p>
        </w:tc>
        <w:tc>
          <w:tcPr>
            <w:tcW w:w="1144" w:type="pct"/>
            <w:tcBorders>
              <w:tl2br w:val="nil"/>
              <w:tr2bl w:val="nil"/>
            </w:tcBorders>
            <w:shd w:val="clear" w:color="auto" w:fill="auto"/>
            <w:vAlign w:val="center"/>
          </w:tcPr>
          <w:p w14:paraId="255840A7">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200</w:t>
            </w:r>
          </w:p>
        </w:tc>
        <w:tc>
          <w:tcPr>
            <w:tcW w:w="853" w:type="pct"/>
            <w:tcBorders>
              <w:tl2br w:val="nil"/>
              <w:tr2bl w:val="nil"/>
            </w:tcBorders>
            <w:shd w:val="clear" w:color="auto" w:fill="auto"/>
            <w:vAlign w:val="center"/>
          </w:tcPr>
          <w:p w14:paraId="42C7175E">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5.44</w:t>
            </w:r>
          </w:p>
        </w:tc>
        <w:tc>
          <w:tcPr>
            <w:tcW w:w="642" w:type="pct"/>
            <w:tcBorders>
              <w:tl2br w:val="nil"/>
              <w:tr2bl w:val="nil"/>
            </w:tcBorders>
            <w:shd w:val="clear" w:color="auto" w:fill="auto"/>
            <w:vAlign w:val="center"/>
          </w:tcPr>
          <w:p w14:paraId="214C382B">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2.72</w:t>
            </w:r>
          </w:p>
        </w:tc>
        <w:tc>
          <w:tcPr>
            <w:tcW w:w="676" w:type="pct"/>
            <w:tcBorders>
              <w:tl2br w:val="nil"/>
              <w:tr2bl w:val="nil"/>
            </w:tcBorders>
            <w:vAlign w:val="center"/>
          </w:tcPr>
          <w:p w14:paraId="76DC9993">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w:t>
            </w:r>
          </w:p>
        </w:tc>
      </w:tr>
      <w:tr w14:paraId="6AA0FF6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0" w:hRule="atLeast"/>
        </w:trPr>
        <w:tc>
          <w:tcPr>
            <w:tcW w:w="924" w:type="pct"/>
            <w:vMerge w:val="continue"/>
            <w:tcBorders>
              <w:tl2br w:val="nil"/>
              <w:tr2bl w:val="nil"/>
            </w:tcBorders>
            <w:vAlign w:val="center"/>
          </w:tcPr>
          <w:p w14:paraId="2A90368C">
            <w:pPr>
              <w:spacing w:line="300" w:lineRule="exact"/>
              <w:jc w:val="center"/>
              <w:rPr>
                <w:rFonts w:hint="default" w:ascii="Times New Roman" w:hAnsi="Times New Roman" w:eastAsia="华文中宋" w:cs="Times New Roman"/>
                <w:szCs w:val="21"/>
                <w:highlight w:val="none"/>
                <w:lang w:val="en-US" w:eastAsia="zh-CN"/>
              </w:rPr>
            </w:pPr>
          </w:p>
        </w:tc>
        <w:tc>
          <w:tcPr>
            <w:tcW w:w="758" w:type="pct"/>
            <w:tcBorders>
              <w:tl2br w:val="nil"/>
              <w:tr2bl w:val="nil"/>
            </w:tcBorders>
            <w:shd w:val="clear" w:color="auto" w:fill="auto"/>
            <w:vAlign w:val="center"/>
          </w:tcPr>
          <w:p w14:paraId="03240E0E">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PM</w:t>
            </w:r>
            <w:r>
              <w:rPr>
                <w:rFonts w:hint="eastAsia" w:ascii="Times New Roman" w:hAnsi="Times New Roman" w:eastAsia="华文中宋" w:cs="Times New Roman"/>
                <w:szCs w:val="21"/>
                <w:highlight w:val="none"/>
                <w:vertAlign w:val="subscript"/>
                <w:lang w:val="en-US" w:eastAsia="zh-CN"/>
              </w:rPr>
              <w:t>10</w:t>
            </w:r>
          </w:p>
        </w:tc>
        <w:tc>
          <w:tcPr>
            <w:tcW w:w="1144" w:type="pct"/>
            <w:tcBorders>
              <w:tl2br w:val="nil"/>
              <w:tr2bl w:val="nil"/>
            </w:tcBorders>
            <w:shd w:val="clear" w:color="auto" w:fill="auto"/>
            <w:vAlign w:val="center"/>
          </w:tcPr>
          <w:p w14:paraId="5908B00E">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360</w:t>
            </w:r>
          </w:p>
        </w:tc>
        <w:tc>
          <w:tcPr>
            <w:tcW w:w="853" w:type="pct"/>
            <w:tcBorders>
              <w:tl2br w:val="nil"/>
              <w:tr2bl w:val="nil"/>
            </w:tcBorders>
            <w:shd w:val="clear" w:color="auto" w:fill="auto"/>
            <w:vAlign w:val="center"/>
          </w:tcPr>
          <w:p w14:paraId="69451AA7">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0.756</w:t>
            </w:r>
          </w:p>
        </w:tc>
        <w:tc>
          <w:tcPr>
            <w:tcW w:w="642" w:type="pct"/>
            <w:tcBorders>
              <w:tl2br w:val="nil"/>
              <w:tr2bl w:val="nil"/>
            </w:tcBorders>
            <w:shd w:val="clear" w:color="auto" w:fill="auto"/>
            <w:vAlign w:val="center"/>
          </w:tcPr>
          <w:p w14:paraId="4657F329">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0.21</w:t>
            </w:r>
          </w:p>
        </w:tc>
        <w:tc>
          <w:tcPr>
            <w:tcW w:w="676" w:type="pct"/>
            <w:tcBorders>
              <w:tl2br w:val="nil"/>
              <w:tr2bl w:val="nil"/>
            </w:tcBorders>
            <w:vAlign w:val="center"/>
          </w:tcPr>
          <w:p w14:paraId="583E0579">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w:t>
            </w:r>
          </w:p>
        </w:tc>
      </w:tr>
      <w:tr w14:paraId="4AA699C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0" w:hRule="atLeast"/>
        </w:trPr>
        <w:tc>
          <w:tcPr>
            <w:tcW w:w="924" w:type="pct"/>
            <w:vMerge w:val="continue"/>
            <w:tcBorders>
              <w:tl2br w:val="nil"/>
              <w:tr2bl w:val="nil"/>
            </w:tcBorders>
            <w:vAlign w:val="center"/>
          </w:tcPr>
          <w:p w14:paraId="76628455">
            <w:pPr>
              <w:spacing w:line="300" w:lineRule="exact"/>
              <w:jc w:val="center"/>
              <w:rPr>
                <w:rFonts w:hint="default" w:ascii="Times New Roman" w:hAnsi="Times New Roman" w:eastAsia="华文中宋" w:cs="Times New Roman"/>
                <w:szCs w:val="21"/>
                <w:highlight w:val="none"/>
                <w:lang w:val="en-US" w:eastAsia="zh-CN"/>
              </w:rPr>
            </w:pPr>
          </w:p>
        </w:tc>
        <w:tc>
          <w:tcPr>
            <w:tcW w:w="758" w:type="pct"/>
            <w:tcBorders>
              <w:tl2br w:val="nil"/>
              <w:tr2bl w:val="nil"/>
            </w:tcBorders>
            <w:shd w:val="clear" w:color="auto" w:fill="auto"/>
            <w:vAlign w:val="center"/>
          </w:tcPr>
          <w:p w14:paraId="07F9F8DA">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PM</w:t>
            </w:r>
            <w:r>
              <w:rPr>
                <w:rFonts w:hint="eastAsia" w:ascii="Times New Roman" w:hAnsi="Times New Roman" w:eastAsia="华文中宋" w:cs="Times New Roman"/>
                <w:szCs w:val="21"/>
                <w:highlight w:val="none"/>
                <w:vertAlign w:val="subscript"/>
                <w:lang w:val="en-US" w:eastAsia="zh-CN"/>
              </w:rPr>
              <w:t>2.5</w:t>
            </w:r>
          </w:p>
        </w:tc>
        <w:tc>
          <w:tcPr>
            <w:tcW w:w="1144" w:type="pct"/>
            <w:tcBorders>
              <w:tl2br w:val="nil"/>
              <w:tr2bl w:val="nil"/>
            </w:tcBorders>
            <w:shd w:val="clear" w:color="auto" w:fill="auto"/>
            <w:vAlign w:val="center"/>
          </w:tcPr>
          <w:p w14:paraId="732821A6">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180</w:t>
            </w:r>
          </w:p>
        </w:tc>
        <w:tc>
          <w:tcPr>
            <w:tcW w:w="853" w:type="pct"/>
            <w:tcBorders>
              <w:tl2br w:val="nil"/>
              <w:tr2bl w:val="nil"/>
            </w:tcBorders>
            <w:shd w:val="clear" w:color="auto" w:fill="auto"/>
            <w:vAlign w:val="center"/>
          </w:tcPr>
          <w:p w14:paraId="6E98F374">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0.378</w:t>
            </w:r>
          </w:p>
        </w:tc>
        <w:tc>
          <w:tcPr>
            <w:tcW w:w="642" w:type="pct"/>
            <w:tcBorders>
              <w:tl2br w:val="nil"/>
              <w:tr2bl w:val="nil"/>
            </w:tcBorders>
            <w:shd w:val="clear" w:color="auto" w:fill="auto"/>
            <w:vAlign w:val="center"/>
          </w:tcPr>
          <w:p w14:paraId="1C7689A8">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0.21</w:t>
            </w:r>
          </w:p>
        </w:tc>
        <w:tc>
          <w:tcPr>
            <w:tcW w:w="676" w:type="pct"/>
            <w:tcBorders>
              <w:tl2br w:val="nil"/>
              <w:tr2bl w:val="nil"/>
            </w:tcBorders>
            <w:vAlign w:val="center"/>
          </w:tcPr>
          <w:p w14:paraId="34FAA87A">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w:t>
            </w:r>
          </w:p>
        </w:tc>
      </w:tr>
      <w:tr w14:paraId="20865A5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0" w:hRule="atLeast"/>
        </w:trPr>
        <w:tc>
          <w:tcPr>
            <w:tcW w:w="924" w:type="pct"/>
            <w:vMerge w:val="continue"/>
            <w:tcBorders>
              <w:tl2br w:val="nil"/>
              <w:tr2bl w:val="nil"/>
            </w:tcBorders>
            <w:vAlign w:val="center"/>
          </w:tcPr>
          <w:p w14:paraId="4AAA3BEF">
            <w:pPr>
              <w:spacing w:line="300" w:lineRule="exact"/>
              <w:jc w:val="center"/>
              <w:rPr>
                <w:rFonts w:hint="default" w:ascii="Times New Roman" w:hAnsi="Times New Roman" w:eastAsia="华文中宋" w:cs="Times New Roman"/>
                <w:szCs w:val="21"/>
                <w:highlight w:val="none"/>
                <w:lang w:val="en-US" w:eastAsia="zh-CN"/>
              </w:rPr>
            </w:pPr>
          </w:p>
        </w:tc>
        <w:tc>
          <w:tcPr>
            <w:tcW w:w="758" w:type="pct"/>
            <w:tcBorders>
              <w:tl2br w:val="nil"/>
              <w:tr2bl w:val="nil"/>
            </w:tcBorders>
            <w:shd w:val="clear" w:color="auto" w:fill="auto"/>
            <w:vAlign w:val="center"/>
          </w:tcPr>
          <w:p w14:paraId="38AA9DB3">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SO</w:t>
            </w:r>
            <w:r>
              <w:rPr>
                <w:rFonts w:hint="eastAsia" w:ascii="Times New Roman" w:hAnsi="Times New Roman" w:eastAsia="华文中宋" w:cs="Times New Roman"/>
                <w:szCs w:val="21"/>
                <w:highlight w:val="none"/>
                <w:vertAlign w:val="subscript"/>
                <w:lang w:val="en-US" w:eastAsia="zh-CN"/>
              </w:rPr>
              <w:t>2</w:t>
            </w:r>
          </w:p>
        </w:tc>
        <w:tc>
          <w:tcPr>
            <w:tcW w:w="1144" w:type="pct"/>
            <w:tcBorders>
              <w:tl2br w:val="nil"/>
              <w:tr2bl w:val="nil"/>
            </w:tcBorders>
            <w:shd w:val="clear" w:color="auto" w:fill="auto"/>
            <w:vAlign w:val="center"/>
          </w:tcPr>
          <w:p w14:paraId="57F702B9">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500</w:t>
            </w:r>
          </w:p>
        </w:tc>
        <w:tc>
          <w:tcPr>
            <w:tcW w:w="853" w:type="pct"/>
            <w:tcBorders>
              <w:tl2br w:val="nil"/>
              <w:tr2bl w:val="nil"/>
            </w:tcBorders>
            <w:shd w:val="clear" w:color="auto" w:fill="auto"/>
            <w:vAlign w:val="center"/>
          </w:tcPr>
          <w:p w14:paraId="5DAD97FB">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1.1</w:t>
            </w:r>
          </w:p>
        </w:tc>
        <w:tc>
          <w:tcPr>
            <w:tcW w:w="642" w:type="pct"/>
            <w:tcBorders>
              <w:tl2br w:val="nil"/>
              <w:tr2bl w:val="nil"/>
            </w:tcBorders>
            <w:shd w:val="clear" w:color="auto" w:fill="auto"/>
            <w:vAlign w:val="center"/>
          </w:tcPr>
          <w:p w14:paraId="4A4670BF">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0.22</w:t>
            </w:r>
          </w:p>
        </w:tc>
        <w:tc>
          <w:tcPr>
            <w:tcW w:w="676" w:type="pct"/>
            <w:tcBorders>
              <w:tl2br w:val="nil"/>
              <w:tr2bl w:val="nil"/>
            </w:tcBorders>
            <w:vAlign w:val="center"/>
          </w:tcPr>
          <w:p w14:paraId="718D60D5">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w:t>
            </w:r>
          </w:p>
        </w:tc>
      </w:tr>
      <w:tr w14:paraId="29A88D9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0" w:hRule="atLeast"/>
        </w:trPr>
        <w:tc>
          <w:tcPr>
            <w:tcW w:w="924" w:type="pct"/>
            <w:vMerge w:val="continue"/>
            <w:tcBorders>
              <w:tl2br w:val="nil"/>
              <w:tr2bl w:val="nil"/>
            </w:tcBorders>
            <w:vAlign w:val="center"/>
          </w:tcPr>
          <w:p w14:paraId="6FEF1A06">
            <w:pPr>
              <w:spacing w:line="300" w:lineRule="exact"/>
              <w:jc w:val="center"/>
              <w:rPr>
                <w:rFonts w:hint="default" w:ascii="Times New Roman" w:hAnsi="Times New Roman" w:eastAsia="华文中宋" w:cs="Times New Roman"/>
                <w:szCs w:val="21"/>
                <w:highlight w:val="none"/>
                <w:lang w:val="en-US" w:eastAsia="zh-CN"/>
              </w:rPr>
            </w:pPr>
          </w:p>
        </w:tc>
        <w:tc>
          <w:tcPr>
            <w:tcW w:w="758" w:type="pct"/>
            <w:tcBorders>
              <w:tl2br w:val="nil"/>
              <w:tr2bl w:val="nil"/>
            </w:tcBorders>
            <w:shd w:val="clear" w:color="auto" w:fill="auto"/>
            <w:vAlign w:val="center"/>
          </w:tcPr>
          <w:p w14:paraId="49D02FAE">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CO</w:t>
            </w:r>
          </w:p>
        </w:tc>
        <w:tc>
          <w:tcPr>
            <w:tcW w:w="1144" w:type="pct"/>
            <w:tcBorders>
              <w:tl2br w:val="nil"/>
              <w:tr2bl w:val="nil"/>
            </w:tcBorders>
            <w:shd w:val="clear" w:color="auto" w:fill="auto"/>
            <w:vAlign w:val="center"/>
          </w:tcPr>
          <w:p w14:paraId="7E3F7AE1">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10000</w:t>
            </w:r>
          </w:p>
        </w:tc>
        <w:tc>
          <w:tcPr>
            <w:tcW w:w="853" w:type="pct"/>
            <w:tcBorders>
              <w:tl2br w:val="nil"/>
              <w:tr2bl w:val="nil"/>
            </w:tcBorders>
            <w:shd w:val="clear" w:color="auto" w:fill="auto"/>
            <w:vAlign w:val="center"/>
          </w:tcPr>
          <w:p w14:paraId="1C46EF71">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100</w:t>
            </w:r>
          </w:p>
        </w:tc>
        <w:tc>
          <w:tcPr>
            <w:tcW w:w="642" w:type="pct"/>
            <w:tcBorders>
              <w:tl2br w:val="nil"/>
              <w:tr2bl w:val="nil"/>
            </w:tcBorders>
            <w:shd w:val="clear" w:color="auto" w:fill="auto"/>
            <w:vAlign w:val="center"/>
          </w:tcPr>
          <w:p w14:paraId="0D150B76">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0.01</w:t>
            </w:r>
          </w:p>
        </w:tc>
        <w:tc>
          <w:tcPr>
            <w:tcW w:w="676" w:type="pct"/>
            <w:tcBorders>
              <w:tl2br w:val="nil"/>
              <w:tr2bl w:val="nil"/>
            </w:tcBorders>
            <w:vAlign w:val="center"/>
          </w:tcPr>
          <w:p w14:paraId="22AA4F5B">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w:t>
            </w:r>
          </w:p>
        </w:tc>
      </w:tr>
      <w:tr w14:paraId="329D8BF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0" w:hRule="atLeast"/>
        </w:trPr>
        <w:tc>
          <w:tcPr>
            <w:tcW w:w="924" w:type="pct"/>
            <w:vMerge w:val="continue"/>
            <w:tcBorders>
              <w:tl2br w:val="nil"/>
              <w:tr2bl w:val="nil"/>
            </w:tcBorders>
            <w:vAlign w:val="center"/>
          </w:tcPr>
          <w:p w14:paraId="0693DBE5">
            <w:pPr>
              <w:spacing w:line="300" w:lineRule="exact"/>
              <w:jc w:val="center"/>
              <w:rPr>
                <w:rFonts w:hint="default" w:ascii="Times New Roman" w:hAnsi="Times New Roman" w:eastAsia="华文中宋" w:cs="Times New Roman"/>
                <w:szCs w:val="21"/>
                <w:highlight w:val="none"/>
                <w:lang w:val="en-US" w:eastAsia="zh-CN"/>
              </w:rPr>
            </w:pPr>
          </w:p>
        </w:tc>
        <w:tc>
          <w:tcPr>
            <w:tcW w:w="758" w:type="pct"/>
            <w:tcBorders>
              <w:tl2br w:val="nil"/>
              <w:tr2bl w:val="nil"/>
            </w:tcBorders>
            <w:shd w:val="clear" w:color="auto" w:fill="auto"/>
            <w:vAlign w:val="center"/>
          </w:tcPr>
          <w:p w14:paraId="3C795D58">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HCl</w:t>
            </w:r>
          </w:p>
        </w:tc>
        <w:tc>
          <w:tcPr>
            <w:tcW w:w="1144" w:type="pct"/>
            <w:tcBorders>
              <w:tl2br w:val="nil"/>
              <w:tr2bl w:val="nil"/>
            </w:tcBorders>
            <w:shd w:val="clear" w:color="auto" w:fill="auto"/>
            <w:vAlign w:val="center"/>
          </w:tcPr>
          <w:p w14:paraId="5F927F87">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50</w:t>
            </w:r>
          </w:p>
        </w:tc>
        <w:tc>
          <w:tcPr>
            <w:tcW w:w="853" w:type="pct"/>
            <w:tcBorders>
              <w:tl2br w:val="nil"/>
              <w:tr2bl w:val="nil"/>
            </w:tcBorders>
            <w:shd w:val="clear" w:color="auto" w:fill="auto"/>
            <w:vAlign w:val="center"/>
          </w:tcPr>
          <w:p w14:paraId="33C75622">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0.645</w:t>
            </w:r>
          </w:p>
        </w:tc>
        <w:tc>
          <w:tcPr>
            <w:tcW w:w="642" w:type="pct"/>
            <w:tcBorders>
              <w:tl2br w:val="nil"/>
              <w:tr2bl w:val="nil"/>
            </w:tcBorders>
            <w:shd w:val="clear" w:color="auto" w:fill="auto"/>
            <w:vAlign w:val="center"/>
          </w:tcPr>
          <w:p w14:paraId="59D596F3">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1.29</w:t>
            </w:r>
          </w:p>
        </w:tc>
        <w:tc>
          <w:tcPr>
            <w:tcW w:w="676" w:type="pct"/>
            <w:tcBorders>
              <w:tl2br w:val="nil"/>
              <w:tr2bl w:val="nil"/>
            </w:tcBorders>
            <w:vAlign w:val="center"/>
          </w:tcPr>
          <w:p w14:paraId="21049CD8">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w:t>
            </w:r>
          </w:p>
        </w:tc>
      </w:tr>
      <w:tr w14:paraId="6BEFF5C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0" w:hRule="atLeast"/>
        </w:trPr>
        <w:tc>
          <w:tcPr>
            <w:tcW w:w="924" w:type="pct"/>
            <w:vMerge w:val="continue"/>
            <w:tcBorders>
              <w:tl2br w:val="nil"/>
              <w:tr2bl w:val="nil"/>
            </w:tcBorders>
            <w:vAlign w:val="center"/>
          </w:tcPr>
          <w:p w14:paraId="5173C20C">
            <w:pPr>
              <w:spacing w:line="300" w:lineRule="exact"/>
              <w:jc w:val="center"/>
              <w:rPr>
                <w:rFonts w:hint="default" w:ascii="Times New Roman" w:hAnsi="Times New Roman" w:eastAsia="华文中宋" w:cs="Times New Roman"/>
                <w:szCs w:val="21"/>
                <w:highlight w:val="none"/>
                <w:lang w:val="en-US" w:eastAsia="zh-CN"/>
              </w:rPr>
            </w:pPr>
          </w:p>
        </w:tc>
        <w:tc>
          <w:tcPr>
            <w:tcW w:w="758" w:type="pct"/>
            <w:tcBorders>
              <w:tl2br w:val="nil"/>
              <w:tr2bl w:val="nil"/>
            </w:tcBorders>
            <w:shd w:val="clear" w:color="auto" w:fill="auto"/>
            <w:vAlign w:val="center"/>
          </w:tcPr>
          <w:p w14:paraId="1491E75C">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Hg</w:t>
            </w:r>
          </w:p>
        </w:tc>
        <w:tc>
          <w:tcPr>
            <w:tcW w:w="1144" w:type="pct"/>
            <w:tcBorders>
              <w:tl2br w:val="nil"/>
              <w:tr2bl w:val="nil"/>
            </w:tcBorders>
            <w:shd w:val="clear" w:color="auto" w:fill="auto"/>
            <w:vAlign w:val="center"/>
          </w:tcPr>
          <w:p w14:paraId="2B49378C">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0.3</w:t>
            </w:r>
          </w:p>
        </w:tc>
        <w:tc>
          <w:tcPr>
            <w:tcW w:w="853" w:type="pct"/>
            <w:tcBorders>
              <w:tl2br w:val="nil"/>
              <w:tr2bl w:val="nil"/>
            </w:tcBorders>
            <w:shd w:val="clear" w:color="auto" w:fill="auto"/>
            <w:vAlign w:val="center"/>
          </w:tcPr>
          <w:p w14:paraId="33058C4B">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0.00</w:t>
            </w:r>
          </w:p>
        </w:tc>
        <w:tc>
          <w:tcPr>
            <w:tcW w:w="642" w:type="pct"/>
            <w:tcBorders>
              <w:tl2br w:val="nil"/>
              <w:tr2bl w:val="nil"/>
            </w:tcBorders>
            <w:shd w:val="clear" w:color="auto" w:fill="auto"/>
            <w:vAlign w:val="center"/>
          </w:tcPr>
          <w:p w14:paraId="65B5C1A1">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0.00</w:t>
            </w:r>
          </w:p>
        </w:tc>
        <w:tc>
          <w:tcPr>
            <w:tcW w:w="676" w:type="pct"/>
            <w:tcBorders>
              <w:tl2br w:val="nil"/>
              <w:tr2bl w:val="nil"/>
            </w:tcBorders>
            <w:vAlign w:val="center"/>
          </w:tcPr>
          <w:p w14:paraId="01AD5EEF">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w:t>
            </w:r>
          </w:p>
        </w:tc>
      </w:tr>
      <w:tr w14:paraId="43DC9DF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0" w:hRule="atLeast"/>
        </w:trPr>
        <w:tc>
          <w:tcPr>
            <w:tcW w:w="924" w:type="pct"/>
            <w:vMerge w:val="continue"/>
            <w:tcBorders>
              <w:tl2br w:val="nil"/>
              <w:tr2bl w:val="nil"/>
            </w:tcBorders>
            <w:vAlign w:val="center"/>
          </w:tcPr>
          <w:p w14:paraId="7C5CC29D">
            <w:pPr>
              <w:spacing w:line="300" w:lineRule="exact"/>
              <w:jc w:val="center"/>
              <w:rPr>
                <w:rFonts w:hint="default" w:ascii="Times New Roman" w:hAnsi="Times New Roman" w:eastAsia="华文中宋" w:cs="Times New Roman"/>
                <w:szCs w:val="21"/>
                <w:highlight w:val="none"/>
                <w:lang w:val="en-US" w:eastAsia="zh-CN"/>
              </w:rPr>
            </w:pPr>
          </w:p>
        </w:tc>
        <w:tc>
          <w:tcPr>
            <w:tcW w:w="758" w:type="pct"/>
            <w:tcBorders>
              <w:tl2br w:val="nil"/>
              <w:tr2bl w:val="nil"/>
            </w:tcBorders>
            <w:shd w:val="clear" w:color="auto" w:fill="auto"/>
            <w:vAlign w:val="center"/>
          </w:tcPr>
          <w:p w14:paraId="1BAE7537">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Pb</w:t>
            </w:r>
          </w:p>
        </w:tc>
        <w:tc>
          <w:tcPr>
            <w:tcW w:w="1144" w:type="pct"/>
            <w:tcBorders>
              <w:tl2br w:val="nil"/>
              <w:tr2bl w:val="nil"/>
            </w:tcBorders>
            <w:shd w:val="clear" w:color="auto" w:fill="auto"/>
            <w:vAlign w:val="center"/>
          </w:tcPr>
          <w:p w14:paraId="6E674AF0">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3</w:t>
            </w:r>
          </w:p>
        </w:tc>
        <w:tc>
          <w:tcPr>
            <w:tcW w:w="853" w:type="pct"/>
            <w:tcBorders>
              <w:tl2br w:val="nil"/>
              <w:tr2bl w:val="nil"/>
            </w:tcBorders>
            <w:shd w:val="clear" w:color="auto" w:fill="auto"/>
            <w:vAlign w:val="center"/>
          </w:tcPr>
          <w:p w14:paraId="086AB879">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0.0006</w:t>
            </w:r>
          </w:p>
        </w:tc>
        <w:tc>
          <w:tcPr>
            <w:tcW w:w="642" w:type="pct"/>
            <w:tcBorders>
              <w:tl2br w:val="nil"/>
              <w:tr2bl w:val="nil"/>
            </w:tcBorders>
            <w:shd w:val="clear" w:color="auto" w:fill="auto"/>
            <w:vAlign w:val="center"/>
          </w:tcPr>
          <w:p w14:paraId="0FBBE951">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0.02</w:t>
            </w:r>
          </w:p>
        </w:tc>
        <w:tc>
          <w:tcPr>
            <w:tcW w:w="676" w:type="pct"/>
            <w:tcBorders>
              <w:tl2br w:val="nil"/>
              <w:tr2bl w:val="nil"/>
            </w:tcBorders>
            <w:vAlign w:val="center"/>
          </w:tcPr>
          <w:p w14:paraId="48F6AC12">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w:t>
            </w:r>
          </w:p>
        </w:tc>
      </w:tr>
      <w:tr w14:paraId="64C1D20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0" w:hRule="atLeast"/>
        </w:trPr>
        <w:tc>
          <w:tcPr>
            <w:tcW w:w="924" w:type="pct"/>
            <w:vMerge w:val="continue"/>
            <w:tcBorders>
              <w:tl2br w:val="nil"/>
              <w:tr2bl w:val="nil"/>
            </w:tcBorders>
            <w:vAlign w:val="center"/>
          </w:tcPr>
          <w:p w14:paraId="28870FA1">
            <w:pPr>
              <w:spacing w:line="300" w:lineRule="exact"/>
              <w:jc w:val="center"/>
              <w:rPr>
                <w:rFonts w:hint="default" w:ascii="Times New Roman" w:hAnsi="Times New Roman" w:eastAsia="华文中宋" w:cs="Times New Roman"/>
                <w:szCs w:val="21"/>
                <w:highlight w:val="none"/>
                <w:lang w:val="en-US" w:eastAsia="zh-CN"/>
              </w:rPr>
            </w:pPr>
          </w:p>
        </w:tc>
        <w:tc>
          <w:tcPr>
            <w:tcW w:w="758" w:type="pct"/>
            <w:tcBorders>
              <w:tl2br w:val="nil"/>
              <w:tr2bl w:val="nil"/>
            </w:tcBorders>
            <w:shd w:val="clear" w:color="auto" w:fill="auto"/>
            <w:vAlign w:val="center"/>
          </w:tcPr>
          <w:p w14:paraId="3B5BCB20">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As</w:t>
            </w:r>
          </w:p>
        </w:tc>
        <w:tc>
          <w:tcPr>
            <w:tcW w:w="1144" w:type="pct"/>
            <w:tcBorders>
              <w:tl2br w:val="nil"/>
              <w:tr2bl w:val="nil"/>
            </w:tcBorders>
            <w:shd w:val="clear" w:color="auto" w:fill="auto"/>
            <w:vAlign w:val="center"/>
          </w:tcPr>
          <w:p w14:paraId="5A8AA0CE">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0.036</w:t>
            </w:r>
          </w:p>
        </w:tc>
        <w:tc>
          <w:tcPr>
            <w:tcW w:w="853" w:type="pct"/>
            <w:tcBorders>
              <w:tl2br w:val="nil"/>
              <w:tr2bl w:val="nil"/>
            </w:tcBorders>
            <w:shd w:val="clear" w:color="auto" w:fill="auto"/>
            <w:vAlign w:val="center"/>
          </w:tcPr>
          <w:p w14:paraId="3FFBDD5C">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0.0057</w:t>
            </w:r>
          </w:p>
        </w:tc>
        <w:tc>
          <w:tcPr>
            <w:tcW w:w="642" w:type="pct"/>
            <w:tcBorders>
              <w:tl2br w:val="nil"/>
              <w:tr2bl w:val="nil"/>
            </w:tcBorders>
            <w:shd w:val="clear" w:color="auto" w:fill="auto"/>
            <w:vAlign w:val="center"/>
          </w:tcPr>
          <w:p w14:paraId="19B0F633">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15.83</w:t>
            </w:r>
          </w:p>
        </w:tc>
        <w:tc>
          <w:tcPr>
            <w:tcW w:w="676" w:type="pct"/>
            <w:tcBorders>
              <w:tl2br w:val="nil"/>
              <w:tr2bl w:val="nil"/>
            </w:tcBorders>
            <w:vAlign w:val="center"/>
          </w:tcPr>
          <w:p w14:paraId="403AE45A">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26</w:t>
            </w:r>
          </w:p>
        </w:tc>
      </w:tr>
      <w:tr w14:paraId="7A93E39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0" w:hRule="atLeast"/>
        </w:trPr>
        <w:tc>
          <w:tcPr>
            <w:tcW w:w="924" w:type="pct"/>
            <w:vMerge w:val="continue"/>
            <w:tcBorders>
              <w:tl2br w:val="nil"/>
              <w:tr2bl w:val="nil"/>
            </w:tcBorders>
            <w:vAlign w:val="center"/>
          </w:tcPr>
          <w:p w14:paraId="4634A6E4">
            <w:pPr>
              <w:spacing w:line="300" w:lineRule="exact"/>
              <w:jc w:val="center"/>
              <w:rPr>
                <w:rFonts w:hint="default" w:ascii="Times New Roman" w:hAnsi="Times New Roman" w:eastAsia="华文中宋" w:cs="Times New Roman"/>
                <w:szCs w:val="21"/>
                <w:highlight w:val="none"/>
                <w:lang w:val="en-US" w:eastAsia="zh-CN"/>
              </w:rPr>
            </w:pPr>
          </w:p>
        </w:tc>
        <w:tc>
          <w:tcPr>
            <w:tcW w:w="758" w:type="pct"/>
            <w:tcBorders>
              <w:tl2br w:val="nil"/>
              <w:tr2bl w:val="nil"/>
            </w:tcBorders>
            <w:shd w:val="clear" w:color="auto" w:fill="auto"/>
            <w:vAlign w:val="center"/>
          </w:tcPr>
          <w:p w14:paraId="794DC255">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Cd</w:t>
            </w:r>
          </w:p>
        </w:tc>
        <w:tc>
          <w:tcPr>
            <w:tcW w:w="1144" w:type="pct"/>
            <w:tcBorders>
              <w:tl2br w:val="nil"/>
              <w:tr2bl w:val="nil"/>
            </w:tcBorders>
            <w:shd w:val="clear" w:color="auto" w:fill="auto"/>
            <w:vAlign w:val="center"/>
          </w:tcPr>
          <w:p w14:paraId="13F67A22">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0.03</w:t>
            </w:r>
          </w:p>
        </w:tc>
        <w:tc>
          <w:tcPr>
            <w:tcW w:w="853" w:type="pct"/>
            <w:tcBorders>
              <w:tl2br w:val="nil"/>
              <w:tr2bl w:val="nil"/>
            </w:tcBorders>
            <w:shd w:val="clear" w:color="auto" w:fill="auto"/>
            <w:vAlign w:val="center"/>
          </w:tcPr>
          <w:p w14:paraId="760AF3B4">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0.00</w:t>
            </w:r>
          </w:p>
        </w:tc>
        <w:tc>
          <w:tcPr>
            <w:tcW w:w="642" w:type="pct"/>
            <w:tcBorders>
              <w:tl2br w:val="nil"/>
              <w:tr2bl w:val="nil"/>
            </w:tcBorders>
            <w:shd w:val="clear" w:color="auto" w:fill="auto"/>
            <w:vAlign w:val="center"/>
          </w:tcPr>
          <w:p w14:paraId="29245915">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0.00</w:t>
            </w:r>
          </w:p>
        </w:tc>
        <w:tc>
          <w:tcPr>
            <w:tcW w:w="676" w:type="pct"/>
            <w:tcBorders>
              <w:tl2br w:val="nil"/>
              <w:tr2bl w:val="nil"/>
            </w:tcBorders>
            <w:vAlign w:val="center"/>
          </w:tcPr>
          <w:p w14:paraId="383DE6DF">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w:t>
            </w:r>
          </w:p>
        </w:tc>
      </w:tr>
      <w:tr w14:paraId="7640C0E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0" w:hRule="atLeast"/>
        </w:trPr>
        <w:tc>
          <w:tcPr>
            <w:tcW w:w="924" w:type="pct"/>
            <w:vMerge w:val="continue"/>
            <w:tcBorders>
              <w:tl2br w:val="nil"/>
              <w:tr2bl w:val="nil"/>
            </w:tcBorders>
            <w:vAlign w:val="center"/>
          </w:tcPr>
          <w:p w14:paraId="62BF9304">
            <w:pPr>
              <w:spacing w:line="300" w:lineRule="exact"/>
              <w:jc w:val="center"/>
              <w:rPr>
                <w:rFonts w:hint="default" w:ascii="Times New Roman" w:hAnsi="Times New Roman" w:eastAsia="华文中宋" w:cs="Times New Roman"/>
                <w:szCs w:val="21"/>
                <w:highlight w:val="none"/>
                <w:lang w:val="en-US" w:eastAsia="zh-CN"/>
              </w:rPr>
            </w:pPr>
          </w:p>
        </w:tc>
        <w:tc>
          <w:tcPr>
            <w:tcW w:w="758" w:type="pct"/>
            <w:tcBorders>
              <w:tl2br w:val="nil"/>
              <w:tr2bl w:val="nil"/>
            </w:tcBorders>
            <w:shd w:val="clear" w:color="auto" w:fill="auto"/>
            <w:vAlign w:val="center"/>
          </w:tcPr>
          <w:p w14:paraId="2FCC7826">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二噁英</w:t>
            </w:r>
          </w:p>
        </w:tc>
        <w:tc>
          <w:tcPr>
            <w:tcW w:w="1144" w:type="pct"/>
            <w:tcBorders>
              <w:tl2br w:val="nil"/>
              <w:tr2bl w:val="nil"/>
            </w:tcBorders>
            <w:shd w:val="clear" w:color="auto" w:fill="auto"/>
            <w:vAlign w:val="center"/>
          </w:tcPr>
          <w:p w14:paraId="10D70004">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0.0000000036</w:t>
            </w:r>
          </w:p>
        </w:tc>
        <w:tc>
          <w:tcPr>
            <w:tcW w:w="853" w:type="pct"/>
            <w:tcBorders>
              <w:tl2br w:val="nil"/>
              <w:tr2bl w:val="nil"/>
            </w:tcBorders>
            <w:shd w:val="clear" w:color="auto" w:fill="auto"/>
            <w:vAlign w:val="center"/>
          </w:tcPr>
          <w:p w14:paraId="6665C63C">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2.18×10</w:t>
            </w:r>
            <w:r>
              <w:rPr>
                <w:rFonts w:hint="eastAsia" w:ascii="Times New Roman" w:hAnsi="Times New Roman" w:eastAsia="华文中宋" w:cs="Times New Roman"/>
                <w:szCs w:val="21"/>
                <w:highlight w:val="none"/>
                <w:vertAlign w:val="superscript"/>
                <w:lang w:val="en-US" w:eastAsia="zh-CN"/>
              </w:rPr>
              <w:t>-10</w:t>
            </w:r>
          </w:p>
        </w:tc>
        <w:tc>
          <w:tcPr>
            <w:tcW w:w="642" w:type="pct"/>
            <w:tcBorders>
              <w:tl2br w:val="nil"/>
              <w:tr2bl w:val="nil"/>
            </w:tcBorders>
            <w:shd w:val="clear" w:color="auto" w:fill="auto"/>
            <w:vAlign w:val="center"/>
          </w:tcPr>
          <w:p w14:paraId="0AB087BC">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6.06</w:t>
            </w:r>
          </w:p>
        </w:tc>
        <w:tc>
          <w:tcPr>
            <w:tcW w:w="676" w:type="pct"/>
            <w:tcBorders>
              <w:tl2br w:val="nil"/>
              <w:tr2bl w:val="nil"/>
            </w:tcBorders>
            <w:vAlign w:val="center"/>
          </w:tcPr>
          <w:p w14:paraId="7ADC99D4">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w:t>
            </w:r>
          </w:p>
        </w:tc>
      </w:tr>
      <w:tr w14:paraId="1D003BC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0" w:hRule="atLeast"/>
        </w:trPr>
        <w:tc>
          <w:tcPr>
            <w:tcW w:w="924" w:type="pct"/>
            <w:vMerge w:val="continue"/>
            <w:tcBorders>
              <w:tl2br w:val="nil"/>
              <w:tr2bl w:val="nil"/>
            </w:tcBorders>
            <w:vAlign w:val="center"/>
          </w:tcPr>
          <w:p w14:paraId="234843C0">
            <w:pPr>
              <w:spacing w:line="300" w:lineRule="exact"/>
              <w:jc w:val="center"/>
              <w:rPr>
                <w:rFonts w:hint="default" w:ascii="Times New Roman" w:hAnsi="Times New Roman" w:eastAsia="华文中宋" w:cs="Times New Roman"/>
                <w:szCs w:val="21"/>
                <w:highlight w:val="none"/>
                <w:lang w:val="en-US" w:eastAsia="zh-CN"/>
              </w:rPr>
            </w:pPr>
          </w:p>
        </w:tc>
        <w:tc>
          <w:tcPr>
            <w:tcW w:w="758" w:type="pct"/>
            <w:tcBorders>
              <w:tl2br w:val="nil"/>
              <w:tr2bl w:val="nil"/>
            </w:tcBorders>
            <w:shd w:val="clear" w:color="auto" w:fill="auto"/>
            <w:vAlign w:val="center"/>
          </w:tcPr>
          <w:p w14:paraId="469E9624">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氟化物</w:t>
            </w:r>
          </w:p>
        </w:tc>
        <w:tc>
          <w:tcPr>
            <w:tcW w:w="1144" w:type="pct"/>
            <w:tcBorders>
              <w:tl2br w:val="nil"/>
              <w:tr2bl w:val="nil"/>
            </w:tcBorders>
            <w:shd w:val="clear" w:color="auto" w:fill="auto"/>
            <w:vAlign w:val="center"/>
          </w:tcPr>
          <w:p w14:paraId="297877D5">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20</w:t>
            </w:r>
          </w:p>
        </w:tc>
        <w:tc>
          <w:tcPr>
            <w:tcW w:w="853" w:type="pct"/>
            <w:tcBorders>
              <w:tl2br w:val="nil"/>
              <w:tr2bl w:val="nil"/>
            </w:tcBorders>
            <w:shd w:val="clear" w:color="auto" w:fill="auto"/>
            <w:vAlign w:val="center"/>
          </w:tcPr>
          <w:p w14:paraId="7EFE1E95">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0.172</w:t>
            </w:r>
          </w:p>
        </w:tc>
        <w:tc>
          <w:tcPr>
            <w:tcW w:w="642" w:type="pct"/>
            <w:tcBorders>
              <w:tl2br w:val="nil"/>
              <w:tr2bl w:val="nil"/>
            </w:tcBorders>
            <w:shd w:val="clear" w:color="auto" w:fill="auto"/>
            <w:vAlign w:val="center"/>
          </w:tcPr>
          <w:p w14:paraId="3857C49C">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0.86</w:t>
            </w:r>
          </w:p>
        </w:tc>
        <w:tc>
          <w:tcPr>
            <w:tcW w:w="676" w:type="pct"/>
            <w:tcBorders>
              <w:tl2br w:val="nil"/>
              <w:tr2bl w:val="nil"/>
            </w:tcBorders>
            <w:vAlign w:val="center"/>
          </w:tcPr>
          <w:p w14:paraId="1B2CC865">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w:t>
            </w:r>
          </w:p>
        </w:tc>
      </w:tr>
      <w:tr w14:paraId="2F78990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0" w:hRule="atLeast"/>
        </w:trPr>
        <w:tc>
          <w:tcPr>
            <w:tcW w:w="924" w:type="pct"/>
            <w:vMerge w:val="restart"/>
            <w:tcBorders>
              <w:tl2br w:val="nil"/>
              <w:tr2bl w:val="nil"/>
            </w:tcBorders>
            <w:vAlign w:val="center"/>
          </w:tcPr>
          <w:p w14:paraId="4BB25637">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医废暂存间（DA002）</w:t>
            </w:r>
          </w:p>
        </w:tc>
        <w:tc>
          <w:tcPr>
            <w:tcW w:w="758" w:type="pct"/>
            <w:tcBorders>
              <w:tl2br w:val="nil"/>
              <w:tr2bl w:val="nil"/>
            </w:tcBorders>
            <w:shd w:val="clear" w:color="auto" w:fill="auto"/>
            <w:vAlign w:val="center"/>
          </w:tcPr>
          <w:p w14:paraId="47927E1E">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NH</w:t>
            </w:r>
            <w:r>
              <w:rPr>
                <w:rFonts w:hint="eastAsia" w:ascii="Times New Roman" w:hAnsi="Times New Roman" w:eastAsia="华文中宋" w:cs="Times New Roman"/>
                <w:szCs w:val="21"/>
                <w:highlight w:val="none"/>
                <w:vertAlign w:val="subscript"/>
                <w:lang w:val="en-US" w:eastAsia="zh-CN"/>
              </w:rPr>
              <w:t>3</w:t>
            </w:r>
          </w:p>
        </w:tc>
        <w:tc>
          <w:tcPr>
            <w:tcW w:w="1144" w:type="pct"/>
            <w:tcBorders>
              <w:tl2br w:val="nil"/>
              <w:tr2bl w:val="nil"/>
            </w:tcBorders>
            <w:shd w:val="clear" w:color="auto" w:fill="auto"/>
            <w:vAlign w:val="center"/>
          </w:tcPr>
          <w:p w14:paraId="2E52E51F">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200</w:t>
            </w:r>
          </w:p>
        </w:tc>
        <w:tc>
          <w:tcPr>
            <w:tcW w:w="853" w:type="pct"/>
            <w:tcBorders>
              <w:tl2br w:val="nil"/>
              <w:tr2bl w:val="nil"/>
            </w:tcBorders>
            <w:shd w:val="clear" w:color="auto" w:fill="auto"/>
            <w:vAlign w:val="center"/>
          </w:tcPr>
          <w:p w14:paraId="782C73F1">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0.02</w:t>
            </w:r>
          </w:p>
        </w:tc>
        <w:tc>
          <w:tcPr>
            <w:tcW w:w="642" w:type="pct"/>
            <w:tcBorders>
              <w:tl2br w:val="nil"/>
              <w:tr2bl w:val="nil"/>
            </w:tcBorders>
            <w:shd w:val="clear" w:color="auto" w:fill="auto"/>
            <w:vAlign w:val="center"/>
          </w:tcPr>
          <w:p w14:paraId="589AA4D9">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0.01</w:t>
            </w:r>
          </w:p>
        </w:tc>
        <w:tc>
          <w:tcPr>
            <w:tcW w:w="676" w:type="pct"/>
            <w:tcBorders>
              <w:tl2br w:val="nil"/>
              <w:tr2bl w:val="nil"/>
            </w:tcBorders>
            <w:vAlign w:val="center"/>
          </w:tcPr>
          <w:p w14:paraId="278C55ED">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w:t>
            </w:r>
          </w:p>
        </w:tc>
      </w:tr>
      <w:tr w14:paraId="2B7A7DF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0" w:hRule="atLeast"/>
        </w:trPr>
        <w:tc>
          <w:tcPr>
            <w:tcW w:w="924" w:type="pct"/>
            <w:vMerge w:val="continue"/>
            <w:tcBorders>
              <w:tl2br w:val="nil"/>
              <w:tr2bl w:val="nil"/>
            </w:tcBorders>
            <w:vAlign w:val="center"/>
          </w:tcPr>
          <w:p w14:paraId="6AFBB8B7">
            <w:pPr>
              <w:spacing w:line="300" w:lineRule="exact"/>
              <w:jc w:val="center"/>
              <w:rPr>
                <w:rFonts w:hint="default" w:ascii="Times New Roman" w:hAnsi="Times New Roman" w:eastAsia="华文中宋" w:cs="Times New Roman"/>
                <w:szCs w:val="21"/>
                <w:highlight w:val="none"/>
                <w:lang w:val="en-US" w:eastAsia="zh-CN"/>
              </w:rPr>
            </w:pPr>
          </w:p>
        </w:tc>
        <w:tc>
          <w:tcPr>
            <w:tcW w:w="758" w:type="pct"/>
            <w:tcBorders>
              <w:tl2br w:val="nil"/>
              <w:tr2bl w:val="nil"/>
            </w:tcBorders>
            <w:shd w:val="clear" w:color="auto" w:fill="auto"/>
            <w:vAlign w:val="center"/>
          </w:tcPr>
          <w:p w14:paraId="60585421">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H</w:t>
            </w:r>
            <w:r>
              <w:rPr>
                <w:rFonts w:hint="eastAsia" w:ascii="Times New Roman" w:hAnsi="Times New Roman" w:eastAsia="华文中宋" w:cs="Times New Roman"/>
                <w:szCs w:val="21"/>
                <w:highlight w:val="none"/>
                <w:vertAlign w:val="subscript"/>
                <w:lang w:val="en-US" w:eastAsia="zh-CN"/>
              </w:rPr>
              <w:t>2</w:t>
            </w:r>
            <w:r>
              <w:rPr>
                <w:rFonts w:hint="eastAsia" w:ascii="Times New Roman" w:hAnsi="Times New Roman" w:eastAsia="华文中宋" w:cs="Times New Roman"/>
                <w:szCs w:val="21"/>
                <w:highlight w:val="none"/>
                <w:lang w:val="en-US" w:eastAsia="zh-CN"/>
              </w:rPr>
              <w:t>S</w:t>
            </w:r>
          </w:p>
        </w:tc>
        <w:tc>
          <w:tcPr>
            <w:tcW w:w="1144" w:type="pct"/>
            <w:tcBorders>
              <w:tl2br w:val="nil"/>
              <w:tr2bl w:val="nil"/>
            </w:tcBorders>
            <w:shd w:val="clear" w:color="auto" w:fill="auto"/>
            <w:vAlign w:val="center"/>
          </w:tcPr>
          <w:p w14:paraId="3F84D361">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10</w:t>
            </w:r>
          </w:p>
        </w:tc>
        <w:tc>
          <w:tcPr>
            <w:tcW w:w="853" w:type="pct"/>
            <w:tcBorders>
              <w:tl2br w:val="nil"/>
              <w:tr2bl w:val="nil"/>
            </w:tcBorders>
            <w:shd w:val="clear" w:color="auto" w:fill="auto"/>
            <w:vAlign w:val="center"/>
          </w:tcPr>
          <w:p w14:paraId="36ACE504">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0.033</w:t>
            </w:r>
          </w:p>
        </w:tc>
        <w:tc>
          <w:tcPr>
            <w:tcW w:w="642" w:type="pct"/>
            <w:tcBorders>
              <w:tl2br w:val="nil"/>
              <w:tr2bl w:val="nil"/>
            </w:tcBorders>
            <w:shd w:val="clear" w:color="auto" w:fill="auto"/>
            <w:vAlign w:val="center"/>
          </w:tcPr>
          <w:p w14:paraId="3B42E791">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0.33</w:t>
            </w:r>
          </w:p>
        </w:tc>
        <w:tc>
          <w:tcPr>
            <w:tcW w:w="676" w:type="pct"/>
            <w:tcBorders>
              <w:tl2br w:val="nil"/>
              <w:tr2bl w:val="nil"/>
            </w:tcBorders>
            <w:vAlign w:val="center"/>
          </w:tcPr>
          <w:p w14:paraId="748E8ABA">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w:t>
            </w:r>
          </w:p>
        </w:tc>
      </w:tr>
    </w:tbl>
    <w:p w14:paraId="36AFAF92">
      <w:pPr>
        <w:adjustRightInd w:val="0"/>
        <w:snapToGrid w:val="0"/>
        <w:spacing w:line="500" w:lineRule="exact"/>
        <w:ind w:firstLine="480" w:firstLineChars="200"/>
        <w:jc w:val="left"/>
        <w:rPr>
          <w:rFonts w:hint="default" w:ascii="Times New Roman" w:hAnsi="Times New Roman" w:cs="Times New Roman" w:eastAsiaTheme="minorEastAsia"/>
          <w:sz w:val="24"/>
          <w:lang w:val="zh-CN" w:eastAsia="zh-CN"/>
        </w:rPr>
      </w:pPr>
      <w:r>
        <w:rPr>
          <w:rFonts w:hint="default" w:ascii="Times New Roman" w:hAnsi="Times New Roman" w:cs="Times New Roman" w:eastAsiaTheme="minorEastAsia"/>
          <w:sz w:val="24"/>
          <w:lang w:val="zh-CN" w:eastAsia="zh-CN"/>
        </w:rPr>
        <w:t>由表</w:t>
      </w:r>
      <w:r>
        <w:rPr>
          <w:rFonts w:hint="default" w:ascii="Times New Roman" w:hAnsi="Times New Roman" w:cs="Times New Roman" w:eastAsiaTheme="minorEastAsia"/>
          <w:sz w:val="24"/>
          <w:lang w:val="en-US" w:eastAsia="zh-CN"/>
        </w:rPr>
        <w:t>2.</w:t>
      </w:r>
      <w:r>
        <w:rPr>
          <w:rFonts w:hint="eastAsia" w:ascii="Times New Roman" w:hAnsi="Times New Roman" w:cs="Times New Roman" w:eastAsiaTheme="minorEastAsia"/>
          <w:sz w:val="24"/>
          <w:lang w:val="en-US" w:eastAsia="zh-CN"/>
        </w:rPr>
        <w:t>5</w:t>
      </w:r>
      <w:r>
        <w:rPr>
          <w:rFonts w:hint="default" w:ascii="Times New Roman" w:hAnsi="Times New Roman" w:cs="Times New Roman" w:eastAsiaTheme="minorEastAsia"/>
          <w:sz w:val="24"/>
          <w:lang w:val="en-US" w:eastAsia="zh-CN"/>
        </w:rPr>
        <w:t>-</w:t>
      </w:r>
      <w:r>
        <w:rPr>
          <w:rFonts w:hint="eastAsia" w:ascii="Times New Roman" w:hAnsi="Times New Roman" w:cs="Times New Roman"/>
          <w:sz w:val="24"/>
          <w:lang w:val="en-US" w:eastAsia="zh-CN"/>
        </w:rPr>
        <w:t>5</w:t>
      </w:r>
      <w:r>
        <w:rPr>
          <w:rFonts w:hint="default" w:ascii="Times New Roman" w:hAnsi="Times New Roman" w:cs="Times New Roman" w:eastAsiaTheme="minorEastAsia"/>
          <w:sz w:val="24"/>
          <w:lang w:val="en-US" w:eastAsia="zh-CN"/>
        </w:rPr>
        <w:t>预测和</w:t>
      </w:r>
      <w:r>
        <w:rPr>
          <w:rFonts w:hint="default" w:ascii="Times New Roman" w:hAnsi="Times New Roman" w:cs="Times New Roman" w:eastAsiaTheme="minorEastAsia"/>
          <w:sz w:val="24"/>
          <w:lang w:val="zh-CN" w:eastAsia="zh-CN"/>
        </w:rPr>
        <w:t>计算结果可知，</w:t>
      </w:r>
      <w:r>
        <w:rPr>
          <w:rFonts w:hint="default" w:ascii="Times New Roman" w:hAnsi="Times New Roman" w:cs="Times New Roman" w:eastAsiaTheme="minorEastAsia"/>
          <w:sz w:val="24"/>
          <w:lang w:val="en-US" w:eastAsia="zh-CN"/>
        </w:rPr>
        <w:t>本项目Pmax最大值出现</w:t>
      </w:r>
      <w:r>
        <w:rPr>
          <w:rFonts w:hint="eastAsia" w:ascii="Times New Roman" w:hAnsi="Times New Roman" w:cs="Times New Roman" w:eastAsiaTheme="minorEastAsia"/>
          <w:sz w:val="24"/>
          <w:lang w:val="en-US" w:eastAsia="zh-CN"/>
        </w:rPr>
        <w:t>在</w:t>
      </w:r>
      <w:r>
        <w:rPr>
          <w:rFonts w:hint="eastAsia" w:ascii="Times New Roman" w:hAnsi="Times New Roman" w:eastAsia="华文中宋" w:cs="Times New Roman"/>
          <w:szCs w:val="21"/>
          <w:highlight w:val="none"/>
          <w:lang w:val="en-US" w:eastAsia="zh-CN"/>
        </w:rPr>
        <w:t>焚烧炉焚烧废气排放口As</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Pmax值为</w:t>
      </w:r>
      <w:r>
        <w:rPr>
          <w:rFonts w:hint="eastAsia" w:ascii="Times New Roman" w:hAnsi="Times New Roman" w:eastAsia="华文中宋" w:cs="Times New Roman"/>
          <w:szCs w:val="21"/>
          <w:highlight w:val="none"/>
          <w:lang w:val="en-US" w:eastAsia="zh-CN"/>
        </w:rPr>
        <w:t>15.83</w:t>
      </w:r>
      <w:r>
        <w:rPr>
          <w:rFonts w:hint="default" w:ascii="Times New Roman" w:hAnsi="Times New Roman" w:cs="Times New Roman" w:eastAsiaTheme="minorEastAsia"/>
          <w:sz w:val="24"/>
          <w:lang w:val="en-US" w:eastAsia="zh-CN"/>
        </w:rPr>
        <w:t>%，Cmax为</w:t>
      </w:r>
      <w:r>
        <w:rPr>
          <w:rFonts w:hint="eastAsia" w:ascii="Times New Roman" w:hAnsi="Times New Roman" w:eastAsia="华文中宋" w:cs="Times New Roman"/>
          <w:szCs w:val="21"/>
          <w:highlight w:val="none"/>
          <w:lang w:val="en-US" w:eastAsia="zh-CN"/>
        </w:rPr>
        <w:t>0.0057</w:t>
      </w:r>
      <w:r>
        <w:rPr>
          <w:rFonts w:hint="default" w:ascii="Times New Roman" w:hAnsi="Times New Roman" w:cs="Times New Roman" w:eastAsiaTheme="minorEastAsia"/>
          <w:sz w:val="24"/>
          <w:lang w:val="en-US" w:eastAsia="zh-CN"/>
        </w:rPr>
        <w:t>μg/m³，Pmax≥10%</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因此本项目大气评价等级为一级。</w:t>
      </w:r>
    </w:p>
    <w:p w14:paraId="5CC42122">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（3）评价范围</w:t>
      </w:r>
      <w:bookmarkEnd w:id="89"/>
      <w:bookmarkEnd w:id="90"/>
      <w:bookmarkEnd w:id="91"/>
    </w:p>
    <w:p w14:paraId="0A058EF7">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根据《环境影响评价技术导则</w:t>
      </w:r>
      <w:r>
        <w:rPr>
          <w:rFonts w:hint="eastAsia" w:ascii="Times New Roman" w:hAnsi="Times New Roman" w:cs="Times New Roman"/>
          <w:sz w:val="24"/>
          <w:lang w:val="en-US" w:eastAsia="zh-CN"/>
        </w:rPr>
        <w:t xml:space="preserve"> </w:t>
      </w:r>
      <w:r>
        <w:rPr>
          <w:rFonts w:hint="default" w:ascii="Times New Roman" w:hAnsi="Times New Roman" w:cs="Times New Roman" w:eastAsiaTheme="minorEastAsia"/>
          <w:sz w:val="24"/>
          <w:lang w:val="en-US" w:eastAsia="zh-CN"/>
        </w:rPr>
        <w:t>大气环境》（HJ2.2-2018）可知，5.4.1一级评价项目根据建设项目排放污染物的最远影响距离（D10%）确定大气环境影响评价范围。即以项目厂址为中心区域，自厂界外延D10%的矩形区域作为大气环境影响评价范围。当D10%超过25km时，确定评价范围为边长50km的矩形区域；当D10%小于2.5km时，评价范围边长取5km。</w:t>
      </w:r>
      <w:r>
        <w:rPr>
          <w:rFonts w:hint="eastAsia" w:ascii="Times New Roman" w:hAnsi="Times New Roman" w:cs="Times New Roman" w:eastAsiaTheme="minorEastAsia"/>
          <w:sz w:val="24"/>
          <w:lang w:val="en-US" w:eastAsia="zh-CN"/>
        </w:rPr>
        <w:t>本项目</w:t>
      </w:r>
      <w:r>
        <w:rPr>
          <w:rFonts w:hint="default" w:ascii="Times New Roman" w:hAnsi="Times New Roman" w:cs="Times New Roman" w:eastAsiaTheme="minorEastAsia"/>
          <w:sz w:val="24"/>
          <w:lang w:val="en-US" w:eastAsia="zh-CN"/>
        </w:rPr>
        <w:t>D10%</w:t>
      </w:r>
      <w:r>
        <w:rPr>
          <w:rFonts w:hint="eastAsia" w:ascii="Times New Roman" w:hAnsi="Times New Roman" w:cs="Times New Roman" w:eastAsiaTheme="minorEastAsia"/>
          <w:sz w:val="24"/>
          <w:lang w:val="en-US" w:eastAsia="zh-CN"/>
        </w:rPr>
        <w:t>为0.0</w:t>
      </w:r>
      <w:r>
        <w:rPr>
          <w:rFonts w:hint="eastAsia" w:ascii="Times New Roman" w:hAnsi="Times New Roman" w:cs="Times New Roman"/>
          <w:sz w:val="24"/>
          <w:lang w:val="en-US" w:eastAsia="zh-CN"/>
        </w:rPr>
        <w:t>26</w:t>
      </w:r>
      <w:r>
        <w:rPr>
          <w:rFonts w:hint="eastAsia" w:ascii="Times New Roman" w:hAnsi="Times New Roman" w:cs="Times New Roman" w:eastAsiaTheme="minorEastAsia"/>
          <w:sz w:val="24"/>
          <w:lang w:val="en-US" w:eastAsia="zh-CN"/>
        </w:rPr>
        <w:t>km，小于2.5km，</w:t>
      </w:r>
      <w:r>
        <w:rPr>
          <w:rFonts w:hint="default" w:ascii="Times New Roman" w:hAnsi="Times New Roman" w:cs="Times New Roman" w:eastAsiaTheme="minorEastAsia"/>
          <w:sz w:val="24"/>
          <w:lang w:val="en-US" w:eastAsia="zh-CN"/>
        </w:rPr>
        <w:t>因此，本项目大气环境影响评价范围设置</w:t>
      </w:r>
      <w:r>
        <w:rPr>
          <w:rFonts w:hint="eastAsia" w:ascii="Times New Roman" w:hAnsi="Times New Roman" w:cs="Times New Roman" w:eastAsiaTheme="minorEastAsia"/>
          <w:sz w:val="24"/>
          <w:lang w:val="en-US" w:eastAsia="zh-CN"/>
        </w:rPr>
        <w:t>以</w:t>
      </w:r>
      <w:r>
        <w:rPr>
          <w:rFonts w:hint="default" w:ascii="Times New Roman" w:hAnsi="Times New Roman" w:cs="Times New Roman" w:eastAsiaTheme="minorEastAsia"/>
          <w:sz w:val="24"/>
          <w:lang w:val="en-US" w:eastAsia="zh-CN"/>
        </w:rPr>
        <w:t>项目厂区为中心，边长为5km的矩形区域。评价范围示意图见附图2.5-1。</w:t>
      </w:r>
    </w:p>
    <w:p w14:paraId="5F90E581">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92" w:name="_Toc12127"/>
      <w:bookmarkStart w:id="93" w:name="_Toc8468"/>
      <w:r>
        <w:rPr>
          <w:rFonts w:hint="default" w:ascii="Times New Roman" w:hAnsi="Times New Roman" w:cs="Times New Roman" w:eastAsiaTheme="minorEastAsia"/>
          <w:kern w:val="0"/>
          <w:sz w:val="24"/>
          <w:szCs w:val="24"/>
          <w:lang w:val="en-US" w:eastAsia="zh-CN"/>
        </w:rPr>
        <w:t>2.5.2地表水环境评价等级和评价范围</w:t>
      </w:r>
      <w:bookmarkEnd w:id="92"/>
      <w:bookmarkEnd w:id="93"/>
    </w:p>
    <w:p w14:paraId="7A51BD89">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bookmarkStart w:id="94" w:name="_Toc19388"/>
      <w:bookmarkStart w:id="95" w:name="_Toc22795"/>
      <w:bookmarkStart w:id="96" w:name="_Toc26201"/>
      <w:r>
        <w:rPr>
          <w:rFonts w:hint="default" w:ascii="Times New Roman" w:hAnsi="Times New Roman" w:cs="Times New Roman" w:eastAsiaTheme="minorEastAsia"/>
          <w:sz w:val="24"/>
          <w:lang w:val="en-US" w:eastAsia="zh-CN"/>
        </w:rPr>
        <w:t>（1）评价工作等级</w:t>
      </w:r>
      <w:bookmarkEnd w:id="94"/>
      <w:bookmarkEnd w:id="95"/>
      <w:bookmarkEnd w:id="96"/>
    </w:p>
    <w:p w14:paraId="7BEA3C99">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根据《环境影响评价技术导则 地表水环境》（HJ2.3-2018</w:t>
      </w:r>
      <w:r>
        <w:rPr>
          <w:rFonts w:hint="eastAsia" w:ascii="Times New Roman" w:hAnsi="Times New Roman" w:cs="Times New Roman"/>
          <w:sz w:val="24"/>
          <w:lang w:val="en-US" w:eastAsia="zh-CN"/>
        </w:rPr>
        <w:t>）</w:t>
      </w:r>
      <w:r>
        <w:rPr>
          <w:rFonts w:hint="default" w:ascii="Times New Roman" w:hAnsi="Times New Roman" w:cs="Times New Roman" w:eastAsiaTheme="minorEastAsia"/>
          <w:sz w:val="24"/>
          <w:lang w:val="en-US" w:eastAsia="zh-CN"/>
        </w:rPr>
        <w:t>规定</w:t>
      </w:r>
      <w:r>
        <w:rPr>
          <w:rFonts w:hint="eastAsia" w:ascii="Times New Roman" w:hAnsi="Times New Roman" w:cs="Times New Roman"/>
          <w:sz w:val="24"/>
          <w:lang w:val="en-US" w:eastAsia="zh-CN"/>
        </w:rPr>
        <w:t>，</w:t>
      </w:r>
      <w:r>
        <w:rPr>
          <w:rFonts w:hint="default" w:ascii="Times New Roman" w:hAnsi="Times New Roman" w:cs="Times New Roman" w:eastAsiaTheme="minorEastAsia"/>
          <w:sz w:val="24"/>
          <w:lang w:val="en-US" w:eastAsia="zh-CN"/>
        </w:rPr>
        <w:t>建设项目地表水环境影响评价工作等级的确定，按照建设项目的影响类型、排放方式、排放量或影响情况、受纳水体环境质量现状、水环境保护目标等综合确定，判定见下表。</w:t>
      </w:r>
    </w:p>
    <w:p w14:paraId="14C3CC8F">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表2.5-</w:t>
      </w:r>
      <w:r>
        <w:rPr>
          <w:rFonts w:hint="eastAsia" w:ascii="Times New Roman" w:hAnsi="Times New Roman" w:cs="Times New Roman"/>
          <w:b/>
          <w:szCs w:val="21"/>
          <w:lang w:val="en-US" w:eastAsia="zh-CN"/>
        </w:rPr>
        <w:t>5</w:t>
      </w:r>
      <w:r>
        <w:rPr>
          <w:rFonts w:hint="default" w:ascii="Times New Roman" w:hAnsi="Times New Roman" w:cs="Times New Roman" w:eastAsiaTheme="minorEastAsia"/>
          <w:b/>
          <w:szCs w:val="21"/>
          <w:lang w:val="en-US" w:eastAsia="zh-CN"/>
        </w:rPr>
        <w:t xml:space="preserve">  水污染影响评价工作等级划分</w:t>
      </w:r>
    </w:p>
    <w:tbl>
      <w:tblPr>
        <w:tblStyle w:val="12"/>
        <w:tblW w:w="5000" w:type="pct"/>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1770"/>
        <w:gridCol w:w="1359"/>
        <w:gridCol w:w="5187"/>
      </w:tblGrid>
      <w:tr w14:paraId="26344A2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848" w:type="dxa"/>
            <w:vMerge w:val="restart"/>
            <w:tcBorders>
              <w:tl2br w:val="nil"/>
              <w:tr2bl w:val="nil"/>
            </w:tcBorders>
            <w:noWrap w:val="0"/>
            <w:vAlign w:val="center"/>
          </w:tcPr>
          <w:p w14:paraId="2C11FF2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评价等级</w:t>
            </w:r>
          </w:p>
        </w:tc>
        <w:tc>
          <w:tcPr>
            <w:tcW w:w="6832" w:type="dxa"/>
            <w:gridSpan w:val="2"/>
            <w:tcBorders>
              <w:tl2br w:val="nil"/>
              <w:tr2bl w:val="nil"/>
            </w:tcBorders>
            <w:noWrap w:val="0"/>
            <w:vAlign w:val="center"/>
          </w:tcPr>
          <w:p w14:paraId="3896915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判定依据</w:t>
            </w:r>
          </w:p>
        </w:tc>
      </w:tr>
      <w:tr w14:paraId="27DF167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07" w:hRule="atLeast"/>
          <w:jc w:val="center"/>
        </w:trPr>
        <w:tc>
          <w:tcPr>
            <w:tcW w:w="1848" w:type="dxa"/>
            <w:vMerge w:val="continue"/>
            <w:tcBorders>
              <w:tl2br w:val="nil"/>
              <w:tr2bl w:val="nil"/>
            </w:tcBorders>
            <w:noWrap w:val="0"/>
            <w:vAlign w:val="center"/>
          </w:tcPr>
          <w:p w14:paraId="0D28C59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418" w:type="dxa"/>
            <w:tcBorders>
              <w:tl2br w:val="nil"/>
              <w:tr2bl w:val="nil"/>
            </w:tcBorders>
            <w:noWrap w:val="0"/>
            <w:vAlign w:val="center"/>
          </w:tcPr>
          <w:p w14:paraId="1A1AA8D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排放方式</w:t>
            </w:r>
          </w:p>
        </w:tc>
        <w:tc>
          <w:tcPr>
            <w:tcW w:w="5414" w:type="dxa"/>
            <w:tcBorders>
              <w:tl2br w:val="nil"/>
              <w:tr2bl w:val="nil"/>
            </w:tcBorders>
            <w:noWrap w:val="0"/>
            <w:vAlign w:val="center"/>
          </w:tcPr>
          <w:p w14:paraId="0E92AC9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废水排放量Q/（m</w:t>
            </w:r>
            <w:r>
              <w:rPr>
                <w:rFonts w:hint="default" w:ascii="Times New Roman" w:hAnsi="Times New Roman" w:cs="Times New Roman" w:eastAsiaTheme="minorEastAsia"/>
                <w:szCs w:val="21"/>
                <w:vertAlign w:val="superscript"/>
                <w:lang w:val="en-US" w:eastAsia="zh-CN"/>
              </w:rPr>
              <w:t>3</w:t>
            </w:r>
            <w:r>
              <w:rPr>
                <w:rFonts w:hint="default" w:ascii="Times New Roman" w:hAnsi="Times New Roman" w:cs="Times New Roman" w:eastAsiaTheme="minorEastAsia"/>
                <w:szCs w:val="21"/>
                <w:lang w:val="en-US" w:eastAsia="zh-CN"/>
              </w:rPr>
              <w:t>/d）；水污染物当量数W/（量纲一）</w:t>
            </w:r>
          </w:p>
        </w:tc>
      </w:tr>
      <w:tr w14:paraId="4B0F24B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848" w:type="dxa"/>
            <w:tcBorders>
              <w:tl2br w:val="nil"/>
              <w:tr2bl w:val="nil"/>
            </w:tcBorders>
            <w:noWrap w:val="0"/>
            <w:vAlign w:val="center"/>
          </w:tcPr>
          <w:p w14:paraId="3E9079A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一级</w:t>
            </w:r>
          </w:p>
        </w:tc>
        <w:tc>
          <w:tcPr>
            <w:tcW w:w="1418" w:type="dxa"/>
            <w:tcBorders>
              <w:tl2br w:val="nil"/>
              <w:tr2bl w:val="nil"/>
            </w:tcBorders>
            <w:noWrap w:val="0"/>
            <w:vAlign w:val="center"/>
          </w:tcPr>
          <w:p w14:paraId="01CD617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直接排放</w:t>
            </w:r>
          </w:p>
        </w:tc>
        <w:tc>
          <w:tcPr>
            <w:tcW w:w="5414" w:type="dxa"/>
            <w:tcBorders>
              <w:tl2br w:val="nil"/>
              <w:tr2bl w:val="nil"/>
            </w:tcBorders>
            <w:noWrap w:val="0"/>
            <w:vAlign w:val="center"/>
          </w:tcPr>
          <w:p w14:paraId="4DFF885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Q≥20000或W≥600000</w:t>
            </w:r>
          </w:p>
        </w:tc>
      </w:tr>
      <w:tr w14:paraId="6D168C5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848" w:type="dxa"/>
            <w:tcBorders>
              <w:tl2br w:val="nil"/>
              <w:tr2bl w:val="nil"/>
            </w:tcBorders>
            <w:noWrap w:val="0"/>
            <w:vAlign w:val="center"/>
          </w:tcPr>
          <w:p w14:paraId="74EB7F2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二级</w:t>
            </w:r>
          </w:p>
        </w:tc>
        <w:tc>
          <w:tcPr>
            <w:tcW w:w="1418" w:type="dxa"/>
            <w:tcBorders>
              <w:tl2br w:val="nil"/>
              <w:tr2bl w:val="nil"/>
            </w:tcBorders>
            <w:noWrap w:val="0"/>
            <w:vAlign w:val="center"/>
          </w:tcPr>
          <w:p w14:paraId="56AEC6F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直接排放</w:t>
            </w:r>
          </w:p>
        </w:tc>
        <w:tc>
          <w:tcPr>
            <w:tcW w:w="5414" w:type="dxa"/>
            <w:tcBorders>
              <w:tl2br w:val="nil"/>
              <w:tr2bl w:val="nil"/>
            </w:tcBorders>
            <w:noWrap w:val="0"/>
            <w:vAlign w:val="center"/>
          </w:tcPr>
          <w:p w14:paraId="018B2AA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其他</w:t>
            </w:r>
          </w:p>
        </w:tc>
      </w:tr>
      <w:tr w14:paraId="6346D4A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trHeight w:val="0" w:hRule="atLeast"/>
          <w:jc w:val="center"/>
        </w:trPr>
        <w:tc>
          <w:tcPr>
            <w:tcW w:w="1848" w:type="dxa"/>
            <w:tcBorders>
              <w:tl2br w:val="nil"/>
              <w:tr2bl w:val="nil"/>
            </w:tcBorders>
            <w:noWrap w:val="0"/>
            <w:vAlign w:val="center"/>
          </w:tcPr>
          <w:p w14:paraId="0AA059A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三级A</w:t>
            </w:r>
          </w:p>
        </w:tc>
        <w:tc>
          <w:tcPr>
            <w:tcW w:w="1418" w:type="dxa"/>
            <w:tcBorders>
              <w:tl2br w:val="nil"/>
              <w:tr2bl w:val="nil"/>
            </w:tcBorders>
            <w:noWrap w:val="0"/>
            <w:vAlign w:val="center"/>
          </w:tcPr>
          <w:p w14:paraId="30AA237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直接排放</w:t>
            </w:r>
          </w:p>
        </w:tc>
        <w:tc>
          <w:tcPr>
            <w:tcW w:w="5414" w:type="dxa"/>
            <w:tcBorders>
              <w:tl2br w:val="nil"/>
              <w:tr2bl w:val="nil"/>
            </w:tcBorders>
            <w:noWrap w:val="0"/>
            <w:vAlign w:val="center"/>
          </w:tcPr>
          <w:p w14:paraId="33FA911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Q＜200或W＜6000</w:t>
            </w:r>
          </w:p>
        </w:tc>
      </w:tr>
      <w:tr w14:paraId="222C835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trHeight w:val="0" w:hRule="atLeast"/>
          <w:jc w:val="center"/>
        </w:trPr>
        <w:tc>
          <w:tcPr>
            <w:tcW w:w="1848" w:type="dxa"/>
            <w:tcBorders>
              <w:tl2br w:val="nil"/>
              <w:tr2bl w:val="nil"/>
            </w:tcBorders>
            <w:shd w:val="clear" w:color="auto" w:fill="D7D7D7" w:themeFill="background1" w:themeFillShade="D8"/>
            <w:noWrap w:val="0"/>
            <w:vAlign w:val="center"/>
          </w:tcPr>
          <w:p w14:paraId="7C761555">
            <w:pPr>
              <w:spacing w:line="300" w:lineRule="exact"/>
              <w:jc w:val="center"/>
              <w:rPr>
                <w:rFonts w:hint="default" w:ascii="Times New Roman" w:hAnsi="Times New Roman" w:eastAsia="华文中宋" w:cs="Times New Roman"/>
                <w:szCs w:val="21"/>
                <w:lang w:val="en-US" w:eastAsia="zh-CN"/>
              </w:rPr>
            </w:pPr>
            <w:r>
              <w:rPr>
                <w:rFonts w:hint="default" w:ascii="Times New Roman" w:hAnsi="Times New Roman" w:eastAsia="华文中宋" w:cs="Times New Roman"/>
                <w:szCs w:val="21"/>
                <w:lang w:val="en-US" w:eastAsia="zh-CN"/>
              </w:rPr>
              <w:t>三级B</w:t>
            </w:r>
          </w:p>
        </w:tc>
        <w:tc>
          <w:tcPr>
            <w:tcW w:w="1418" w:type="dxa"/>
            <w:tcBorders>
              <w:tl2br w:val="nil"/>
              <w:tr2bl w:val="nil"/>
            </w:tcBorders>
            <w:shd w:val="clear" w:color="auto" w:fill="D7D7D7" w:themeFill="background1" w:themeFillShade="D8"/>
            <w:noWrap w:val="0"/>
            <w:vAlign w:val="center"/>
          </w:tcPr>
          <w:p w14:paraId="5FFD4736">
            <w:pPr>
              <w:spacing w:line="300" w:lineRule="exact"/>
              <w:jc w:val="center"/>
              <w:rPr>
                <w:rFonts w:hint="default" w:ascii="Times New Roman" w:hAnsi="Times New Roman" w:eastAsia="华文中宋" w:cs="Times New Roman"/>
                <w:szCs w:val="21"/>
                <w:lang w:val="en-US" w:eastAsia="zh-CN"/>
              </w:rPr>
            </w:pPr>
            <w:r>
              <w:rPr>
                <w:rFonts w:hint="default" w:ascii="Times New Roman" w:hAnsi="Times New Roman" w:eastAsia="华文中宋" w:cs="Times New Roman"/>
                <w:szCs w:val="21"/>
                <w:lang w:val="en-US" w:eastAsia="zh-CN"/>
              </w:rPr>
              <w:t>间接排放</w:t>
            </w:r>
          </w:p>
        </w:tc>
        <w:tc>
          <w:tcPr>
            <w:tcW w:w="5414" w:type="dxa"/>
            <w:tcBorders>
              <w:tl2br w:val="nil"/>
              <w:tr2bl w:val="nil"/>
            </w:tcBorders>
            <w:shd w:val="clear" w:color="auto" w:fill="D7D7D7" w:themeFill="background1" w:themeFillShade="D8"/>
            <w:noWrap w:val="0"/>
            <w:vAlign w:val="center"/>
          </w:tcPr>
          <w:p w14:paraId="7461C888">
            <w:pPr>
              <w:spacing w:line="300" w:lineRule="exact"/>
              <w:jc w:val="center"/>
              <w:rPr>
                <w:rFonts w:hint="default" w:ascii="Times New Roman" w:hAnsi="Times New Roman" w:eastAsia="华文中宋" w:cs="Times New Roman"/>
                <w:szCs w:val="21"/>
                <w:lang w:val="en-US" w:eastAsia="zh-CN"/>
              </w:rPr>
            </w:pPr>
            <w:r>
              <w:rPr>
                <w:rFonts w:hint="default" w:ascii="Times New Roman" w:hAnsi="Times New Roman" w:eastAsia="华文中宋" w:cs="Times New Roman"/>
                <w:szCs w:val="21"/>
                <w:lang w:val="en-US" w:eastAsia="zh-CN"/>
              </w:rPr>
              <w:t>-</w:t>
            </w:r>
          </w:p>
        </w:tc>
      </w:tr>
    </w:tbl>
    <w:p w14:paraId="13100A7F">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根据工程分析，本项目生产废水循环使用，不外排；</w:t>
      </w:r>
      <w:r>
        <w:rPr>
          <w:rFonts w:hint="eastAsia" w:ascii="Times New Roman" w:hAnsi="Times New Roman" w:cs="Times New Roman" w:eastAsiaTheme="minorEastAsia"/>
          <w:sz w:val="24"/>
          <w:lang w:val="en-US" w:eastAsia="zh-CN"/>
        </w:rPr>
        <w:t>不新增劳动定员，不涉及新增生活污水</w:t>
      </w:r>
      <w:r>
        <w:rPr>
          <w:rFonts w:hint="default" w:ascii="Times New Roman" w:hAnsi="Times New Roman" w:cs="Times New Roman" w:eastAsiaTheme="minorEastAsia"/>
          <w:sz w:val="24"/>
          <w:lang w:val="en-US" w:eastAsia="zh-CN"/>
        </w:rPr>
        <w:t>，不涉及地表水环境保护目标，因此，判定本项目地表水环境评价级别为三级B。</w:t>
      </w:r>
    </w:p>
    <w:p w14:paraId="509AB29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（2）评价范围</w:t>
      </w:r>
    </w:p>
    <w:p w14:paraId="025C7F21">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根据《环境影响评价技术导则 地表水环境》（HJ2.3-2018）中评价等级为三级B的评价范围要求</w:t>
      </w:r>
      <w:r>
        <w:rPr>
          <w:rFonts w:hint="eastAsia" w:ascii="Times New Roman" w:hAnsi="Times New Roman" w:cs="Times New Roman"/>
          <w:sz w:val="24"/>
          <w:lang w:val="en-US" w:eastAsia="zh-CN"/>
        </w:rPr>
        <w:t>：</w:t>
      </w:r>
      <w:r>
        <w:rPr>
          <w:rFonts w:hint="default" w:ascii="Times New Roman" w:hAnsi="Times New Roman" w:cs="Times New Roman" w:eastAsiaTheme="minorEastAsia"/>
          <w:sz w:val="24"/>
          <w:lang w:val="en-US" w:eastAsia="zh-CN"/>
        </w:rPr>
        <w:t>a）应满足其依托污水处理设施环境可行性分析的要求；b）涉及地表水环境风险的，应覆盖影响范围所及的水环境保护目标水域。本项目与地表水体无水力联系，因此不设置地表水评价范围，仅对环境影响进行简单分析。</w:t>
      </w:r>
    </w:p>
    <w:p w14:paraId="2F08C266">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97" w:name="_Toc14963"/>
      <w:bookmarkStart w:id="98" w:name="_Toc2931"/>
      <w:bookmarkStart w:id="99" w:name="_Toc21598"/>
      <w:bookmarkStart w:id="100" w:name="_Toc14054"/>
      <w:bookmarkStart w:id="101" w:name="_Toc19310"/>
      <w:r>
        <w:rPr>
          <w:rFonts w:hint="default" w:ascii="Times New Roman" w:hAnsi="Times New Roman" w:cs="Times New Roman" w:eastAsiaTheme="minorEastAsia"/>
          <w:kern w:val="0"/>
          <w:sz w:val="24"/>
          <w:szCs w:val="24"/>
          <w:lang w:val="en-US" w:eastAsia="zh-CN"/>
        </w:rPr>
        <w:t>2.5.3地下水环境评价等级和评价范围</w:t>
      </w:r>
      <w:bookmarkEnd w:id="97"/>
      <w:bookmarkEnd w:id="98"/>
      <w:bookmarkEnd w:id="99"/>
      <w:bookmarkEnd w:id="100"/>
      <w:bookmarkEnd w:id="101"/>
    </w:p>
    <w:p w14:paraId="0BF77C3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（1）评价工作等级</w:t>
      </w:r>
    </w:p>
    <w:p w14:paraId="11E57B12">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根据《环境影响评价技术导则 地下水环境》（</w:t>
      </w:r>
      <w:r>
        <w:rPr>
          <w:rFonts w:hint="default" w:ascii="Times New Roman" w:hAnsi="Times New Roman" w:cs="Times New Roman" w:eastAsiaTheme="minorEastAsia"/>
          <w:sz w:val="24"/>
          <w:lang w:val="en-US" w:eastAsia="zh-CN"/>
        </w:rPr>
        <w:t>HJ610-2016</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附表A（地下水环境影响评价行业分类表）</w:t>
      </w:r>
      <w:r>
        <w:rPr>
          <w:rFonts w:hint="eastAsia" w:ascii="Times New Roman" w:hAnsi="Times New Roman" w:cs="Times New Roman"/>
          <w:sz w:val="24"/>
          <w:lang w:val="en-US" w:eastAsia="zh-CN"/>
        </w:rPr>
        <w:t>，</w:t>
      </w:r>
      <w:r>
        <w:rPr>
          <w:rFonts w:hint="default" w:ascii="Times New Roman" w:hAnsi="Times New Roman" w:cs="Times New Roman" w:eastAsiaTheme="minorEastAsia"/>
          <w:sz w:val="24"/>
          <w:lang w:val="en-US" w:eastAsia="zh-CN"/>
        </w:rPr>
        <w:t>项目属于</w:t>
      </w:r>
      <w:r>
        <w:rPr>
          <w:rFonts w:hint="eastAsia" w:ascii="Times New Roman" w:hAnsi="Times New Roman" w:cs="Times New Roman" w:eastAsiaTheme="minorEastAsia"/>
          <w:sz w:val="24"/>
          <w:lang w:val="en-US" w:eastAsia="zh-CN"/>
        </w:rPr>
        <w:t>“U城镇基础设施及房地产151、危险废物（含医疗废物）集中处置及综合利用”，属于</w:t>
      </w:r>
      <w:r>
        <w:rPr>
          <w:rFonts w:hint="default" w:ascii="Times New Roman" w:hAnsi="Times New Roman" w:cs="Times New Roman" w:eastAsiaTheme="minorEastAsia"/>
          <w:sz w:val="24"/>
          <w:lang w:val="en-US" w:eastAsia="zh-CN"/>
        </w:rPr>
        <w:t>Ⅰ类项目，</w:t>
      </w:r>
      <w:r>
        <w:rPr>
          <w:rFonts w:hint="eastAsia" w:ascii="Times New Roman" w:hAnsi="Times New Roman" w:cs="Times New Roman" w:eastAsiaTheme="minorEastAsia"/>
          <w:sz w:val="24"/>
          <w:lang w:val="en-US" w:eastAsia="zh-CN"/>
        </w:rPr>
        <w:t>地下水敏感程度为不敏感，项目地下水等级判别依据见表</w:t>
      </w:r>
      <w:r>
        <w:rPr>
          <w:rFonts w:hint="default" w:ascii="Times New Roman" w:hAnsi="Times New Roman" w:cs="Times New Roman" w:eastAsiaTheme="minorEastAsia"/>
          <w:sz w:val="24"/>
          <w:lang w:val="en-US" w:eastAsia="zh-CN"/>
        </w:rPr>
        <w:t>2.</w:t>
      </w:r>
      <w:r>
        <w:rPr>
          <w:rFonts w:hint="eastAsia" w:ascii="Times New Roman" w:hAnsi="Times New Roman" w:cs="Times New Roman" w:eastAsiaTheme="minorEastAsia"/>
          <w:sz w:val="24"/>
          <w:lang w:val="en-US" w:eastAsia="zh-CN"/>
        </w:rPr>
        <w:t>5</w:t>
      </w:r>
      <w:r>
        <w:rPr>
          <w:rFonts w:hint="default" w:ascii="Times New Roman" w:hAnsi="Times New Roman" w:cs="Times New Roman" w:eastAsiaTheme="minorEastAsia"/>
          <w:sz w:val="24"/>
          <w:lang w:val="en-US" w:eastAsia="zh-CN"/>
        </w:rPr>
        <w:t>-</w:t>
      </w:r>
      <w:r>
        <w:rPr>
          <w:rFonts w:hint="eastAsia" w:ascii="Times New Roman" w:hAnsi="Times New Roman" w:cs="Times New Roman"/>
          <w:sz w:val="24"/>
          <w:lang w:val="en-US" w:eastAsia="zh-CN"/>
        </w:rPr>
        <w:t>6</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2.</w:t>
      </w:r>
      <w:r>
        <w:rPr>
          <w:rFonts w:hint="eastAsia" w:ascii="Times New Roman" w:hAnsi="Times New Roman" w:cs="Times New Roman" w:eastAsiaTheme="minorEastAsia"/>
          <w:sz w:val="24"/>
          <w:lang w:val="en-US" w:eastAsia="zh-CN"/>
        </w:rPr>
        <w:t>5</w:t>
      </w:r>
      <w:r>
        <w:rPr>
          <w:rFonts w:hint="default" w:ascii="Times New Roman" w:hAnsi="Times New Roman" w:cs="Times New Roman" w:eastAsiaTheme="minorEastAsia"/>
          <w:sz w:val="24"/>
          <w:lang w:val="en-US" w:eastAsia="zh-CN"/>
        </w:rPr>
        <w:t>-</w:t>
      </w:r>
      <w:r>
        <w:rPr>
          <w:rFonts w:hint="eastAsia" w:ascii="Times New Roman" w:hAnsi="Times New Roman" w:cs="Times New Roman"/>
          <w:sz w:val="24"/>
          <w:lang w:val="en-US" w:eastAsia="zh-CN"/>
        </w:rPr>
        <w:t>7</w:t>
      </w:r>
      <w:r>
        <w:rPr>
          <w:rFonts w:hint="eastAsia" w:ascii="Times New Roman" w:hAnsi="Times New Roman" w:cs="Times New Roman" w:eastAsiaTheme="minorEastAsia"/>
          <w:sz w:val="24"/>
          <w:lang w:val="en-US" w:eastAsia="zh-CN"/>
        </w:rPr>
        <w:t>。</w:t>
      </w:r>
    </w:p>
    <w:p w14:paraId="05E42D38">
      <w:pPr>
        <w:adjustRightInd w:val="0"/>
        <w:snapToGrid w:val="0"/>
        <w:spacing w:before="250" w:beforeLines="50"/>
        <w:jc w:val="center"/>
        <w:rPr>
          <w:rFonts w:hint="default" w:ascii="Times New Roman" w:hAnsi="Times New Roman" w:cs="Times New Roman" w:eastAsiaTheme="minorEastAsia"/>
          <w:b/>
          <w:szCs w:val="21"/>
          <w:lang w:val="zh-CN" w:eastAsia="zh-CN"/>
        </w:rPr>
      </w:pPr>
      <w:bookmarkStart w:id="102" w:name="_Ref499212909"/>
      <w:r>
        <w:rPr>
          <w:rFonts w:hint="default" w:ascii="Times New Roman" w:hAnsi="Times New Roman" w:cs="Times New Roman" w:eastAsiaTheme="minorEastAsia"/>
          <w:b/>
          <w:szCs w:val="21"/>
          <w:lang w:val="zh-CN" w:eastAsia="zh-CN"/>
        </w:rPr>
        <w:t>表</w:t>
      </w:r>
      <w:bookmarkEnd w:id="102"/>
      <w:r>
        <w:rPr>
          <w:rFonts w:hint="default" w:ascii="Times New Roman" w:hAnsi="Times New Roman" w:cs="Times New Roman" w:eastAsiaTheme="minorEastAsia"/>
          <w:b/>
          <w:szCs w:val="21"/>
          <w:lang w:val="en-US" w:eastAsia="zh-CN"/>
        </w:rPr>
        <w:t>2.5</w:t>
      </w:r>
      <w:r>
        <w:rPr>
          <w:rFonts w:hint="default" w:ascii="Times New Roman" w:hAnsi="Times New Roman" w:cs="Times New Roman" w:eastAsiaTheme="minorEastAsia"/>
          <w:b/>
          <w:szCs w:val="21"/>
          <w:lang w:val="zh-CN" w:eastAsia="zh-CN"/>
        </w:rPr>
        <w:t>-</w:t>
      </w:r>
      <w:r>
        <w:rPr>
          <w:rFonts w:hint="eastAsia" w:ascii="Times New Roman" w:hAnsi="Times New Roman" w:cs="Times New Roman"/>
          <w:b/>
          <w:szCs w:val="21"/>
          <w:lang w:val="en-US" w:eastAsia="zh-CN"/>
        </w:rPr>
        <w:t>6</w:t>
      </w:r>
      <w:r>
        <w:rPr>
          <w:rFonts w:hint="default" w:ascii="Times New Roman" w:hAnsi="Times New Roman" w:cs="Times New Roman" w:eastAsiaTheme="minorEastAsia"/>
          <w:b/>
          <w:szCs w:val="21"/>
          <w:lang w:val="en-US" w:eastAsia="zh-CN"/>
        </w:rPr>
        <w:t xml:space="preserve">  </w:t>
      </w:r>
      <w:r>
        <w:rPr>
          <w:rFonts w:hint="default" w:ascii="Times New Roman" w:hAnsi="Times New Roman" w:cs="Times New Roman" w:eastAsiaTheme="minorEastAsia"/>
          <w:b/>
          <w:szCs w:val="21"/>
          <w:lang w:val="zh-CN" w:eastAsia="zh-CN"/>
        </w:rPr>
        <w:t>地下水环境影响敏感程度分级表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7551"/>
      </w:tblGrid>
      <w:tr w14:paraId="6C465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jc w:val="center"/>
        </w:trPr>
        <w:tc>
          <w:tcPr>
            <w:tcW w:w="1128" w:type="dxa"/>
            <w:tcBorders>
              <w:tl2br w:val="nil"/>
              <w:tr2bl w:val="nil"/>
            </w:tcBorders>
            <w:noWrap w:val="0"/>
            <w:vAlign w:val="center"/>
          </w:tcPr>
          <w:p w14:paraId="6FFECB2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敏感程度</w:t>
            </w:r>
          </w:p>
        </w:tc>
        <w:tc>
          <w:tcPr>
            <w:tcW w:w="7551" w:type="dxa"/>
            <w:tcBorders>
              <w:tl2br w:val="nil"/>
              <w:tr2bl w:val="nil"/>
            </w:tcBorders>
            <w:noWrap w:val="0"/>
            <w:vAlign w:val="center"/>
          </w:tcPr>
          <w:p w14:paraId="71A8BA2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地下水敏感程度特征</w:t>
            </w:r>
          </w:p>
        </w:tc>
      </w:tr>
      <w:tr w14:paraId="115CB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1128" w:type="dxa"/>
            <w:tcBorders>
              <w:tl2br w:val="nil"/>
              <w:tr2bl w:val="nil"/>
            </w:tcBorders>
            <w:noWrap w:val="0"/>
            <w:vAlign w:val="center"/>
          </w:tcPr>
          <w:p w14:paraId="0C5B835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敏感</w:t>
            </w:r>
          </w:p>
        </w:tc>
        <w:tc>
          <w:tcPr>
            <w:tcW w:w="7551" w:type="dxa"/>
            <w:tcBorders>
              <w:tl2br w:val="nil"/>
              <w:tr2bl w:val="nil"/>
            </w:tcBorders>
            <w:noWrap w:val="0"/>
            <w:vAlign w:val="center"/>
          </w:tcPr>
          <w:p w14:paraId="4ED7E55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集中式饮用水水源（包括已建成的在用、备用、应急水源，在建和规划的饮用水水源）准保护区；除集中式饮用水水源以外的国家或地方政府设定的与地下水环境相关的其他保护区，如热水、矿泉水、温泉等特殊地下水水资源保护区。</w:t>
            </w:r>
          </w:p>
        </w:tc>
      </w:tr>
      <w:tr w14:paraId="158F2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1128" w:type="dxa"/>
            <w:tcBorders>
              <w:tl2br w:val="nil"/>
              <w:tr2bl w:val="nil"/>
            </w:tcBorders>
            <w:noWrap w:val="0"/>
            <w:vAlign w:val="center"/>
          </w:tcPr>
          <w:p w14:paraId="7920F33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较敏感</w:t>
            </w:r>
          </w:p>
        </w:tc>
        <w:tc>
          <w:tcPr>
            <w:tcW w:w="7551" w:type="dxa"/>
            <w:tcBorders>
              <w:tl2br w:val="nil"/>
              <w:tr2bl w:val="nil"/>
            </w:tcBorders>
            <w:noWrap w:val="0"/>
            <w:vAlign w:val="center"/>
          </w:tcPr>
          <w:p w14:paraId="238B7B3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集中式饮用水水源（包括已建成的在用、备用、应急水源，在建和规划的饮用水水源）准保护区以外的补给径流区；未划定准保护区的集中式饮用水水源，其保护区以外的补给径流区；分布式饮用水水源地；特殊地下水资源（如矿泉水、温泉等）保护区以外分布区等其他未列入上述敏感分级的环境敏感区。</w:t>
            </w:r>
          </w:p>
        </w:tc>
      </w:tr>
      <w:tr w14:paraId="73412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128" w:type="dxa"/>
            <w:tcBorders>
              <w:tl2br w:val="nil"/>
              <w:tr2bl w:val="nil"/>
            </w:tcBorders>
            <w:noWrap w:val="0"/>
            <w:vAlign w:val="center"/>
          </w:tcPr>
          <w:p w14:paraId="2BAE8EB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不敏感</w:t>
            </w:r>
          </w:p>
        </w:tc>
        <w:tc>
          <w:tcPr>
            <w:tcW w:w="7551" w:type="dxa"/>
            <w:tcBorders>
              <w:tl2br w:val="nil"/>
              <w:tr2bl w:val="nil"/>
            </w:tcBorders>
            <w:noWrap w:val="0"/>
            <w:vAlign w:val="center"/>
          </w:tcPr>
          <w:p w14:paraId="3E67BD8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上述地区之外的其他地区。</w:t>
            </w:r>
          </w:p>
        </w:tc>
      </w:tr>
    </w:tbl>
    <w:p w14:paraId="48A83521">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注：</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环境敏感区</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是指《建设项目环境影响评价分类管理名录》中所界定的涉及地下水的环境敏感区。</w:t>
      </w:r>
    </w:p>
    <w:p w14:paraId="1D4C1EF5">
      <w:pPr>
        <w:adjustRightInd w:val="0"/>
        <w:snapToGrid w:val="0"/>
        <w:spacing w:before="250" w:beforeLines="50"/>
        <w:jc w:val="center"/>
        <w:rPr>
          <w:rFonts w:hint="default" w:ascii="Times New Roman" w:hAnsi="Times New Roman" w:cs="Times New Roman" w:eastAsiaTheme="minorEastAsia"/>
          <w:b/>
          <w:szCs w:val="21"/>
          <w:lang w:val="zh-CN" w:eastAsia="zh-CN"/>
        </w:rPr>
      </w:pPr>
      <w:r>
        <w:rPr>
          <w:rFonts w:hint="default" w:ascii="Times New Roman" w:hAnsi="Times New Roman" w:cs="Times New Roman" w:eastAsiaTheme="minorEastAsia"/>
          <w:b/>
          <w:szCs w:val="21"/>
          <w:lang w:val="zh-CN" w:eastAsia="zh-CN"/>
        </w:rPr>
        <w:t>表</w:t>
      </w:r>
      <w:r>
        <w:rPr>
          <w:rFonts w:hint="default" w:ascii="Times New Roman" w:hAnsi="Times New Roman" w:cs="Times New Roman" w:eastAsiaTheme="minorEastAsia"/>
          <w:b/>
          <w:szCs w:val="21"/>
          <w:lang w:val="en-US" w:eastAsia="zh-CN"/>
        </w:rPr>
        <w:t>2.5-</w:t>
      </w:r>
      <w:r>
        <w:rPr>
          <w:rFonts w:hint="eastAsia" w:ascii="Times New Roman" w:hAnsi="Times New Roman" w:cs="Times New Roman"/>
          <w:b/>
          <w:szCs w:val="21"/>
          <w:lang w:val="en-US" w:eastAsia="zh-CN"/>
        </w:rPr>
        <w:t>7</w:t>
      </w:r>
      <w:r>
        <w:rPr>
          <w:rFonts w:hint="default" w:ascii="Times New Roman" w:hAnsi="Times New Roman" w:cs="Times New Roman" w:eastAsiaTheme="minorEastAsia"/>
          <w:b/>
          <w:szCs w:val="21"/>
          <w:lang w:val="en-US" w:eastAsia="zh-CN"/>
        </w:rPr>
        <w:t xml:space="preserve">  </w:t>
      </w:r>
      <w:r>
        <w:rPr>
          <w:rFonts w:hint="default" w:ascii="Times New Roman" w:hAnsi="Times New Roman" w:cs="Times New Roman" w:eastAsiaTheme="minorEastAsia"/>
          <w:b/>
          <w:szCs w:val="21"/>
          <w:lang w:val="zh-CN" w:eastAsia="zh-CN"/>
        </w:rPr>
        <w:t>地下水评价工作等级分级表</w:t>
      </w:r>
    </w:p>
    <w:tbl>
      <w:tblPr>
        <w:tblStyle w:val="12"/>
        <w:tblW w:w="8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375"/>
        <w:gridCol w:w="1726"/>
        <w:gridCol w:w="2285"/>
        <w:gridCol w:w="2130"/>
      </w:tblGrid>
      <w:tr w14:paraId="5427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75" w:type="dxa"/>
            <w:tcBorders>
              <w:tl2br w:val="single" w:color="000000" w:sz="12" w:space="0"/>
            </w:tcBorders>
            <w:shd w:val="clear" w:color="auto" w:fill="auto"/>
            <w:noWrap w:val="0"/>
            <w:vAlign w:val="center"/>
          </w:tcPr>
          <w:p w14:paraId="16CA8F9B">
            <w:pPr>
              <w:autoSpaceDE w:val="0"/>
              <w:autoSpaceDN w:val="0"/>
              <w:spacing w:line="300" w:lineRule="exact"/>
              <w:jc w:val="center"/>
              <w:rPr>
                <w:rFonts w:hint="default" w:ascii="Times New Roman" w:hAnsi="Times New Roman" w:cs="Times New Roman" w:eastAsiaTheme="minorEastAsia"/>
                <w:szCs w:val="21"/>
                <w:lang w:val="en-US" w:eastAsia="zh-CN"/>
              </w:rPr>
            </w:pPr>
            <w:bookmarkStart w:id="103" w:name="_Ref502154713"/>
            <w:r>
              <w:rPr>
                <w:rFonts w:hint="eastAsia" w:ascii="Times New Roman" w:hAnsi="Times New Roman" w:cs="Times New Roman"/>
                <w:szCs w:val="21"/>
                <w:lang w:val="en-US" w:eastAsia="zh-CN"/>
              </w:rPr>
              <w:t xml:space="preserve">           </w:t>
            </w:r>
            <w:r>
              <w:rPr>
                <w:rFonts w:hint="default" w:ascii="Times New Roman" w:hAnsi="Times New Roman" w:cs="Times New Roman" w:eastAsiaTheme="minorEastAsia"/>
                <w:szCs w:val="21"/>
                <w:lang w:val="en-US" w:eastAsia="zh-CN"/>
              </w:rPr>
              <w:t>项目类别</w:t>
            </w:r>
          </w:p>
          <w:p w14:paraId="601880D0">
            <w:pPr>
              <w:autoSpaceDE w:val="0"/>
              <w:autoSpaceDN w:val="0"/>
              <w:spacing w:line="300" w:lineRule="exact"/>
              <w:jc w:val="both"/>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环境敏感程度</w:t>
            </w:r>
          </w:p>
        </w:tc>
        <w:tc>
          <w:tcPr>
            <w:tcW w:w="1726" w:type="dxa"/>
            <w:tcBorders>
              <w:tl2br w:val="nil"/>
              <w:tr2bl w:val="nil"/>
            </w:tcBorders>
            <w:shd w:val="clear" w:color="auto" w:fill="auto"/>
            <w:noWrap w:val="0"/>
            <w:vAlign w:val="center"/>
          </w:tcPr>
          <w:p w14:paraId="53FF2EB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Ⅰ类项目</w:t>
            </w:r>
          </w:p>
        </w:tc>
        <w:tc>
          <w:tcPr>
            <w:tcW w:w="2285" w:type="dxa"/>
            <w:tcBorders>
              <w:tl2br w:val="nil"/>
              <w:tr2bl w:val="nil"/>
            </w:tcBorders>
            <w:shd w:val="clear" w:color="auto" w:fill="auto"/>
            <w:noWrap w:val="0"/>
            <w:vAlign w:val="center"/>
          </w:tcPr>
          <w:p w14:paraId="79EE3C4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Ⅱ类项目</w:t>
            </w:r>
          </w:p>
        </w:tc>
        <w:tc>
          <w:tcPr>
            <w:tcW w:w="2130" w:type="dxa"/>
            <w:tcBorders>
              <w:tl2br w:val="nil"/>
              <w:tr2bl w:val="nil"/>
            </w:tcBorders>
            <w:shd w:val="clear" w:color="auto" w:fill="auto"/>
            <w:noWrap w:val="0"/>
            <w:vAlign w:val="center"/>
          </w:tcPr>
          <w:p w14:paraId="68DAA62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Ⅲ类项目</w:t>
            </w:r>
          </w:p>
        </w:tc>
      </w:tr>
      <w:tr w14:paraId="79888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375" w:type="dxa"/>
            <w:tcBorders>
              <w:tl2br w:val="nil"/>
              <w:tr2bl w:val="nil"/>
            </w:tcBorders>
            <w:shd w:val="clear" w:color="auto" w:fill="auto"/>
            <w:noWrap w:val="0"/>
            <w:vAlign w:val="center"/>
          </w:tcPr>
          <w:p w14:paraId="35FE997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敏感</w:t>
            </w:r>
          </w:p>
        </w:tc>
        <w:tc>
          <w:tcPr>
            <w:tcW w:w="1726" w:type="dxa"/>
            <w:tcBorders>
              <w:tl2br w:val="nil"/>
              <w:tr2bl w:val="nil"/>
            </w:tcBorders>
            <w:shd w:val="clear" w:color="auto" w:fill="auto"/>
            <w:noWrap w:val="0"/>
            <w:vAlign w:val="center"/>
          </w:tcPr>
          <w:p w14:paraId="15C255D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一</w:t>
            </w:r>
          </w:p>
        </w:tc>
        <w:tc>
          <w:tcPr>
            <w:tcW w:w="2285" w:type="dxa"/>
            <w:tcBorders>
              <w:tl2br w:val="nil"/>
              <w:tr2bl w:val="nil"/>
            </w:tcBorders>
            <w:shd w:val="clear" w:color="auto" w:fill="auto"/>
            <w:noWrap w:val="0"/>
            <w:vAlign w:val="center"/>
          </w:tcPr>
          <w:p w14:paraId="56F4B48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一</w:t>
            </w:r>
          </w:p>
        </w:tc>
        <w:tc>
          <w:tcPr>
            <w:tcW w:w="2130" w:type="dxa"/>
            <w:tcBorders>
              <w:tl2br w:val="nil"/>
              <w:tr2bl w:val="nil"/>
            </w:tcBorders>
            <w:shd w:val="clear" w:color="auto" w:fill="auto"/>
            <w:noWrap w:val="0"/>
            <w:vAlign w:val="center"/>
          </w:tcPr>
          <w:p w14:paraId="7C0C577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二</w:t>
            </w:r>
          </w:p>
        </w:tc>
      </w:tr>
      <w:tr w14:paraId="0FBB1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2375" w:type="dxa"/>
            <w:tcBorders>
              <w:tl2br w:val="nil"/>
              <w:tr2bl w:val="nil"/>
            </w:tcBorders>
            <w:shd w:val="clear" w:color="auto" w:fill="auto"/>
            <w:noWrap w:val="0"/>
            <w:vAlign w:val="center"/>
          </w:tcPr>
          <w:p w14:paraId="18E8166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较敏感</w:t>
            </w:r>
          </w:p>
        </w:tc>
        <w:tc>
          <w:tcPr>
            <w:tcW w:w="1726" w:type="dxa"/>
            <w:tcBorders>
              <w:tl2br w:val="nil"/>
              <w:tr2bl w:val="nil"/>
            </w:tcBorders>
            <w:shd w:val="clear" w:color="auto" w:fill="auto"/>
            <w:noWrap w:val="0"/>
            <w:vAlign w:val="center"/>
          </w:tcPr>
          <w:p w14:paraId="19F2E9A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一</w:t>
            </w:r>
          </w:p>
        </w:tc>
        <w:tc>
          <w:tcPr>
            <w:tcW w:w="2285" w:type="dxa"/>
            <w:tcBorders>
              <w:tl2br w:val="nil"/>
              <w:tr2bl w:val="nil"/>
            </w:tcBorders>
            <w:shd w:val="clear" w:color="auto" w:fill="auto"/>
            <w:noWrap w:val="0"/>
            <w:vAlign w:val="center"/>
          </w:tcPr>
          <w:p w14:paraId="32F74B1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二</w:t>
            </w:r>
          </w:p>
        </w:tc>
        <w:tc>
          <w:tcPr>
            <w:tcW w:w="2130" w:type="dxa"/>
            <w:tcBorders>
              <w:tl2br w:val="nil"/>
              <w:tr2bl w:val="nil"/>
            </w:tcBorders>
            <w:shd w:val="clear" w:color="auto" w:fill="auto"/>
            <w:noWrap w:val="0"/>
            <w:vAlign w:val="center"/>
          </w:tcPr>
          <w:p w14:paraId="382AE3E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三</w:t>
            </w:r>
          </w:p>
        </w:tc>
      </w:tr>
      <w:tr w14:paraId="12C6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75" w:type="dxa"/>
            <w:tcBorders>
              <w:tl2br w:val="nil"/>
              <w:tr2bl w:val="nil"/>
            </w:tcBorders>
            <w:shd w:val="clear" w:color="auto" w:fill="auto"/>
            <w:noWrap w:val="0"/>
            <w:vAlign w:val="center"/>
          </w:tcPr>
          <w:p w14:paraId="00405BC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不敏感</w:t>
            </w:r>
          </w:p>
        </w:tc>
        <w:tc>
          <w:tcPr>
            <w:tcW w:w="1726" w:type="dxa"/>
            <w:tcBorders>
              <w:tl2br w:val="nil"/>
              <w:tr2bl w:val="nil"/>
            </w:tcBorders>
            <w:shd w:val="clear" w:color="auto" w:fill="AEAAAA" w:themeFill="background2" w:themeFillShade="BF"/>
            <w:noWrap w:val="0"/>
            <w:vAlign w:val="center"/>
          </w:tcPr>
          <w:p w14:paraId="0F7DDCD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二</w:t>
            </w:r>
          </w:p>
        </w:tc>
        <w:tc>
          <w:tcPr>
            <w:tcW w:w="2285" w:type="dxa"/>
            <w:tcBorders>
              <w:tl2br w:val="nil"/>
              <w:tr2bl w:val="nil"/>
            </w:tcBorders>
            <w:shd w:val="clear" w:color="auto" w:fill="auto"/>
            <w:noWrap w:val="0"/>
            <w:vAlign w:val="center"/>
          </w:tcPr>
          <w:p w14:paraId="0F63468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三</w:t>
            </w:r>
          </w:p>
        </w:tc>
        <w:tc>
          <w:tcPr>
            <w:tcW w:w="2130" w:type="dxa"/>
            <w:tcBorders>
              <w:tl2br w:val="nil"/>
              <w:tr2bl w:val="nil"/>
            </w:tcBorders>
            <w:shd w:val="clear" w:color="auto" w:fill="auto"/>
            <w:noWrap w:val="0"/>
            <w:vAlign w:val="center"/>
          </w:tcPr>
          <w:p w14:paraId="5ABCD2F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三</w:t>
            </w:r>
          </w:p>
        </w:tc>
      </w:tr>
      <w:bookmarkEnd w:id="103"/>
    </w:tbl>
    <w:p w14:paraId="714CE22A">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根据以上内容，可判定本项目地下水环境影响评价等级为二级。</w:t>
      </w:r>
    </w:p>
    <w:p w14:paraId="027F5F8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（2）评价范围</w:t>
      </w:r>
    </w:p>
    <w:p w14:paraId="3524C1AB">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水环境－地下水：</w:t>
      </w:r>
      <w:r>
        <w:rPr>
          <w:rFonts w:hint="eastAsia" w:ascii="Times New Roman" w:hAnsi="Times New Roman" w:cs="Times New Roman" w:eastAsiaTheme="minorEastAsia"/>
          <w:sz w:val="24"/>
          <w:lang w:val="en-US" w:eastAsia="zh-CN"/>
        </w:rPr>
        <w:t>本项目地下水评价等级为二级，所在区域地下水流向自西南向东北，</w:t>
      </w:r>
      <w:r>
        <w:rPr>
          <w:rFonts w:hint="default" w:ascii="Times New Roman" w:hAnsi="Times New Roman" w:cs="Times New Roman" w:eastAsiaTheme="minorEastAsia"/>
          <w:sz w:val="24"/>
          <w:lang w:val="en-US" w:eastAsia="zh-CN"/>
        </w:rPr>
        <w:t>根据HJ610-2016</w:t>
      </w:r>
      <w:r>
        <w:rPr>
          <w:rFonts w:hint="eastAsia" w:ascii="Times New Roman" w:hAnsi="Times New Roman" w:cs="Times New Roman" w:eastAsiaTheme="minorEastAsia"/>
          <w:sz w:val="24"/>
          <w:lang w:val="en-US" w:eastAsia="zh-CN"/>
        </w:rPr>
        <w:t>中8.2.2调查评价范围确定</w:t>
      </w:r>
      <w:r>
        <w:rPr>
          <w:rFonts w:hint="eastAsia" w:ascii="Times New Roman" w:hAnsi="Times New Roman" w:cs="Times New Roman"/>
          <w:sz w:val="24"/>
          <w:lang w:val="en-US" w:eastAsia="zh-CN"/>
        </w:rPr>
        <w:t>：</w:t>
      </w:r>
      <w:r>
        <w:rPr>
          <w:rFonts w:hint="eastAsia" w:ascii="Times New Roman" w:hAnsi="Times New Roman" w:cs="Times New Roman" w:eastAsiaTheme="minorEastAsia"/>
          <w:sz w:val="24"/>
          <w:lang w:val="en-US" w:eastAsia="zh-CN"/>
        </w:rPr>
        <w:t>“a）公式法”，L取值为3.9km，因此项目地下水</w:t>
      </w:r>
      <w:r>
        <w:rPr>
          <w:rFonts w:hint="default" w:ascii="Times New Roman" w:hAnsi="Times New Roman" w:cs="Times New Roman" w:eastAsiaTheme="minorEastAsia"/>
          <w:sz w:val="24"/>
          <w:lang w:val="en-US" w:eastAsia="zh-CN"/>
        </w:rPr>
        <w:t>评价范围为</w:t>
      </w:r>
      <w:r>
        <w:rPr>
          <w:rFonts w:hint="eastAsia" w:ascii="Times New Roman" w:hAnsi="Times New Roman" w:cs="Times New Roman" w:eastAsiaTheme="minorEastAsia"/>
          <w:sz w:val="24"/>
          <w:lang w:val="en-US" w:eastAsia="zh-CN"/>
        </w:rPr>
        <w:t>厂区下游3.9</w:t>
      </w:r>
      <w:r>
        <w:rPr>
          <w:rFonts w:hint="default" w:ascii="Times New Roman" w:hAnsi="Times New Roman" w:cs="Times New Roman" w:eastAsiaTheme="minorEastAsia"/>
          <w:sz w:val="24"/>
          <w:lang w:val="en-US" w:eastAsia="zh-CN"/>
        </w:rPr>
        <w:t>km，</w:t>
      </w:r>
      <w:r>
        <w:rPr>
          <w:rFonts w:hint="eastAsia" w:ascii="Times New Roman" w:hAnsi="Times New Roman" w:cs="Times New Roman" w:eastAsiaTheme="minorEastAsia"/>
          <w:sz w:val="24"/>
          <w:lang w:val="en-US" w:eastAsia="zh-CN"/>
        </w:rPr>
        <w:t>上游1.95km及</w:t>
      </w:r>
      <w:r>
        <w:rPr>
          <w:rFonts w:hint="default" w:ascii="Times New Roman" w:hAnsi="Times New Roman" w:cs="Times New Roman" w:eastAsiaTheme="minorEastAsia"/>
          <w:sz w:val="24"/>
          <w:lang w:val="en-US" w:eastAsia="zh-CN"/>
        </w:rPr>
        <w:t>两侧</w:t>
      </w:r>
      <w:r>
        <w:rPr>
          <w:rFonts w:hint="eastAsia" w:ascii="Times New Roman" w:hAnsi="Times New Roman" w:cs="Times New Roman" w:eastAsiaTheme="minorEastAsia"/>
          <w:sz w:val="24"/>
          <w:lang w:val="en-US" w:eastAsia="zh-CN"/>
        </w:rPr>
        <w:t>1.95</w:t>
      </w:r>
      <w:r>
        <w:rPr>
          <w:rFonts w:hint="default" w:ascii="Times New Roman" w:hAnsi="Times New Roman" w:cs="Times New Roman" w:eastAsiaTheme="minorEastAsia"/>
          <w:sz w:val="24"/>
          <w:lang w:val="en-US" w:eastAsia="zh-CN"/>
        </w:rPr>
        <w:t>km</w:t>
      </w:r>
      <w:r>
        <w:rPr>
          <w:rFonts w:hint="eastAsia" w:ascii="Times New Roman" w:hAnsi="Times New Roman" w:cs="Times New Roman" w:eastAsiaTheme="minorEastAsia"/>
          <w:sz w:val="24"/>
          <w:lang w:val="en-US" w:eastAsia="zh-CN"/>
        </w:rPr>
        <w:t>的矩形区域</w:t>
      </w:r>
      <w:r>
        <w:rPr>
          <w:rFonts w:hint="default" w:ascii="Times New Roman" w:hAnsi="Times New Roman" w:cs="Times New Roman" w:eastAsiaTheme="minorEastAsia"/>
          <w:sz w:val="24"/>
          <w:lang w:val="en-US" w:eastAsia="zh-CN"/>
        </w:rPr>
        <w:t>。</w:t>
      </w:r>
    </w:p>
    <w:p w14:paraId="5EFBD302">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104" w:name="_Toc22461"/>
      <w:bookmarkStart w:id="105" w:name="_Toc14653"/>
      <w:r>
        <w:rPr>
          <w:rFonts w:hint="default" w:ascii="Times New Roman" w:hAnsi="Times New Roman" w:cs="Times New Roman" w:eastAsiaTheme="minorEastAsia"/>
          <w:kern w:val="0"/>
          <w:sz w:val="24"/>
          <w:szCs w:val="24"/>
          <w:lang w:val="en-US" w:eastAsia="zh-CN"/>
        </w:rPr>
        <w:t>2.5.4声环境</w:t>
      </w:r>
      <w:bookmarkEnd w:id="104"/>
      <w:bookmarkEnd w:id="105"/>
    </w:p>
    <w:p w14:paraId="79A93023">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（1）评价等级的确定</w:t>
      </w:r>
    </w:p>
    <w:p w14:paraId="73E6AF71">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根据《环境影响评价技术导则</w:t>
      </w:r>
      <w:r>
        <w:rPr>
          <w:rFonts w:hint="eastAsia" w:ascii="Times New Roman" w:hAnsi="Times New Roman" w:cs="Times New Roman"/>
          <w:sz w:val="24"/>
          <w:lang w:val="en-US" w:eastAsia="zh-CN"/>
        </w:rPr>
        <w:t xml:space="preserve"> </w:t>
      </w:r>
      <w:r>
        <w:rPr>
          <w:rFonts w:hint="eastAsia" w:ascii="Times New Roman" w:hAnsi="Times New Roman" w:cs="Times New Roman" w:eastAsiaTheme="minorEastAsia"/>
          <w:sz w:val="24"/>
          <w:lang w:val="en-US" w:eastAsia="zh-CN"/>
        </w:rPr>
        <w:t>声环境》（</w:t>
      </w:r>
      <w:r>
        <w:rPr>
          <w:rFonts w:hint="default" w:ascii="Times New Roman" w:hAnsi="Times New Roman" w:cs="Times New Roman" w:eastAsiaTheme="minorEastAsia"/>
          <w:sz w:val="24"/>
          <w:lang w:val="en-US" w:eastAsia="zh-CN"/>
        </w:rPr>
        <w:t>HJ2.4-2021</w:t>
      </w:r>
      <w:r>
        <w:rPr>
          <w:rFonts w:hint="eastAsia" w:ascii="Times New Roman" w:hAnsi="Times New Roman" w:cs="Times New Roman" w:eastAsiaTheme="minorEastAsia"/>
          <w:sz w:val="24"/>
          <w:lang w:val="en-US" w:eastAsia="zh-CN"/>
        </w:rPr>
        <w:t>）的判别标准，本项目所在区域属于《声环境质量标准》（</w:t>
      </w:r>
      <w:r>
        <w:rPr>
          <w:rFonts w:hint="default" w:ascii="Times New Roman" w:hAnsi="Times New Roman" w:cs="Times New Roman" w:eastAsiaTheme="minorEastAsia"/>
          <w:sz w:val="24"/>
          <w:lang w:val="en-US" w:eastAsia="zh-CN"/>
        </w:rPr>
        <w:t>GB3096-2008</w:t>
      </w:r>
      <w:r>
        <w:rPr>
          <w:rFonts w:hint="eastAsia" w:ascii="Times New Roman" w:hAnsi="Times New Roman" w:cs="Times New Roman" w:eastAsiaTheme="minorEastAsia"/>
          <w:sz w:val="24"/>
          <w:lang w:val="en-US" w:eastAsia="zh-CN"/>
        </w:rPr>
        <w:t>）中的</w:t>
      </w:r>
      <w:r>
        <w:rPr>
          <w:rFonts w:hint="default" w:ascii="Times New Roman" w:hAnsi="Times New Roman" w:cs="Times New Roman" w:eastAsiaTheme="minorEastAsia"/>
          <w:sz w:val="24"/>
          <w:lang w:val="en-US" w:eastAsia="zh-CN"/>
        </w:rPr>
        <w:t>3</w:t>
      </w:r>
      <w:r>
        <w:rPr>
          <w:rFonts w:hint="eastAsia" w:ascii="Times New Roman" w:hAnsi="Times New Roman" w:cs="Times New Roman" w:eastAsiaTheme="minorEastAsia"/>
          <w:sz w:val="24"/>
          <w:lang w:val="en-US" w:eastAsia="zh-CN"/>
        </w:rPr>
        <w:t>类区，通过对该项目自身污染源的分析，其建设前后对评价范围内环境敏感目标噪声级增加量为</w:t>
      </w:r>
      <w:r>
        <w:rPr>
          <w:rFonts w:hint="default" w:ascii="Times New Roman" w:hAnsi="Times New Roman" w:cs="Times New Roman" w:eastAsiaTheme="minorEastAsia"/>
          <w:sz w:val="24"/>
          <w:lang w:val="en-US" w:eastAsia="zh-CN"/>
        </w:rPr>
        <w:t>3dB</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A</w:t>
      </w:r>
      <w:r>
        <w:rPr>
          <w:rFonts w:hint="eastAsia" w:ascii="Times New Roman" w:hAnsi="Times New Roman" w:cs="Times New Roman" w:eastAsiaTheme="minorEastAsia"/>
          <w:sz w:val="24"/>
          <w:lang w:val="en-US" w:eastAsia="zh-CN"/>
        </w:rPr>
        <w:t>）以下，受影响的人口数量变化不大。对照《环境影响评价技术导则</w:t>
      </w:r>
      <w:r>
        <w:rPr>
          <w:rFonts w:hint="eastAsia" w:ascii="Times New Roman" w:hAnsi="Times New Roman" w:cs="Times New Roman"/>
          <w:sz w:val="24"/>
          <w:lang w:val="en-US" w:eastAsia="zh-CN"/>
        </w:rPr>
        <w:t xml:space="preserve"> </w:t>
      </w:r>
      <w:r>
        <w:rPr>
          <w:rFonts w:hint="eastAsia" w:ascii="Times New Roman" w:hAnsi="Times New Roman" w:cs="Times New Roman" w:eastAsiaTheme="minorEastAsia"/>
          <w:sz w:val="24"/>
          <w:lang w:val="en-US" w:eastAsia="zh-CN"/>
        </w:rPr>
        <w:t>声环境》（</w:t>
      </w:r>
      <w:r>
        <w:rPr>
          <w:rFonts w:hint="default" w:ascii="Times New Roman" w:hAnsi="Times New Roman" w:cs="Times New Roman" w:eastAsiaTheme="minorEastAsia"/>
          <w:sz w:val="24"/>
          <w:lang w:val="en-US" w:eastAsia="zh-CN"/>
        </w:rPr>
        <w:t>HJ2.4-2021</w:t>
      </w:r>
      <w:r>
        <w:rPr>
          <w:rFonts w:hint="eastAsia" w:ascii="Times New Roman" w:hAnsi="Times New Roman" w:cs="Times New Roman" w:eastAsiaTheme="minorEastAsia"/>
          <w:sz w:val="24"/>
          <w:lang w:val="en-US" w:eastAsia="zh-CN"/>
        </w:rPr>
        <w:t>）中的有关规定并结合项目自身特点，确定本项目声环境评价工作等级为三级。</w:t>
      </w:r>
    </w:p>
    <w:p w14:paraId="790AC478">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（2）</w:t>
      </w:r>
      <w:r>
        <w:rPr>
          <w:rFonts w:hint="eastAsia" w:ascii="Times New Roman" w:hAnsi="Times New Roman" w:cs="Times New Roman" w:eastAsiaTheme="minorEastAsia"/>
          <w:sz w:val="24"/>
          <w:lang w:val="en-US" w:eastAsia="zh-CN"/>
        </w:rPr>
        <w:t>评价</w:t>
      </w:r>
      <w:r>
        <w:rPr>
          <w:rFonts w:hint="default" w:ascii="Times New Roman" w:hAnsi="Times New Roman" w:cs="Times New Roman" w:eastAsiaTheme="minorEastAsia"/>
          <w:sz w:val="24"/>
          <w:lang w:val="en-US" w:eastAsia="zh-CN"/>
        </w:rPr>
        <w:t>范围</w:t>
      </w:r>
    </w:p>
    <w:p w14:paraId="75A8E37F">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厂界外</w:t>
      </w:r>
      <w:r>
        <w:rPr>
          <w:rFonts w:hint="default" w:ascii="Times New Roman" w:hAnsi="Times New Roman" w:cs="Times New Roman" w:eastAsiaTheme="minorEastAsia"/>
          <w:sz w:val="24"/>
          <w:lang w:val="en-US" w:eastAsia="zh-CN"/>
        </w:rPr>
        <w:t>200m以内范围。</w:t>
      </w:r>
    </w:p>
    <w:p w14:paraId="740098AB">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06" w:name="_Toc27582"/>
      <w:r>
        <w:rPr>
          <w:rFonts w:hint="eastAsia" w:ascii="Times New Roman" w:hAnsi="Times New Roman" w:cs="Times New Roman" w:eastAsiaTheme="minorEastAsia"/>
          <w:kern w:val="0"/>
          <w:sz w:val="24"/>
          <w:szCs w:val="24"/>
          <w:lang w:val="en-US" w:eastAsia="zh-CN"/>
        </w:rPr>
        <w:t>2.5.5土壤环境</w:t>
      </w:r>
      <w:bookmarkEnd w:id="106"/>
    </w:p>
    <w:p w14:paraId="2410F981">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（1）评价等级的确定</w:t>
      </w:r>
    </w:p>
    <w:p w14:paraId="4C0AC441">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根据《环境影响评价技术导则 土壤环境（试行）》</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HJ964-2018</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，土壤环境影响评价工作等级划分为一级、二级、三级。</w:t>
      </w:r>
    </w:p>
    <w:p w14:paraId="4C9CDF70">
      <w:pPr>
        <w:snapToGrid w:val="0"/>
        <w:spacing w:before="241" w:beforeLines="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表2.5-</w:t>
      </w:r>
      <w:r>
        <w:rPr>
          <w:rFonts w:hint="eastAsia" w:ascii="Times New Roman" w:hAnsi="Times New Roman" w:cs="Times New Roman"/>
          <w:b/>
          <w:szCs w:val="21"/>
          <w:lang w:val="en-US" w:eastAsia="zh-CN"/>
        </w:rPr>
        <w:t>8</w:t>
      </w:r>
      <w:r>
        <w:rPr>
          <w:rFonts w:hint="default" w:ascii="Times New Roman" w:hAnsi="Times New Roman" w:cs="Times New Roman" w:eastAsiaTheme="minorEastAsia"/>
          <w:b/>
          <w:szCs w:val="21"/>
          <w:lang w:val="en-US" w:eastAsia="zh-CN"/>
        </w:rPr>
        <w:t xml:space="preserve">  污染影响型敏感程度分级表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7305"/>
      </w:tblGrid>
      <w:tr w14:paraId="4C56A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648A6FE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敏感程度</w:t>
            </w:r>
          </w:p>
        </w:tc>
        <w:tc>
          <w:tcPr>
            <w:tcW w:w="7305" w:type="dxa"/>
            <w:vAlign w:val="center"/>
          </w:tcPr>
          <w:p w14:paraId="1BEC964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判别依据</w:t>
            </w:r>
          </w:p>
        </w:tc>
      </w:tr>
      <w:tr w14:paraId="02AE6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2603905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敏感</w:t>
            </w:r>
          </w:p>
        </w:tc>
        <w:tc>
          <w:tcPr>
            <w:tcW w:w="7305" w:type="dxa"/>
            <w:vAlign w:val="center"/>
          </w:tcPr>
          <w:p w14:paraId="400DD72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建设项目周边存在耕地、园地、牧草地、饮用水水源地或居民区、学校、医院、疗养院、养老院等土壤敏感目标的</w:t>
            </w:r>
          </w:p>
        </w:tc>
      </w:tr>
      <w:tr w14:paraId="31FC8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28E3F98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较敏感</w:t>
            </w:r>
          </w:p>
        </w:tc>
        <w:tc>
          <w:tcPr>
            <w:tcW w:w="7305" w:type="dxa"/>
            <w:vAlign w:val="center"/>
          </w:tcPr>
          <w:p w14:paraId="51A54BF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建设项目周边存在其他土壤环境敏感目标的</w:t>
            </w:r>
          </w:p>
        </w:tc>
      </w:tr>
      <w:tr w14:paraId="6964C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46E9B4A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不敏感</w:t>
            </w:r>
          </w:p>
        </w:tc>
        <w:tc>
          <w:tcPr>
            <w:tcW w:w="7305" w:type="dxa"/>
            <w:vAlign w:val="center"/>
          </w:tcPr>
          <w:p w14:paraId="648842A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其他情况</w:t>
            </w:r>
          </w:p>
        </w:tc>
      </w:tr>
    </w:tbl>
    <w:p w14:paraId="133FB748">
      <w:pPr>
        <w:snapToGrid w:val="0"/>
        <w:spacing w:before="241" w:beforeLines="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表2.5-</w:t>
      </w:r>
      <w:r>
        <w:rPr>
          <w:rFonts w:hint="eastAsia" w:ascii="Times New Roman" w:hAnsi="Times New Roman" w:cs="Times New Roman"/>
          <w:b/>
          <w:szCs w:val="21"/>
          <w:lang w:val="en-US" w:eastAsia="zh-CN"/>
        </w:rPr>
        <w:t>9</w:t>
      </w:r>
      <w:r>
        <w:rPr>
          <w:rFonts w:hint="default" w:ascii="Times New Roman" w:hAnsi="Times New Roman" w:cs="Times New Roman" w:eastAsiaTheme="minorEastAsia"/>
          <w:b/>
          <w:szCs w:val="21"/>
          <w:lang w:val="en-US" w:eastAsia="zh-CN"/>
        </w:rPr>
        <w:t xml:space="preserve">  污染影响型评价工作等级划分表</w:t>
      </w:r>
    </w:p>
    <w:tbl>
      <w:tblPr>
        <w:tblStyle w:val="1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4"/>
        <w:gridCol w:w="823"/>
        <w:gridCol w:w="823"/>
        <w:gridCol w:w="828"/>
        <w:gridCol w:w="823"/>
        <w:gridCol w:w="823"/>
        <w:gridCol w:w="828"/>
        <w:gridCol w:w="823"/>
        <w:gridCol w:w="823"/>
        <w:gridCol w:w="831"/>
      </w:tblGrid>
      <w:tr w14:paraId="5DC2B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trPr>
        <w:tc>
          <w:tcPr>
            <w:tcW w:w="642" w:type="pct"/>
            <w:vMerge w:val="restart"/>
            <w:vAlign w:val="center"/>
            <mc:AlternateContent>
              <mc:Choice Requires="wpsCustomData">
                <wpsCustomData:diagonals>
                  <wpsCustomData:diagonal from="30000" to="14800">
                    <wpsCustomData:border w:val="single" w:color="auto" w:sz="4" w:space="0"/>
                  </wpsCustomData:diagonal>
                  <wpsCustomData:diagonal from="30000" to="6700">
                    <wpsCustomData:border w:val="single" w:color="auto" w:sz="4" w:space="0"/>
                  </wpsCustomData:diagonal>
                </wpsCustomData:diagonals>
              </mc:Choice>
            </mc:AlternateContent>
          </w:tcPr>
          <w:p w14:paraId="3C0CF55B">
            <w:pPr>
              <w:autoSpaceDE w:val="0"/>
              <w:autoSpaceDN w:val="0"/>
              <w:spacing w:line="300" w:lineRule="exact"/>
              <w:jc w:val="center"/>
              <mc:AlternateContent>
                <mc:Choice Requires="wpsCustomData">
                  <wpsCustomData:diagonalParaType/>
                </mc:Choice>
              </mc:AlternateConten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敏感程度</w:t>
            </w:r>
          </w:p>
          <w:p w14:paraId="42187D1C">
            <w:pPr>
              <w:autoSpaceDE w:val="0"/>
              <w:autoSpaceDN w:val="0"/>
              <w:spacing w:line="300" w:lineRule="exact"/>
              <w:jc w:val="center"/>
              <mc:AlternateContent>
                <mc:Choice Requires="wpsCustomData">
                  <wpsCustomData:diagonalParaType/>
                </mc:Choice>
              </mc:AlternateConten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评价工作等级</w:t>
            </w:r>
          </w:p>
          <w:p w14:paraId="566E3A8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占地规模</w:t>
            </w:r>
          </w:p>
        </w:tc>
        <w:tc>
          <w:tcPr>
            <w:tcW w:w="1452" w:type="pct"/>
            <w:gridSpan w:val="3"/>
            <w:shd w:val="clear" w:color="auto" w:fill="auto"/>
            <w:vAlign w:val="center"/>
          </w:tcPr>
          <w:p w14:paraId="3F6EFC4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Ⅰ类</w:t>
            </w:r>
          </w:p>
        </w:tc>
        <w:tc>
          <w:tcPr>
            <w:tcW w:w="1452" w:type="pct"/>
            <w:gridSpan w:val="3"/>
            <w:shd w:val="clear" w:color="auto" w:fill="auto"/>
            <w:vAlign w:val="center"/>
          </w:tcPr>
          <w:p w14:paraId="73E1D66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Ⅱ类</w:t>
            </w:r>
          </w:p>
        </w:tc>
        <w:tc>
          <w:tcPr>
            <w:tcW w:w="1453" w:type="pct"/>
            <w:gridSpan w:val="3"/>
            <w:vAlign w:val="center"/>
          </w:tcPr>
          <w:p w14:paraId="1B3425F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Ⅲ类</w:t>
            </w:r>
          </w:p>
        </w:tc>
      </w:tr>
      <w:tr w14:paraId="0D6F2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pct"/>
            <w:vMerge w:val="continue"/>
            <w:vAlign w:val="center"/>
          </w:tcPr>
          <w:p w14:paraId="7A592153">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483" w:type="pct"/>
            <w:vAlign w:val="center"/>
          </w:tcPr>
          <w:p w14:paraId="3D658D1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大</w:t>
            </w:r>
          </w:p>
        </w:tc>
        <w:tc>
          <w:tcPr>
            <w:tcW w:w="483" w:type="pct"/>
            <w:vAlign w:val="center"/>
          </w:tcPr>
          <w:p w14:paraId="5B9D99A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中</w:t>
            </w:r>
          </w:p>
        </w:tc>
        <w:tc>
          <w:tcPr>
            <w:tcW w:w="485" w:type="pct"/>
            <w:vAlign w:val="center"/>
          </w:tcPr>
          <w:p w14:paraId="6CB146C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小</w:t>
            </w:r>
          </w:p>
        </w:tc>
        <w:tc>
          <w:tcPr>
            <w:tcW w:w="483" w:type="pct"/>
            <w:shd w:val="clear" w:color="auto" w:fill="auto"/>
            <w:vAlign w:val="center"/>
          </w:tcPr>
          <w:p w14:paraId="284DB51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大</w:t>
            </w:r>
          </w:p>
        </w:tc>
        <w:tc>
          <w:tcPr>
            <w:tcW w:w="483" w:type="pct"/>
            <w:shd w:val="clear" w:color="auto" w:fill="auto"/>
            <w:vAlign w:val="center"/>
          </w:tcPr>
          <w:p w14:paraId="2B228AF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中</w:t>
            </w:r>
          </w:p>
        </w:tc>
        <w:tc>
          <w:tcPr>
            <w:tcW w:w="485" w:type="pct"/>
            <w:shd w:val="clear" w:color="auto" w:fill="auto"/>
            <w:vAlign w:val="center"/>
          </w:tcPr>
          <w:p w14:paraId="1A9F07F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小</w:t>
            </w:r>
          </w:p>
        </w:tc>
        <w:tc>
          <w:tcPr>
            <w:tcW w:w="483" w:type="pct"/>
            <w:shd w:val="clear" w:color="auto" w:fill="auto"/>
            <w:vAlign w:val="center"/>
          </w:tcPr>
          <w:p w14:paraId="38E959F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大</w:t>
            </w:r>
          </w:p>
        </w:tc>
        <w:tc>
          <w:tcPr>
            <w:tcW w:w="483" w:type="pct"/>
            <w:shd w:val="clear" w:color="auto" w:fill="auto"/>
            <w:vAlign w:val="center"/>
          </w:tcPr>
          <w:p w14:paraId="00DE762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中</w:t>
            </w:r>
          </w:p>
        </w:tc>
        <w:tc>
          <w:tcPr>
            <w:tcW w:w="487" w:type="pct"/>
            <w:shd w:val="clear" w:color="auto" w:fill="auto"/>
            <w:vAlign w:val="center"/>
          </w:tcPr>
          <w:p w14:paraId="11E93EE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小</w:t>
            </w:r>
          </w:p>
        </w:tc>
      </w:tr>
      <w:tr w14:paraId="176B5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pct"/>
            <w:vAlign w:val="center"/>
          </w:tcPr>
          <w:p w14:paraId="12E9879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敏感</w:t>
            </w:r>
          </w:p>
        </w:tc>
        <w:tc>
          <w:tcPr>
            <w:tcW w:w="483" w:type="pct"/>
            <w:vAlign w:val="center"/>
          </w:tcPr>
          <w:p w14:paraId="42FC6C3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一级</w:t>
            </w:r>
          </w:p>
        </w:tc>
        <w:tc>
          <w:tcPr>
            <w:tcW w:w="483" w:type="pct"/>
            <w:vAlign w:val="center"/>
          </w:tcPr>
          <w:p w14:paraId="5572DFE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一级</w:t>
            </w:r>
          </w:p>
        </w:tc>
        <w:tc>
          <w:tcPr>
            <w:tcW w:w="485" w:type="pct"/>
            <w:vAlign w:val="center"/>
          </w:tcPr>
          <w:p w14:paraId="561FEC35">
            <w:pPr>
              <w:autoSpaceDE w:val="0"/>
              <w:autoSpaceDN w:val="0"/>
              <w:spacing w:line="300" w:lineRule="exact"/>
              <w:jc w:val="center"/>
              <w:rPr>
                <w:rFonts w:hint="default" w:ascii="Times New Roman" w:hAnsi="Times New Roman" w:cs="Times New Roman" w:eastAsiaTheme="minorEastAsia"/>
                <w:szCs w:val="21"/>
                <w:lang w:val="en-US" w:eastAsia="zh-CN"/>
              </w:rPr>
            </w:pPr>
            <w:bookmarkStart w:id="107" w:name="OLE_LINK2"/>
            <w:r>
              <w:rPr>
                <w:rFonts w:hint="default" w:ascii="Times New Roman" w:hAnsi="Times New Roman" w:cs="Times New Roman" w:eastAsiaTheme="minorEastAsia"/>
                <w:szCs w:val="21"/>
                <w:lang w:val="en-US" w:eastAsia="zh-CN"/>
              </w:rPr>
              <w:t>一级</w:t>
            </w:r>
            <w:bookmarkEnd w:id="107"/>
          </w:p>
        </w:tc>
        <w:tc>
          <w:tcPr>
            <w:tcW w:w="483" w:type="pct"/>
            <w:vAlign w:val="center"/>
          </w:tcPr>
          <w:p w14:paraId="5A8F074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二级</w:t>
            </w:r>
          </w:p>
        </w:tc>
        <w:tc>
          <w:tcPr>
            <w:tcW w:w="483" w:type="pct"/>
            <w:vAlign w:val="center"/>
          </w:tcPr>
          <w:p w14:paraId="6535B78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二级</w:t>
            </w:r>
          </w:p>
        </w:tc>
        <w:tc>
          <w:tcPr>
            <w:tcW w:w="485" w:type="pct"/>
            <w:vAlign w:val="center"/>
          </w:tcPr>
          <w:p w14:paraId="2AD1659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二级</w:t>
            </w:r>
          </w:p>
        </w:tc>
        <w:tc>
          <w:tcPr>
            <w:tcW w:w="483" w:type="pct"/>
            <w:vAlign w:val="center"/>
          </w:tcPr>
          <w:p w14:paraId="7291015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三级</w:t>
            </w:r>
          </w:p>
        </w:tc>
        <w:tc>
          <w:tcPr>
            <w:tcW w:w="483" w:type="pct"/>
            <w:vAlign w:val="center"/>
          </w:tcPr>
          <w:p w14:paraId="572D8C3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三级</w:t>
            </w:r>
          </w:p>
        </w:tc>
        <w:tc>
          <w:tcPr>
            <w:tcW w:w="487" w:type="pct"/>
            <w:vAlign w:val="center"/>
          </w:tcPr>
          <w:p w14:paraId="0B29231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三级</w:t>
            </w:r>
          </w:p>
        </w:tc>
      </w:tr>
      <w:tr w14:paraId="1A05A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pct"/>
            <w:vAlign w:val="center"/>
          </w:tcPr>
          <w:p w14:paraId="5B0136E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较敏感</w:t>
            </w:r>
          </w:p>
        </w:tc>
        <w:tc>
          <w:tcPr>
            <w:tcW w:w="483" w:type="pct"/>
            <w:vAlign w:val="center"/>
          </w:tcPr>
          <w:p w14:paraId="546D8D1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一级</w:t>
            </w:r>
          </w:p>
        </w:tc>
        <w:tc>
          <w:tcPr>
            <w:tcW w:w="483" w:type="pct"/>
            <w:vAlign w:val="center"/>
          </w:tcPr>
          <w:p w14:paraId="7EB3878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一级</w:t>
            </w:r>
          </w:p>
        </w:tc>
        <w:tc>
          <w:tcPr>
            <w:tcW w:w="485" w:type="pct"/>
            <w:vAlign w:val="center"/>
          </w:tcPr>
          <w:p w14:paraId="1D4E3A8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二级</w:t>
            </w:r>
          </w:p>
        </w:tc>
        <w:tc>
          <w:tcPr>
            <w:tcW w:w="483" w:type="pct"/>
            <w:vAlign w:val="center"/>
          </w:tcPr>
          <w:p w14:paraId="7784411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二级</w:t>
            </w:r>
          </w:p>
        </w:tc>
        <w:tc>
          <w:tcPr>
            <w:tcW w:w="483" w:type="pct"/>
            <w:vAlign w:val="center"/>
          </w:tcPr>
          <w:p w14:paraId="0D3046E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二级</w:t>
            </w:r>
          </w:p>
        </w:tc>
        <w:tc>
          <w:tcPr>
            <w:tcW w:w="485" w:type="pct"/>
            <w:vAlign w:val="center"/>
          </w:tcPr>
          <w:p w14:paraId="7C3E4DE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三级</w:t>
            </w:r>
          </w:p>
        </w:tc>
        <w:tc>
          <w:tcPr>
            <w:tcW w:w="483" w:type="pct"/>
            <w:vAlign w:val="center"/>
          </w:tcPr>
          <w:p w14:paraId="7B4AF07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三级</w:t>
            </w:r>
          </w:p>
        </w:tc>
        <w:tc>
          <w:tcPr>
            <w:tcW w:w="483" w:type="pct"/>
            <w:vAlign w:val="center"/>
          </w:tcPr>
          <w:p w14:paraId="03F35CD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三级</w:t>
            </w:r>
          </w:p>
        </w:tc>
        <w:tc>
          <w:tcPr>
            <w:tcW w:w="487" w:type="pct"/>
            <w:vAlign w:val="center"/>
          </w:tcPr>
          <w:p w14:paraId="40E11E4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r>
      <w:tr w14:paraId="321F7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pct"/>
            <w:vAlign w:val="center"/>
          </w:tcPr>
          <w:p w14:paraId="05C9436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不敏感</w:t>
            </w:r>
          </w:p>
        </w:tc>
        <w:tc>
          <w:tcPr>
            <w:tcW w:w="483" w:type="pct"/>
            <w:vAlign w:val="center"/>
          </w:tcPr>
          <w:p w14:paraId="0AF5210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一级</w:t>
            </w:r>
          </w:p>
        </w:tc>
        <w:tc>
          <w:tcPr>
            <w:tcW w:w="483" w:type="pct"/>
            <w:vAlign w:val="center"/>
          </w:tcPr>
          <w:p w14:paraId="2304F2D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二级</w:t>
            </w:r>
          </w:p>
        </w:tc>
        <w:tc>
          <w:tcPr>
            <w:tcW w:w="485" w:type="pct"/>
            <w:vAlign w:val="center"/>
          </w:tcPr>
          <w:p w14:paraId="466D9F3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二级</w:t>
            </w:r>
          </w:p>
        </w:tc>
        <w:tc>
          <w:tcPr>
            <w:tcW w:w="483" w:type="pct"/>
            <w:vAlign w:val="center"/>
          </w:tcPr>
          <w:p w14:paraId="2947E1B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二级</w:t>
            </w:r>
          </w:p>
        </w:tc>
        <w:tc>
          <w:tcPr>
            <w:tcW w:w="483" w:type="pct"/>
            <w:vAlign w:val="center"/>
          </w:tcPr>
          <w:p w14:paraId="7AF9C5B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三级</w:t>
            </w:r>
          </w:p>
        </w:tc>
        <w:tc>
          <w:tcPr>
            <w:tcW w:w="485" w:type="pct"/>
            <w:vAlign w:val="center"/>
          </w:tcPr>
          <w:p w14:paraId="2EECE7C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三级</w:t>
            </w:r>
          </w:p>
        </w:tc>
        <w:tc>
          <w:tcPr>
            <w:tcW w:w="483" w:type="pct"/>
            <w:vAlign w:val="center"/>
          </w:tcPr>
          <w:p w14:paraId="4791F8A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三级</w:t>
            </w:r>
          </w:p>
        </w:tc>
        <w:tc>
          <w:tcPr>
            <w:tcW w:w="483" w:type="pct"/>
            <w:vAlign w:val="center"/>
          </w:tcPr>
          <w:p w14:paraId="37C3FAA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487" w:type="pct"/>
            <w:vAlign w:val="center"/>
          </w:tcPr>
          <w:p w14:paraId="173CED0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r>
      <w:tr w14:paraId="3AD7A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0"/>
            <w:vAlign w:val="center"/>
          </w:tcPr>
          <w:p w14:paraId="03747B0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注：“－”表示可不开展土壤环境影响评价工作</w:t>
            </w:r>
          </w:p>
        </w:tc>
      </w:tr>
    </w:tbl>
    <w:p w14:paraId="3B828881">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本项目依托莎车县海纳环保科技开发有限公司现有厂房，现有厂区占地面积为0.783hm</w:t>
      </w:r>
      <w:r>
        <w:rPr>
          <w:rFonts w:hint="eastAsia" w:ascii="Times New Roman" w:hAnsi="Times New Roman" w:cs="Times New Roman" w:eastAsiaTheme="minorEastAsia"/>
          <w:sz w:val="24"/>
          <w:vertAlign w:val="superscript"/>
          <w:lang w:val="en-US" w:eastAsia="zh-CN"/>
        </w:rPr>
        <w:t>2</w:t>
      </w:r>
      <w:r>
        <w:rPr>
          <w:rFonts w:hint="eastAsia" w:ascii="Times New Roman" w:hAnsi="Times New Roman" w:cs="Times New Roman" w:eastAsiaTheme="minorEastAsia"/>
          <w:sz w:val="24"/>
          <w:lang w:val="en-US" w:eastAsia="zh-CN"/>
        </w:rPr>
        <w:t>，占地规模为小型；项目位于莎车县阿斯兰巴格工业园区内，环境敏感程度为不敏感。本项目属于“危险废物利用及处置”项目，</w:t>
      </w:r>
      <w:r>
        <w:rPr>
          <w:rFonts w:hint="default" w:ascii="Times New Roman" w:hAnsi="Times New Roman" w:cs="Times New Roman" w:eastAsiaTheme="minorEastAsia"/>
          <w:sz w:val="24"/>
          <w:lang w:val="en-US" w:eastAsia="zh-CN"/>
        </w:rPr>
        <w:t>属于Ⅰ类项目，根据污染影响型评价工作等级划分要求，土壤环境影响评价等级为二级。</w:t>
      </w:r>
    </w:p>
    <w:p w14:paraId="4B3132AC">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（2）评价范围</w:t>
      </w:r>
    </w:p>
    <w:p w14:paraId="54403BF9">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根据《环境影响评价技术导则 土壤环境（试行）》（</w:t>
      </w:r>
      <w:r>
        <w:rPr>
          <w:rFonts w:hint="default" w:ascii="Times New Roman" w:hAnsi="Times New Roman" w:cs="Times New Roman" w:eastAsiaTheme="minorEastAsia"/>
          <w:sz w:val="24"/>
          <w:lang w:val="en-US" w:eastAsia="zh-CN"/>
        </w:rPr>
        <w:t>HJ964-2018</w:t>
      </w:r>
      <w:r>
        <w:rPr>
          <w:rFonts w:hint="eastAsia" w:ascii="Times New Roman" w:hAnsi="Times New Roman" w:cs="Times New Roman" w:eastAsiaTheme="minorEastAsia"/>
          <w:sz w:val="24"/>
          <w:lang w:val="en-US" w:eastAsia="zh-CN"/>
        </w:rPr>
        <w:t>），确定本项目评价范围为：项目占地范围内及占地范围外扩0.2k</w:t>
      </w:r>
      <w:r>
        <w:rPr>
          <w:rFonts w:hint="default" w:ascii="Times New Roman" w:hAnsi="Times New Roman" w:cs="Times New Roman" w:eastAsiaTheme="minorEastAsia"/>
          <w:sz w:val="24"/>
          <w:lang w:val="en-US" w:eastAsia="zh-CN"/>
        </w:rPr>
        <w:t>m范围</w:t>
      </w:r>
      <w:r>
        <w:rPr>
          <w:rFonts w:hint="eastAsia" w:ascii="Times New Roman" w:hAnsi="Times New Roman" w:cs="Times New Roman" w:eastAsiaTheme="minorEastAsia"/>
          <w:sz w:val="24"/>
          <w:lang w:val="en-US" w:eastAsia="zh-CN"/>
        </w:rPr>
        <w:t>。</w:t>
      </w:r>
    </w:p>
    <w:p w14:paraId="6F14B79C">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108" w:name="_Toc13779"/>
      <w:r>
        <w:rPr>
          <w:rFonts w:hint="eastAsia" w:ascii="Times New Roman" w:hAnsi="Times New Roman" w:cs="Times New Roman" w:eastAsiaTheme="minorEastAsia"/>
          <w:kern w:val="0"/>
          <w:sz w:val="24"/>
          <w:szCs w:val="24"/>
          <w:lang w:val="en-US" w:eastAsia="zh-CN"/>
        </w:rPr>
        <w:t>2.5.6生态环境</w:t>
      </w:r>
      <w:bookmarkEnd w:id="108"/>
    </w:p>
    <w:p w14:paraId="2EEF2A5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（1）评价等级的确定</w:t>
      </w:r>
    </w:p>
    <w:p w14:paraId="5A8D7011">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根据《环境影响评价技术导则</w:t>
      </w:r>
      <w:r>
        <w:rPr>
          <w:rFonts w:hint="eastAsia" w:ascii="Times New Roman" w:hAnsi="Times New Roman" w:cs="Times New Roman" w:eastAsiaTheme="minorEastAsia"/>
          <w:sz w:val="24"/>
          <w:lang w:val="en-US" w:eastAsia="zh-CN"/>
        </w:rPr>
        <w:t xml:space="preserve"> </w:t>
      </w:r>
      <w:r>
        <w:rPr>
          <w:rFonts w:hint="default" w:ascii="Times New Roman" w:hAnsi="Times New Roman" w:cs="Times New Roman" w:eastAsiaTheme="minorEastAsia"/>
          <w:sz w:val="24"/>
          <w:lang w:val="en-US" w:eastAsia="zh-CN"/>
        </w:rPr>
        <w:t>生态影响》（HJ19-2022）有关规定，本项目为</w:t>
      </w:r>
      <w:r>
        <w:rPr>
          <w:rFonts w:hint="eastAsia" w:ascii="Times New Roman" w:hAnsi="Times New Roman" w:cs="Times New Roman" w:eastAsiaTheme="minorEastAsia"/>
          <w:sz w:val="24"/>
          <w:lang w:val="en-US" w:eastAsia="zh-CN"/>
        </w:rPr>
        <w:t>医疗废物处置类</w:t>
      </w:r>
      <w:r>
        <w:rPr>
          <w:rFonts w:hint="default" w:ascii="Times New Roman" w:hAnsi="Times New Roman" w:cs="Times New Roman" w:eastAsiaTheme="minorEastAsia"/>
          <w:sz w:val="24"/>
          <w:lang w:val="en-US" w:eastAsia="zh-CN"/>
        </w:rPr>
        <w:t>项目，占地面积为</w:t>
      </w:r>
      <w:r>
        <w:rPr>
          <w:rFonts w:hint="eastAsia" w:ascii="Times New Roman" w:hAnsi="Times New Roman" w:cs="Times New Roman" w:eastAsiaTheme="minorEastAsia"/>
          <w:sz w:val="24"/>
          <w:lang w:val="en-US" w:eastAsia="zh-CN"/>
        </w:rPr>
        <w:t>7826</w:t>
      </w:r>
      <w:r>
        <w:rPr>
          <w:rFonts w:hint="default" w:ascii="Times New Roman" w:hAnsi="Times New Roman" w:cs="Times New Roman" w:eastAsiaTheme="minorEastAsia"/>
          <w:sz w:val="24"/>
          <w:lang w:val="en-US" w:eastAsia="zh-CN"/>
        </w:rPr>
        <w:t>m</w:t>
      </w:r>
      <w:r>
        <w:rPr>
          <w:rFonts w:hint="default" w:ascii="Times New Roman" w:hAnsi="Times New Roman" w:cs="Times New Roman" w:eastAsiaTheme="minorEastAsia"/>
          <w:sz w:val="24"/>
          <w:vertAlign w:val="superscript"/>
          <w:lang w:val="en-US" w:eastAsia="zh-CN"/>
        </w:rPr>
        <w:t>2</w:t>
      </w:r>
      <w:r>
        <w:rPr>
          <w:rFonts w:hint="default" w:ascii="Times New Roman" w:hAnsi="Times New Roman" w:cs="Times New Roman" w:eastAsiaTheme="minorEastAsia"/>
          <w:sz w:val="24"/>
          <w:lang w:val="en-US" w:eastAsia="zh-CN"/>
        </w:rPr>
        <w:t>。项目影响区域内未涉及国家公园、自然保护区、世界自然遗产、重要生境；未涉及自然公园；未涉及生态保护红线；地下水水位和土壤影响范围内未分布有天然林、公益林、湿地等生态保护目标；项目位于</w:t>
      </w:r>
      <w:r>
        <w:rPr>
          <w:rFonts w:hint="eastAsia" w:ascii="Times New Roman" w:hAnsi="Times New Roman" w:cs="Times New Roman" w:eastAsiaTheme="minorEastAsia"/>
          <w:sz w:val="24"/>
          <w:lang w:val="en-US" w:eastAsia="zh-CN"/>
        </w:rPr>
        <w:t>莎车县阿斯兰巴格工业园区西南侧莎车县海纳环保科技开发有限公司厂区内</w:t>
      </w:r>
      <w:r>
        <w:rPr>
          <w:rFonts w:hint="default" w:ascii="Times New Roman" w:hAnsi="Times New Roman" w:cs="Times New Roman" w:eastAsiaTheme="minorEastAsia"/>
          <w:sz w:val="24"/>
          <w:lang w:val="en-US" w:eastAsia="zh-CN"/>
        </w:rPr>
        <w:t>，项目用地属于</w:t>
      </w:r>
      <w:r>
        <w:rPr>
          <w:rFonts w:hint="eastAsia" w:ascii="Times New Roman" w:hAnsi="Times New Roman" w:cs="Times New Roman" w:eastAsiaTheme="minorEastAsia"/>
          <w:sz w:val="24"/>
          <w:lang w:val="en-US" w:eastAsia="zh-CN"/>
        </w:rPr>
        <w:t>工业</w:t>
      </w:r>
      <w:r>
        <w:rPr>
          <w:rFonts w:hint="default" w:ascii="Times New Roman" w:hAnsi="Times New Roman" w:cs="Times New Roman" w:eastAsiaTheme="minorEastAsia"/>
          <w:sz w:val="24"/>
          <w:lang w:val="en-US" w:eastAsia="zh-CN"/>
        </w:rPr>
        <w:t>用地，符合生态环境分区管控要求。因此，依据《环境影响评价技术导则</w:t>
      </w:r>
      <w:r>
        <w:rPr>
          <w:rFonts w:hint="eastAsia" w:ascii="Times New Roman" w:hAnsi="Times New Roman" w:cs="Times New Roman" w:eastAsiaTheme="minorEastAsia"/>
          <w:sz w:val="24"/>
          <w:lang w:val="en-US" w:eastAsia="zh-CN"/>
        </w:rPr>
        <w:t xml:space="preserve"> </w:t>
      </w:r>
      <w:r>
        <w:rPr>
          <w:rFonts w:hint="default" w:ascii="Times New Roman" w:hAnsi="Times New Roman" w:cs="Times New Roman" w:eastAsiaTheme="minorEastAsia"/>
          <w:sz w:val="24"/>
          <w:lang w:val="en-US" w:eastAsia="zh-CN"/>
        </w:rPr>
        <w:t>生态影响》（HJ19-2022）第6.1.2节的规定，</w:t>
      </w:r>
      <w:r>
        <w:rPr>
          <w:rFonts w:hint="eastAsia" w:ascii="Times New Roman" w:hAnsi="Times New Roman" w:cs="Times New Roman" w:eastAsiaTheme="minorEastAsia"/>
          <w:sz w:val="24"/>
          <w:lang w:val="en-US" w:eastAsia="zh-CN"/>
        </w:rPr>
        <w:t>本项目属于符合生态环境分区管控要求且位于原厂界（或永久用地）范围内的污染影响类项目</w:t>
      </w: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位于已批准规划环评的产业园区内，且符合规划环评要求、不涉及生态敏感区的污染影响类项目，因此进行简单分析。</w:t>
      </w:r>
    </w:p>
    <w:p w14:paraId="70CE55D9">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（2）评价范围</w:t>
      </w:r>
    </w:p>
    <w:p w14:paraId="39DBFA02">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根据评价区域周围生态环境情况，确定本次生态评价范围为项目区向外扩展200m。</w:t>
      </w:r>
    </w:p>
    <w:p w14:paraId="05F4A3A3">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109" w:name="_Toc25596"/>
      <w:bookmarkStart w:id="110" w:name="_Toc9774"/>
      <w:r>
        <w:rPr>
          <w:rFonts w:hint="default" w:ascii="Times New Roman" w:hAnsi="Times New Roman" w:cs="Times New Roman" w:eastAsiaTheme="minorEastAsia"/>
          <w:kern w:val="0"/>
          <w:sz w:val="24"/>
          <w:szCs w:val="24"/>
          <w:lang w:val="en-US" w:eastAsia="zh-CN"/>
        </w:rPr>
        <w:t>2.5.7环境风险评价等级和评价范围</w:t>
      </w:r>
      <w:bookmarkEnd w:id="109"/>
      <w:bookmarkEnd w:id="110"/>
    </w:p>
    <w:p w14:paraId="15047E94">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（1）评价等级</w:t>
      </w:r>
    </w:p>
    <w:p w14:paraId="4A5BA003">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1）风险物质识别</w:t>
      </w:r>
    </w:p>
    <w:p w14:paraId="28F51FD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根据《建设项目环境风险评价技术导则》（HJ169-2018）附录B所列危险物质，本项目所涉及的环境风险物质为：</w:t>
      </w:r>
      <w:r>
        <w:rPr>
          <w:rFonts w:hint="eastAsia" w:ascii="Times New Roman" w:hAnsi="Times New Roman" w:cs="Times New Roman" w:eastAsiaTheme="minorEastAsia"/>
          <w:sz w:val="24"/>
          <w:lang w:val="en-US" w:eastAsia="zh-CN"/>
        </w:rPr>
        <w:t>柴油、次氯酸钠、氢氧化钠、医疗废物、污泥、废活性炭。</w:t>
      </w:r>
    </w:p>
    <w:p w14:paraId="08AA27E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2）环境风险潜势判定</w:t>
      </w:r>
    </w:p>
    <w:p w14:paraId="5F17D9FB">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lang w:val="en-US" w:eastAsia="zh-CN"/>
        </w:rPr>
        <w:t>根据《建设项目环境风险评价技术导则》（HJ169-2018）附录C中提出的Q值计算公式对本项目所涉及风险物质Q值进行计算，计算公式如下：</w:t>
      </w:r>
    </w:p>
    <w:p w14:paraId="08A533DD">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m:oMathPara>
        <m:oMath>
          <m:r>
            <m:rPr>
              <m:nor/>
              <m:sty m:val="p"/>
            </m:rPr>
            <w:rPr>
              <w:rFonts w:hint="default" w:ascii="Times New Roman" w:hAnsi="Times New Roman" w:cs="Times New Roman" w:eastAsiaTheme="minorEastAsia"/>
              <w:b w:val="0"/>
              <w:i w:val="0"/>
              <w:sz w:val="24"/>
              <w:highlight w:val="none"/>
              <w:lang w:val="en-US" w:eastAsia="zh-CN"/>
            </w:rPr>
            <m:t>Q=</m:t>
          </m:r>
          <m:f>
            <m:fPr>
              <m:ctrlPr>
                <w:rPr>
                  <w:rFonts w:hint="default" w:ascii="Cambria Math" w:hAnsi="Cambria Math" w:cs="Times New Roman" w:eastAsiaTheme="minorEastAsia"/>
                  <w:sz w:val="24"/>
                  <w:highlight w:val="none"/>
                  <w:lang w:val="en-US" w:eastAsia="zh-CN"/>
                </w:rPr>
              </m:ctrlPr>
            </m:fPr>
            <m:num>
              <m:sSub>
                <m:sSubPr>
                  <m:ctrlPr>
                    <w:rPr>
                      <w:rFonts w:hint="default" w:ascii="Cambria Math" w:hAnsi="Cambria Math" w:cs="Times New Roman" w:eastAsiaTheme="minorEastAsia"/>
                      <w:sz w:val="24"/>
                      <w:highlight w:val="none"/>
                      <w:lang w:val="en-US" w:eastAsia="zh-CN"/>
                    </w:rPr>
                  </m:ctrlPr>
                </m:sSubPr>
                <m:e>
                  <m:r>
                    <m:rPr>
                      <m:nor/>
                      <m:sty m:val="p"/>
                    </m:rPr>
                    <w:rPr>
                      <w:rFonts w:hint="default" w:ascii="Times New Roman" w:hAnsi="Times New Roman" w:cs="Times New Roman" w:eastAsiaTheme="minorEastAsia"/>
                      <w:b w:val="0"/>
                      <w:i w:val="0"/>
                      <w:sz w:val="24"/>
                      <w:highlight w:val="none"/>
                      <w:lang w:val="en-US" w:eastAsia="zh-CN"/>
                    </w:rPr>
                    <m:t>q</m:t>
                  </m:r>
                  <m:ctrlPr>
                    <w:rPr>
                      <w:rFonts w:hint="default" w:ascii="Cambria Math" w:hAnsi="Cambria Math" w:cs="Times New Roman" w:eastAsiaTheme="minorEastAsia"/>
                      <w:sz w:val="24"/>
                      <w:highlight w:val="none"/>
                      <w:lang w:val="en-US" w:eastAsia="zh-CN"/>
                    </w:rPr>
                  </m:ctrlPr>
                </m:e>
                <m:sub>
                  <m:r>
                    <m:rPr>
                      <m:nor/>
                      <m:sty m:val="p"/>
                    </m:rPr>
                    <w:rPr>
                      <w:rFonts w:hint="default" w:ascii="Times New Roman" w:hAnsi="Times New Roman" w:cs="Times New Roman" w:eastAsiaTheme="minorEastAsia"/>
                      <w:b w:val="0"/>
                      <w:i w:val="0"/>
                      <w:sz w:val="24"/>
                      <w:highlight w:val="none"/>
                      <w:lang w:val="en-US" w:eastAsia="zh-CN"/>
                    </w:rPr>
                    <m:t>1</m:t>
                  </m:r>
                  <m:ctrlPr>
                    <w:rPr>
                      <w:rFonts w:hint="default" w:ascii="Cambria Math" w:hAnsi="Cambria Math" w:cs="Times New Roman" w:eastAsiaTheme="minorEastAsia"/>
                      <w:sz w:val="24"/>
                      <w:highlight w:val="none"/>
                      <w:lang w:val="en-US" w:eastAsia="zh-CN"/>
                    </w:rPr>
                  </m:ctrlPr>
                </m:sub>
              </m:sSub>
              <m:ctrlPr>
                <w:rPr>
                  <w:rFonts w:hint="default" w:ascii="Cambria Math" w:hAnsi="Cambria Math" w:cs="Times New Roman" w:eastAsiaTheme="minorEastAsia"/>
                  <w:sz w:val="24"/>
                  <w:highlight w:val="none"/>
                  <w:lang w:val="en-US" w:eastAsia="zh-CN"/>
                </w:rPr>
              </m:ctrlPr>
            </m:num>
            <m:den>
              <m:sSub>
                <m:sSubPr>
                  <m:ctrlPr>
                    <w:rPr>
                      <w:rFonts w:hint="default" w:ascii="Cambria Math" w:hAnsi="Cambria Math" w:cs="Times New Roman" w:eastAsiaTheme="minorEastAsia"/>
                      <w:sz w:val="24"/>
                      <w:highlight w:val="none"/>
                      <w:lang w:val="en-US" w:eastAsia="zh-CN"/>
                    </w:rPr>
                  </m:ctrlPr>
                </m:sSubPr>
                <m:e>
                  <m:r>
                    <m:rPr>
                      <m:nor/>
                      <m:sty m:val="p"/>
                    </m:rPr>
                    <w:rPr>
                      <w:rFonts w:hint="default" w:ascii="Times New Roman" w:hAnsi="Times New Roman" w:cs="Times New Roman" w:eastAsiaTheme="minorEastAsia"/>
                      <w:b w:val="0"/>
                      <w:i w:val="0"/>
                      <w:sz w:val="24"/>
                      <w:highlight w:val="none"/>
                      <w:lang w:val="en-US" w:eastAsia="zh-CN"/>
                    </w:rPr>
                    <m:t>Q</m:t>
                  </m:r>
                  <m:ctrlPr>
                    <w:rPr>
                      <w:rFonts w:hint="default" w:ascii="Cambria Math" w:hAnsi="Cambria Math" w:cs="Times New Roman" w:eastAsiaTheme="minorEastAsia"/>
                      <w:sz w:val="24"/>
                      <w:highlight w:val="none"/>
                      <w:lang w:val="en-US" w:eastAsia="zh-CN"/>
                    </w:rPr>
                  </m:ctrlPr>
                </m:e>
                <m:sub>
                  <m:r>
                    <m:rPr>
                      <m:nor/>
                      <m:sty m:val="p"/>
                    </m:rPr>
                    <w:rPr>
                      <w:rFonts w:hint="default" w:ascii="Times New Roman" w:hAnsi="Times New Roman" w:cs="Times New Roman" w:eastAsiaTheme="minorEastAsia"/>
                      <w:b w:val="0"/>
                      <w:i w:val="0"/>
                      <w:sz w:val="24"/>
                      <w:highlight w:val="none"/>
                      <w:lang w:val="en-US" w:eastAsia="zh-CN"/>
                    </w:rPr>
                    <m:t>1</m:t>
                  </m:r>
                  <m:ctrlPr>
                    <w:rPr>
                      <w:rFonts w:hint="default" w:ascii="Cambria Math" w:hAnsi="Cambria Math" w:cs="Times New Roman" w:eastAsiaTheme="minorEastAsia"/>
                      <w:sz w:val="24"/>
                      <w:highlight w:val="none"/>
                      <w:lang w:val="en-US" w:eastAsia="zh-CN"/>
                    </w:rPr>
                  </m:ctrlPr>
                </m:sub>
              </m:sSub>
              <m:ctrlPr>
                <w:rPr>
                  <w:rFonts w:hint="default" w:ascii="Cambria Math" w:hAnsi="Cambria Math" w:cs="Times New Roman" w:eastAsiaTheme="minorEastAsia"/>
                  <w:sz w:val="24"/>
                  <w:highlight w:val="none"/>
                  <w:lang w:val="en-US" w:eastAsia="zh-CN"/>
                </w:rPr>
              </m:ctrlPr>
            </m:den>
          </m:f>
          <m:r>
            <m:rPr>
              <m:nor/>
              <m:sty m:val="p"/>
            </m:rPr>
            <w:rPr>
              <w:rFonts w:hint="default" w:ascii="Times New Roman" w:hAnsi="Times New Roman" w:cs="Times New Roman" w:eastAsiaTheme="minorEastAsia"/>
              <w:b w:val="0"/>
              <w:i w:val="0"/>
              <w:sz w:val="24"/>
              <w:highlight w:val="none"/>
              <w:lang w:val="en-US" w:eastAsia="zh-CN"/>
            </w:rPr>
            <m:t>+</m:t>
          </m:r>
          <m:f>
            <m:fPr>
              <m:ctrlPr>
                <w:rPr>
                  <w:rFonts w:hint="default" w:ascii="Cambria Math" w:hAnsi="Cambria Math" w:cs="Times New Roman" w:eastAsiaTheme="minorEastAsia"/>
                  <w:sz w:val="24"/>
                  <w:highlight w:val="none"/>
                  <w:lang w:val="en-US" w:eastAsia="zh-CN"/>
                </w:rPr>
              </m:ctrlPr>
            </m:fPr>
            <m:num>
              <m:sSub>
                <m:sSubPr>
                  <m:ctrlPr>
                    <w:rPr>
                      <w:rFonts w:hint="default" w:ascii="Cambria Math" w:hAnsi="Cambria Math" w:cs="Times New Roman" w:eastAsiaTheme="minorEastAsia"/>
                      <w:sz w:val="24"/>
                      <w:highlight w:val="none"/>
                      <w:lang w:val="en-US" w:eastAsia="zh-CN"/>
                    </w:rPr>
                  </m:ctrlPr>
                </m:sSubPr>
                <m:e>
                  <m:r>
                    <m:rPr>
                      <m:nor/>
                      <m:sty m:val="p"/>
                    </m:rPr>
                    <w:rPr>
                      <w:rFonts w:hint="default" w:ascii="Times New Roman" w:hAnsi="Times New Roman" w:cs="Times New Roman" w:eastAsiaTheme="minorEastAsia"/>
                      <w:b w:val="0"/>
                      <w:i w:val="0"/>
                      <w:sz w:val="24"/>
                      <w:highlight w:val="none"/>
                      <w:lang w:val="en-US" w:eastAsia="zh-CN"/>
                    </w:rPr>
                    <m:t>q</m:t>
                  </m:r>
                  <m:ctrlPr>
                    <w:rPr>
                      <w:rFonts w:hint="default" w:ascii="Cambria Math" w:hAnsi="Cambria Math" w:cs="Times New Roman" w:eastAsiaTheme="minorEastAsia"/>
                      <w:sz w:val="24"/>
                      <w:highlight w:val="none"/>
                      <w:lang w:val="en-US" w:eastAsia="zh-CN"/>
                    </w:rPr>
                  </m:ctrlPr>
                </m:e>
                <m:sub>
                  <m:r>
                    <m:rPr>
                      <m:nor/>
                      <m:sty m:val="p"/>
                    </m:rPr>
                    <w:rPr>
                      <w:rFonts w:hint="default" w:ascii="Times New Roman" w:hAnsi="Times New Roman" w:cs="Times New Roman" w:eastAsiaTheme="minorEastAsia"/>
                      <w:b w:val="0"/>
                      <w:i w:val="0"/>
                      <w:sz w:val="24"/>
                      <w:highlight w:val="none"/>
                      <w:lang w:val="en-US" w:eastAsia="zh-CN"/>
                    </w:rPr>
                    <m:t>2</m:t>
                  </m:r>
                  <m:ctrlPr>
                    <w:rPr>
                      <w:rFonts w:hint="default" w:ascii="Cambria Math" w:hAnsi="Cambria Math" w:cs="Times New Roman" w:eastAsiaTheme="minorEastAsia"/>
                      <w:sz w:val="24"/>
                      <w:highlight w:val="none"/>
                      <w:lang w:val="en-US" w:eastAsia="zh-CN"/>
                    </w:rPr>
                  </m:ctrlPr>
                </m:sub>
              </m:sSub>
              <m:ctrlPr>
                <w:rPr>
                  <w:rFonts w:hint="default" w:ascii="Cambria Math" w:hAnsi="Cambria Math" w:cs="Times New Roman" w:eastAsiaTheme="minorEastAsia"/>
                  <w:sz w:val="24"/>
                  <w:highlight w:val="none"/>
                  <w:lang w:val="en-US" w:eastAsia="zh-CN"/>
                </w:rPr>
              </m:ctrlPr>
            </m:num>
            <m:den>
              <m:sSub>
                <m:sSubPr>
                  <m:ctrlPr>
                    <w:rPr>
                      <w:rFonts w:hint="default" w:ascii="Cambria Math" w:hAnsi="Cambria Math" w:cs="Times New Roman" w:eastAsiaTheme="minorEastAsia"/>
                      <w:sz w:val="24"/>
                      <w:highlight w:val="none"/>
                      <w:lang w:val="en-US" w:eastAsia="zh-CN"/>
                    </w:rPr>
                  </m:ctrlPr>
                </m:sSubPr>
                <m:e>
                  <m:r>
                    <m:rPr>
                      <m:nor/>
                      <m:sty m:val="p"/>
                    </m:rPr>
                    <w:rPr>
                      <w:rFonts w:hint="default" w:ascii="Times New Roman" w:hAnsi="Times New Roman" w:cs="Times New Roman" w:eastAsiaTheme="minorEastAsia"/>
                      <w:b w:val="0"/>
                      <w:i w:val="0"/>
                      <w:sz w:val="24"/>
                      <w:highlight w:val="none"/>
                      <w:lang w:val="en-US" w:eastAsia="zh-CN"/>
                    </w:rPr>
                    <m:t>Q</m:t>
                  </m:r>
                  <m:ctrlPr>
                    <w:rPr>
                      <w:rFonts w:hint="default" w:ascii="Cambria Math" w:hAnsi="Cambria Math" w:cs="Times New Roman" w:eastAsiaTheme="minorEastAsia"/>
                      <w:sz w:val="24"/>
                      <w:highlight w:val="none"/>
                      <w:lang w:val="en-US" w:eastAsia="zh-CN"/>
                    </w:rPr>
                  </m:ctrlPr>
                </m:e>
                <m:sub>
                  <m:r>
                    <m:rPr>
                      <m:nor/>
                      <m:sty m:val="p"/>
                    </m:rPr>
                    <w:rPr>
                      <w:rFonts w:hint="default" w:ascii="Times New Roman" w:hAnsi="Times New Roman" w:cs="Times New Roman" w:eastAsiaTheme="minorEastAsia"/>
                      <w:b w:val="0"/>
                      <w:i w:val="0"/>
                      <w:sz w:val="24"/>
                      <w:highlight w:val="none"/>
                      <w:lang w:val="en-US" w:eastAsia="zh-CN"/>
                    </w:rPr>
                    <m:t>2</m:t>
                  </m:r>
                  <m:ctrlPr>
                    <w:rPr>
                      <w:rFonts w:hint="default" w:ascii="Cambria Math" w:hAnsi="Cambria Math" w:cs="Times New Roman" w:eastAsiaTheme="minorEastAsia"/>
                      <w:sz w:val="24"/>
                      <w:highlight w:val="none"/>
                      <w:lang w:val="en-US" w:eastAsia="zh-CN"/>
                    </w:rPr>
                  </m:ctrlPr>
                </m:sub>
              </m:sSub>
              <m:ctrlPr>
                <w:rPr>
                  <w:rFonts w:hint="default" w:ascii="Cambria Math" w:hAnsi="Cambria Math" w:cs="Times New Roman" w:eastAsiaTheme="minorEastAsia"/>
                  <w:sz w:val="24"/>
                  <w:highlight w:val="none"/>
                  <w:lang w:val="en-US" w:eastAsia="zh-CN"/>
                </w:rPr>
              </m:ctrlPr>
            </m:den>
          </m:f>
          <m:r>
            <m:rPr>
              <m:nor/>
              <m:sty m:val="p"/>
            </m:rPr>
            <w:rPr>
              <w:rFonts w:hint="default" w:ascii="Times New Roman" w:hAnsi="Times New Roman" w:cs="Times New Roman" w:eastAsiaTheme="minorEastAsia"/>
              <w:b w:val="0"/>
              <w:i w:val="0"/>
              <w:sz w:val="24"/>
              <w:highlight w:val="none"/>
              <w:lang w:val="en-US" w:eastAsia="zh-CN"/>
            </w:rPr>
            <m:t>+⋯+</m:t>
          </m:r>
          <m:f>
            <m:fPr>
              <m:ctrlPr>
                <w:rPr>
                  <w:rFonts w:hint="default" w:ascii="Cambria Math" w:hAnsi="Cambria Math" w:cs="Times New Roman" w:eastAsiaTheme="minorEastAsia"/>
                  <w:sz w:val="24"/>
                  <w:highlight w:val="none"/>
                  <w:lang w:val="en-US" w:eastAsia="zh-CN"/>
                </w:rPr>
              </m:ctrlPr>
            </m:fPr>
            <m:num>
              <m:sSub>
                <m:sSubPr>
                  <m:ctrlPr>
                    <w:rPr>
                      <w:rFonts w:hint="default" w:ascii="Cambria Math" w:hAnsi="Cambria Math" w:cs="Times New Roman" w:eastAsiaTheme="minorEastAsia"/>
                      <w:sz w:val="24"/>
                      <w:highlight w:val="none"/>
                      <w:lang w:val="en-US" w:eastAsia="zh-CN"/>
                    </w:rPr>
                  </m:ctrlPr>
                </m:sSubPr>
                <m:e>
                  <m:r>
                    <m:rPr>
                      <m:nor/>
                      <m:sty m:val="p"/>
                    </m:rPr>
                    <w:rPr>
                      <w:rFonts w:hint="default" w:ascii="Times New Roman" w:hAnsi="Times New Roman" w:cs="Times New Roman" w:eastAsiaTheme="minorEastAsia"/>
                      <w:b w:val="0"/>
                      <w:i w:val="0"/>
                      <w:sz w:val="24"/>
                      <w:highlight w:val="none"/>
                      <w:lang w:val="en-US" w:eastAsia="zh-CN"/>
                    </w:rPr>
                    <m:t>q</m:t>
                  </m:r>
                  <m:ctrlPr>
                    <w:rPr>
                      <w:rFonts w:hint="default" w:ascii="Cambria Math" w:hAnsi="Cambria Math" w:cs="Times New Roman" w:eastAsiaTheme="minorEastAsia"/>
                      <w:sz w:val="24"/>
                      <w:highlight w:val="none"/>
                      <w:lang w:val="en-US" w:eastAsia="zh-CN"/>
                    </w:rPr>
                  </m:ctrlPr>
                </m:e>
                <m:sub>
                  <m:r>
                    <m:rPr>
                      <m:nor/>
                      <m:sty m:val="p"/>
                    </m:rPr>
                    <w:rPr>
                      <w:rFonts w:hint="default" w:ascii="Times New Roman" w:hAnsi="Times New Roman" w:cs="Times New Roman" w:eastAsiaTheme="minorEastAsia"/>
                      <w:b w:val="0"/>
                      <w:i w:val="0"/>
                      <w:sz w:val="24"/>
                      <w:highlight w:val="none"/>
                      <w:lang w:val="en-US" w:eastAsia="zh-CN"/>
                    </w:rPr>
                    <m:t>n</m:t>
                  </m:r>
                  <m:ctrlPr>
                    <w:rPr>
                      <w:rFonts w:hint="default" w:ascii="Cambria Math" w:hAnsi="Cambria Math" w:cs="Times New Roman" w:eastAsiaTheme="minorEastAsia"/>
                      <w:sz w:val="24"/>
                      <w:highlight w:val="none"/>
                      <w:lang w:val="en-US" w:eastAsia="zh-CN"/>
                    </w:rPr>
                  </m:ctrlPr>
                </m:sub>
              </m:sSub>
              <m:ctrlPr>
                <w:rPr>
                  <w:rFonts w:hint="default" w:ascii="Cambria Math" w:hAnsi="Cambria Math" w:cs="Times New Roman" w:eastAsiaTheme="minorEastAsia"/>
                  <w:sz w:val="24"/>
                  <w:highlight w:val="none"/>
                  <w:lang w:val="en-US" w:eastAsia="zh-CN"/>
                </w:rPr>
              </m:ctrlPr>
            </m:num>
            <m:den>
              <m:sSub>
                <m:sSubPr>
                  <m:ctrlPr>
                    <w:rPr>
                      <w:rFonts w:hint="default" w:ascii="Cambria Math" w:hAnsi="Cambria Math" w:cs="Times New Roman" w:eastAsiaTheme="minorEastAsia"/>
                      <w:sz w:val="24"/>
                      <w:highlight w:val="none"/>
                      <w:lang w:val="en-US" w:eastAsia="zh-CN"/>
                    </w:rPr>
                  </m:ctrlPr>
                </m:sSubPr>
                <m:e>
                  <m:r>
                    <m:rPr>
                      <m:nor/>
                      <m:sty m:val="p"/>
                    </m:rPr>
                    <w:rPr>
                      <w:rFonts w:hint="default" w:ascii="Times New Roman" w:hAnsi="Times New Roman" w:cs="Times New Roman" w:eastAsiaTheme="minorEastAsia"/>
                      <w:b w:val="0"/>
                      <w:i w:val="0"/>
                      <w:sz w:val="24"/>
                      <w:highlight w:val="none"/>
                      <w:lang w:val="en-US" w:eastAsia="zh-CN"/>
                    </w:rPr>
                    <m:t>Q</m:t>
                  </m:r>
                  <m:ctrlPr>
                    <w:rPr>
                      <w:rFonts w:hint="default" w:ascii="Cambria Math" w:hAnsi="Cambria Math" w:cs="Times New Roman" w:eastAsiaTheme="minorEastAsia"/>
                      <w:sz w:val="24"/>
                      <w:highlight w:val="none"/>
                      <w:lang w:val="en-US" w:eastAsia="zh-CN"/>
                    </w:rPr>
                  </m:ctrlPr>
                </m:e>
                <m:sub>
                  <m:r>
                    <m:rPr>
                      <m:nor/>
                      <m:sty m:val="p"/>
                    </m:rPr>
                    <w:rPr>
                      <w:rFonts w:hint="default" w:ascii="Times New Roman" w:hAnsi="Times New Roman" w:cs="Times New Roman" w:eastAsiaTheme="minorEastAsia"/>
                      <w:b w:val="0"/>
                      <w:i w:val="0"/>
                      <w:sz w:val="24"/>
                      <w:highlight w:val="none"/>
                      <w:lang w:val="en-US" w:eastAsia="zh-CN"/>
                    </w:rPr>
                    <m:t>n</m:t>
                  </m:r>
                  <m:ctrlPr>
                    <w:rPr>
                      <w:rFonts w:hint="default" w:ascii="Cambria Math" w:hAnsi="Cambria Math" w:cs="Times New Roman" w:eastAsiaTheme="minorEastAsia"/>
                      <w:sz w:val="24"/>
                      <w:highlight w:val="none"/>
                      <w:lang w:val="en-US" w:eastAsia="zh-CN"/>
                    </w:rPr>
                  </m:ctrlPr>
                </m:sub>
              </m:sSub>
              <m:ctrlPr>
                <w:rPr>
                  <w:rFonts w:hint="default" w:ascii="Cambria Math" w:hAnsi="Cambria Math" w:cs="Times New Roman" w:eastAsiaTheme="minorEastAsia"/>
                  <w:sz w:val="24"/>
                  <w:highlight w:val="none"/>
                  <w:lang w:val="en-US" w:eastAsia="zh-CN"/>
                </w:rPr>
              </m:ctrlPr>
            </m:den>
          </m:f>
        </m:oMath>
      </m:oMathPara>
    </w:p>
    <w:p w14:paraId="1B533D9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式中：</w:t>
      </w:r>
      <w:r>
        <w:rPr>
          <w:rFonts w:hint="default" w:ascii="Times New Roman" w:hAnsi="Times New Roman" w:cs="Times New Roman" w:eastAsiaTheme="minorEastAsia"/>
          <w:sz w:val="24"/>
          <w:lang w:val="en-US" w:eastAsia="zh-CN"/>
        </w:rPr>
        <w:fldChar w:fldCharType="begin"/>
      </w:r>
      <w:r>
        <w:rPr>
          <w:rFonts w:hint="default" w:ascii="Times New Roman" w:hAnsi="Times New Roman" w:cs="Times New Roman" w:eastAsiaTheme="minorEastAsia"/>
          <w:sz w:val="24"/>
          <w:lang w:val="en-US" w:eastAsia="zh-CN"/>
        </w:rPr>
        <w:instrText xml:space="preserve"> QUOTE </w:instrText>
      </w:r>
      <w:r>
        <w:rPr>
          <w:rFonts w:hint="default" w:ascii="Times New Roman" w:hAnsi="Times New Roman" w:cs="Times New Roman" w:eastAsiaTheme="minorEastAsia"/>
          <w:sz w:val="24"/>
          <w:lang w:val="en-US" w:eastAsia="zh-CN"/>
        </w:rPr>
        <w:pict>
          <v:shape id="_x0000_i1025" o:spt="75" type="#_x0000_t75" style="height:31.5pt;width:60.7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0&quot;/&gt;&lt;w:doNotEmbedSystemFonts/&gt;&lt;w:bordersDontSurroundHeader/&gt;&lt;w:bordersDontSurroundFooter/&gt;&lt;w:hideSpellingErrors/&gt;&lt;w:defaultTabStop w:val=&quot;420&quot;/&gt;&lt;w:evenAndOddHeaders/&gt;&lt;w:drawingGridHorizontalSpacing w:val=&quot;105&quot;/&gt;&lt;w:drawingGridVerticalSpacing w:val=&quot;233&quot;/&gt;&lt;w:displayHorizontalDrawingGridEvery w:val=&quot;0&quot;/&gt;&lt;w:displayVerticalDrawingGridEvery w:val=&quot;2&quot;/&gt;&lt;w:punctuationKerning/&gt;&lt;w:characterSpacingControl w:val=&quot;CompressPunctuation&quot;/&gt;&lt;w:webPageEncoding w:val=&quot;x-cp20936&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C11932&quot;/&gt;&lt;wsp:rsid wsp:val=&quot;00000432&quot;/&gt;&lt;wsp:rsid wsp:val=&quot;000005A1&quot;/&gt;&lt;wsp:rsid wsp:val=&quot;00001487&quot;/&gt;&lt;wsp:rsid wsp:val=&quot;000019A3&quot;/&gt;&lt;wsp:rsid wsp:val=&quot;00001C25&quot;/&gt;&lt;wsp:rsid wsp:val=&quot;0000209D&quot;/&gt;&lt;wsp:rsid wsp:val=&quot;000022F6&quot;/&gt;&lt;wsp:rsid wsp:val=&quot;00002652&quot;/&gt;&lt;wsp:rsid wsp:val=&quot;00004129&quot;/&gt;&lt;wsp:rsid wsp:val=&quot;0000728F&quot;/&gt;&lt;wsp:rsid wsp:val=&quot;000072EE&quot;/&gt;&lt;wsp:rsid wsp:val=&quot;0000768B&quot;/&gt;&lt;wsp:rsid wsp:val=&quot;000100A5&quot;/&gt;&lt;wsp:rsid wsp:val=&quot;00010D5D&quot;/&gt;&lt;wsp:rsid wsp:val=&quot;00010E5A&quot;/&gt;&lt;wsp:rsid wsp:val=&quot;00011054&quot;/&gt;&lt;wsp:rsid wsp:val=&quot;00011686&quot;/&gt;&lt;wsp:rsid wsp:val=&quot;000120C7&quot;/&gt;&lt;wsp:rsid wsp:val=&quot;00012164&quot;/&gt;&lt;wsp:rsid wsp:val=&quot;000143BA&quot;/&gt;&lt;wsp:rsid wsp:val=&quot;00014570&quot;/&gt;&lt;wsp:rsid wsp:val=&quot;0001620F&quot;/&gt;&lt;wsp:rsid wsp:val=&quot;0001717E&quot;/&gt;&lt;wsp:rsid wsp:val=&quot;000174D9&quot;/&gt;&lt;wsp:rsid wsp:val=&quot;00021C17&quot;/&gt;&lt;wsp:rsid wsp:val=&quot;0002208E&quot;/&gt;&lt;wsp:rsid wsp:val=&quot;00022137&quot;/&gt;&lt;wsp:rsid wsp:val=&quot;0002260C&quot;/&gt;&lt;wsp:rsid wsp:val=&quot;00022823&quot;/&gt;&lt;wsp:rsid wsp:val=&quot;00023D95&quot;/&gt;&lt;wsp:rsid wsp:val=&quot;000241CB&quot;/&gt;&lt;wsp:rsid wsp:val=&quot;000248AB&quot;/&gt;&lt;wsp:rsid wsp:val=&quot;000254ED&quot;/&gt;&lt;wsp:rsid wsp:val=&quot;00025913&quot;/&gt;&lt;wsp:rsid wsp:val=&quot;00026051&quot;/&gt;&lt;wsp:rsid wsp:val=&quot;00026888&quot;/&gt;&lt;wsp:rsid wsp:val=&quot;00026C4C&quot;/&gt;&lt;wsp:rsid wsp:val=&quot;00026CA0&quot;/&gt;&lt;wsp:rsid wsp:val=&quot;0003039D&quot;/&gt;&lt;wsp:rsid wsp:val=&quot;000310D5&quot;/&gt;&lt;wsp:rsid wsp:val=&quot;000314CC&quot;/&gt;&lt;wsp:rsid wsp:val=&quot;000324A9&quot;/&gt;&lt;wsp:rsid wsp:val=&quot;00034ADA&quot;/&gt;&lt;wsp:rsid wsp:val=&quot;00035A2E&quot;/&gt;&lt;wsp:rsid wsp:val=&quot;00036CCE&quot;/&gt;&lt;wsp:rsid wsp:val=&quot;00036ED2&quot;/&gt;&lt;wsp:rsid wsp:val=&quot;00040222&quot;/&gt;&lt;wsp:rsid wsp:val=&quot;000402D0&quot;/&gt;&lt;wsp:rsid wsp:val=&quot;00040F69&quot;/&gt;&lt;wsp:rsid wsp:val=&quot;000438E9&quot;/&gt;&lt;wsp:rsid wsp:val=&quot;00043944&quot;/&gt;&lt;wsp:rsid wsp:val=&quot;00044552&quot;/&gt;&lt;wsp:rsid wsp:val=&quot;00046D40&quot;/&gt;&lt;wsp:rsid wsp:val=&quot;00047321&quot;/&gt;&lt;wsp:rsid wsp:val=&quot;0004770C&quot;/&gt;&lt;wsp:rsid wsp:val=&quot;00050ABA&quot;/&gt;&lt;wsp:rsid wsp:val=&quot;00051B24&quot;/&gt;&lt;wsp:rsid wsp:val=&quot;00052412&quot;/&gt;&lt;wsp:rsid wsp:val=&quot;00053046&quot;/&gt;&lt;wsp:rsid wsp:val=&quot;00053B61&quot;/&gt;&lt;wsp:rsid wsp:val=&quot;000544EA&quot;/&gt;&lt;wsp:rsid wsp:val=&quot;00054B32&quot;/&gt;&lt;wsp:rsid wsp:val=&quot;000554F3&quot;/&gt;&lt;wsp:rsid wsp:val=&quot;00055571&quot;/&gt;&lt;wsp:rsid wsp:val=&quot;00056B0C&quot;/&gt;&lt;wsp:rsid wsp:val=&quot;00057935&quot;/&gt;&lt;wsp:rsid wsp:val=&quot;00060615&quot;/&gt;&lt;wsp:rsid wsp:val=&quot;00060A69&quot;/&gt;&lt;wsp:rsid wsp:val=&quot;00060C33&quot;/&gt;&lt;wsp:rsid wsp:val=&quot;000613A9&quot;/&gt;&lt;wsp:rsid wsp:val=&quot;000617DA&quot;/&gt;&lt;wsp:rsid wsp:val=&quot;000621FD&quot;/&gt;&lt;wsp:rsid wsp:val=&quot;00062946&quot;/&gt;&lt;wsp:rsid wsp:val=&quot;00062962&quot;/&gt;&lt;wsp:rsid wsp:val=&quot;00064E55&quot;/&gt;&lt;wsp:rsid wsp:val=&quot;000652A1&quot;/&gt;&lt;wsp:rsid wsp:val=&quot;00065AE6&quot;/&gt;&lt;wsp:rsid wsp:val=&quot;00065F49&quot;/&gt;&lt;wsp:rsid wsp:val=&quot;00066D66&quot;/&gt;&lt;wsp:rsid wsp:val=&quot;00067142&quot;/&gt;&lt;wsp:rsid wsp:val=&quot;00067EAB&quot;/&gt;&lt;wsp:rsid wsp:val=&quot;000705B1&quot;/&gt;&lt;wsp:rsid wsp:val=&quot;00071E61&quot;/&gt;&lt;wsp:rsid wsp:val=&quot;00072398&quot;/&gt;&lt;wsp:rsid wsp:val=&quot;00072D86&quot;/&gt;&lt;wsp:rsid wsp:val=&quot;0007390D&quot;/&gt;&lt;wsp:rsid wsp:val=&quot;000739D7&quot;/&gt;&lt;wsp:rsid wsp:val=&quot;000742C7&quot;/&gt;&lt;wsp:rsid wsp:val=&quot;000747A9&quot;/&gt;&lt;wsp:rsid wsp:val=&quot;000757E3&quot;/&gt;&lt;wsp:rsid wsp:val=&quot;0007647B&quot;/&gt;&lt;wsp:rsid wsp:val=&quot;000774D7&quot;/&gt;&lt;wsp:rsid wsp:val=&quot;00077D9F&quot;/&gt;&lt;wsp:rsid wsp:val=&quot;0008027F&quot;/&gt;&lt;wsp:rsid wsp:val=&quot;000808ED&quot;/&gt;&lt;wsp:rsid wsp:val=&quot;00080C60&quot;/&gt;&lt;wsp:rsid wsp:val=&quot;000852F8&quot;/&gt;&lt;wsp:rsid wsp:val=&quot;00085367&quot;/&gt;&lt;wsp:rsid wsp:val=&quot;0008571B&quot;/&gt;&lt;wsp:rsid wsp:val=&quot;000866F7&quot;/&gt;&lt;wsp:rsid wsp:val=&quot;00086C94&quot;/&gt;&lt;wsp:rsid wsp:val=&quot;00086E94&quot;/&gt;&lt;wsp:rsid wsp:val=&quot;000872AC&quot;/&gt;&lt;wsp:rsid wsp:val=&quot;00090740&quot;/&gt;&lt;wsp:rsid wsp:val=&quot;00090747&quot;/&gt;&lt;wsp:rsid wsp:val=&quot;00090FCB&quot;/&gt;&lt;wsp:rsid wsp:val=&quot;00091429&quot;/&gt;&lt;wsp:rsid wsp:val=&quot;00091456&quot;/&gt;&lt;wsp:rsid wsp:val=&quot;000915D6&quot;/&gt;&lt;wsp:rsid wsp:val=&quot;00091668&quot;/&gt;&lt;wsp:rsid wsp:val=&quot;00092991&quot;/&gt;&lt;wsp:rsid wsp:val=&quot;000946F0&quot;/&gt;&lt;wsp:rsid wsp:val=&quot;000964B7&quot;/&gt;&lt;wsp:rsid wsp:val=&quot;0009660E&quot;/&gt;&lt;wsp:rsid wsp:val=&quot;00097072&quot;/&gt;&lt;wsp:rsid wsp:val=&quot;000A10C2&quot;/&gt;&lt;wsp:rsid wsp:val=&quot;000A24B1&quot;/&gt;&lt;wsp:rsid wsp:val=&quot;000A50D7&quot;/&gt;&lt;wsp:rsid wsp:val=&quot;000A5A35&quot;/&gt;&lt;wsp:rsid wsp:val=&quot;000A5AAE&quot;/&gt;&lt;wsp:rsid wsp:val=&quot;000A6A19&quot;/&gt;&lt;wsp:rsid wsp:val=&quot;000A7141&quot;/&gt;&lt;wsp:rsid wsp:val=&quot;000A714D&quot;/&gt;&lt;wsp:rsid wsp:val=&quot;000B0448&quot;/&gt;&lt;wsp:rsid wsp:val=&quot;000B10DB&quot;/&gt;&lt;wsp:rsid wsp:val=&quot;000B28A4&quot;/&gt;&lt;wsp:rsid wsp:val=&quot;000B298B&quot;/&gt;&lt;wsp:rsid wsp:val=&quot;000B29DD&quot;/&gt;&lt;wsp:rsid wsp:val=&quot;000B2E45&quot;/&gt;&lt;wsp:rsid wsp:val=&quot;000B4C45&quot;/&gt;&lt;wsp:rsid wsp:val=&quot;000B4E51&quot;/&gt;&lt;wsp:rsid wsp:val=&quot;000B5295&quot;/&gt;&lt;wsp:rsid wsp:val=&quot;000B6024&quot;/&gt;&lt;wsp:rsid wsp:val=&quot;000B6803&quot;/&gt;&lt;wsp:rsid wsp:val=&quot;000B6E8C&quot;/&gt;&lt;wsp:rsid wsp:val=&quot;000B7753&quot;/&gt;&lt;wsp:rsid wsp:val=&quot;000B7E2C&quot;/&gt;&lt;wsp:rsid wsp:val=&quot;000B7FAC&quot;/&gt;&lt;wsp:rsid wsp:val=&quot;000C03C5&quot;/&gt;&lt;wsp:rsid wsp:val=&quot;000C0671&quot;/&gt;&lt;wsp:rsid wsp:val=&quot;000C0D13&quot;/&gt;&lt;wsp:rsid wsp:val=&quot;000C11E6&quot;/&gt;&lt;wsp:rsid wsp:val=&quot;000C582D&quot;/&gt;&lt;wsp:rsid wsp:val=&quot;000C6162&quot;/&gt;&lt;wsp:rsid wsp:val=&quot;000C6613&quot;/&gt;&lt;wsp:rsid wsp:val=&quot;000C6F7B&quot;/&gt;&lt;wsp:rsid wsp:val=&quot;000C7860&quot;/&gt;&lt;wsp:rsid wsp:val=&quot;000C78E6&quot;/&gt;&lt;wsp:rsid wsp:val=&quot;000D0635&quot;/&gt;&lt;wsp:rsid wsp:val=&quot;000D1070&quot;/&gt;&lt;wsp:rsid wsp:val=&quot;000D138E&quot;/&gt;&lt;wsp:rsid wsp:val=&quot;000D1FD3&quot;/&gt;&lt;wsp:rsid wsp:val=&quot;000D243B&quot;/&gt;&lt;wsp:rsid wsp:val=&quot;000D279B&quot;/&gt;&lt;wsp:rsid wsp:val=&quot;000D28FE&quot;/&gt;&lt;wsp:rsid wsp:val=&quot;000D30F2&quot;/&gt;&lt;wsp:rsid wsp:val=&quot;000D3AA5&quot;/&gt;&lt;wsp:rsid wsp:val=&quot;000D5015&quot;/&gt;&lt;wsp:rsid wsp:val=&quot;000D52FD&quot;/&gt;&lt;wsp:rsid wsp:val=&quot;000D551F&quot;/&gt;&lt;wsp:rsid wsp:val=&quot;000D5566&quot;/&gt;&lt;wsp:rsid wsp:val=&quot;000D5C6C&quot;/&gt;&lt;wsp:rsid wsp:val=&quot;000D6025&quot;/&gt;&lt;wsp:rsid wsp:val=&quot;000D7125&quot;/&gt;&lt;wsp:rsid wsp:val=&quot;000D7388&quot;/&gt;&lt;wsp:rsid wsp:val=&quot;000E18A6&quot;/&gt;&lt;wsp:rsid wsp:val=&quot;000E1DC6&quot;/&gt;&lt;wsp:rsid wsp:val=&quot;000E23B7&quot;/&gt;&lt;wsp:rsid wsp:val=&quot;000E44B0&quot;/&gt;&lt;wsp:rsid wsp:val=&quot;000E4568&quot;/&gt;&lt;wsp:rsid wsp:val=&quot;000E516D&quot;/&gt;&lt;wsp:rsid wsp:val=&quot;000E58FD&quot;/&gt;&lt;wsp:rsid wsp:val=&quot;000E624D&quot;/&gt;&lt;wsp:rsid wsp:val=&quot;000E6286&quot;/&gt;&lt;wsp:rsid wsp:val=&quot;000E745F&quot;/&gt;&lt;wsp:rsid wsp:val=&quot;000E7864&quot;/&gt;&lt;wsp:rsid wsp:val=&quot;000F0233&quot;/&gt;&lt;wsp:rsid wsp:val=&quot;000F080B&quot;/&gt;&lt;wsp:rsid wsp:val=&quot;000F096A&quot;/&gt;&lt;wsp:rsid wsp:val=&quot;000F0FC0&quot;/&gt;&lt;wsp:rsid wsp:val=&quot;000F0FEF&quot;/&gt;&lt;wsp:rsid wsp:val=&quot;000F2201&quot;/&gt;&lt;wsp:rsid wsp:val=&quot;000F31AA&quot;/&gt;&lt;wsp:rsid wsp:val=&quot;000F34D6&quot;/&gt;&lt;wsp:rsid wsp:val=&quot;000F47F5&quot;/&gt;&lt;wsp:rsid wsp:val=&quot;000F483D&quot;/&gt;&lt;wsp:rsid wsp:val=&quot;000F594A&quot;/&gt;&lt;wsp:rsid wsp:val=&quot;000F7699&quot;/&gt;&lt;wsp:rsid wsp:val=&quot;00100DA5&quot;/&gt;&lt;wsp:rsid wsp:val=&quot;0010126F&quot;/&gt;&lt;wsp:rsid wsp:val=&quot;00101611&quot;/&gt;&lt;wsp:rsid wsp:val=&quot;001016E3&quot;/&gt;&lt;wsp:rsid wsp:val=&quot;0010218C&quot;/&gt;&lt;wsp:rsid wsp:val=&quot;00102522&quot;/&gt;&lt;wsp:rsid wsp:val=&quot;00103C6A&quot;/&gt;&lt;wsp:rsid wsp:val=&quot;00103D45&quot;/&gt;&lt;wsp:rsid wsp:val=&quot;00104D1C&quot;/&gt;&lt;wsp:rsid wsp:val=&quot;001068BE&quot;/&gt;&lt;wsp:rsid wsp:val=&quot;001077C8&quot;/&gt;&lt;wsp:rsid wsp:val=&quot;00107815&quot;/&gt;&lt;wsp:rsid wsp:val=&quot;0011143B&quot;/&gt;&lt;wsp:rsid wsp:val=&quot;001116A8&quot;/&gt;&lt;wsp:rsid wsp:val=&quot;00111AFF&quot;/&gt;&lt;wsp:rsid wsp:val=&quot;00112199&quot;/&gt;&lt;wsp:rsid wsp:val=&quot;00112371&quot;/&gt;&lt;wsp:rsid wsp:val=&quot;001139F3&quot;/&gt;&lt;wsp:rsid wsp:val=&quot;0011455C&quot;/&gt;&lt;wsp:rsid wsp:val=&quot;00115992&quot;/&gt;&lt;wsp:rsid wsp:val=&quot;00115A4B&quot;/&gt;&lt;wsp:rsid wsp:val=&quot;00116914&quot;/&gt;&lt;wsp:rsid wsp:val=&quot;00116E2C&quot;/&gt;&lt;wsp:rsid wsp:val=&quot;0012107A&quot;/&gt;&lt;wsp:rsid wsp:val=&quot;00121EFD&quot;/&gt;&lt;wsp:rsid wsp:val=&quot;001221F9&quot;/&gt;&lt;wsp:rsid wsp:val=&quot;00122437&quot;/&gt;&lt;wsp:rsid wsp:val=&quot;00123485&quot;/&gt;&lt;wsp:rsid wsp:val=&quot;0012370E&quot;/&gt;&lt;wsp:rsid wsp:val=&quot;001243C4&quot;/&gt;&lt;wsp:rsid wsp:val=&quot;00124570&quot;/&gt;&lt;wsp:rsid wsp:val=&quot;00124C90&quot;/&gt;&lt;wsp:rsid wsp:val=&quot;0012560D&quot;/&gt;&lt;wsp:rsid wsp:val=&quot;0012661D&quot;/&gt;&lt;wsp:rsid wsp:val=&quot;001275B2&quot;/&gt;&lt;wsp:rsid wsp:val=&quot;00127BDE&quot;/&gt;&lt;wsp:rsid wsp:val=&quot;00130575&quot;/&gt;&lt;wsp:rsid wsp:val=&quot;00130D9D&quot;/&gt;&lt;wsp:rsid wsp:val=&quot;0013109F&quot;/&gt;&lt;wsp:rsid wsp:val=&quot;001311B0&quot;/&gt;&lt;wsp:rsid wsp:val=&quot;0013227F&quot;/&gt;&lt;wsp:rsid wsp:val=&quot;00132755&quot;/&gt;&lt;wsp:rsid wsp:val=&quot;00134009&quot;/&gt;&lt;wsp:rsid wsp:val=&quot;00134B7B&quot;/&gt;&lt;wsp:rsid wsp:val=&quot;00134F3E&quot;/&gt;&lt;wsp:rsid wsp:val=&quot;00134F50&quot;/&gt;&lt;wsp:rsid wsp:val=&quot;00136131&quot;/&gt;&lt;wsp:rsid wsp:val=&quot;00136865&quot;/&gt;&lt;wsp:rsid wsp:val=&quot;0013689B&quot;/&gt;&lt;wsp:rsid wsp:val=&quot;00140105&quot;/&gt;&lt;wsp:rsid wsp:val=&quot;0014098F&quot;/&gt;&lt;wsp:rsid wsp:val=&quot;0014107A&quot;/&gt;&lt;wsp:rsid wsp:val=&quot;0014208C&quot;/&gt;&lt;wsp:rsid wsp:val=&quot;00142424&quot;/&gt;&lt;wsp:rsid wsp:val=&quot;001425DB&quot;/&gt;&lt;wsp:rsid wsp:val=&quot;0014287E&quot;/&gt;&lt;wsp:rsid wsp:val=&quot;001429A6&quot;/&gt;&lt;wsp:rsid wsp:val=&quot;00142A53&quot;/&gt;&lt;wsp:rsid wsp:val=&quot;00143C12&quot;/&gt;&lt;wsp:rsid wsp:val=&quot;0014443C&quot;/&gt;&lt;wsp:rsid wsp:val=&quot;001447E5&quot;/&gt;&lt;wsp:rsid wsp:val=&quot;00144BAB&quot;/&gt;&lt;wsp:rsid wsp:val=&quot;00145AC1&quot;/&gt;&lt;wsp:rsid wsp:val=&quot;00146314&quot;/&gt;&lt;wsp:rsid wsp:val=&quot;00146A60&quot;/&gt;&lt;wsp:rsid wsp:val=&quot;00146E12&quot;/&gt;&lt;wsp:rsid wsp:val=&quot;00147098&quot;/&gt;&lt;wsp:rsid wsp:val=&quot;00147446&quot;/&gt;&lt;wsp:rsid wsp:val=&quot;001477B5&quot;/&gt;&lt;wsp:rsid wsp:val=&quot;00147806&quot;/&gt;&lt;wsp:rsid wsp:val=&quot;00147A28&quot;/&gt;&lt;wsp:rsid wsp:val=&quot;00150D5A&quot;/&gt;&lt;wsp:rsid wsp:val=&quot;00151E54&quot;/&gt;&lt;wsp:rsid wsp:val=&quot;001524B2&quot;/&gt;&lt;wsp:rsid wsp:val=&quot;00152AF7&quot;/&gt;&lt;wsp:rsid wsp:val=&quot;00152AFC&quot;/&gt;&lt;wsp:rsid wsp:val=&quot;0015349C&quot;/&gt;&lt;wsp:rsid wsp:val=&quot;00154CE2&quot;/&gt;&lt;wsp:rsid wsp:val=&quot;00156790&quot;/&gt;&lt;wsp:rsid wsp:val=&quot;00160957&quot;/&gt;&lt;wsp:rsid wsp:val=&quot;00160D1A&quot;/&gt;&lt;wsp:rsid wsp:val=&quot;00160DCE&quot;/&gt;&lt;wsp:rsid wsp:val=&quot;00161008&quot;/&gt;&lt;wsp:rsid wsp:val=&quot;001612A4&quot;/&gt;&lt;wsp:rsid wsp:val=&quot;001613A6&quot;/&gt;&lt;wsp:rsid wsp:val=&quot;00161866&quot;/&gt;&lt;wsp:rsid wsp:val=&quot;00162957&quot;/&gt;&lt;wsp:rsid wsp:val=&quot;00163F59&quot;/&gt;&lt;wsp:rsid wsp:val=&quot;001642D3&quot;/&gt;&lt;wsp:rsid wsp:val=&quot;00164F34&quot;/&gt;&lt;wsp:rsid wsp:val=&quot;0016529F&quot;/&gt;&lt;wsp:rsid wsp:val=&quot;0016603B&quot;/&gt;&lt;wsp:rsid wsp:val=&quot;0016683C&quot;/&gt;&lt;wsp:rsid wsp:val=&quot;0016761F&quot;/&gt;&lt;wsp:rsid wsp:val=&quot;00167F9C&quot;/&gt;&lt;wsp:rsid wsp:val=&quot;0017025A&quot;/&gt;&lt;wsp:rsid wsp:val=&quot;00170A2A&quot;/&gt;&lt;wsp:rsid wsp:val=&quot;00171DA5&quot;/&gt;&lt;wsp:rsid wsp:val=&quot;00173219&quot;/&gt;&lt;wsp:rsid wsp:val=&quot;00173773&quot;/&gt;&lt;wsp:rsid wsp:val=&quot;00173F60&quot;/&gt;&lt;wsp:rsid wsp:val=&quot;0017434D&quot;/&gt;&lt;wsp:rsid wsp:val=&quot;00174ADC&quot;/&gt;&lt;wsp:rsid wsp:val=&quot;00175214&quot;/&gt;&lt;wsp:rsid wsp:val=&quot;001761AD&quot;/&gt;&lt;wsp:rsid wsp:val=&quot;001777A2&quot;/&gt;&lt;wsp:rsid wsp:val=&quot;001803D4&quot;/&gt;&lt;wsp:rsid wsp:val=&quot;001811EB&quot;/&gt;&lt;wsp:rsid wsp:val=&quot;001816A9&quot;/&gt;&lt;wsp:rsid wsp:val=&quot;001825C4&quot;/&gt;&lt;wsp:rsid wsp:val=&quot;0018263A&quot;/&gt;&lt;wsp:rsid wsp:val=&quot;00182E4D&quot;/&gt;&lt;wsp:rsid wsp:val=&quot;001838AE&quot;/&gt;&lt;wsp:rsid wsp:val=&quot;00185AB5&quot;/&gt;&lt;wsp:rsid wsp:val=&quot;00194210&quot;/&gt;&lt;wsp:rsid wsp:val=&quot;00194E71&quot;/&gt;&lt;wsp:rsid wsp:val=&quot;0019564D&quot;/&gt;&lt;wsp:rsid wsp:val=&quot;00195776&quot;/&gt;&lt;wsp:rsid wsp:val=&quot;00195A0A&quot;/&gt;&lt;wsp:rsid wsp:val=&quot;00195E1E&quot;/&gt;&lt;wsp:rsid wsp:val=&quot;0019688F&quot;/&gt;&lt;wsp:rsid wsp:val=&quot;00197865&quot;/&gt;&lt;wsp:rsid wsp:val=&quot;00197B4F&quot;/&gt;&lt;wsp:rsid wsp:val=&quot;001A067B&quot;/&gt;&lt;wsp:rsid wsp:val=&quot;001A06ED&quot;/&gt;&lt;wsp:rsid wsp:val=&quot;001A0F35&quot;/&gt;&lt;wsp:rsid wsp:val=&quot;001A1368&quot;/&gt;&lt;wsp:rsid wsp:val=&quot;001A2359&quot;/&gt;&lt;wsp:rsid wsp:val=&quot;001A3A63&quot;/&gt;&lt;wsp:rsid wsp:val=&quot;001A3BFD&quot;/&gt;&lt;wsp:rsid wsp:val=&quot;001A4174&quot;/&gt;&lt;wsp:rsid wsp:val=&quot;001A498E&quot;/&gt;&lt;wsp:rsid wsp:val=&quot;001A58B3&quot;/&gt;&lt;wsp:rsid wsp:val=&quot;001A5905&quot;/&gt;&lt;wsp:rsid wsp:val=&quot;001A5A39&quot;/&gt;&lt;wsp:rsid wsp:val=&quot;001A5FE1&quot;/&gt;&lt;wsp:rsid wsp:val=&quot;001A79E4&quot;/&gt;&lt;wsp:rsid wsp:val=&quot;001B05D0&quot;/&gt;&lt;wsp:rsid wsp:val=&quot;001B0A15&quot;/&gt;&lt;wsp:rsid wsp:val=&quot;001B1C6D&quot;/&gt;&lt;wsp:rsid wsp:val=&quot;001B2344&quot;/&gt;&lt;wsp:rsid wsp:val=&quot;001B25AF&quot;/&gt;&lt;wsp:rsid wsp:val=&quot;001B27A2&quot;/&gt;&lt;wsp:rsid wsp:val=&quot;001B2B6C&quot;/&gt;&lt;wsp:rsid wsp:val=&quot;001B2BF7&quot;/&gt;&lt;wsp:rsid wsp:val=&quot;001B2C5B&quot;/&gt;&lt;wsp:rsid wsp:val=&quot;001B3C93&quot;/&gt;&lt;wsp:rsid wsp:val=&quot;001B3E60&quot;/&gt;&lt;wsp:rsid wsp:val=&quot;001B53F4&quot;/&gt;&lt;wsp:rsid wsp:val=&quot;001B6B17&quot;/&gt;&lt;wsp:rsid wsp:val=&quot;001C0D53&quot;/&gt;&lt;wsp:rsid wsp:val=&quot;001C0E33&quot;/&gt;&lt;wsp:rsid wsp:val=&quot;001C130E&quot;/&gt;&lt;wsp:rsid wsp:val=&quot;001C14A1&quot;/&gt;&lt;wsp:rsid wsp:val=&quot;001C2B04&quot;/&gt;&lt;wsp:rsid wsp:val=&quot;001C31E7&quot;/&gt;&lt;wsp:rsid wsp:val=&quot;001C3FCE&quot;/&gt;&lt;wsp:rsid wsp:val=&quot;001C44D5&quot;/&gt;&lt;wsp:rsid wsp:val=&quot;001C453C&quot;/&gt;&lt;wsp:rsid wsp:val=&quot;001C4696&quot;/&gt;&lt;wsp:rsid wsp:val=&quot;001C48A4&quot;/&gt;&lt;wsp:rsid wsp:val=&quot;001C511B&quot;/&gt;&lt;wsp:rsid wsp:val=&quot;001C5923&quot;/&gt;&lt;wsp:rsid wsp:val=&quot;001C5ADF&quot;/&gt;&lt;wsp:rsid wsp:val=&quot;001C5C65&quot;/&gt;&lt;wsp:rsid wsp:val=&quot;001C7283&quot;/&gt;&lt;wsp:rsid wsp:val=&quot;001C7B40&quot;/&gt;&lt;wsp:rsid wsp:val=&quot;001C7CE5&quot;/&gt;&lt;wsp:rsid wsp:val=&quot;001C7EFF&quot;/&gt;&lt;wsp:rsid wsp:val=&quot;001D00CB&quot;/&gt;&lt;wsp:rsid wsp:val=&quot;001D0234&quot;/&gt;&lt;wsp:rsid wsp:val=&quot;001D0BEF&quot;/&gt;&lt;wsp:rsid wsp:val=&quot;001D108E&quot;/&gt;&lt;wsp:rsid wsp:val=&quot;001D1BDE&quot;/&gt;&lt;wsp:rsid wsp:val=&quot;001D40EB&quot;/&gt;&lt;wsp:rsid wsp:val=&quot;001D624A&quot;/&gt;&lt;wsp:rsid wsp:val=&quot;001D648E&quot;/&gt;&lt;wsp:rsid wsp:val=&quot;001D685B&quot;/&gt;&lt;wsp:rsid wsp:val=&quot;001D6E74&quot;/&gt;&lt;wsp:rsid wsp:val=&quot;001E08C1&quot;/&gt;&lt;wsp:rsid wsp:val=&quot;001E0A53&quot;/&gt;&lt;wsp:rsid wsp:val=&quot;001E3A2B&quot;/&gt;&lt;wsp:rsid wsp:val=&quot;001E51F2&quot;/&gt;&lt;wsp:rsid wsp:val=&quot;001E5BF8&quot;/&gt;&lt;wsp:rsid wsp:val=&quot;001E64BB&quot;/&gt;&lt;wsp:rsid wsp:val=&quot;001E6B1C&quot;/&gt;&lt;wsp:rsid wsp:val=&quot;001E789F&quot;/&gt;&lt;wsp:rsid wsp:val=&quot;001E7E89&quot;/&gt;&lt;wsp:rsid wsp:val=&quot;001F026A&quot;/&gt;&lt;wsp:rsid wsp:val=&quot;001F0957&quot;/&gt;&lt;wsp:rsid wsp:val=&quot;001F0F81&quot;/&gt;&lt;wsp:rsid wsp:val=&quot;001F0FDB&quot;/&gt;&lt;wsp:rsid wsp:val=&quot;001F1F44&quot;/&gt;&lt;wsp:rsid wsp:val=&quot;001F2C0D&quot;/&gt;&lt;wsp:rsid wsp:val=&quot;001F2C87&quot;/&gt;&lt;wsp:rsid wsp:val=&quot;001F33D2&quot;/&gt;&lt;wsp:rsid wsp:val=&quot;001F3DE3&quot;/&gt;&lt;wsp:rsid wsp:val=&quot;001F4430&quot;/&gt;&lt;wsp:rsid wsp:val=&quot;001F4DD9&quot;/&gt;&lt;wsp:rsid wsp:val=&quot;001F5B98&quot;/&gt;&lt;wsp:rsid wsp:val=&quot;001F6082&quot;/&gt;&lt;wsp:rsid wsp:val=&quot;001F7214&quot;/&gt;&lt;wsp:rsid wsp:val=&quot;001F7A7B&quot;/&gt;&lt;wsp:rsid wsp:val=&quot;001F7F3A&quot;/&gt;&lt;wsp:rsid wsp:val=&quot;0020010C&quot;/&gt;&lt;wsp:rsid wsp:val=&quot;00200E7C&quot;/&gt;&lt;wsp:rsid wsp:val=&quot;00200EAE&quot;/&gt;&lt;wsp:rsid wsp:val=&quot;0020115B&quot;/&gt;&lt;wsp:rsid wsp:val=&quot;00201DD3&quot;/&gt;&lt;wsp:rsid wsp:val=&quot;00202808&quot;/&gt;&lt;wsp:rsid wsp:val=&quot;00204903&quot;/&gt;&lt;wsp:rsid wsp:val=&quot;00204D70&quot;/&gt;&lt;wsp:rsid wsp:val=&quot;00205ADF&quot;/&gt;&lt;wsp:rsid wsp:val=&quot;00205E34&quot;/&gt;&lt;wsp:rsid wsp:val=&quot;00205FDE&quot;/&gt;&lt;wsp:rsid wsp:val=&quot;00207F86&quot;/&gt;&lt;wsp:rsid wsp:val=&quot;00212B8C&quot;/&gt;&lt;wsp:rsid wsp:val=&quot;00213027&quot;/&gt;&lt;wsp:rsid wsp:val=&quot;00213728&quot;/&gt;&lt;wsp:rsid wsp:val=&quot;00213B5E&quot;/&gt;&lt;wsp:rsid wsp:val=&quot;002140DE&quot;/&gt;&lt;wsp:rsid wsp:val=&quot;00214AEC&quot;/&gt;&lt;wsp:rsid wsp:val=&quot;00214F8B&quot;/&gt;&lt;wsp:rsid wsp:val=&quot;0021607F&quot;/&gt;&lt;wsp:rsid wsp:val=&quot;00216E3D&quot;/&gt;&lt;wsp:rsid wsp:val=&quot;00220AC7&quot;/&gt;&lt;wsp:rsid wsp:val=&quot;0022164D&quot;/&gt;&lt;wsp:rsid wsp:val=&quot;00222853&quot;/&gt;&lt;wsp:rsid wsp:val=&quot;00222C21&quot;/&gt;&lt;wsp:rsid wsp:val=&quot;00222F1E&quot;/&gt;&lt;wsp:rsid wsp:val=&quot;0022354F&quot;/&gt;&lt;wsp:rsid wsp:val=&quot;00223C16&quot;/&gt;&lt;wsp:rsid wsp:val=&quot;00226593&quot;/&gt;&lt;wsp:rsid wsp:val=&quot;0022660A&quot;/&gt;&lt;wsp:rsid wsp:val=&quot;002302A3&quot;/&gt;&lt;wsp:rsid wsp:val=&quot;00230B08&quot;/&gt;&lt;wsp:rsid wsp:val=&quot;0023283A&quot;/&gt;&lt;wsp:rsid wsp:val=&quot;0023299E&quot;/&gt;&lt;wsp:rsid wsp:val=&quot;00233202&quot;/&gt;&lt;wsp:rsid wsp:val=&quot;00235B22&quot;/&gt;&lt;wsp:rsid wsp:val=&quot;00235B9B&quot;/&gt;&lt;wsp:rsid wsp:val=&quot;002362E2&quot;/&gt;&lt;wsp:rsid wsp:val=&quot;00236EE8&quot;/&gt;&lt;wsp:rsid wsp:val=&quot;00237AE0&quot;/&gt;&lt;wsp:rsid wsp:val=&quot;0024017D&quot;/&gt;&lt;wsp:rsid wsp:val=&quot;00240300&quot;/&gt;&lt;wsp:rsid wsp:val=&quot;002415C0&quot;/&gt;&lt;wsp:rsid wsp:val=&quot;002418B4&quot;/&gt;&lt;wsp:rsid wsp:val=&quot;00241D32&quot;/&gt;&lt;wsp:rsid wsp:val=&quot;00241E56&quot;/&gt;&lt;wsp:rsid wsp:val=&quot;00243F1D&quot;/&gt;&lt;wsp:rsid wsp:val=&quot;00243F9E&quot;/&gt;&lt;wsp:rsid wsp:val=&quot;002442EE&quot;/&gt;&lt;wsp:rsid wsp:val=&quot;00244598&quot;/&gt;&lt;wsp:rsid wsp:val=&quot;002454E7&quot;/&gt;&lt;wsp:rsid wsp:val=&quot;00246D64&quot;/&gt;&lt;wsp:rsid wsp:val=&quot;0025196A&quot;/&gt;&lt;wsp:rsid wsp:val=&quot;00251DD9&quot;/&gt;&lt;wsp:rsid wsp:val=&quot;0025266C&quot;/&gt;&lt;wsp:rsid wsp:val=&quot;002526D1&quot;/&gt;&lt;wsp:rsid wsp:val=&quot;002527DC&quot;/&gt;&lt;wsp:rsid wsp:val=&quot;00253316&quot;/&gt;&lt;wsp:rsid wsp:val=&quot;00254739&quot;/&gt;&lt;wsp:rsid wsp:val=&quot;00255669&quot;/&gt;&lt;wsp:rsid wsp:val=&quot;00255CA0&quot;/&gt;&lt;wsp:rsid wsp:val=&quot;00255FC8&quot;/&gt;&lt;wsp:rsid wsp:val=&quot;00256E6B&quot;/&gt;&lt;wsp:rsid wsp:val=&quot;00257513&quot;/&gt;&lt;wsp:rsid wsp:val=&quot;0026019E&quot;/&gt;&lt;wsp:rsid wsp:val=&quot;0026120A&quot;/&gt;&lt;wsp:rsid wsp:val=&quot;00262E2C&quot;/&gt;&lt;wsp:rsid wsp:val=&quot;00263726&quot;/&gt;&lt;wsp:rsid wsp:val=&quot;00263BC4&quot;/&gt;&lt;wsp:rsid wsp:val=&quot;002659EC&quot;/&gt;&lt;wsp:rsid wsp:val=&quot;0026671B&quot;/&gt;&lt;wsp:rsid wsp:val=&quot;00266F38&quot;/&gt;&lt;wsp:rsid wsp:val=&quot;00267B62&quot;/&gt;&lt;wsp:rsid wsp:val=&quot;00267CD2&quot;/&gt;&lt;wsp:rsid wsp:val=&quot;00270CB6&quot;/&gt;&lt;wsp:rsid wsp:val=&quot;0027142E&quot;/&gt;&lt;wsp:rsid wsp:val=&quot;00272D2B&quot;/&gt;&lt;wsp:rsid wsp:val=&quot;002734BB&quot;/&gt;&lt;wsp:rsid wsp:val=&quot;00273F1A&quot;/&gt;&lt;wsp:rsid wsp:val=&quot;002744C6&quot;/&gt;&lt;wsp:rsid wsp:val=&quot;0027463C&quot;/&gt;&lt;wsp:rsid wsp:val=&quot;002753C4&quot;/&gt;&lt;wsp:rsid wsp:val=&quot;00275959&quot;/&gt;&lt;wsp:rsid wsp:val=&quot;002760A2&quot;/&gt;&lt;wsp:rsid wsp:val=&quot;002767BF&quot;/&gt;&lt;wsp:rsid wsp:val=&quot;00276B5D&quot;/&gt;&lt;wsp:rsid wsp:val=&quot;00281AC6&quot;/&gt;&lt;wsp:rsid wsp:val=&quot;002827D2&quot;/&gt;&lt;wsp:rsid wsp:val=&quot;00282D7E&quot;/&gt;&lt;wsp:rsid wsp:val=&quot;00282E64&quot;/&gt;&lt;wsp:rsid wsp:val=&quot;002831F6&quot;/&gt;&lt;wsp:rsid wsp:val=&quot;00283C1A&quot;/&gt;&lt;wsp:rsid wsp:val=&quot;002843DC&quot;/&gt;&lt;wsp:rsid wsp:val=&quot;00285C95&quot;/&gt;&lt;wsp:rsid wsp:val=&quot;00286987&quot;/&gt;&lt;wsp:rsid wsp:val=&quot;002870E0&quot;/&gt;&lt;wsp:rsid wsp:val=&quot;00287A5C&quot;/&gt;&lt;wsp:rsid wsp:val=&quot;002903DA&quot;/&gt;&lt;wsp:rsid wsp:val=&quot;002904B1&quot;/&gt;&lt;wsp:rsid wsp:val=&quot;002914F4&quot;/&gt;&lt;wsp:rsid wsp:val=&quot;00291798&quot;/&gt;&lt;wsp:rsid wsp:val=&quot;002918C8&quot;/&gt;&lt;wsp:rsid wsp:val=&quot;00291C1A&quot;/&gt;&lt;wsp:rsid wsp:val=&quot;0029345D&quot;/&gt;&lt;wsp:rsid wsp:val=&quot;00293542&quot;/&gt;&lt;wsp:rsid wsp:val=&quot;00293581&quot;/&gt;&lt;wsp:rsid wsp:val=&quot;002936E5&quot;/&gt;&lt;wsp:rsid wsp:val=&quot;00295CEE&quot;/&gt;&lt;wsp:rsid wsp:val=&quot;00295D0F&quot;/&gt;&lt;wsp:rsid wsp:val=&quot;00296554&quot;/&gt;&lt;wsp:rsid wsp:val=&quot;00297695&quot;/&gt;&lt;wsp:rsid wsp:val=&quot;00297F78&quot;/&gt;&lt;wsp:rsid wsp:val=&quot;002A057C&quot;/&gt;&lt;wsp:rsid wsp:val=&quot;002A088C&quot;/&gt;&lt;wsp:rsid wsp:val=&quot;002A0F2D&quot;/&gt;&lt;wsp:rsid wsp:val=&quot;002A1C69&quot;/&gt;&lt;wsp:rsid wsp:val=&quot;002A22E3&quot;/&gt;&lt;wsp:rsid wsp:val=&quot;002A2A0E&quot;/&gt;&lt;wsp:rsid wsp:val=&quot;002A3CCF&quot;/&gt;&lt;wsp:rsid wsp:val=&quot;002A3DAA&quot;/&gt;&lt;wsp:rsid wsp:val=&quot;002A3FD3&quot;/&gt;&lt;wsp:rsid wsp:val=&quot;002A56ED&quot;/&gt;&lt;wsp:rsid wsp:val=&quot;002B0C4F&quot;/&gt;&lt;wsp:rsid wsp:val=&quot;002B156C&quot;/&gt;&lt;wsp:rsid wsp:val=&quot;002B1DEA&quot;/&gt;&lt;wsp:rsid wsp:val=&quot;002B24B8&quot;/&gt;&lt;wsp:rsid wsp:val=&quot;002B2582&quot;/&gt;&lt;wsp:rsid wsp:val=&quot;002B25B5&quot;/&gt;&lt;wsp:rsid wsp:val=&quot;002B376F&quot;/&gt;&lt;wsp:rsid wsp:val=&quot;002B47D8&quot;/&gt;&lt;wsp:rsid wsp:val=&quot;002B79AB&quot;/&gt;&lt;wsp:rsid wsp:val=&quot;002C0F8F&quot;/&gt;&lt;wsp:rsid wsp:val=&quot;002C0F95&quot;/&gt;&lt;wsp:rsid wsp:val=&quot;002C38F5&quot;/&gt;&lt;wsp:rsid wsp:val=&quot;002C3DEC&quot;/&gt;&lt;wsp:rsid wsp:val=&quot;002C55E9&quot;/&gt;&lt;wsp:rsid wsp:val=&quot;002C5804&quot;/&gt;&lt;wsp:rsid wsp:val=&quot;002C6E14&quot;/&gt;&lt;wsp:rsid wsp:val=&quot;002D060B&quot;/&gt;&lt;wsp:rsid wsp:val=&quot;002D1E48&quot;/&gt;&lt;wsp:rsid wsp:val=&quot;002D1F63&quot;/&gt;&lt;wsp:rsid wsp:val=&quot;002D2E7F&quot;/&gt;&lt;wsp:rsid wsp:val=&quot;002D3052&quot;/&gt;&lt;wsp:rsid wsp:val=&quot;002D35C8&quot;/&gt;&lt;wsp:rsid wsp:val=&quot;002D54B2&quot;/&gt;&lt;wsp:rsid wsp:val=&quot;002D55C4&quot;/&gt;&lt;wsp:rsid wsp:val=&quot;002D5E1A&quot;/&gt;&lt;wsp:rsid wsp:val=&quot;002D66F3&quot;/&gt;&lt;wsp:rsid wsp:val=&quot;002D7629&quot;/&gt;&lt;wsp:rsid wsp:val=&quot;002E0E0D&quot;/&gt;&lt;wsp:rsid wsp:val=&quot;002E105D&quot;/&gt;&lt;wsp:rsid wsp:val=&quot;002E1EBC&quot;/&gt;&lt;wsp:rsid wsp:val=&quot;002E404E&quot;/&gt;&lt;wsp:rsid wsp:val=&quot;002E42E6&quot;/&gt;&lt;wsp:rsid wsp:val=&quot;002E4B2C&quot;/&gt;&lt;wsp:rsid wsp:val=&quot;002E70B9&quot;/&gt;&lt;wsp:rsid wsp:val=&quot;002E720D&quot;/&gt;&lt;wsp:rsid wsp:val=&quot;002F022C&quot;/&gt;&lt;wsp:rsid wsp:val=&quot;002F03AD&quot;/&gt;&lt;wsp:rsid wsp:val=&quot;002F03D9&quot;/&gt;&lt;wsp:rsid wsp:val=&quot;002F161B&quot;/&gt;&lt;wsp:rsid wsp:val=&quot;002F3474&quot;/&gt;&lt;wsp:rsid wsp:val=&quot;002F3B7A&quot;/&gt;&lt;wsp:rsid wsp:val=&quot;002F40AD&quot;/&gt;&lt;wsp:rsid wsp:val=&quot;002F466D&quot;/&gt;&lt;wsp:rsid wsp:val=&quot;002F50B4&quot;/&gt;&lt;wsp:rsid wsp:val=&quot;002F51AB&quot;/&gt;&lt;wsp:rsid wsp:val=&quot;002F55D4&quot;/&gt;&lt;wsp:rsid wsp:val=&quot;002F5926&quot;/&gt;&lt;wsp:rsid wsp:val=&quot;002F7F4D&quot;/&gt;&lt;wsp:rsid wsp:val=&quot;003010E6&quot;/&gt;&lt;wsp:rsid wsp:val=&quot;00301229&quot;/&gt;&lt;wsp:rsid wsp:val=&quot;0030142F&quot;/&gt;&lt;wsp:rsid wsp:val=&quot;00302396&quot;/&gt;&lt;wsp:rsid wsp:val=&quot;00302517&quot;/&gt;&lt;wsp:rsid wsp:val=&quot;0030340F&quot;/&gt;&lt;wsp:rsid wsp:val=&quot;0030346C&quot;/&gt;&lt;wsp:rsid wsp:val=&quot;00303E45&quot;/&gt;&lt;wsp:rsid wsp:val=&quot;003045FF&quot;/&gt;&lt;wsp:rsid wsp:val=&quot;003058A6&quot;/&gt;&lt;wsp:rsid wsp:val=&quot;00305F06&quot;/&gt;&lt;wsp:rsid wsp:val=&quot;00306702&quot;/&gt;&lt;wsp:rsid wsp:val=&quot;00306AC0&quot;/&gt;&lt;wsp:rsid wsp:val=&quot;00306D02&quot;/&gt;&lt;wsp:rsid wsp:val=&quot;00307642&quot;/&gt;&lt;wsp:rsid wsp:val=&quot;00307E57&quot;/&gt;&lt;wsp:rsid wsp:val=&quot;00310046&quot;/&gt;&lt;wsp:rsid wsp:val=&quot;003101DF&quot;/&gt;&lt;wsp:rsid wsp:val=&quot;00311B68&quot;/&gt;&lt;wsp:rsid wsp:val=&quot;0031244E&quot;/&gt;&lt;wsp:rsid wsp:val=&quot;003127BB&quot;/&gt;&lt;wsp:rsid wsp:val=&quot;0031414B&quot;/&gt;&lt;wsp:rsid wsp:val=&quot;003143BB&quot;/&gt;&lt;wsp:rsid wsp:val=&quot;00314994&quot;/&gt;&lt;wsp:rsid wsp:val=&quot;00316AB5&quot;/&gt;&lt;wsp:rsid wsp:val=&quot;00316C6D&quot;/&gt;&lt;wsp:rsid wsp:val=&quot;00316EB2&quot;/&gt;&lt;wsp:rsid wsp:val=&quot;003176D8&quot;/&gt;&lt;wsp:rsid wsp:val=&quot;00321DD0&quot;/&gt;&lt;wsp:rsid wsp:val=&quot;0032208B&quot;/&gt;&lt;wsp:rsid wsp:val=&quot;00323D56&quot;/&gt;&lt;wsp:rsid wsp:val=&quot;00324476&quot;/&gt;&lt;wsp:rsid wsp:val=&quot;003248F9&quot;/&gt;&lt;wsp:rsid wsp:val=&quot;00326267&quot;/&gt;&lt;wsp:rsid wsp:val=&quot;00331213&quot;/&gt;&lt;wsp:rsid wsp:val=&quot;003313E3&quot;/&gt;&lt;wsp:rsid wsp:val=&quot;00331F36&quot;/&gt;&lt;wsp:rsid wsp:val=&quot;0033244A&quot;/&gt;&lt;wsp:rsid wsp:val=&quot;00332735&quot;/&gt;&lt;wsp:rsid wsp:val=&quot;00332CA0&quot;/&gt;&lt;wsp:rsid wsp:val=&quot;00332CF0&quot;/&gt;&lt;wsp:rsid wsp:val=&quot;00333B41&quot;/&gt;&lt;wsp:rsid wsp:val=&quot;0033445E&quot;/&gt;&lt;wsp:rsid wsp:val=&quot;00336754&quot;/&gt;&lt;wsp:rsid wsp:val=&quot;00336DC9&quot;/&gt;&lt;wsp:rsid wsp:val=&quot;00337229&quot;/&gt;&lt;wsp:rsid wsp:val=&quot;0033724C&quot;/&gt;&lt;wsp:rsid wsp:val=&quot;003372B8&quot;/&gt;&lt;wsp:rsid wsp:val=&quot;00340983&quot;/&gt;&lt;wsp:rsid wsp:val=&quot;00340CC7&quot;/&gt;&lt;wsp:rsid wsp:val=&quot;00340D07&quot;/&gt;&lt;wsp:rsid wsp:val=&quot;0034125D&quot;/&gt;&lt;wsp:rsid wsp:val=&quot;003417C9&quot;/&gt;&lt;wsp:rsid wsp:val=&quot;003420F1&quot;/&gt;&lt;wsp:rsid wsp:val=&quot;0034262E&quot;/&gt;&lt;wsp:rsid wsp:val=&quot;003429DB&quot;/&gt;&lt;wsp:rsid wsp:val=&quot;00342AAC&quot;/&gt;&lt;wsp:rsid wsp:val=&quot;003436C1&quot;/&gt;&lt;wsp:rsid wsp:val=&quot;00344353&quot;/&gt;&lt;wsp:rsid wsp:val=&quot;00344C91&quot;/&gt;&lt;wsp:rsid wsp:val=&quot;003454F5&quot;/&gt;&lt;wsp:rsid wsp:val=&quot;0034566E&quot;/&gt;&lt;wsp:rsid wsp:val=&quot;00347FC3&quot;/&gt;&lt;wsp:rsid wsp:val=&quot;0035034E&quot;/&gt;&lt;wsp:rsid wsp:val=&quot;00350576&quot;/&gt;&lt;wsp:rsid wsp:val=&quot;00350674&quot;/&gt;&lt;wsp:rsid wsp:val=&quot;00350F1C&quot;/&gt;&lt;wsp:rsid wsp:val=&quot;0035107F&quot;/&gt;&lt;wsp:rsid wsp:val=&quot;00352050&quot;/&gt;&lt;wsp:rsid wsp:val=&quot;00352E7E&quot;/&gt;&lt;wsp:rsid wsp:val=&quot;00354346&quot;/&gt;&lt;wsp:rsid wsp:val=&quot;003544EA&quot;/&gt;&lt;wsp:rsid wsp:val=&quot;003545F0&quot;/&gt;&lt;wsp:rsid wsp:val=&quot;00354872&quot;/&gt;&lt;wsp:rsid wsp:val=&quot;00354943&quot;/&gt;&lt;wsp:rsid wsp:val=&quot;00354DD8&quot;/&gt;&lt;wsp:rsid wsp:val=&quot;0035725E&quot;/&gt;&lt;wsp:rsid wsp:val=&quot;0036009A&quot;/&gt;&lt;wsp:rsid wsp:val=&quot;003618FC&quot;/&gt;&lt;wsp:rsid wsp:val=&quot;00361A94&quot;/&gt;&lt;wsp:rsid wsp:val=&quot;00362E09&quot;/&gt;&lt;wsp:rsid wsp:val=&quot;00363838&quot;/&gt;&lt;wsp:rsid wsp:val=&quot;003645F9&quot;/&gt;&lt;wsp:rsid wsp:val=&quot;00364779&quot;/&gt;&lt;wsp:rsid wsp:val=&quot;0036478D&quot;/&gt;&lt;wsp:rsid wsp:val=&quot;003648D8&quot;/&gt;&lt;wsp:rsid wsp:val=&quot;00364BA5&quot;/&gt;&lt;wsp:rsid wsp:val=&quot;00365493&quot;/&gt;&lt;wsp:rsid wsp:val=&quot;00365CD8&quot;/&gt;&lt;wsp:rsid wsp:val=&quot;00366AD1&quot;/&gt;&lt;wsp:rsid wsp:val=&quot;00367F3F&quot;/&gt;&lt;wsp:rsid wsp:val=&quot;00370B6F&quot;/&gt;&lt;wsp:rsid wsp:val=&quot;00371458&quot;/&gt;&lt;wsp:rsid wsp:val=&quot;003736C7&quot;/&gt;&lt;wsp:rsid wsp:val=&quot;00373891&quot;/&gt;&lt;wsp:rsid wsp:val=&quot;00374462&quot;/&gt;&lt;wsp:rsid wsp:val=&quot;00374688&quot;/&gt;&lt;wsp:rsid wsp:val=&quot;00374F43&quot;/&gt;&lt;wsp:rsid wsp:val=&quot;00375277&quot;/&gt;&lt;wsp:rsid wsp:val=&quot;00375393&quot;/&gt;&lt;wsp:rsid wsp:val=&quot;003758A8&quot;/&gt;&lt;wsp:rsid wsp:val=&quot;00376A90&quot;/&gt;&lt;wsp:rsid wsp:val=&quot;00376DB7&quot;/&gt;&lt;wsp:rsid wsp:val=&quot;00377111&quot;/&gt;&lt;wsp:rsid wsp:val=&quot;00377AC5&quot;/&gt;&lt;wsp:rsid wsp:val=&quot;00377EBD&quot;/&gt;&lt;wsp:rsid wsp:val=&quot;003806FD&quot;/&gt;&lt;wsp:rsid wsp:val=&quot;003807E2&quot;/&gt;&lt;wsp:rsid wsp:val=&quot;003807E6&quot;/&gt;&lt;wsp:rsid wsp:val=&quot;003825D2&quot;/&gt;&lt;wsp:rsid wsp:val=&quot;003830D4&quot;/&gt;&lt;wsp:rsid wsp:val=&quot;00383BE8&quot;/&gt;&lt;wsp:rsid wsp:val=&quot;00383FB3&quot;/&gt;&lt;wsp:rsid wsp:val=&quot;00384E92&quot;/&gt;&lt;wsp:rsid wsp:val=&quot;00384FA8&quot;/&gt;&lt;wsp:rsid wsp:val=&quot;00385D30&quot;/&gt;&lt;wsp:rsid wsp:val=&quot;00385E06&quot;/&gt;&lt;wsp:rsid wsp:val=&quot;003860CF&quot;/&gt;&lt;wsp:rsid wsp:val=&quot;003862B2&quot;/&gt;&lt;wsp:rsid wsp:val=&quot;00386BAE&quot;/&gt;&lt;wsp:rsid wsp:val=&quot;00386D90&quot;/&gt;&lt;wsp:rsid wsp:val=&quot;0038709B&quot;/&gt;&lt;wsp:rsid wsp:val=&quot;00387C4E&quot;/&gt;&lt;wsp:rsid wsp:val=&quot;00390857&quot;/&gt;&lt;wsp:rsid wsp:val=&quot;00390B4A&quot;/&gt;&lt;wsp:rsid wsp:val=&quot;00390D20&quot;/&gt;&lt;wsp:rsid wsp:val=&quot;00392C37&quot;/&gt;&lt;wsp:rsid wsp:val=&quot;00393C68&quot;/&gt;&lt;wsp:rsid wsp:val=&quot;00393E86&quot;/&gt;&lt;wsp:rsid wsp:val=&quot;003944CC&quot;/&gt;&lt;wsp:rsid wsp:val=&quot;003945B9&quot;/&gt;&lt;wsp:rsid wsp:val=&quot;00395AFC&quot;/&gt;&lt;wsp:rsid wsp:val=&quot;00395D82&quot;/&gt;&lt;wsp:rsid wsp:val=&quot;0039606A&quot;/&gt;&lt;wsp:rsid wsp:val=&quot;00396A75&quot;/&gt;&lt;wsp:rsid wsp:val=&quot;00396C56&quot;/&gt;&lt;wsp:rsid wsp:val=&quot;003971D3&quot;/&gt;&lt;wsp:rsid wsp:val=&quot;0039797D&quot;/&gt;&lt;wsp:rsid wsp:val=&quot;00397B92&quot;/&gt;&lt;wsp:rsid wsp:val=&quot;003A0150&quot;/&gt;&lt;wsp:rsid wsp:val=&quot;003A0F5F&quot;/&gt;&lt;wsp:rsid wsp:val=&quot;003A13AE&quot;/&gt;&lt;wsp:rsid wsp:val=&quot;003A1EAD&quot;/&gt;&lt;wsp:rsid wsp:val=&quot;003A22C3&quot;/&gt;&lt;wsp:rsid wsp:val=&quot;003A2554&quot;/&gt;&lt;wsp:rsid wsp:val=&quot;003A322C&quot;/&gt;&lt;wsp:rsid wsp:val=&quot;003A5A77&quot;/&gt;&lt;wsp:rsid wsp:val=&quot;003A61A3&quot;/&gt;&lt;wsp:rsid wsp:val=&quot;003A659D&quot;/&gt;&lt;wsp:rsid wsp:val=&quot;003A6695&quot;/&gt;&lt;wsp:rsid wsp:val=&quot;003A6932&quot;/&gt;&lt;wsp:rsid wsp:val=&quot;003A6D6B&quot;/&gt;&lt;wsp:rsid wsp:val=&quot;003A7090&quot;/&gt;&lt;wsp:rsid wsp:val=&quot;003B098E&quot;/&gt;&lt;wsp:rsid wsp:val=&quot;003B0D2B&quot;/&gt;&lt;wsp:rsid wsp:val=&quot;003B1764&quot;/&gt;&lt;wsp:rsid wsp:val=&quot;003B199E&quot;/&gt;&lt;wsp:rsid wsp:val=&quot;003B2635&quot;/&gt;&lt;wsp:rsid wsp:val=&quot;003B2812&quot;/&gt;&lt;wsp:rsid wsp:val=&quot;003B2866&quot;/&gt;&lt;wsp:rsid wsp:val=&quot;003B28F3&quot;/&gt;&lt;wsp:rsid wsp:val=&quot;003B2B5F&quot;/&gt;&lt;wsp:rsid wsp:val=&quot;003B3DA4&quot;/&gt;&lt;wsp:rsid wsp:val=&quot;003B44BF&quot;/&gt;&lt;wsp:rsid wsp:val=&quot;003B4CCA&quot;/&gt;&lt;wsp:rsid wsp:val=&quot;003B53F5&quot;/&gt;&lt;wsp:rsid wsp:val=&quot;003B5DCC&quot;/&gt;&lt;wsp:rsid wsp:val=&quot;003B6BBA&quot;/&gt;&lt;wsp:rsid wsp:val=&quot;003C10A1&quot;/&gt;&lt;wsp:rsid wsp:val=&quot;003C111E&quot;/&gt;&lt;wsp:rsid wsp:val=&quot;003C1185&quot;/&gt;&lt;wsp:rsid wsp:val=&quot;003C1716&quot;/&gt;&lt;wsp:rsid wsp:val=&quot;003C172C&quot;/&gt;&lt;wsp:rsid wsp:val=&quot;003C2296&quot;/&gt;&lt;wsp:rsid wsp:val=&quot;003C34F2&quot;/&gt;&lt;wsp:rsid wsp:val=&quot;003C5D06&quot;/&gt;&lt;wsp:rsid wsp:val=&quot;003C6BC5&quot;/&gt;&lt;wsp:rsid wsp:val=&quot;003D1894&quot;/&gt;&lt;wsp:rsid wsp:val=&quot;003D1EDA&quot;/&gt;&lt;wsp:rsid wsp:val=&quot;003D23E7&quot;/&gt;&lt;wsp:rsid wsp:val=&quot;003D273E&quot;/&gt;&lt;wsp:rsid wsp:val=&quot;003D2ABD&quot;/&gt;&lt;wsp:rsid wsp:val=&quot;003D2B07&quot;/&gt;&lt;wsp:rsid wsp:val=&quot;003D2C11&quot;/&gt;&lt;wsp:rsid wsp:val=&quot;003D4417&quot;/&gt;&lt;wsp:rsid wsp:val=&quot;003E0292&quot;/&gt;&lt;wsp:rsid wsp:val=&quot;003E0C7D&quot;/&gt;&lt;wsp:rsid wsp:val=&quot;003E0DAF&quot;/&gt;&lt;wsp:rsid wsp:val=&quot;003E1013&quot;/&gt;&lt;wsp:rsid wsp:val=&quot;003E1E87&quot;/&gt;&lt;wsp:rsid wsp:val=&quot;003E2243&quot;/&gt;&lt;wsp:rsid wsp:val=&quot;003E2583&quot;/&gt;&lt;wsp:rsid wsp:val=&quot;003E2DCE&quot;/&gt;&lt;wsp:rsid wsp:val=&quot;003E3212&quot;/&gt;&lt;wsp:rsid wsp:val=&quot;003E332B&quot;/&gt;&lt;wsp:rsid wsp:val=&quot;003E4E98&quot;/&gt;&lt;wsp:rsid wsp:val=&quot;003E5DBE&quot;/&gt;&lt;wsp:rsid wsp:val=&quot;003E6404&quot;/&gt;&lt;wsp:rsid wsp:val=&quot;003E6A3F&quot;/&gt;&lt;wsp:rsid wsp:val=&quot;003E6C5A&quot;/&gt;&lt;wsp:rsid wsp:val=&quot;003E7721&quot;/&gt;&lt;wsp:rsid wsp:val=&quot;003F0046&quot;/&gt;&lt;wsp:rsid wsp:val=&quot;003F0BB9&quot;/&gt;&lt;wsp:rsid wsp:val=&quot;003F0D94&quot;/&gt;&lt;wsp:rsid wsp:val=&quot;003F1469&quot;/&gt;&lt;wsp:rsid wsp:val=&quot;003F1FC7&quot;/&gt;&lt;wsp:rsid wsp:val=&quot;003F2AF4&quot;/&gt;&lt;wsp:rsid wsp:val=&quot;003F3E86&quot;/&gt;&lt;wsp:rsid wsp:val=&quot;003F4341&quot;/&gt;&lt;wsp:rsid wsp:val=&quot;003F4A42&quot;/&gt;&lt;wsp:rsid wsp:val=&quot;003F4C5D&quot;/&gt;&lt;wsp:rsid wsp:val=&quot;003F57FF&quot;/&gt;&lt;wsp:rsid wsp:val=&quot;003F6134&quot;/&gt;&lt;wsp:rsid wsp:val=&quot;003F6171&quot;/&gt;&lt;wsp:rsid wsp:val=&quot;003F64F7&quot;/&gt;&lt;wsp:rsid wsp:val=&quot;003F64FE&quot;/&gt;&lt;wsp:rsid wsp:val=&quot;003F6669&quot;/&gt;&lt;wsp:rsid wsp:val=&quot;003F6D54&quot;/&gt;&lt;wsp:rsid wsp:val=&quot;003F6F4C&quot;/&gt;&lt;wsp:rsid wsp:val=&quot;00400982&quot;/&gt;&lt;wsp:rsid wsp:val=&quot;00401742&quot;/&gt;&lt;wsp:rsid wsp:val=&quot;004018D4&quot;/&gt;&lt;wsp:rsid wsp:val=&quot;00402FF4&quot;/&gt;&lt;wsp:rsid wsp:val=&quot;00403D6C&quot;/&gt;&lt;wsp:rsid wsp:val=&quot;004053F4&quot;/&gt;&lt;wsp:rsid wsp:val=&quot;004075FC&quot;/&gt;&lt;wsp:rsid wsp:val=&quot;004107E6&quot;/&gt;&lt;wsp:rsid wsp:val=&quot;00410839&quot;/&gt;&lt;wsp:rsid wsp:val=&quot;00410AE0&quot;/&gt;&lt;wsp:rsid wsp:val=&quot;00410E19&quot;/&gt;&lt;wsp:rsid wsp:val=&quot;00411B31&quot;/&gt;&lt;wsp:rsid wsp:val=&quot;00412842&quot;/&gt;&lt;wsp:rsid wsp:val=&quot;00412F47&quot;/&gt;&lt;wsp:rsid wsp:val=&quot;00414276&quot;/&gt;&lt;wsp:rsid wsp:val=&quot;00414904&quot;/&gt;&lt;wsp:rsid wsp:val=&quot;004149A5&quot;/&gt;&lt;wsp:rsid wsp:val=&quot;004151F6&quot;/&gt;&lt;wsp:rsid wsp:val=&quot;004152BA&quot;/&gt;&lt;wsp:rsid wsp:val=&quot;00415C9B&quot;/&gt;&lt;wsp:rsid wsp:val=&quot;00415D9D&quot;/&gt;&lt;wsp:rsid wsp:val=&quot;004179A2&quot;/&gt;&lt;wsp:rsid wsp:val=&quot;004213F8&quot;/&gt;&lt;wsp:rsid wsp:val=&quot;00421D9C&quot;/&gt;&lt;wsp:rsid wsp:val=&quot;00422ABD&quot;/&gt;&lt;wsp:rsid wsp:val=&quot;00423DDC&quot;/&gt;&lt;wsp:rsid wsp:val=&quot;00424643&quot;/&gt;&lt;wsp:rsid wsp:val=&quot;00424790&quot;/&gt;&lt;wsp:rsid wsp:val=&quot;0042690E&quot;/&gt;&lt;wsp:rsid wsp:val=&quot;00426CC8&quot;/&gt;&lt;wsp:rsid wsp:val=&quot;00427000&quot;/&gt;&lt;wsp:rsid wsp:val=&quot;00427067&quot;/&gt;&lt;wsp:rsid wsp:val=&quot;00430AE5&quot;/&gt;&lt;wsp:rsid wsp:val=&quot;0043110E&quot;/&gt;&lt;wsp:rsid wsp:val=&quot;004312E2&quot;/&gt;&lt;wsp:rsid wsp:val=&quot;00432D59&quot;/&gt;&lt;wsp:rsid wsp:val=&quot;004334D5&quot;/&gt;&lt;wsp:rsid wsp:val=&quot;00433913&quot;/&gt;&lt;wsp:rsid wsp:val=&quot;00433A25&quot;/&gt;&lt;wsp:rsid wsp:val=&quot;00433BD6&quot;/&gt;&lt;wsp:rsid wsp:val=&quot;00433CBE&quot;/&gt;&lt;wsp:rsid wsp:val=&quot;004345D9&quot;/&gt;&lt;wsp:rsid wsp:val=&quot;004357E9&quot;/&gt;&lt;wsp:rsid wsp:val=&quot;00435BDB&quot;/&gt;&lt;wsp:rsid wsp:val=&quot;00435D48&quot;/&gt;&lt;wsp:rsid wsp:val=&quot;00435DC5&quot;/&gt;&lt;wsp:rsid wsp:val=&quot;00435FAB&quot;/&gt;&lt;wsp:rsid wsp:val=&quot;00436056&quot;/&gt;&lt;wsp:rsid wsp:val=&quot;00436C7D&quot;/&gt;&lt;wsp:rsid wsp:val=&quot;004372DB&quot;/&gt;&lt;wsp:rsid wsp:val=&quot;004374AD&quot;/&gt;&lt;wsp:rsid wsp:val=&quot;0044102E&quot;/&gt;&lt;wsp:rsid wsp:val=&quot;00441A26&quot;/&gt;&lt;wsp:rsid wsp:val=&quot;00442187&quot;/&gt;&lt;wsp:rsid wsp:val=&quot;00442369&quot;/&gt;&lt;wsp:rsid wsp:val=&quot;004436D2&quot;/&gt;&lt;wsp:rsid wsp:val=&quot;00444485&quot;/&gt;&lt;wsp:rsid wsp:val=&quot;00444C4C&quot;/&gt;&lt;wsp:rsid wsp:val=&quot;00445C4D&quot;/&gt;&lt;wsp:rsid wsp:val=&quot;004461CB&quot;/&gt;&lt;wsp:rsid wsp:val=&quot;004466BB&quot;/&gt;&lt;wsp:rsid wsp:val=&quot;004477B9&quot;/&gt;&lt;wsp:rsid wsp:val=&quot;004502E0&quot;/&gt;&lt;wsp:rsid wsp:val=&quot;004509CD&quot;/&gt;&lt;wsp:rsid wsp:val=&quot;00450B3B&quot;/&gt;&lt;wsp:rsid wsp:val=&quot;00451FCB&quot;/&gt;&lt;wsp:rsid wsp:val=&quot;00454382&quot;/&gt;&lt;wsp:rsid wsp:val=&quot;00454F95&quot;/&gt;&lt;wsp:rsid wsp:val=&quot;00455019&quot;/&gt;&lt;wsp:rsid wsp:val=&quot;004558A3&quot;/&gt;&lt;wsp:rsid wsp:val=&quot;00455F9D&quot;/&gt;&lt;wsp:rsid wsp:val=&quot;00456001&quot;/&gt;&lt;wsp:rsid wsp:val=&quot;00456541&quot;/&gt;&lt;wsp:rsid wsp:val=&quot;00456CCF&quot;/&gt;&lt;wsp:rsid wsp:val=&quot;00456D4A&quot;/&gt;&lt;wsp:rsid wsp:val=&quot;004577CE&quot;/&gt;&lt;wsp:rsid wsp:val=&quot;00457F58&quot;/&gt;&lt;wsp:rsid wsp:val=&quot;0046066D&quot;/&gt;&lt;wsp:rsid wsp:val=&quot;00461A29&quot;/&gt;&lt;wsp:rsid wsp:val=&quot;0046233C&quot;/&gt;&lt;wsp:rsid wsp:val=&quot;00462441&quot;/&gt;&lt;wsp:rsid wsp:val=&quot;00463624&quot;/&gt;&lt;wsp:rsid wsp:val=&quot;00463859&quot;/&gt;&lt;wsp:rsid wsp:val=&quot;00463E7E&quot;/&gt;&lt;wsp:rsid wsp:val=&quot;004643C3&quot;/&gt;&lt;wsp:rsid wsp:val=&quot;00464771&quot;/&gt;&lt;wsp:rsid wsp:val=&quot;00465781&quot;/&gt;&lt;wsp:rsid wsp:val=&quot;00465CD6&quot;/&gt;&lt;wsp:rsid wsp:val=&quot;004662B3&quot;/&gt;&lt;wsp:rsid wsp:val=&quot;00466A72&quot;/&gt;&lt;wsp:rsid wsp:val=&quot;00467F8B&quot;/&gt;&lt;wsp:rsid wsp:val=&quot;004712B1&quot;/&gt;&lt;wsp:rsid wsp:val=&quot;004728B3&quot;/&gt;&lt;wsp:rsid wsp:val=&quot;00475208&quot;/&gt;&lt;wsp:rsid wsp:val=&quot;00475C1C&quot;/&gt;&lt;wsp:rsid wsp:val=&quot;00476096&quot;/&gt;&lt;wsp:rsid wsp:val=&quot;0047729B&quot;/&gt;&lt;wsp:rsid wsp:val=&quot;00481E5A&quot;/&gt;&lt;wsp:rsid wsp:val=&quot;0048208D&quot;/&gt;&lt;wsp:rsid wsp:val=&quot;004821C8&quot;/&gt;&lt;wsp:rsid wsp:val=&quot;00482671&quot;/&gt;&lt;wsp:rsid wsp:val=&quot;00482737&quot;/&gt;&lt;wsp:rsid wsp:val=&quot;0048332B&quot;/&gt;&lt;wsp:rsid wsp:val=&quot;00483DFA&quot;/&gt;&lt;wsp:rsid wsp:val=&quot;00484D9C&quot;/&gt;&lt;wsp:rsid wsp:val=&quot;0048656D&quot;/&gt;&lt;wsp:rsid wsp:val=&quot;00487582&quot;/&gt;&lt;wsp:rsid wsp:val=&quot;0049007D&quot;/&gt;&lt;wsp:rsid wsp:val=&quot;00490219&quot;/&gt;&lt;wsp:rsid wsp:val=&quot;00490588&quot;/&gt;&lt;wsp:rsid wsp:val=&quot;004906EA&quot;/&gt;&lt;wsp:rsid wsp:val=&quot;004907FA&quot;/&gt;&lt;wsp:rsid wsp:val=&quot;0049087A&quot;/&gt;&lt;wsp:rsid wsp:val=&quot;004908F0&quot;/&gt;&lt;wsp:rsid wsp:val=&quot;00491659&quot;/&gt;&lt;wsp:rsid wsp:val=&quot;004917A5&quot;/&gt;&lt;wsp:rsid wsp:val=&quot;00491F3D&quot;/&gt;&lt;wsp:rsid wsp:val=&quot;0049251C&quot;/&gt;&lt;wsp:rsid wsp:val=&quot;00492A1F&quot;/&gt;&lt;wsp:rsid wsp:val=&quot;00492BA9&quot;/&gt;&lt;wsp:rsid wsp:val=&quot;0049344B&quot;/&gt;&lt;wsp:rsid wsp:val=&quot;00493843&quot;/&gt;&lt;wsp:rsid wsp:val=&quot;00494B68&quot;/&gt;&lt;wsp:rsid wsp:val=&quot;00494C5B&quot;/&gt;&lt;wsp:rsid wsp:val=&quot;004951F1&quot;/&gt;&lt;wsp:rsid wsp:val=&quot;0049629B&quot;/&gt;&lt;wsp:rsid wsp:val=&quot;00496382&quot;/&gt;&lt;wsp:rsid wsp:val=&quot;0049685A&quot;/&gt;&lt;wsp:rsid wsp:val=&quot;004968A2&quot;/&gt;&lt;wsp:rsid wsp:val=&quot;00496BC5&quot;/&gt;&lt;wsp:rsid wsp:val=&quot;00497779&quot;/&gt;&lt;wsp:rsid wsp:val=&quot;004A03CD&quot;/&gt;&lt;wsp:rsid wsp:val=&quot;004A1509&quot;/&gt;&lt;wsp:rsid wsp:val=&quot;004A153C&quot;/&gt;&lt;wsp:rsid wsp:val=&quot;004A170B&quot;/&gt;&lt;wsp:rsid wsp:val=&quot;004A242A&quot;/&gt;&lt;wsp:rsid wsp:val=&quot;004A2B24&quot;/&gt;&lt;wsp:rsid wsp:val=&quot;004A363F&quot;/&gt;&lt;wsp:rsid wsp:val=&quot;004A387A&quot;/&gt;&lt;wsp:rsid wsp:val=&quot;004A3A1F&quot;/&gt;&lt;wsp:rsid wsp:val=&quot;004A3A35&quot;/&gt;&lt;wsp:rsid wsp:val=&quot;004A3CD3&quot;/&gt;&lt;wsp:rsid wsp:val=&quot;004A4715&quot;/&gt;&lt;wsp:rsid wsp:val=&quot;004A6398&quot;/&gt;&lt;wsp:rsid wsp:val=&quot;004A6F05&quot;/&gt;&lt;wsp:rsid wsp:val=&quot;004A6F64&quot;/&gt;&lt;wsp:rsid wsp:val=&quot;004B0DE2&quot;/&gt;&lt;wsp:rsid wsp:val=&quot;004B11F3&quot;/&gt;&lt;wsp:rsid wsp:val=&quot;004B1417&quot;/&gt;&lt;wsp:rsid wsp:val=&quot;004B1672&quot;/&gt;&lt;wsp:rsid wsp:val=&quot;004B1E07&quot;/&gt;&lt;wsp:rsid wsp:val=&quot;004B381E&quot;/&gt;&lt;wsp:rsid wsp:val=&quot;004B3DB8&quot;/&gt;&lt;wsp:rsid wsp:val=&quot;004B3E3B&quot;/&gt;&lt;wsp:rsid wsp:val=&quot;004B4D20&quot;/&gt;&lt;wsp:rsid wsp:val=&quot;004B5BF5&quot;/&gt;&lt;wsp:rsid wsp:val=&quot;004B5E1D&quot;/&gt;&lt;wsp:rsid wsp:val=&quot;004B6160&quot;/&gt;&lt;wsp:rsid wsp:val=&quot;004B759D&quot;/&gt;&lt;wsp:rsid wsp:val=&quot;004B75B1&quot;/&gt;&lt;wsp:rsid wsp:val=&quot;004C1D36&quot;/&gt;&lt;wsp:rsid wsp:val=&quot;004C22A3&quot;/&gt;&lt;wsp:rsid wsp:val=&quot;004C2D16&quot;/&gt;&lt;wsp:rsid wsp:val=&quot;004C3576&quot;/&gt;&lt;wsp:rsid wsp:val=&quot;004C3D70&quot;/&gt;&lt;wsp:rsid wsp:val=&quot;004C62CF&quot;/&gt;&lt;wsp:rsid wsp:val=&quot;004C6901&quot;/&gt;&lt;wsp:rsid wsp:val=&quot;004C6939&quot;/&gt;&lt;wsp:rsid wsp:val=&quot;004C6EE1&quot;/&gt;&lt;wsp:rsid wsp:val=&quot;004C7268&quot;/&gt;&lt;wsp:rsid wsp:val=&quot;004C75BC&quot;/&gt;&lt;wsp:rsid wsp:val=&quot;004D0E93&quot;/&gt;&lt;wsp:rsid wsp:val=&quot;004D3021&quot;/&gt;&lt;wsp:rsid wsp:val=&quot;004D4DF6&quot;/&gt;&lt;wsp:rsid wsp:val=&quot;004D4EC2&quot;/&gt;&lt;wsp:rsid wsp:val=&quot;004D6209&quot;/&gt;&lt;wsp:rsid wsp:val=&quot;004D637E&quot;/&gt;&lt;wsp:rsid wsp:val=&quot;004D6BE9&quot;/&gt;&lt;wsp:rsid wsp:val=&quot;004D7275&quot;/&gt;&lt;wsp:rsid wsp:val=&quot;004D7818&quot;/&gt;&lt;wsp:rsid wsp:val=&quot;004D7894&quot;/&gt;&lt;wsp:rsid wsp:val=&quot;004D7B2E&quot;/&gt;&lt;wsp:rsid wsp:val=&quot;004D7DC1&quot;/&gt;&lt;wsp:rsid wsp:val=&quot;004E027F&quot;/&gt;&lt;wsp:rsid wsp:val=&quot;004E08E5&quot;/&gt;&lt;wsp:rsid wsp:val=&quot;004E1879&quot;/&gt;&lt;wsp:rsid wsp:val=&quot;004E595E&quot;/&gt;&lt;wsp:rsid wsp:val=&quot;004E5E16&quot;/&gt;&lt;wsp:rsid wsp:val=&quot;004E690A&quot;/&gt;&lt;wsp:rsid wsp:val=&quot;004E7180&quot;/&gt;&lt;wsp:rsid wsp:val=&quot;004E791A&quot;/&gt;&lt;wsp:rsid wsp:val=&quot;004E7A29&quot;/&gt;&lt;wsp:rsid wsp:val=&quot;004F037E&quot;/&gt;&lt;wsp:rsid wsp:val=&quot;004F09EA&quot;/&gt;&lt;wsp:rsid wsp:val=&quot;004F1122&quot;/&gt;&lt;wsp:rsid wsp:val=&quot;004F15CC&quot;/&gt;&lt;wsp:rsid wsp:val=&quot;004F1ACA&quot;/&gt;&lt;wsp:rsid wsp:val=&quot;004F1E92&quot;/&gt;&lt;wsp:rsid wsp:val=&quot;004F2178&quot;/&gt;&lt;wsp:rsid wsp:val=&quot;004F2746&quot;/&gt;&lt;wsp:rsid wsp:val=&quot;004F36E7&quot;/&gt;&lt;wsp:rsid wsp:val=&quot;004F4273&quot;/&gt;&lt;wsp:rsid wsp:val=&quot;004F573A&quot;/&gt;&lt;wsp:rsid wsp:val=&quot;004F5C23&quot;/&gt;&lt;wsp:rsid wsp:val=&quot;004F6B88&quot;/&gt;&lt;wsp:rsid wsp:val=&quot;004F6D99&quot;/&gt;&lt;wsp:rsid wsp:val=&quot;004F6F5E&quot;/&gt;&lt;wsp:rsid wsp:val=&quot;004F7BA6&quot;/&gt;&lt;wsp:rsid wsp:val=&quot;00500781&quot;/&gt;&lt;wsp:rsid wsp:val=&quot;00501440&quot;/&gt;&lt;wsp:rsid wsp:val=&quot;005026BF&quot;/&gt;&lt;wsp:rsid wsp:val=&quot;00502DDD&quot;/&gt;&lt;wsp:rsid wsp:val=&quot;005032D9&quot;/&gt;&lt;wsp:rsid wsp:val=&quot;0050381B&quot;/&gt;&lt;wsp:rsid wsp:val=&quot;0050435C&quot;/&gt;&lt;wsp:rsid wsp:val=&quot;00505310&quot;/&gt;&lt;wsp:rsid wsp:val=&quot;005067B7&quot;/&gt;&lt;wsp:rsid wsp:val=&quot;00506C06&quot;/&gt;&lt;wsp:rsid wsp:val=&quot;00506C56&quot;/&gt;&lt;wsp:rsid wsp:val=&quot;005074A1&quot;/&gt;&lt;wsp:rsid wsp:val=&quot;00507A8A&quot;/&gt;&lt;wsp:rsid wsp:val=&quot;00507B74&quot;/&gt;&lt;wsp:rsid wsp:val=&quot;00507DFE&quot;/&gt;&lt;wsp:rsid wsp:val=&quot;00507F67&quot;/&gt;&lt;wsp:rsid wsp:val=&quot;00510554&quot;/&gt;&lt;wsp:rsid wsp:val=&quot;00511C84&quot;/&gt;&lt;wsp:rsid wsp:val=&quot;00511D57&quot;/&gt;&lt;wsp:rsid wsp:val=&quot;00513793&quot;/&gt;&lt;wsp:rsid wsp:val=&quot;00513A29&quot;/&gt;&lt;wsp:rsid wsp:val=&quot;005142C0&quot;/&gt;&lt;wsp:rsid wsp:val=&quot;00514FE1&quot;/&gt;&lt;wsp:rsid wsp:val=&quot;00515110&quot;/&gt;&lt;wsp:rsid wsp:val=&quot;00516159&quot;/&gt;&lt;wsp:rsid wsp:val=&quot;0051680C&quot;/&gt;&lt;wsp:rsid wsp:val=&quot;00516CD8&quot;/&gt;&lt;wsp:rsid wsp:val=&quot;00516FAA&quot;/&gt;&lt;wsp:rsid wsp:val=&quot;0051774B&quot;/&gt;&lt;wsp:rsid wsp:val=&quot;005178F4&quot;/&gt;&lt;wsp:rsid wsp:val=&quot;0051797A&quot;/&gt;&lt;wsp:rsid wsp:val=&quot;00517E95&quot;/&gt;&lt;wsp:rsid wsp:val=&quot;00517F8C&quot;/&gt;&lt;wsp:rsid wsp:val=&quot;00520FE3&quot;/&gt;&lt;wsp:rsid wsp:val=&quot;0052182B&quot;/&gt;&lt;wsp:rsid wsp:val=&quot;005221FD&quot;/&gt;&lt;wsp:rsid wsp:val=&quot;0052293B&quot;/&gt;&lt;wsp:rsid wsp:val=&quot;00522BA6&quot;/&gt;&lt;wsp:rsid wsp:val=&quot;005235CA&quot;/&gt;&lt;wsp:rsid wsp:val=&quot;005236E8&quot;/&gt;&lt;wsp:rsid wsp:val=&quot;00523ADB&quot;/&gt;&lt;wsp:rsid wsp:val=&quot;00523BD1&quot;/&gt;&lt;wsp:rsid wsp:val=&quot;0052433B&quot;/&gt;&lt;wsp:rsid wsp:val=&quot;00524C2B&quot;/&gt;&lt;wsp:rsid wsp:val=&quot;005251D0&quot;/&gt;&lt;wsp:rsid wsp:val=&quot;005257EC&quot;/&gt;&lt;wsp:rsid wsp:val=&quot;00525B1E&quot;/&gt;&lt;wsp:rsid wsp:val=&quot;00526135&quot;/&gt;&lt;wsp:rsid wsp:val=&quot;00527880&quot;/&gt;&lt;wsp:rsid wsp:val=&quot;00530A25&quot;/&gt;&lt;wsp:rsid wsp:val=&quot;005311D8&quot;/&gt;&lt;wsp:rsid wsp:val=&quot;00532E40&quot;/&gt;&lt;wsp:rsid wsp:val=&quot;005334B1&quot;/&gt;&lt;wsp:rsid wsp:val=&quot;00533B99&quot;/&gt;&lt;wsp:rsid wsp:val=&quot;005340DF&quot;/&gt;&lt;wsp:rsid wsp:val=&quot;005361F8&quot;/&gt;&lt;wsp:rsid wsp:val=&quot;00536F7D&quot;/&gt;&lt;wsp:rsid wsp:val=&quot;00537EF2&quot;/&gt;&lt;wsp:rsid wsp:val=&quot;00537FB6&quot;/&gt;&lt;wsp:rsid wsp:val=&quot;00540013&quot;/&gt;&lt;wsp:rsid wsp:val=&quot;005405FE&quot;/&gt;&lt;wsp:rsid wsp:val=&quot;00541AE3&quot;/&gt;&lt;wsp:rsid wsp:val=&quot;005420E3&quot;/&gt;&lt;wsp:rsid wsp:val=&quot;005429E3&quot;/&gt;&lt;wsp:rsid wsp:val=&quot;00542A2B&quot;/&gt;&lt;wsp:rsid wsp:val=&quot;00542A99&quot;/&gt;&lt;wsp:rsid wsp:val=&quot;00543736&quot;/&gt;&lt;wsp:rsid wsp:val=&quot;00543B52&quot;/&gt;&lt;wsp:rsid wsp:val=&quot;00545237&quot;/&gt;&lt;wsp:rsid wsp:val=&quot;005454A2&quot;/&gt;&lt;wsp:rsid wsp:val=&quot;00545CE0&quot;/&gt;&lt;wsp:rsid wsp:val=&quot;00545F80&quot;/&gt;&lt;wsp:rsid wsp:val=&quot;00547058&quot;/&gt;&lt;wsp:rsid wsp:val=&quot;00550667&quot;/&gt;&lt;wsp:rsid wsp:val=&quot;00550B70&quot;/&gt;&lt;wsp:rsid wsp:val=&quot;00551855&quot;/&gt;&lt;wsp:rsid wsp:val=&quot;0055283E&quot;/&gt;&lt;wsp:rsid wsp:val=&quot;005543F7&quot;/&gt;&lt;wsp:rsid wsp:val=&quot;005550FB&quot;/&gt;&lt;wsp:rsid wsp:val=&quot;00556485&quot;/&gt;&lt;wsp:rsid wsp:val=&quot;005564F6&quot;/&gt;&lt;wsp:rsid wsp:val=&quot;00557287&quot;/&gt;&lt;wsp:rsid wsp:val=&quot;0055778D&quot;/&gt;&lt;wsp:rsid wsp:val=&quot;00560C85&quot;/&gt;&lt;wsp:rsid wsp:val=&quot;00564AAE&quot;/&gt;&lt;wsp:rsid wsp:val=&quot;00564D94&quot;/&gt;&lt;wsp:rsid wsp:val=&quot;00564E7D&quot;/&gt;&lt;wsp:rsid wsp:val=&quot;00566DA0&quot;/&gt;&lt;wsp:rsid wsp:val=&quot;00572A4E&quot;/&gt;&lt;wsp:rsid wsp:val=&quot;0057365A&quot;/&gt;&lt;wsp:rsid wsp:val=&quot;00573C6A&quot;/&gt;&lt;wsp:rsid wsp:val=&quot;00573CA9&quot;/&gt;&lt;wsp:rsid wsp:val=&quot;00574101&quot;/&gt;&lt;wsp:rsid wsp:val=&quot;00574A1B&quot;/&gt;&lt;wsp:rsid wsp:val=&quot;00574F0E&quot;/&gt;&lt;wsp:rsid wsp:val=&quot;00576D64&quot;/&gt;&lt;wsp:rsid wsp:val=&quot;0057744C&quot;/&gt;&lt;wsp:rsid wsp:val=&quot;0057762A&quot;/&gt;&lt;wsp:rsid wsp:val=&quot;005807F8&quot;/&gt;&lt;wsp:rsid wsp:val=&quot;005812EC&quot;/&gt;&lt;wsp:rsid wsp:val=&quot;005835E9&quot;/&gt;&lt;wsp:rsid wsp:val=&quot;00583B0D&quot;/&gt;&lt;wsp:rsid wsp:val=&quot;00583B44&quot;/&gt;&lt;wsp:rsid wsp:val=&quot;00584A08&quot;/&gt;&lt;wsp:rsid wsp:val=&quot;00584AD8&quot;/&gt;&lt;wsp:rsid wsp:val=&quot;00584C27&quot;/&gt;&lt;wsp:rsid wsp:val=&quot;0058586B&quot;/&gt;&lt;wsp:rsid wsp:val=&quot;005861DC&quot;/&gt;&lt;wsp:rsid wsp:val=&quot;005878DF&quot;/&gt;&lt;wsp:rsid wsp:val=&quot;00587D60&quot;/&gt;&lt;wsp:rsid wsp:val=&quot;005918CD&quot;/&gt;&lt;wsp:rsid wsp:val=&quot;00591C55&quot;/&gt;&lt;wsp:rsid wsp:val=&quot;0059214E&quot;/&gt;&lt;wsp:rsid wsp:val=&quot;00592456&quot;/&gt;&lt;wsp:rsid wsp:val=&quot;005935F0&quot;/&gt;&lt;wsp:rsid wsp:val=&quot;00593BD5&quot;/&gt;&lt;wsp:rsid wsp:val=&quot;00594298&quot;/&gt;&lt;wsp:rsid wsp:val=&quot;005944F9&quot;/&gt;&lt;wsp:rsid wsp:val=&quot;005946E5&quot;/&gt;&lt;wsp:rsid wsp:val=&quot;005959DC&quot;/&gt;&lt;wsp:rsid wsp:val=&quot;00595A6F&quot;/&gt;&lt;wsp:rsid wsp:val=&quot;00596B50&quot;/&gt;&lt;wsp:rsid wsp:val=&quot;00597A29&quot;/&gt;&lt;wsp:rsid wsp:val=&quot;00597B4A&quot;/&gt;&lt;wsp:rsid wsp:val=&quot;005A254B&quot;/&gt;&lt;wsp:rsid wsp:val=&quot;005A3A77&quot;/&gt;&lt;wsp:rsid wsp:val=&quot;005A4A1B&quot;/&gt;&lt;wsp:rsid wsp:val=&quot;005A53D7&quot;/&gt;&lt;wsp:rsid wsp:val=&quot;005A57DD&quot;/&gt;&lt;wsp:rsid wsp:val=&quot;005A6308&quot;/&gt;&lt;wsp:rsid wsp:val=&quot;005A6DF5&quot;/&gt;&lt;wsp:rsid wsp:val=&quot;005A7982&quot;/&gt;&lt;wsp:rsid wsp:val=&quot;005B0CE3&quot;/&gt;&lt;wsp:rsid wsp:val=&quot;005B225B&quot;/&gt;&lt;wsp:rsid wsp:val=&quot;005B238D&quot;/&gt;&lt;wsp:rsid wsp:val=&quot;005B3369&quot;/&gt;&lt;wsp:rsid wsp:val=&quot;005B3386&quot;/&gt;&lt;wsp:rsid wsp:val=&quot;005B3956&quot;/&gt;&lt;wsp:rsid wsp:val=&quot;005B3B38&quot;/&gt;&lt;wsp:rsid wsp:val=&quot;005B4B9D&quot;/&gt;&lt;wsp:rsid wsp:val=&quot;005B62E5&quot;/&gt;&lt;wsp:rsid wsp:val=&quot;005B7A69&quot;/&gt;&lt;wsp:rsid wsp:val=&quot;005B7B1A&quot;/&gt;&lt;wsp:rsid wsp:val=&quot;005B7D5C&quot;/&gt;&lt;wsp:rsid wsp:val=&quot;005C0980&quot;/&gt;&lt;wsp:rsid wsp:val=&quot;005C2193&quot;/&gt;&lt;wsp:rsid wsp:val=&quot;005C2F2E&quot;/&gt;&lt;wsp:rsid wsp:val=&quot;005C4209&quot;/&gt;&lt;wsp:rsid wsp:val=&quot;005C42BA&quot;/&gt;&lt;wsp:rsid wsp:val=&quot;005C43C0&quot;/&gt;&lt;wsp:rsid wsp:val=&quot;005C4D31&quot;/&gt;&lt;wsp:rsid wsp:val=&quot;005C53BE&quot;/&gt;&lt;wsp:rsid wsp:val=&quot;005C5A35&quot;/&gt;&lt;wsp:rsid wsp:val=&quot;005C68A8&quot;/&gt;&lt;wsp:rsid wsp:val=&quot;005C6AB1&quot;/&gt;&lt;wsp:rsid wsp:val=&quot;005C6C9A&quot;/&gt;&lt;wsp:rsid wsp:val=&quot;005C6D08&quot;/&gt;&lt;wsp:rsid wsp:val=&quot;005C7548&quot;/&gt;&lt;wsp:rsid wsp:val=&quot;005C7E7E&quot;/&gt;&lt;wsp:rsid wsp:val=&quot;005D10AD&quot;/&gt;&lt;wsp:rsid wsp:val=&quot;005D2FB4&quot;/&gt;&lt;wsp:rsid wsp:val=&quot;005D51F9&quot;/&gt;&lt;wsp:rsid wsp:val=&quot;005D52B9&quot;/&gt;&lt;wsp:rsid wsp:val=&quot;005D5D58&quot;/&gt;&lt;wsp:rsid wsp:val=&quot;005D6A41&quot;/&gt;&lt;wsp:rsid wsp:val=&quot;005E0B4C&quot;/&gt;&lt;wsp:rsid wsp:val=&quot;005E0F91&quot;/&gt;&lt;wsp:rsid wsp:val=&quot;005E1AD8&quot;/&gt;&lt;wsp:rsid wsp:val=&quot;005E1DF2&quot;/&gt;&lt;wsp:rsid wsp:val=&quot;005E27FE&quot;/&gt;&lt;wsp:rsid wsp:val=&quot;005E28B0&quot;/&gt;&lt;wsp:rsid wsp:val=&quot;005E29FC&quot;/&gt;&lt;wsp:rsid wsp:val=&quot;005E3922&quot;/&gt;&lt;wsp:rsid wsp:val=&quot;005E64F9&quot;/&gt;&lt;wsp:rsid wsp:val=&quot;005E6509&quot;/&gt;&lt;wsp:rsid wsp:val=&quot;005E6D00&quot;/&gt;&lt;wsp:rsid wsp:val=&quot;005E719D&quot;/&gt;&lt;wsp:rsid wsp:val=&quot;005E7C56&quot;/&gt;&lt;wsp:rsid wsp:val=&quot;005F01CB&quot;/&gt;&lt;wsp:rsid wsp:val=&quot;005F042F&quot;/&gt;&lt;wsp:rsid wsp:val=&quot;005F2025&quot;/&gt;&lt;wsp:rsid wsp:val=&quot;005F37E8&quot;/&gt;&lt;wsp:rsid wsp:val=&quot;005F3BC2&quot;/&gt;&lt;wsp:rsid wsp:val=&quot;005F46FB&quot;/&gt;&lt;wsp:rsid wsp:val=&quot;005F5BD8&quot;/&gt;&lt;wsp:rsid wsp:val=&quot;005F637F&quot;/&gt;&lt;wsp:rsid wsp:val=&quot;005F7397&quot;/&gt;&lt;wsp:rsid wsp:val=&quot;00600457&quot;/&gt;&lt;wsp:rsid wsp:val=&quot;00600EB9&quot;/&gt;&lt;wsp:rsid wsp:val=&quot;00602656&quot;/&gt;&lt;wsp:rsid wsp:val=&quot;00603BDB&quot;/&gt;&lt;wsp:rsid wsp:val=&quot;00604AC5&quot;/&gt;&lt;wsp:rsid wsp:val=&quot;00606009&quot;/&gt;&lt;wsp:rsid wsp:val=&quot;00606182&quot;/&gt;&lt;wsp:rsid wsp:val=&quot;00607357&quot;/&gt;&lt;wsp:rsid wsp:val=&quot;00610F96&quot;/&gt;&lt;wsp:rsid wsp:val=&quot;00611098&quot;/&gt;&lt;wsp:rsid wsp:val=&quot;006111FE&quot;/&gt;&lt;wsp:rsid wsp:val=&quot;00611519&quot;/&gt;&lt;wsp:rsid wsp:val=&quot;00611DA5&quot;/&gt;&lt;wsp:rsid wsp:val=&quot;00612C65&quot;/&gt;&lt;wsp:rsid wsp:val=&quot;006132B4&quot;/&gt;&lt;wsp:rsid wsp:val=&quot;00615B1C&quot;/&gt;&lt;wsp:rsid wsp:val=&quot;00616986&quot;/&gt;&lt;wsp:rsid wsp:val=&quot;00616DD9&quot;/&gt;&lt;wsp:rsid wsp:val=&quot;006170CB&quot;/&gt;&lt;wsp:rsid wsp:val=&quot;00621085&quot;/&gt;&lt;wsp:rsid wsp:val=&quot;00621241&quot;/&gt;&lt;wsp:rsid wsp:val=&quot;00621920&quot;/&gt;&lt;wsp:rsid wsp:val=&quot;00621EB7&quot;/&gt;&lt;wsp:rsid wsp:val=&quot;006220B0&quot;/&gt;&lt;wsp:rsid wsp:val=&quot;006221A8&quot;/&gt;&lt;wsp:rsid wsp:val=&quot;0062241A&quot;/&gt;&lt;wsp:rsid wsp:val=&quot;00622748&quot;/&gt;&lt;wsp:rsid wsp:val=&quot;00623AF4&quot;/&gt;&lt;wsp:rsid wsp:val=&quot;00623FA6&quot;/&gt;&lt;wsp:rsid wsp:val=&quot;00624F07&quot;/&gt;&lt;wsp:rsid wsp:val=&quot;00625084&quot;/&gt;&lt;wsp:rsid wsp:val=&quot;0062548C&quot;/&gt;&lt;wsp:rsid wsp:val=&quot;006256C7&quot;/&gt;&lt;wsp:rsid wsp:val=&quot;00625BCC&quot;/&gt;&lt;wsp:rsid wsp:val=&quot;00625EA4&quot;/&gt;&lt;wsp:rsid wsp:val=&quot;00626F70&quot;/&gt;&lt;wsp:rsid wsp:val=&quot;006273ED&quot;/&gt;&lt;wsp:rsid wsp:val=&quot;006274AF&quot;/&gt;&lt;wsp:rsid wsp:val=&quot;00627B1B&quot;/&gt;&lt;wsp:rsid wsp:val=&quot;006302D6&quot;/&gt;&lt;wsp:rsid wsp:val=&quot;006308ED&quot;/&gt;&lt;wsp:rsid wsp:val=&quot;0063182D&quot;/&gt;&lt;wsp:rsid wsp:val=&quot;00631A71&quot;/&gt;&lt;wsp:rsid wsp:val=&quot;00631DEE&quot;/&gt;&lt;wsp:rsid wsp:val=&quot;006324BD&quot;/&gt;&lt;wsp:rsid wsp:val=&quot;0063370A&quot;/&gt;&lt;wsp:rsid wsp:val=&quot;00634628&quot;/&gt;&lt;wsp:rsid wsp:val=&quot;00634CF2&quot;/&gt;&lt;wsp:rsid wsp:val=&quot;00636559&quot;/&gt;&lt;wsp:rsid wsp:val=&quot;006374A8&quot;/&gt;&lt;wsp:rsid wsp:val=&quot;00637677&quot;/&gt;&lt;wsp:rsid wsp:val=&quot;00637F6D&quot;/&gt;&lt;wsp:rsid wsp:val=&quot;006402AB&quot;/&gt;&lt;wsp:rsid wsp:val=&quot;00640483&quot;/&gt;&lt;wsp:rsid wsp:val=&quot;00640AD2&quot;/&gt;&lt;wsp:rsid wsp:val=&quot;00640CBA&quot;/&gt;&lt;wsp:rsid wsp:val=&quot;0064126B&quot;/&gt;&lt;wsp:rsid wsp:val=&quot;006424BC&quot;/&gt;&lt;wsp:rsid wsp:val=&quot;0064321D&quot;/&gt;&lt;wsp:rsid wsp:val=&quot;0064341C&quot;/&gt;&lt;wsp:rsid wsp:val=&quot;00643CBD&quot;/&gt;&lt;wsp:rsid wsp:val=&quot;0064424F&quot;/&gt;&lt;wsp:rsid wsp:val=&quot;00644952&quot;/&gt;&lt;wsp:rsid wsp:val=&quot;00644BE5&quot;/&gt;&lt;wsp:rsid wsp:val=&quot;006451DF&quot;/&gt;&lt;wsp:rsid wsp:val=&quot;00645678&quot;/&gt;&lt;wsp:rsid wsp:val=&quot;00646747&quot;/&gt;&lt;wsp:rsid wsp:val=&quot;006468C2&quot;/&gt;&lt;wsp:rsid wsp:val=&quot;00647C94&quot;/&gt;&lt;wsp:rsid wsp:val=&quot;0065232E&quot;/&gt;&lt;wsp:rsid wsp:val=&quot;00652643&quot;/&gt;&lt;wsp:rsid wsp:val=&quot;00652928&quot;/&gt;&lt;wsp:rsid wsp:val=&quot;00653313&quot;/&gt;&lt;wsp:rsid wsp:val=&quot;006535FF&quot;/&gt;&lt;wsp:rsid wsp:val=&quot;006538B3&quot;/&gt;&lt;wsp:rsid wsp:val=&quot;00653DB2&quot;/&gt;&lt;wsp:rsid wsp:val=&quot;00654E6E&quot;/&gt;&lt;wsp:rsid wsp:val=&quot;00655830&quot;/&gt;&lt;wsp:rsid wsp:val=&quot;00655B1E&quot;/&gt;&lt;wsp:rsid wsp:val=&quot;00655C6C&quot;/&gt;&lt;wsp:rsid wsp:val=&quot;00657DC6&quot;/&gt;&lt;wsp:rsid wsp:val=&quot;006607ED&quot;/&gt;&lt;wsp:rsid wsp:val=&quot;00661051&quot;/&gt;&lt;wsp:rsid wsp:val=&quot;00662C35&quot;/&gt;&lt;wsp:rsid wsp:val=&quot;006630D4&quot;/&gt;&lt;wsp:rsid wsp:val=&quot;00664D3C&quot;/&gt;&lt;wsp:rsid wsp:val=&quot;00665A93&quot;/&gt;&lt;wsp:rsid wsp:val=&quot;006669DE&quot;/&gt;&lt;wsp:rsid wsp:val=&quot;00666B38&quot;/&gt;&lt;wsp:rsid wsp:val=&quot;00670332&quot;/&gt;&lt;wsp:rsid wsp:val=&quot;00670A07&quot;/&gt;&lt;wsp:rsid wsp:val=&quot;006713C0&quot;/&gt;&lt;wsp:rsid wsp:val=&quot;00671ABF&quot;/&gt;&lt;wsp:rsid wsp:val=&quot;00671BE0&quot;/&gt;&lt;wsp:rsid wsp:val=&quot;00672A1F&quot;/&gt;&lt;wsp:rsid wsp:val=&quot;00672F9E&quot;/&gt;&lt;wsp:rsid wsp:val=&quot;00673D33&quot;/&gt;&lt;wsp:rsid wsp:val=&quot;00673E68&quot;/&gt;&lt;wsp:rsid wsp:val=&quot;0067456C&quot;/&gt;&lt;wsp:rsid wsp:val=&quot;00675544&quot;/&gt;&lt;wsp:rsid wsp:val=&quot;006774AE&quot;/&gt;&lt;wsp:rsid wsp:val=&quot;0067795C&quot;/&gt;&lt;wsp:rsid wsp:val=&quot;00680490&quot;/&gt;&lt;wsp:rsid wsp:val=&quot;006805EA&quot;/&gt;&lt;wsp:rsid wsp:val=&quot;006807C4&quot;/&gt;&lt;wsp:rsid wsp:val=&quot;00680854&quot;/&gt;&lt;wsp:rsid wsp:val=&quot;00681A7A&quot;/&gt;&lt;wsp:rsid wsp:val=&quot;00682556&quot;/&gt;&lt;wsp:rsid wsp:val=&quot;00682A6B&quot;/&gt;&lt;wsp:rsid wsp:val=&quot;00683176&quot;/&gt;&lt;wsp:rsid wsp:val=&quot;00683266&quot;/&gt;&lt;wsp:rsid wsp:val=&quot;0068395B&quot;/&gt;&lt;wsp:rsid wsp:val=&quot;00683CDD&quot;/&gt;&lt;wsp:rsid wsp:val=&quot;0068427D&quot;/&gt;&lt;wsp:rsid wsp:val=&quot;0068440B&quot;/&gt;&lt;wsp:rsid wsp:val=&quot;006863FF&quot;/&gt;&lt;wsp:rsid wsp:val=&quot;00686456&quot;/&gt;&lt;wsp:rsid wsp:val=&quot;00686958&quot;/&gt;&lt;wsp:rsid wsp:val=&quot;00686E10&quot;/&gt;&lt;wsp:rsid wsp:val=&quot;00687B0A&quot;/&gt;&lt;wsp:rsid wsp:val=&quot;00687C20&quot;/&gt;&lt;wsp:rsid wsp:val=&quot;00690864&quot;/&gt;&lt;wsp:rsid wsp:val=&quot;00690F5F&quot;/&gt;&lt;wsp:rsid wsp:val=&quot;00691278&quot;/&gt;&lt;wsp:rsid wsp:val=&quot;006912E5&quot;/&gt;&lt;wsp:rsid wsp:val=&quot;00691909&quot;/&gt;&lt;wsp:rsid wsp:val=&quot;0069205C&quot;/&gt;&lt;wsp:rsid wsp:val=&quot;00693181&quot;/&gt;&lt;wsp:rsid wsp:val=&quot;00693635&quot;/&gt;&lt;wsp:rsid wsp:val=&quot;006945E7&quot;/&gt;&lt;wsp:rsid wsp:val=&quot;00694F28&quot;/&gt;&lt;wsp:rsid wsp:val=&quot;00695C6F&quot;/&gt;&lt;wsp:rsid wsp:val=&quot;0069774B&quot;/&gt;&lt;wsp:rsid wsp:val=&quot;00697B4F&quot;/&gt;&lt;wsp:rsid wsp:val=&quot;006A012C&quot;/&gt;&lt;wsp:rsid wsp:val=&quot;006A0B6E&quot;/&gt;&lt;wsp:rsid wsp:val=&quot;006A0E2C&quot;/&gt;&lt;wsp:rsid wsp:val=&quot;006A16CE&quot;/&gt;&lt;wsp:rsid wsp:val=&quot;006A1FC3&quot;/&gt;&lt;wsp:rsid wsp:val=&quot;006A21F6&quot;/&gt;&lt;wsp:rsid wsp:val=&quot;006A2625&quot;/&gt;&lt;wsp:rsid wsp:val=&quot;006A262F&quot;/&gt;&lt;wsp:rsid wsp:val=&quot;006A2D3F&quot;/&gt;&lt;wsp:rsid wsp:val=&quot;006A2EAC&quot;/&gt;&lt;wsp:rsid wsp:val=&quot;006A2F7C&quot;/&gt;&lt;wsp:rsid wsp:val=&quot;006A3100&quot;/&gt;&lt;wsp:rsid wsp:val=&quot;006A451A&quot;/&gt;&lt;wsp:rsid wsp:val=&quot;006A5AB0&quot;/&gt;&lt;wsp:rsid wsp:val=&quot;006A6271&quot;/&gt;&lt;wsp:rsid wsp:val=&quot;006A62E6&quot;/&gt;&lt;wsp:rsid wsp:val=&quot;006A7005&quot;/&gt;&lt;wsp:rsid wsp:val=&quot;006A7DAF&quot;/&gt;&lt;wsp:rsid wsp:val=&quot;006B1113&quot;/&gt;&lt;wsp:rsid wsp:val=&quot;006B1652&quot;/&gt;&lt;wsp:rsid wsp:val=&quot;006B448A&quot;/&gt;&lt;wsp:rsid wsp:val=&quot;006B470C&quot;/&gt;&lt;wsp:rsid wsp:val=&quot;006B4C87&quot;/&gt;&lt;wsp:rsid wsp:val=&quot;006B5284&quot;/&gt;&lt;wsp:rsid wsp:val=&quot;006B5597&quot;/&gt;&lt;wsp:rsid wsp:val=&quot;006C05BE&quot;/&gt;&lt;wsp:rsid wsp:val=&quot;006C1ECE&quot;/&gt;&lt;wsp:rsid wsp:val=&quot;006C2936&quot;/&gt;&lt;wsp:rsid wsp:val=&quot;006C388B&quot;/&gt;&lt;wsp:rsid wsp:val=&quot;006C42E3&quot;/&gt;&lt;wsp:rsid wsp:val=&quot;006C4D27&quot;/&gt;&lt;wsp:rsid wsp:val=&quot;006C656A&quot;/&gt;&lt;wsp:rsid wsp:val=&quot;006C711F&quot;/&gt;&lt;wsp:rsid wsp:val=&quot;006C727D&quot;/&gt;&lt;wsp:rsid wsp:val=&quot;006C73FE&quot;/&gt;&lt;wsp:rsid wsp:val=&quot;006C7451&quot;/&gt;&lt;wsp:rsid wsp:val=&quot;006C7DDE&quot;/&gt;&lt;wsp:rsid wsp:val=&quot;006C7E11&quot;/&gt;&lt;wsp:rsid wsp:val=&quot;006C7F0F&quot;/&gt;&lt;wsp:rsid wsp:val=&quot;006D22D9&quot;/&gt;&lt;wsp:rsid wsp:val=&quot;006D5591&quot;/&gt;&lt;wsp:rsid wsp:val=&quot;006D585A&quot;/&gt;&lt;wsp:rsid wsp:val=&quot;006D7280&quot;/&gt;&lt;wsp:rsid wsp:val=&quot;006D74E0&quot;/&gt;&lt;wsp:rsid wsp:val=&quot;006E105A&quot;/&gt;&lt;wsp:rsid wsp:val=&quot;006E1F96&quot;/&gt;&lt;wsp:rsid wsp:val=&quot;006E2645&quot;/&gt;&lt;wsp:rsid wsp:val=&quot;006E2B69&quot;/&gt;&lt;wsp:rsid wsp:val=&quot;006E2BC6&quot;/&gt;&lt;wsp:rsid wsp:val=&quot;006E3DFA&quot;/&gt;&lt;wsp:rsid wsp:val=&quot;006E468D&quot;/&gt;&lt;wsp:rsid wsp:val=&quot;006E47A3&quot;/&gt;&lt;wsp:rsid wsp:val=&quot;006E5685&quot;/&gt;&lt;wsp:rsid wsp:val=&quot;006E5B03&quot;/&gt;&lt;wsp:rsid wsp:val=&quot;006E5B95&quot;/&gt;&lt;wsp:rsid wsp:val=&quot;006E7069&quot;/&gt;&lt;wsp:rsid wsp:val=&quot;006E7FA2&quot;/&gt;&lt;wsp:rsid wsp:val=&quot;006F023F&quot;/&gt;&lt;wsp:rsid wsp:val=&quot;006F0445&quot;/&gt;&lt;wsp:rsid wsp:val=&quot;006F0B2E&quot;/&gt;&lt;wsp:rsid wsp:val=&quot;006F0F32&quot;/&gt;&lt;wsp:rsid wsp:val=&quot;006F0FA9&quot;/&gt;&lt;wsp:rsid wsp:val=&quot;006F1A99&quot;/&gt;&lt;wsp:rsid wsp:val=&quot;006F221E&quot;/&gt;&lt;wsp:rsid wsp:val=&quot;006F2E01&quot;/&gt;&lt;wsp:rsid wsp:val=&quot;006F40D8&quot;/&gt;&lt;wsp:rsid wsp:val=&quot;006F4440&quot;/&gt;&lt;wsp:rsid wsp:val=&quot;006F4BEC&quot;/&gt;&lt;wsp:rsid wsp:val=&quot;006F4DFF&quot;/&gt;&lt;wsp:rsid wsp:val=&quot;006F6248&quot;/&gt;&lt;wsp:rsid wsp:val=&quot;006F6379&quot;/&gt;&lt;wsp:rsid wsp:val=&quot;006F732A&quot;/&gt;&lt;wsp:rsid wsp:val=&quot;006F76F9&quot;/&gt;&lt;wsp:rsid wsp:val=&quot;00700014&quot;/&gt;&lt;wsp:rsid wsp:val=&quot;00701D3F&quot;/&gt;&lt;wsp:rsid wsp:val=&quot;00702447&quot;/&gt;&lt;wsp:rsid wsp:val=&quot;00702FEA&quot;/&gt;&lt;wsp:rsid wsp:val=&quot;0070307A&quot;/&gt;&lt;wsp:rsid wsp:val=&quot;00703B26&quot;/&gt;&lt;wsp:rsid wsp:val=&quot;007042E6&quot;/&gt;&lt;wsp:rsid wsp:val=&quot;007067B6&quot;/&gt;&lt;wsp:rsid wsp:val=&quot;00706805&quot;/&gt;&lt;wsp:rsid wsp:val=&quot;0070693F&quot;/&gt;&lt;wsp:rsid wsp:val=&quot;00707112&quot;/&gt;&lt;wsp:rsid wsp:val=&quot;007077F2&quot;/&gt;&lt;wsp:rsid wsp:val=&quot;00707B90&quot;/&gt;&lt;wsp:rsid wsp:val=&quot;00707ED5&quot;/&gt;&lt;wsp:rsid wsp:val=&quot;007101D4&quot;/&gt;&lt;wsp:rsid wsp:val=&quot;00710FCD&quot;/&gt;&lt;wsp:rsid wsp:val=&quot;00711AB3&quot;/&gt;&lt;wsp:rsid wsp:val=&quot;00711EBB&quot;/&gt;&lt;wsp:rsid wsp:val=&quot;00712EAD&quot;/&gt;&lt;wsp:rsid wsp:val=&quot;007138E4&quot;/&gt;&lt;wsp:rsid wsp:val=&quot;00714540&quot;/&gt;&lt;wsp:rsid wsp:val=&quot;00716319&quot;/&gt;&lt;wsp:rsid wsp:val=&quot;00716D8B&quot;/&gt;&lt;wsp:rsid wsp:val=&quot;00720876&quot;/&gt;&lt;wsp:rsid wsp:val=&quot;007210BD&quot;/&gt;&lt;wsp:rsid wsp:val=&quot;00721484&quot;/&gt;&lt;wsp:rsid wsp:val=&quot;007227F6&quot;/&gt;&lt;wsp:rsid wsp:val=&quot;007228EA&quot;/&gt;&lt;wsp:rsid wsp:val=&quot;00723437&quot;/&gt;&lt;wsp:rsid wsp:val=&quot;00723AA8&quot;/&gt;&lt;wsp:rsid wsp:val=&quot;007240D5&quot;/&gt;&lt;wsp:rsid wsp:val=&quot;00724268&quot;/&gt;&lt;wsp:rsid wsp:val=&quot;007245F2&quot;/&gt;&lt;wsp:rsid wsp:val=&quot;00725038&quot;/&gt;&lt;wsp:rsid wsp:val=&quot;00725851&quot;/&gt;&lt;wsp:rsid wsp:val=&quot;007267FD&quot;/&gt;&lt;wsp:rsid wsp:val=&quot;00730681&quot;/&gt;&lt;wsp:rsid wsp:val=&quot;0073138B&quot;/&gt;&lt;wsp:rsid wsp:val=&quot;00732196&quot;/&gt;&lt;wsp:rsid wsp:val=&quot;007322DE&quot;/&gt;&lt;wsp:rsid wsp:val=&quot;00732A7F&quot;/&gt;&lt;wsp:rsid wsp:val=&quot;007334AC&quot;/&gt;&lt;wsp:rsid wsp:val=&quot;00734B34&quot;/&gt;&lt;wsp:rsid wsp:val=&quot;00734CFD&quot;/&gt;&lt;wsp:rsid wsp:val=&quot;00737772&quot;/&gt;&lt;wsp:rsid wsp:val=&quot;00740570&quot;/&gt;&lt;wsp:rsid wsp:val=&quot;0074114B&quot;/&gt;&lt;wsp:rsid wsp:val=&quot;007411E0&quot;/&gt;&lt;wsp:rsid wsp:val=&quot;00742BDF&quot;/&gt;&lt;wsp:rsid wsp:val=&quot;007431F0&quot;/&gt;&lt;wsp:rsid wsp:val=&quot;007435FF&quot;/&gt;&lt;wsp:rsid wsp:val=&quot;0074370B&quot;/&gt;&lt;wsp:rsid wsp:val=&quot;00744328&quot;/&gt;&lt;wsp:rsid wsp:val=&quot;00744A21&quot;/&gt;&lt;wsp:rsid wsp:val=&quot;00744F06&quot;/&gt;&lt;wsp:rsid wsp:val=&quot;00746BBA&quot;/&gt;&lt;wsp:rsid wsp:val=&quot;00746FC8&quot;/&gt;&lt;wsp:rsid wsp:val=&quot;0074730F&quot;/&gt;&lt;wsp:rsid wsp:val=&quot;00752D68&quot;/&gt;&lt;wsp:rsid wsp:val=&quot;00752E56&quot;/&gt;&lt;wsp:rsid wsp:val=&quot;007541A8&quot;/&gt;&lt;wsp:rsid wsp:val=&quot;007543F4&quot;/&gt;&lt;wsp:rsid wsp:val=&quot;00754B98&quot;/&gt;&lt;wsp:rsid wsp:val=&quot;00754D51&quot;/&gt;&lt;wsp:rsid wsp:val=&quot;00754F4C&quot;/&gt;&lt;wsp:rsid wsp:val=&quot;00756AD5&quot;/&gt;&lt;wsp:rsid wsp:val=&quot;007576F0&quot;/&gt;&lt;wsp:rsid wsp:val=&quot;00757E75&quot;/&gt;&lt;wsp:rsid wsp:val=&quot;007606F5&quot;/&gt;&lt;wsp:rsid wsp:val=&quot;00760B74&quot;/&gt;&lt;wsp:rsid wsp:val=&quot;00761426&quot;/&gt;&lt;wsp:rsid wsp:val=&quot;00761AAC&quot;/&gt;&lt;wsp:rsid wsp:val=&quot;00761E26&quot;/&gt;&lt;wsp:rsid wsp:val=&quot;007626A8&quot;/&gt;&lt;wsp:rsid wsp:val=&quot;00762B0C&quot;/&gt;&lt;wsp:rsid wsp:val=&quot;007631BE&quot;/&gt;&lt;wsp:rsid wsp:val=&quot;007637FC&quot;/&gt;&lt;wsp:rsid wsp:val=&quot;007639FF&quot;/&gt;&lt;wsp:rsid wsp:val=&quot;00763AB7&quot;/&gt;&lt;wsp:rsid wsp:val=&quot;00764B7C&quot;/&gt;&lt;wsp:rsid wsp:val=&quot;00766E6C&quot;/&gt;&lt;wsp:rsid wsp:val=&quot;0076717C&quot;/&gt;&lt;wsp:rsid wsp:val=&quot;00770232&quot;/&gt;&lt;wsp:rsid wsp:val=&quot;007702B2&quot;/&gt;&lt;wsp:rsid wsp:val=&quot;00770500&quot;/&gt;&lt;wsp:rsid wsp:val=&quot;00771422&quot;/&gt;&lt;wsp:rsid wsp:val=&quot;00771BC9&quot;/&gt;&lt;wsp:rsid wsp:val=&quot;00771C95&quot;/&gt;&lt;wsp:rsid wsp:val=&quot;00772B9A&quot;/&gt;&lt;wsp:rsid wsp:val=&quot;00772D71&quot;/&gt;&lt;wsp:rsid wsp:val=&quot;00773168&quot;/&gt;&lt;wsp:rsid wsp:val=&quot;007735CD&quot;/&gt;&lt;wsp:rsid wsp:val=&quot;007741C2&quot;/&gt;&lt;wsp:rsid wsp:val=&quot;00774518&quot;/&gt;&lt;wsp:rsid wsp:val=&quot;00774709&quot;/&gt;&lt;wsp:rsid wsp:val=&quot;00775E56&quot;/&gt;&lt;wsp:rsid wsp:val=&quot;007760A6&quot;/&gt;&lt;wsp:rsid wsp:val=&quot;00777D8A&quot;/&gt;&lt;wsp:rsid wsp:val=&quot;00777DD1&quot;/&gt;&lt;wsp:rsid wsp:val=&quot;00780E98&quot;/&gt;&lt;wsp:rsid wsp:val=&quot;0078149C&quot;/&gt;&lt;wsp:rsid wsp:val=&quot;0078251E&quot;/&gt;&lt;wsp:rsid wsp:val=&quot;00782FA9&quot;/&gt;&lt;wsp:rsid wsp:val=&quot;00784C5D&quot;/&gt;&lt;wsp:rsid wsp:val=&quot;0078622E&quot;/&gt;&lt;wsp:rsid wsp:val=&quot;007870D0&quot;/&gt;&lt;wsp:rsid wsp:val=&quot;0078742D&quot;/&gt;&lt;wsp:rsid wsp:val=&quot;00787C04&quot;/&gt;&lt;wsp:rsid wsp:val=&quot;00790335&quot;/&gt;&lt;wsp:rsid wsp:val=&quot;00790A3B&quot;/&gt;&lt;wsp:rsid wsp:val=&quot;00791ED3&quot;/&gt;&lt;wsp:rsid wsp:val=&quot;007933C5&quot;/&gt;&lt;wsp:rsid wsp:val=&quot;00793F7E&quot;/&gt;&lt;wsp:rsid wsp:val=&quot;00793FE6&quot;/&gt;&lt;wsp:rsid wsp:val=&quot;0079431E&quot;/&gt;&lt;wsp:rsid wsp:val=&quot;0079524E&quot;/&gt;&lt;wsp:rsid wsp:val=&quot;00795B81&quot;/&gt;&lt;wsp:rsid wsp:val=&quot;00795C7F&quot;/&gt;&lt;wsp:rsid wsp:val=&quot;007967BE&quot;/&gt;&lt;wsp:rsid wsp:val=&quot;00796D6C&quot;/&gt;&lt;wsp:rsid wsp:val=&quot;00796F1E&quot;/&gt;&lt;wsp:rsid wsp:val=&quot;007A0931&quot;/&gt;&lt;wsp:rsid wsp:val=&quot;007A0FAA&quot;/&gt;&lt;wsp:rsid wsp:val=&quot;007A112A&quot;/&gt;&lt;wsp:rsid wsp:val=&quot;007A239B&quot;/&gt;&lt;wsp:rsid wsp:val=&quot;007A240E&quot;/&gt;&lt;wsp:rsid wsp:val=&quot;007A2891&quot;/&gt;&lt;wsp:rsid wsp:val=&quot;007A358C&quot;/&gt;&lt;wsp:rsid wsp:val=&quot;007A3CE3&quot;/&gt;&lt;wsp:rsid wsp:val=&quot;007A6936&quot;/&gt;&lt;wsp:rsid wsp:val=&quot;007A784B&quot;/&gt;&lt;wsp:rsid wsp:val=&quot;007A791F&quot;/&gt;&lt;wsp:rsid wsp:val=&quot;007A7BBF&quot;/&gt;&lt;wsp:rsid wsp:val=&quot;007A7D9C&quot;/&gt;&lt;wsp:rsid wsp:val=&quot;007B005A&quot;/&gt;&lt;wsp:rsid wsp:val=&quot;007B1CB3&quot;/&gt;&lt;wsp:rsid wsp:val=&quot;007B340C&quot;/&gt;&lt;wsp:rsid wsp:val=&quot;007B413F&quot;/&gt;&lt;wsp:rsid wsp:val=&quot;007B47F1&quot;/&gt;&lt;wsp:rsid wsp:val=&quot;007B552A&quot;/&gt;&lt;wsp:rsid wsp:val=&quot;007B579E&quot;/&gt;&lt;wsp:rsid wsp:val=&quot;007B5CCD&quot;/&gt;&lt;wsp:rsid wsp:val=&quot;007B6AC4&quot;/&gt;&lt;wsp:rsid wsp:val=&quot;007B6C34&quot;/&gt;&lt;wsp:rsid wsp:val=&quot;007B6F98&quot;/&gt;&lt;wsp:rsid wsp:val=&quot;007B7490&quot;/&gt;&lt;wsp:rsid wsp:val=&quot;007B79D4&quot;/&gt;&lt;wsp:rsid wsp:val=&quot;007B7BA3&quot;/&gt;&lt;wsp:rsid wsp:val=&quot;007C0407&quot;/&gt;&lt;wsp:rsid wsp:val=&quot;007C1638&quot;/&gt;&lt;wsp:rsid wsp:val=&quot;007C1AD6&quot;/&gt;&lt;wsp:rsid wsp:val=&quot;007C345F&quot;/&gt;&lt;wsp:rsid wsp:val=&quot;007C3FC4&quot;/&gt;&lt;wsp:rsid wsp:val=&quot;007C49E2&quot;/&gt;&lt;wsp:rsid wsp:val=&quot;007C5C74&quot;/&gt;&lt;wsp:rsid wsp:val=&quot;007C660A&quot;/&gt;&lt;wsp:rsid wsp:val=&quot;007C6914&quot;/&gt;&lt;wsp:rsid wsp:val=&quot;007C6DAC&quot;/&gt;&lt;wsp:rsid wsp:val=&quot;007D1345&quot;/&gt;&lt;wsp:rsid wsp:val=&quot;007D191C&quot;/&gt;&lt;wsp:rsid wsp:val=&quot;007D1D2D&quot;/&gt;&lt;wsp:rsid wsp:val=&quot;007D2549&quot;/&gt;&lt;wsp:rsid wsp:val=&quot;007D273C&quot;/&gt;&lt;wsp:rsid wsp:val=&quot;007D2B38&quot;/&gt;&lt;wsp:rsid wsp:val=&quot;007D2C43&quot;/&gt;&lt;wsp:rsid wsp:val=&quot;007D2E41&quot;/&gt;&lt;wsp:rsid wsp:val=&quot;007D2EA8&quot;/&gt;&lt;wsp:rsid wsp:val=&quot;007D3B60&quot;/&gt;&lt;wsp:rsid wsp:val=&quot;007D4308&quot;/&gt;&lt;wsp:rsid wsp:val=&quot;007D44D4&quot;/&gt;&lt;wsp:rsid wsp:val=&quot;007D4587&quot;/&gt;&lt;wsp:rsid wsp:val=&quot;007D45DD&quot;/&gt;&lt;wsp:rsid wsp:val=&quot;007D494F&quot;/&gt;&lt;wsp:rsid wsp:val=&quot;007D4FC3&quot;/&gt;&lt;wsp:rsid wsp:val=&quot;007D5795&quot;/&gt;&lt;wsp:rsid wsp:val=&quot;007D57AE&quot;/&gt;&lt;wsp:rsid wsp:val=&quot;007D5C58&quot;/&gt;&lt;wsp:rsid wsp:val=&quot;007D6C30&quot;/&gt;&lt;wsp:rsid wsp:val=&quot;007D775C&quot;/&gt;&lt;wsp:rsid wsp:val=&quot;007E0D33&quot;/&gt;&lt;wsp:rsid wsp:val=&quot;007E1CA3&quot;/&gt;&lt;wsp:rsid wsp:val=&quot;007E1E15&quot;/&gt;&lt;wsp:rsid wsp:val=&quot;007E2F23&quot;/&gt;&lt;wsp:rsid wsp:val=&quot;007E365B&quot;/&gt;&lt;wsp:rsid wsp:val=&quot;007E5692&quot;/&gt;&lt;wsp:rsid wsp:val=&quot;007E5FFE&quot;/&gt;&lt;wsp:rsid wsp:val=&quot;007E6048&quot;/&gt;&lt;wsp:rsid wsp:val=&quot;007E6E42&quot;/&gt;&lt;wsp:rsid wsp:val=&quot;007E76C6&quot;/&gt;&lt;wsp:rsid wsp:val=&quot;007E7E33&quot;/&gt;&lt;wsp:rsid wsp:val=&quot;007F0A76&quot;/&gt;&lt;wsp:rsid wsp:val=&quot;007F0C54&quot;/&gt;&lt;wsp:rsid wsp:val=&quot;007F10F6&quot;/&gt;&lt;wsp:rsid wsp:val=&quot;007F2717&quot;/&gt;&lt;wsp:rsid wsp:val=&quot;007F271B&quot;/&gt;&lt;wsp:rsid wsp:val=&quot;007F3253&quot;/&gt;&lt;wsp:rsid wsp:val=&quot;007F3813&quot;/&gt;&lt;wsp:rsid wsp:val=&quot;007F3935&quot;/&gt;&lt;wsp:rsid wsp:val=&quot;007F3F49&quot;/&gt;&lt;wsp:rsid wsp:val=&quot;007F4BDB&quot;/&gt;&lt;wsp:rsid wsp:val=&quot;007F4E7D&quot;/&gt;&lt;wsp:rsid wsp:val=&quot;007F55FC&quot;/&gt;&lt;wsp:rsid wsp:val=&quot;007F593B&quot;/&gt;&lt;wsp:rsid wsp:val=&quot;007F5A71&quot;/&gt;&lt;wsp:rsid wsp:val=&quot;007F6CE9&quot;/&gt;&lt;wsp:rsid wsp:val=&quot;007F7609&quot;/&gt;&lt;wsp:rsid wsp:val=&quot;007F7978&quot;/&gt;&lt;wsp:rsid wsp:val=&quot;00800E5C&quot;/&gt;&lt;wsp:rsid wsp:val=&quot;008015FC&quot;/&gt;&lt;wsp:rsid wsp:val=&quot;008034A9&quot;/&gt;&lt;wsp:rsid wsp:val=&quot;00803A17&quot;/&gt;&lt;wsp:rsid wsp:val=&quot;00804922&quot;/&gt;&lt;wsp:rsid wsp:val=&quot;008056AA&quot;/&gt;&lt;wsp:rsid wsp:val=&quot;00805C58&quot;/&gt;&lt;wsp:rsid wsp:val=&quot;008063B3&quot;/&gt;&lt;wsp:rsid wsp:val=&quot;0080732B&quot;/&gt;&lt;wsp:rsid wsp:val=&quot;00807A1F&quot;/&gt;&lt;wsp:rsid wsp:val=&quot;0081201E&quot;/&gt;&lt;wsp:rsid wsp:val=&quot;008123F3&quot;/&gt;&lt;wsp:rsid wsp:val=&quot;00812D71&quot;/&gt;&lt;wsp:rsid wsp:val=&quot;00812DC9&quot;/&gt;&lt;wsp:rsid wsp:val=&quot;00813005&quot;/&gt;&lt;wsp:rsid wsp:val=&quot;0081348B&quot;/&gt;&lt;wsp:rsid wsp:val=&quot;0081378D&quot;/&gt;&lt;wsp:rsid wsp:val=&quot;0081393C&quot;/&gt;&lt;wsp:rsid wsp:val=&quot;00813B6D&quot;/&gt;&lt;wsp:rsid wsp:val=&quot;00814E74&quot;/&gt;&lt;wsp:rsid wsp:val=&quot;00815773&quot;/&gt;&lt;wsp:rsid wsp:val=&quot;0081587B&quot;/&gt;&lt;wsp:rsid wsp:val=&quot;00817538&quot;/&gt;&lt;wsp:rsid wsp:val=&quot;008177F8&quot;/&gt;&lt;wsp:rsid wsp:val=&quot;00821DBC&quot;/&gt;&lt;wsp:rsid wsp:val=&quot;00821E2D&quot;/&gt;&lt;wsp:rsid wsp:val=&quot;0082242E&quot;/&gt;&lt;wsp:rsid wsp:val=&quot;0082303F&quot;/&gt;&lt;wsp:rsid wsp:val=&quot;0082361D&quot;/&gt;&lt;wsp:rsid wsp:val=&quot;0082383A&quot;/&gt;&lt;wsp:rsid wsp:val=&quot;00824D7E&quot;/&gt;&lt;wsp:rsid wsp:val=&quot;008252DF&quot;/&gt;&lt;wsp:rsid wsp:val=&quot;008252F6&quot;/&gt;&lt;wsp:rsid wsp:val=&quot;0082597B&quot;/&gt;&lt;wsp:rsid wsp:val=&quot;00827354&quot;/&gt;&lt;wsp:rsid wsp:val=&quot;00830B2F&quot;/&gt;&lt;wsp:rsid wsp:val=&quot;00830DD4&quot;/&gt;&lt;wsp:rsid wsp:val=&quot;0083175E&quot;/&gt;&lt;wsp:rsid wsp:val=&quot;008317CB&quot;/&gt;&lt;wsp:rsid wsp:val=&quot;0083224B&quot;/&gt;&lt;wsp:rsid wsp:val=&quot;0083291A&quot;/&gt;&lt;wsp:rsid wsp:val=&quot;00833256&quot;/&gt;&lt;wsp:rsid wsp:val=&quot;008348E7&quot;/&gt;&lt;wsp:rsid wsp:val=&quot;00834B3A&quot;/&gt;&lt;wsp:rsid wsp:val=&quot;00834BDC&quot;/&gt;&lt;wsp:rsid wsp:val=&quot;008351A3&quot;/&gt;&lt;wsp:rsid wsp:val=&quot;00836050&quot;/&gt;&lt;wsp:rsid wsp:val=&quot;00836BB0&quot;/&gt;&lt;wsp:rsid wsp:val=&quot;00836DD9&quot;/&gt;&lt;wsp:rsid wsp:val=&quot;00837795&quot;/&gt;&lt;wsp:rsid wsp:val=&quot;00837E2C&quot;/&gt;&lt;wsp:rsid wsp:val=&quot;00840421&quot;/&gt;&lt;wsp:rsid wsp:val=&quot;008423BE&quot;/&gt;&lt;wsp:rsid wsp:val=&quot;00843615&quot;/&gt;&lt;wsp:rsid wsp:val=&quot;00844208&quot;/&gt;&lt;wsp:rsid wsp:val=&quot;00844AC1&quot;/&gt;&lt;wsp:rsid wsp:val=&quot;008451E8&quot;/&gt;&lt;wsp:rsid wsp:val=&quot;008452AB&quot;/&gt;&lt;wsp:rsid wsp:val=&quot;00850107&quot;/&gt;&lt;wsp:rsid wsp:val=&quot;00851906&quot;/&gt;&lt;wsp:rsid wsp:val=&quot;008519AE&quot;/&gt;&lt;wsp:rsid wsp:val=&quot;00851E32&quot;/&gt;&lt;wsp:rsid wsp:val=&quot;00852A89&quot;/&gt;&lt;wsp:rsid wsp:val=&quot;00853B7B&quot;/&gt;&lt;wsp:rsid wsp:val=&quot;00855238&quot;/&gt;&lt;wsp:rsid wsp:val=&quot;008556CC&quot;/&gt;&lt;wsp:rsid wsp:val=&quot;00856B1C&quot;/&gt;&lt;wsp:rsid wsp:val=&quot;00856B6A&quot;/&gt;&lt;wsp:rsid wsp:val=&quot;00857C35&quot;/&gt;&lt;wsp:rsid wsp:val=&quot;00857CF7&quot;/&gt;&lt;wsp:rsid wsp:val=&quot;00860671&quot;/&gt;&lt;wsp:rsid wsp:val=&quot;00861729&quot;/&gt;&lt;wsp:rsid wsp:val=&quot;0086187C&quot;/&gt;&lt;wsp:rsid wsp:val=&quot;00862AC8&quot;/&gt;&lt;wsp:rsid wsp:val=&quot;00862CA4&quot;/&gt;&lt;wsp:rsid wsp:val=&quot;0086380B&quot;/&gt;&lt;wsp:rsid wsp:val=&quot;008650B8&quot;/&gt;&lt;wsp:rsid wsp:val=&quot;008655A6&quot;/&gt;&lt;wsp:rsid wsp:val=&quot;008660B2&quot;/&gt;&lt;wsp:rsid wsp:val=&quot;00866D99&quot;/&gt;&lt;wsp:rsid wsp:val=&quot;008673C6&quot;/&gt;&lt;wsp:rsid wsp:val=&quot;008703E2&quot;/&gt;&lt;wsp:rsid wsp:val=&quot;00870A44&quot;/&gt;&lt;wsp:rsid wsp:val=&quot;00872E48&quot;/&gt;&lt;wsp:rsid wsp:val=&quot;00872ECF&quot;/&gt;&lt;wsp:rsid wsp:val=&quot;00873082&quot;/&gt;&lt;wsp:rsid wsp:val=&quot;00873C08&quot;/&gt;&lt;wsp:rsid wsp:val=&quot;00873D8E&quot;/&gt;&lt;wsp:rsid wsp:val=&quot;00873EEC&quot;/&gt;&lt;wsp:rsid wsp:val=&quot;00874691&quot;/&gt;&lt;wsp:rsid wsp:val=&quot;00874A50&quot;/&gt;&lt;wsp:rsid wsp:val=&quot;0087608C&quot;/&gt;&lt;wsp:rsid wsp:val=&quot;0087665C&quot;/&gt;&lt;wsp:rsid wsp:val=&quot;008771FA&quot;/&gt;&lt;wsp:rsid wsp:val=&quot;00877329&quot;/&gt;&lt;wsp:rsid wsp:val=&quot;00880767&quot;/&gt;&lt;wsp:rsid wsp:val=&quot;00880B16&quot;/&gt;&lt;wsp:rsid wsp:val=&quot;00881636&quot;/&gt;&lt;wsp:rsid wsp:val=&quot;00881816&quot;/&gt;&lt;wsp:rsid wsp:val=&quot;00881A0D&quot;/&gt;&lt;wsp:rsid wsp:val=&quot;00882089&quot;/&gt;&lt;wsp:rsid wsp:val=&quot;00882A54&quot;/&gt;&lt;wsp:rsid wsp:val=&quot;00882F67&quot;/&gt;&lt;wsp:rsid wsp:val=&quot;0088368A&quot;/&gt;&lt;wsp:rsid wsp:val=&quot;00884E2F&quot;/&gt;&lt;wsp:rsid wsp:val=&quot;00884E83&quot;/&gt;&lt;wsp:rsid wsp:val=&quot;00884FFC&quot;/&gt;&lt;wsp:rsid wsp:val=&quot;00885DC7&quot;/&gt;&lt;wsp:rsid wsp:val=&quot;00886339&quot;/&gt;&lt;wsp:rsid wsp:val=&quot;008873C7&quot;/&gt;&lt;wsp:rsid wsp:val=&quot;0089014B&quot;/&gt;&lt;wsp:rsid wsp:val=&quot;00891005&quot;/&gt;&lt;wsp:rsid wsp:val=&quot;00891CD0&quot;/&gt;&lt;wsp:rsid wsp:val=&quot;008922B1&quot;/&gt;&lt;wsp:rsid wsp:val=&quot;008925FD&quot;/&gt;&lt;wsp:rsid wsp:val=&quot;00893586&quot;/&gt;&lt;wsp:rsid wsp:val=&quot;00894D02&quot;/&gt;&lt;wsp:rsid wsp:val=&quot;00895665&quot;/&gt;&lt;wsp:rsid wsp:val=&quot;00896988&quot;/&gt;&lt;wsp:rsid wsp:val=&quot;00896C3B&quot;/&gt;&lt;wsp:rsid wsp:val=&quot;008976BF&quot;/&gt;&lt;wsp:rsid wsp:val=&quot;008A0B8C&quot;/&gt;&lt;wsp:rsid wsp:val=&quot;008A0C73&quot;/&gt;&lt;wsp:rsid wsp:val=&quot;008A1809&quot;/&gt;&lt;wsp:rsid wsp:val=&quot;008A2D3A&quot;/&gt;&lt;wsp:rsid wsp:val=&quot;008A2E64&quot;/&gt;&lt;wsp:rsid wsp:val=&quot;008A36FF&quot;/&gt;&lt;wsp:rsid wsp:val=&quot;008A4776&quot;/&gt;&lt;wsp:rsid wsp:val=&quot;008A4ABE&quot;/&gt;&lt;wsp:rsid wsp:val=&quot;008A60B0&quot;/&gt;&lt;wsp:rsid wsp:val=&quot;008A618D&quot;/&gt;&lt;wsp:rsid wsp:val=&quot;008A68B0&quot;/&gt;&lt;wsp:rsid wsp:val=&quot;008A6D55&quot;/&gt;&lt;wsp:rsid wsp:val=&quot;008A7037&quot;/&gt;&lt;wsp:rsid wsp:val=&quot;008A7104&quot;/&gt;&lt;wsp:rsid wsp:val=&quot;008A7904&quot;/&gt;&lt;wsp:rsid wsp:val=&quot;008B118B&quot;/&gt;&lt;wsp:rsid wsp:val=&quot;008B13A0&quot;/&gt;&lt;wsp:rsid wsp:val=&quot;008B1411&quot;/&gt;&lt;wsp:rsid wsp:val=&quot;008B26ED&quot;/&gt;&lt;wsp:rsid wsp:val=&quot;008B2BB1&quot;/&gt;&lt;wsp:rsid wsp:val=&quot;008B2D5E&quot;/&gt;&lt;wsp:rsid wsp:val=&quot;008B2E91&quot;/&gt;&lt;wsp:rsid wsp:val=&quot;008B340C&quot;/&gt;&lt;wsp:rsid wsp:val=&quot;008B35F3&quot;/&gt;&lt;wsp:rsid wsp:val=&quot;008B5510&quot;/&gt;&lt;wsp:rsid wsp:val=&quot;008B5C7D&quot;/&gt;&lt;wsp:rsid wsp:val=&quot;008B79A9&quot;/&gt;&lt;wsp:rsid wsp:val=&quot;008C2689&quot;/&gt;&lt;wsp:rsid wsp:val=&quot;008C2BF9&quot;/&gt;&lt;wsp:rsid wsp:val=&quot;008C2CD9&quot;/&gt;&lt;wsp:rsid wsp:val=&quot;008C3C09&quot;/&gt;&lt;wsp:rsid wsp:val=&quot;008C47B4&quot;/&gt;&lt;wsp:rsid wsp:val=&quot;008C53CB&quot;/&gt;&lt;wsp:rsid wsp:val=&quot;008C6D65&quot;/&gt;&lt;wsp:rsid wsp:val=&quot;008C7863&quot;/&gt;&lt;wsp:rsid wsp:val=&quot;008C78D2&quot;/&gt;&lt;wsp:rsid wsp:val=&quot;008C7EEB&quot;/&gt;&lt;wsp:rsid wsp:val=&quot;008C7F55&quot;/&gt;&lt;wsp:rsid wsp:val=&quot;008D07A2&quot;/&gt;&lt;wsp:rsid wsp:val=&quot;008D0EBB&quot;/&gt;&lt;wsp:rsid wsp:val=&quot;008D106F&quot;/&gt;&lt;wsp:rsid wsp:val=&quot;008D1181&quot;/&gt;&lt;wsp:rsid wsp:val=&quot;008D1D79&quot;/&gt;&lt;wsp:rsid wsp:val=&quot;008D31AE&quot;/&gt;&lt;wsp:rsid wsp:val=&quot;008D3A4E&quot;/&gt;&lt;wsp:rsid wsp:val=&quot;008D3B31&quot;/&gt;&lt;wsp:rsid wsp:val=&quot;008D401B&quot;/&gt;&lt;wsp:rsid wsp:val=&quot;008D46CB&quot;/&gt;&lt;wsp:rsid wsp:val=&quot;008D5640&quot;/&gt;&lt;wsp:rsid wsp:val=&quot;008D63A6&quot;/&gt;&lt;wsp:rsid wsp:val=&quot;008D71BE&quot;/&gt;&lt;wsp:rsid wsp:val=&quot;008D77D1&quot;/&gt;&lt;wsp:rsid wsp:val=&quot;008D7B0C&quot;/&gt;&lt;wsp:rsid wsp:val=&quot;008D7B8B&quot;/&gt;&lt;wsp:rsid wsp:val=&quot;008E1433&quot;/&gt;&lt;wsp:rsid wsp:val=&quot;008E2A07&quot;/&gt;&lt;wsp:rsid wsp:val=&quot;008E2E25&quot;/&gt;&lt;wsp:rsid wsp:val=&quot;008E2F7B&quot;/&gt;&lt;wsp:rsid wsp:val=&quot;008E3DEE&quot;/&gt;&lt;wsp:rsid wsp:val=&quot;008E5782&quot;/&gt;&lt;wsp:rsid wsp:val=&quot;008E59FB&quot;/&gt;&lt;wsp:rsid wsp:val=&quot;008E5BE7&quot;/&gt;&lt;wsp:rsid wsp:val=&quot;008E5D5A&quot;/&gt;&lt;wsp:rsid wsp:val=&quot;008E5FEB&quot;/&gt;&lt;wsp:rsid wsp:val=&quot;008E73A8&quot;/&gt;&lt;wsp:rsid wsp:val=&quot;008F0129&quot;/&gt;&lt;wsp:rsid wsp:val=&quot;008F2E61&quot;/&gt;&lt;wsp:rsid wsp:val=&quot;008F4258&quot;/&gt;&lt;wsp:rsid wsp:val=&quot;008F438A&quot;/&gt;&lt;wsp:rsid wsp:val=&quot;008F45B3&quot;/&gt;&lt;wsp:rsid wsp:val=&quot;0090146D&quot;/&gt;&lt;wsp:rsid wsp:val=&quot;00903C64&quot;/&gt;&lt;wsp:rsid wsp:val=&quot;00905118&quot;/&gt;&lt;wsp:rsid wsp:val=&quot;00906546&quot;/&gt;&lt;wsp:rsid wsp:val=&quot;00906C39&quot;/&gt;&lt;wsp:rsid wsp:val=&quot;00907987&quot;/&gt;&lt;wsp:rsid wsp:val=&quot;00907A5F&quot;/&gt;&lt;wsp:rsid wsp:val=&quot;00910428&quot;/&gt;&lt;wsp:rsid wsp:val=&quot;00910822&quot;/&gt;&lt;wsp:rsid wsp:val=&quot;0091196C&quot;/&gt;&lt;wsp:rsid wsp:val=&quot;00911D30&quot;/&gt;&lt;wsp:rsid wsp:val=&quot;00913D36&quot;/&gt;&lt;wsp:rsid wsp:val=&quot;009155F2&quot;/&gt;&lt;wsp:rsid wsp:val=&quot;009157DA&quot;/&gt;&lt;wsp:rsid wsp:val=&quot;00915863&quot;/&gt;&lt;wsp:rsid wsp:val=&quot;00915DBF&quot;/&gt;&lt;wsp:rsid wsp:val=&quot;009171F9&quot;/&gt;&lt;wsp:rsid wsp:val=&quot;00917750&quot;/&gt;&lt;wsp:rsid wsp:val=&quot;009204F0&quot;/&gt;&lt;wsp:rsid wsp:val=&quot;009211FB&quot;/&gt;&lt;wsp:rsid wsp:val=&quot;00921CBB&quot;/&gt;&lt;wsp:rsid wsp:val=&quot;00922324&quot;/&gt;&lt;wsp:rsid wsp:val=&quot;0092304C&quot;/&gt;&lt;wsp:rsid wsp:val=&quot;0092380C&quot;/&gt;&lt;wsp:rsid wsp:val=&quot;009240FC&quot;/&gt;&lt;wsp:rsid wsp:val=&quot;00924C26&quot;/&gt;&lt;wsp:rsid wsp:val=&quot;00926932&quot;/&gt;&lt;wsp:rsid wsp:val=&quot;00927388&quot;/&gt;&lt;wsp:rsid wsp:val=&quot;00927539&quot;/&gt;&lt;wsp:rsid wsp:val=&quot;00930474&quot;/&gt;&lt;wsp:rsid wsp:val=&quot;00930561&quot;/&gt;&lt;wsp:rsid wsp:val=&quot;00930716&quot;/&gt;&lt;wsp:rsid wsp:val=&quot;009312F3&quot;/&gt;&lt;wsp:rsid wsp:val=&quot;00931613&quot;/&gt;&lt;wsp:rsid wsp:val=&quot;00931823&quot;/&gt;&lt;wsp:rsid wsp:val=&quot;009327B1&quot;/&gt;&lt;wsp:rsid wsp:val=&quot;009328F4&quot;/&gt;&lt;wsp:rsid wsp:val=&quot;00933736&quot;/&gt;&lt;wsp:rsid wsp:val=&quot;009342C5&quot;/&gt;&lt;wsp:rsid wsp:val=&quot;0093542A&quot;/&gt;&lt;wsp:rsid wsp:val=&quot;00935F84&quot;/&gt;&lt;wsp:rsid wsp:val=&quot;00936294&quot;/&gt;&lt;wsp:rsid wsp:val=&quot;009373C1&quot;/&gt;&lt;wsp:rsid wsp:val=&quot;00941DEC&quot;/&gt;&lt;wsp:rsid wsp:val=&quot;00941DED&quot;/&gt;&lt;wsp:rsid wsp:val=&quot;009427CE&quot;/&gt;&lt;wsp:rsid wsp:val=&quot;00942960&quot;/&gt;&lt;wsp:rsid wsp:val=&quot;00944EEB&quot;/&gt;&lt;wsp:rsid wsp:val=&quot;00950181&quot;/&gt;&lt;wsp:rsid wsp:val=&quot;00950642&quot;/&gt;&lt;wsp:rsid wsp:val=&quot;00951082&quot;/&gt;&lt;wsp:rsid wsp:val=&quot;00951E71&quot;/&gt;&lt;wsp:rsid wsp:val=&quot;00952DDC&quot;/&gt;&lt;wsp:rsid wsp:val=&quot;00953D1B&quot;/&gt;&lt;wsp:rsid wsp:val=&quot;00955C41&quot;/&gt;&lt;wsp:rsid wsp:val=&quot;00956A2F&quot;/&gt;&lt;wsp:rsid wsp:val=&quot;00956CD0&quot;/&gt;&lt;wsp:rsid wsp:val=&quot;00957187&quot;/&gt;&lt;wsp:rsid wsp:val=&quot;00960884&quot;/&gt;&lt;wsp:rsid wsp:val=&quot;009609B3&quot;/&gt;&lt;wsp:rsid wsp:val=&quot;00960E52&quot;/&gt;&lt;wsp:rsid wsp:val=&quot;00961908&quot;/&gt;&lt;wsp:rsid wsp:val=&quot;009620BC&quot;/&gt;&lt;wsp:rsid wsp:val=&quot;009622DB&quot;/&gt;&lt;wsp:rsid wsp:val=&quot;00962688&quot;/&gt;&lt;wsp:rsid wsp:val=&quot;0096292A&quot;/&gt;&lt;wsp:rsid wsp:val=&quot;00962D5C&quot;/&gt;&lt;wsp:rsid wsp:val=&quot;00963121&quot;/&gt;&lt;wsp:rsid wsp:val=&quot;0096343E&quot;/&gt;&lt;wsp:rsid wsp:val=&quot;009641A1&quot;/&gt;&lt;wsp:rsid wsp:val=&quot;009643D1&quot;/&gt;&lt;wsp:rsid wsp:val=&quot;009645BF&quot;/&gt;&lt;wsp:rsid wsp:val=&quot;009647AC&quot;/&gt;&lt;wsp:rsid wsp:val=&quot;00965A83&quot;/&gt;&lt;wsp:rsid wsp:val=&quot;00967B5C&quot;/&gt;&lt;wsp:rsid wsp:val=&quot;00967F5D&quot;/&gt;&lt;wsp:rsid wsp:val=&quot;00970EDB&quot;/&gt;&lt;wsp:rsid wsp:val=&quot;0097351D&quot;/&gt;&lt;wsp:rsid wsp:val=&quot;00973A71&quot;/&gt;&lt;wsp:rsid wsp:val=&quot;00973DF6&quot;/&gt;&lt;wsp:rsid wsp:val=&quot;00975825&quot;/&gt;&lt;wsp:rsid wsp:val=&quot;00975FD1&quot;/&gt;&lt;wsp:rsid wsp:val=&quot;0098014B&quot;/&gt;&lt;wsp:rsid wsp:val=&quot;00980343&quot;/&gt;&lt;wsp:rsid wsp:val=&quot;0098056C&quot;/&gt;&lt;wsp:rsid wsp:val=&quot;0098075A&quot;/&gt;&lt;wsp:rsid wsp:val=&quot;00983505&quot;/&gt;&lt;wsp:rsid wsp:val=&quot;00984580&quot;/&gt;&lt;wsp:rsid wsp:val=&quot;00984F67&quot;/&gt;&lt;wsp:rsid wsp:val=&quot;009852FF&quot;/&gt;&lt;wsp:rsid wsp:val=&quot;00985B13&quot;/&gt;&lt;wsp:rsid wsp:val=&quot;00985B88&quot;/&gt;&lt;wsp:rsid wsp:val=&quot;00986934&quot;/&gt;&lt;wsp:rsid wsp:val=&quot;009870BC&quot;/&gt;&lt;wsp:rsid wsp:val=&quot;009905FB&quot;/&gt;&lt;wsp:rsid wsp:val=&quot;00992393&quot;/&gt;&lt;wsp:rsid wsp:val=&quot;00993CFD&quot;/&gt;&lt;wsp:rsid wsp:val=&quot;00995B60&quot;/&gt;&lt;wsp:rsid wsp:val=&quot;009967CC&quot;/&gt;&lt;wsp:rsid wsp:val=&quot;00996FED&quot;/&gt;&lt;wsp:rsid wsp:val=&quot;009A0BCF&quot;/&gt;&lt;wsp:rsid wsp:val=&quot;009A0C78&quot;/&gt;&lt;wsp:rsid wsp:val=&quot;009A2B35&quot;/&gt;&lt;wsp:rsid wsp:val=&quot;009A2DF8&quot;/&gt;&lt;wsp:rsid wsp:val=&quot;009A3956&quot;/&gt;&lt;wsp:rsid wsp:val=&quot;009A4B3B&quot;/&gt;&lt;wsp:rsid wsp:val=&quot;009A5124&quot;/&gt;&lt;wsp:rsid wsp:val=&quot;009A52F9&quot;/&gt;&lt;wsp:rsid wsp:val=&quot;009A60D9&quot;/&gt;&lt;wsp:rsid wsp:val=&quot;009A6526&quot;/&gt;&lt;wsp:rsid wsp:val=&quot;009A7E0B&quot;/&gt;&lt;wsp:rsid wsp:val=&quot;009B0100&quot;/&gt;&lt;wsp:rsid wsp:val=&quot;009B099E&quot;/&gt;&lt;wsp:rsid wsp:val=&quot;009B2CD1&quot;/&gt;&lt;wsp:rsid wsp:val=&quot;009B2DF4&quot;/&gt;&lt;wsp:rsid wsp:val=&quot;009B416D&quot;/&gt;&lt;wsp:rsid wsp:val=&quot;009B4B08&quot;/&gt;&lt;wsp:rsid wsp:val=&quot;009B4C20&quot;/&gt;&lt;wsp:rsid wsp:val=&quot;009B7B78&quot;/&gt;&lt;wsp:rsid wsp:val=&quot;009C0C0C&quot;/&gt;&lt;wsp:rsid wsp:val=&quot;009C1455&quot;/&gt;&lt;wsp:rsid wsp:val=&quot;009C2AC5&quot;/&gt;&lt;wsp:rsid wsp:val=&quot;009C2C71&quot;/&gt;&lt;wsp:rsid wsp:val=&quot;009C35E0&quot;/&gt;&lt;wsp:rsid wsp:val=&quot;009C3B2A&quot;/&gt;&lt;wsp:rsid wsp:val=&quot;009C44A3&quot;/&gt;&lt;wsp:rsid wsp:val=&quot;009C5721&quot;/&gt;&lt;wsp:rsid wsp:val=&quot;009C6D5C&quot;/&gt;&lt;wsp:rsid wsp:val=&quot;009C6FE2&quot;/&gt;&lt;wsp:rsid wsp:val=&quot;009C731B&quot;/&gt;&lt;wsp:rsid wsp:val=&quot;009C7A4D&quot;/&gt;&lt;wsp:rsid wsp:val=&quot;009D02AA&quot;/&gt;&lt;wsp:rsid wsp:val=&quot;009D13D4&quot;/&gt;&lt;wsp:rsid wsp:val=&quot;009D1B8F&quot;/&gt;&lt;wsp:rsid wsp:val=&quot;009D20FF&quot;/&gt;&lt;wsp:rsid wsp:val=&quot;009D2BE5&quot;/&gt;&lt;wsp:rsid wsp:val=&quot;009D33C0&quot;/&gt;&lt;wsp:rsid wsp:val=&quot;009D47E3&quot;/&gt;&lt;wsp:rsid wsp:val=&quot;009D5D1B&quot;/&gt;&lt;wsp:rsid wsp:val=&quot;009D7990&quot;/&gt;&lt;wsp:rsid wsp:val=&quot;009E03EB&quot;/&gt;&lt;wsp:rsid wsp:val=&quot;009E172C&quot;/&gt;&lt;wsp:rsid wsp:val=&quot;009E2508&quot;/&gt;&lt;wsp:rsid wsp:val=&quot;009E25E8&quot;/&gt;&lt;wsp:rsid wsp:val=&quot;009E26CA&quot;/&gt;&lt;wsp:rsid wsp:val=&quot;009E28FA&quot;/&gt;&lt;wsp:rsid wsp:val=&quot;009E36E7&quot;/&gt;&lt;wsp:rsid wsp:val=&quot;009E3880&quot;/&gt;&lt;wsp:rsid wsp:val=&quot;009E3E6D&quot;/&gt;&lt;wsp:rsid wsp:val=&quot;009E5ABC&quot;/&gt;&lt;wsp:rsid wsp:val=&quot;009E7873&quot;/&gt;&lt;wsp:rsid wsp:val=&quot;009F2B12&quot;/&gt;&lt;wsp:rsid wsp:val=&quot;009F2E58&quot;/&gt;&lt;wsp:rsid wsp:val=&quot;009F4F32&quot;/&gt;&lt;wsp:rsid wsp:val=&quot;009F5AB1&quot;/&gt;&lt;wsp:rsid wsp:val=&quot;009F6104&quot;/&gt;&lt;wsp:rsid wsp:val=&quot;009F6A57&quot;/&gt;&lt;wsp:rsid wsp:val=&quot;009F711B&quot;/&gt;&lt;wsp:rsid wsp:val=&quot;009F759D&quot;/&gt;&lt;wsp:rsid wsp:val=&quot;009F778D&quot;/&gt;&lt;wsp:rsid wsp:val=&quot;00A009D9&quot;/&gt;&lt;wsp:rsid wsp:val=&quot;00A00F3F&quot;/&gt;&lt;wsp:rsid wsp:val=&quot;00A010B3&quot;/&gt;&lt;wsp:rsid wsp:val=&quot;00A011E7&quot;/&gt;&lt;wsp:rsid wsp:val=&quot;00A019D7&quot;/&gt;&lt;wsp:rsid wsp:val=&quot;00A01A05&quot;/&gt;&lt;wsp:rsid wsp:val=&quot;00A02A49&quot;/&gt;&lt;wsp:rsid wsp:val=&quot;00A03BD0&quot;/&gt;&lt;wsp:rsid wsp:val=&quot;00A03C18&quot;/&gt;&lt;wsp:rsid wsp:val=&quot;00A05334&quot;/&gt;&lt;wsp:rsid wsp:val=&quot;00A05359&quot;/&gt;&lt;wsp:rsid wsp:val=&quot;00A055A4&quot;/&gt;&lt;wsp:rsid wsp:val=&quot;00A05D14&quot;/&gt;&lt;wsp:rsid wsp:val=&quot;00A05E30&quot;/&gt;&lt;wsp:rsid wsp:val=&quot;00A06533&quot;/&gt;&lt;wsp:rsid wsp:val=&quot;00A06DB0&quot;/&gt;&lt;wsp:rsid wsp:val=&quot;00A06EFB&quot;/&gt;&lt;wsp:rsid wsp:val=&quot;00A07254&quot;/&gt;&lt;wsp:rsid wsp:val=&quot;00A07615&quot;/&gt;&lt;wsp:rsid wsp:val=&quot;00A07F49&quot;/&gt;&lt;wsp:rsid wsp:val=&quot;00A10867&quot;/&gt;&lt;wsp:rsid wsp:val=&quot;00A128E1&quot;/&gt;&lt;wsp:rsid wsp:val=&quot;00A12956&quot;/&gt;&lt;wsp:rsid wsp:val=&quot;00A13C32&quot;/&gt;&lt;wsp:rsid wsp:val=&quot;00A13E44&quot;/&gt;&lt;wsp:rsid wsp:val=&quot;00A13E6C&quot;/&gt;&lt;wsp:rsid wsp:val=&quot;00A1472B&quot;/&gt;&lt;wsp:rsid wsp:val=&quot;00A149BD&quot;/&gt;&lt;wsp:rsid wsp:val=&quot;00A14F3C&quot;/&gt;&lt;wsp:rsid wsp:val=&quot;00A15829&quot;/&gt;&lt;wsp:rsid wsp:val=&quot;00A15A8B&quot;/&gt;&lt;wsp:rsid wsp:val=&quot;00A15CF4&quot;/&gt;&lt;wsp:rsid wsp:val=&quot;00A1762E&quot;/&gt;&lt;wsp:rsid wsp:val=&quot;00A2021D&quot;/&gt;&lt;wsp:rsid wsp:val=&quot;00A20C1D&quot;/&gt;&lt;wsp:rsid wsp:val=&quot;00A215F6&quot;/&gt;&lt;wsp:rsid wsp:val=&quot;00A21DD6&quot;/&gt;&lt;wsp:rsid wsp:val=&quot;00A22939&quot;/&gt;&lt;wsp:rsid wsp:val=&quot;00A24322&quot;/&gt;&lt;wsp:rsid wsp:val=&quot;00A24ED8&quot;/&gt;&lt;wsp:rsid wsp:val=&quot;00A25145&quot;/&gt;&lt;wsp:rsid wsp:val=&quot;00A25998&quot;/&gt;&lt;wsp:rsid wsp:val=&quot;00A25A1A&quot;/&gt;&lt;wsp:rsid wsp:val=&quot;00A26ECB&quot;/&gt;&lt;wsp:rsid wsp:val=&quot;00A273BE&quot;/&gt;&lt;wsp:rsid wsp:val=&quot;00A3154B&quot;/&gt;&lt;wsp:rsid wsp:val=&quot;00A316A0&quot;/&gt;&lt;wsp:rsid wsp:val=&quot;00A319B4&quot;/&gt;&lt;wsp:rsid wsp:val=&quot;00A31E75&quot;/&gt;&lt;wsp:rsid wsp:val=&quot;00A325E4&quot;/&gt;&lt;wsp:rsid wsp:val=&quot;00A32802&quot;/&gt;&lt;wsp:rsid wsp:val=&quot;00A32A1B&quot;/&gt;&lt;wsp:rsid wsp:val=&quot;00A33878&quot;/&gt;&lt;wsp:rsid wsp:val=&quot;00A339F3&quot;/&gt;&lt;wsp:rsid wsp:val=&quot;00A33A22&quot;/&gt;&lt;wsp:rsid wsp:val=&quot;00A34461&quot;/&gt;&lt;wsp:rsid wsp:val=&quot;00A3532F&quot;/&gt;&lt;wsp:rsid wsp:val=&quot;00A35580&quot;/&gt;&lt;wsp:rsid wsp:val=&quot;00A3685D&quot;/&gt;&lt;wsp:rsid wsp:val=&quot;00A375F1&quot;/&gt;&lt;wsp:rsid wsp:val=&quot;00A37AB2&quot;/&gt;&lt;wsp:rsid wsp:val=&quot;00A37B81&quot;/&gt;&lt;wsp:rsid wsp:val=&quot;00A40A6E&quot;/&gt;&lt;wsp:rsid wsp:val=&quot;00A417A6&quot;/&gt;&lt;wsp:rsid wsp:val=&quot;00A4367D&quot;/&gt;&lt;wsp:rsid wsp:val=&quot;00A43A77&quot;/&gt;&lt;wsp:rsid wsp:val=&quot;00A43EAC&quot;/&gt;&lt;wsp:rsid wsp:val=&quot;00A4432E&quot;/&gt;&lt;wsp:rsid wsp:val=&quot;00A4647F&quot;/&gt;&lt;wsp:rsid wsp:val=&quot;00A46927&quot;/&gt;&lt;wsp:rsid wsp:val=&quot;00A46AA3&quot;/&gt;&lt;wsp:rsid wsp:val=&quot;00A4771B&quot;/&gt;&lt;wsp:rsid wsp:val=&quot;00A50056&quot;/&gt;&lt;wsp:rsid wsp:val=&quot;00A504F1&quot;/&gt;&lt;wsp:rsid wsp:val=&quot;00A5064A&quot;/&gt;&lt;wsp:rsid wsp:val=&quot;00A50A67&quot;/&gt;&lt;wsp:rsid wsp:val=&quot;00A50B4D&quot;/&gt;&lt;wsp:rsid wsp:val=&quot;00A50FC1&quot;/&gt;&lt;wsp:rsid wsp:val=&quot;00A5123D&quot;/&gt;&lt;wsp:rsid wsp:val=&quot;00A5150B&quot;/&gt;&lt;wsp:rsid wsp:val=&quot;00A53686&quot;/&gt;&lt;wsp:rsid wsp:val=&quot;00A53852&quot;/&gt;&lt;wsp:rsid wsp:val=&quot;00A53A77&quot;/&gt;&lt;wsp:rsid wsp:val=&quot;00A54B94&quot;/&gt;&lt;wsp:rsid wsp:val=&quot;00A54CB5&quot;/&gt;&lt;wsp:rsid wsp:val=&quot;00A55183&quot;/&gt;&lt;wsp:rsid wsp:val=&quot;00A55DA4&quot;/&gt;&lt;wsp:rsid wsp:val=&quot;00A56344&quot;/&gt;&lt;wsp:rsid wsp:val=&quot;00A57188&quot;/&gt;&lt;wsp:rsid wsp:val=&quot;00A575F6&quot;/&gt;&lt;wsp:rsid wsp:val=&quot;00A60B12&quot;/&gt;&lt;wsp:rsid wsp:val=&quot;00A61541&quot;/&gt;&lt;wsp:rsid wsp:val=&quot;00A61D2C&quot;/&gt;&lt;wsp:rsid wsp:val=&quot;00A61DB5&quot;/&gt;&lt;wsp:rsid wsp:val=&quot;00A622E0&quot;/&gt;&lt;wsp:rsid wsp:val=&quot;00A631EB&quot;/&gt;&lt;wsp:rsid wsp:val=&quot;00A636A7&quot;/&gt;&lt;wsp:rsid wsp:val=&quot;00A6488B&quot;/&gt;&lt;wsp:rsid wsp:val=&quot;00A654D9&quot;/&gt;&lt;wsp:rsid wsp:val=&quot;00A67A09&quot;/&gt;&lt;wsp:rsid wsp:val=&quot;00A67C7F&quot;/&gt;&lt;wsp:rsid wsp:val=&quot;00A67CC1&quot;/&gt;&lt;wsp:rsid wsp:val=&quot;00A70D3F&quot;/&gt;&lt;wsp:rsid wsp:val=&quot;00A7157B&quot;/&gt;&lt;wsp:rsid wsp:val=&quot;00A720CD&quot;/&gt;&lt;wsp:rsid wsp:val=&quot;00A7257D&quot;/&gt;&lt;wsp:rsid wsp:val=&quot;00A733ED&quot;/&gt;&lt;wsp:rsid wsp:val=&quot;00A73556&quot;/&gt;&lt;wsp:rsid wsp:val=&quot;00A73B2F&quot;/&gt;&lt;wsp:rsid wsp:val=&quot;00A74622&quot;/&gt;&lt;wsp:rsid wsp:val=&quot;00A74679&quot;/&gt;&lt;wsp:rsid wsp:val=&quot;00A7514C&quot;/&gt;&lt;wsp:rsid wsp:val=&quot;00A75738&quot;/&gt;&lt;wsp:rsid wsp:val=&quot;00A758BC&quot;/&gt;&lt;wsp:rsid wsp:val=&quot;00A76B2D&quot;/&gt;&lt;wsp:rsid wsp:val=&quot;00A77144&quot;/&gt;&lt;wsp:rsid wsp:val=&quot;00A7797B&quot;/&gt;&lt;wsp:rsid wsp:val=&quot;00A77E20&quot;/&gt;&lt;wsp:rsid wsp:val=&quot;00A80305&quot;/&gt;&lt;wsp:rsid wsp:val=&quot;00A80D96&quot;/&gt;&lt;wsp:rsid wsp:val=&quot;00A8227B&quot;/&gt;&lt;wsp:rsid wsp:val=&quot;00A83A3C&quot;/&gt;&lt;wsp:rsid wsp:val=&quot;00A84453&quot;/&gt;&lt;wsp:rsid wsp:val=&quot;00A849A4&quot;/&gt;&lt;wsp:rsid wsp:val=&quot;00A850CA&quot;/&gt;&lt;wsp:rsid wsp:val=&quot;00A8581F&quot;/&gt;&lt;wsp:rsid wsp:val=&quot;00A85978&quot;/&gt;&lt;wsp:rsid wsp:val=&quot;00A85C33&quot;/&gt;&lt;wsp:rsid wsp:val=&quot;00A871EA&quot;/&gt;&lt;wsp:rsid wsp:val=&quot;00A872B5&quot;/&gt;&lt;wsp:rsid wsp:val=&quot;00A9000A&quot;/&gt;&lt;wsp:rsid wsp:val=&quot;00A90019&quot;/&gt;&lt;wsp:rsid wsp:val=&quot;00A90E2E&quot;/&gt;&lt;wsp:rsid wsp:val=&quot;00A91935&quot;/&gt;&lt;wsp:rsid wsp:val=&quot;00A91A79&quot;/&gt;&lt;wsp:rsid wsp:val=&quot;00A92732&quot;/&gt;&lt;wsp:rsid wsp:val=&quot;00A92808&quot;/&gt;&lt;wsp:rsid wsp:val=&quot;00A93070&quot;/&gt;&lt;wsp:rsid wsp:val=&quot;00A94A02&quot;/&gt;&lt;wsp:rsid wsp:val=&quot;00A94A9F&quot;/&gt;&lt;wsp:rsid wsp:val=&quot;00A96011&quot;/&gt;&lt;wsp:rsid wsp:val=&quot;00A96B42&quot;/&gt;&lt;wsp:rsid wsp:val=&quot;00A97A81&quot;/&gt;&lt;wsp:rsid wsp:val=&quot;00A97D34&quot;/&gt;&lt;wsp:rsid wsp:val=&quot;00AA0B25&quot;/&gt;&lt;wsp:rsid wsp:val=&quot;00AA137E&quot;/&gt;&lt;wsp:rsid wsp:val=&quot;00AA3304&quot;/&gt;&lt;wsp:rsid wsp:val=&quot;00AA3F5D&quot;/&gt;&lt;wsp:rsid wsp:val=&quot;00AA4039&quot;/&gt;&lt;wsp:rsid wsp:val=&quot;00AA46B9&quot;/&gt;&lt;wsp:rsid wsp:val=&quot;00AA4D32&quot;/&gt;&lt;wsp:rsid wsp:val=&quot;00AA4D5B&quot;/&gt;&lt;wsp:rsid wsp:val=&quot;00AA53B4&quot;/&gt;&lt;wsp:rsid wsp:val=&quot;00AA56CA&quot;/&gt;&lt;wsp:rsid wsp:val=&quot;00AA5DDA&quot;/&gt;&lt;wsp:rsid wsp:val=&quot;00AA6063&quot;/&gt;&lt;wsp:rsid wsp:val=&quot;00AA6269&quot;/&gt;&lt;wsp:rsid wsp:val=&quot;00AA69E6&quot;/&gt;&lt;wsp:rsid wsp:val=&quot;00AA6A14&quot;/&gt;&lt;wsp:rsid wsp:val=&quot;00AA6C15&quot;/&gt;&lt;wsp:rsid wsp:val=&quot;00AA6E19&quot;/&gt;&lt;wsp:rsid wsp:val=&quot;00AA71B8&quot;/&gt;&lt;wsp:rsid wsp:val=&quot;00AA7353&quot;/&gt;&lt;wsp:rsid wsp:val=&quot;00AA78D0&quot;/&gt;&lt;wsp:rsid wsp:val=&quot;00AB0596&quot;/&gt;&lt;wsp:rsid wsp:val=&quot;00AB0EBC&quot;/&gt;&lt;wsp:rsid wsp:val=&quot;00AB15E7&quot;/&gt;&lt;wsp:rsid wsp:val=&quot;00AB2836&quot;/&gt;&lt;wsp:rsid wsp:val=&quot;00AB4E4A&quot;/&gt;&lt;wsp:rsid wsp:val=&quot;00AB5917&quot;/&gt;&lt;wsp:rsid wsp:val=&quot;00AB6B59&quot;/&gt;&lt;wsp:rsid wsp:val=&quot;00AB7949&quot;/&gt;&lt;wsp:rsid wsp:val=&quot;00AC2C2C&quot;/&gt;&lt;wsp:rsid wsp:val=&quot;00AC2F96&quot;/&gt;&lt;wsp:rsid wsp:val=&quot;00AC30D7&quot;/&gt;&lt;wsp:rsid wsp:val=&quot;00AC3FBF&quot;/&gt;&lt;wsp:rsid wsp:val=&quot;00AC4D61&quot;/&gt;&lt;wsp:rsid wsp:val=&quot;00AC5C98&quot;/&gt;&lt;wsp:rsid wsp:val=&quot;00AC618D&quot;/&gt;&lt;wsp:rsid wsp:val=&quot;00AC6846&quot;/&gt;&lt;wsp:rsid wsp:val=&quot;00AC6BAB&quot;/&gt;&lt;wsp:rsid wsp:val=&quot;00AC71D8&quot;/&gt;&lt;wsp:rsid wsp:val=&quot;00AC7303&quot;/&gt;&lt;wsp:rsid wsp:val=&quot;00AC77E9&quot;/&gt;&lt;wsp:rsid wsp:val=&quot;00AC7817&quot;/&gt;&lt;wsp:rsid wsp:val=&quot;00AD0217&quot;/&gt;&lt;wsp:rsid wsp:val=&quot;00AD05E1&quot;/&gt;&lt;wsp:rsid wsp:val=&quot;00AD1E99&quot;/&gt;&lt;wsp:rsid wsp:val=&quot;00AD38AE&quot;/&gt;&lt;wsp:rsid wsp:val=&quot;00AD45AF&quot;/&gt;&lt;wsp:rsid wsp:val=&quot;00AD53D0&quot;/&gt;&lt;wsp:rsid wsp:val=&quot;00AD673D&quot;/&gt;&lt;wsp:rsid wsp:val=&quot;00AD6AD0&quot;/&gt;&lt;wsp:rsid wsp:val=&quot;00AD7B32&quot;/&gt;&lt;wsp:rsid wsp:val=&quot;00AE0997&quot;/&gt;&lt;wsp:rsid wsp:val=&quot;00AE12FF&quot;/&gt;&lt;wsp:rsid wsp:val=&quot;00AE2E4B&quot;/&gt;&lt;wsp:rsid wsp:val=&quot;00AE3982&quot;/&gt;&lt;wsp:rsid wsp:val=&quot;00AE3FA1&quot;/&gt;&lt;wsp:rsid wsp:val=&quot;00AE48AB&quot;/&gt;&lt;wsp:rsid wsp:val=&quot;00AE48D8&quot;/&gt;&lt;wsp:rsid wsp:val=&quot;00AE693F&quot;/&gt;&lt;wsp:rsid wsp:val=&quot;00AE6E3B&quot;/&gt;&lt;wsp:rsid wsp:val=&quot;00AE6EED&quot;/&gt;&lt;wsp:rsid wsp:val=&quot;00AF0435&quot;/&gt;&lt;wsp:rsid wsp:val=&quot;00AF0679&quot;/&gt;&lt;wsp:rsid wsp:val=&quot;00AF1566&quot;/&gt;&lt;wsp:rsid wsp:val=&quot;00AF194E&quot;/&gt;&lt;wsp:rsid wsp:val=&quot;00AF1A50&quot;/&gt;&lt;wsp:rsid wsp:val=&quot;00AF1CAB&quot;/&gt;&lt;wsp:rsid wsp:val=&quot;00AF25FA&quot;/&gt;&lt;wsp:rsid wsp:val=&quot;00AF28DA&quot;/&gt;&lt;wsp:rsid wsp:val=&quot;00AF3321&quot;/&gt;&lt;wsp:rsid wsp:val=&quot;00AF49E7&quot;/&gt;&lt;wsp:rsid wsp:val=&quot;00AF4E1F&quot;/&gt;&lt;wsp:rsid wsp:val=&quot;00AF58B5&quot;/&gt;&lt;wsp:rsid wsp:val=&quot;00AF6B08&quot;/&gt;&lt;wsp:rsid wsp:val=&quot;00AF7189&quot;/&gt;&lt;wsp:rsid wsp:val=&quot;00AF7C81&quot;/&gt;&lt;wsp:rsid wsp:val=&quot;00B0093C&quot;/&gt;&lt;wsp:rsid wsp:val=&quot;00B00BCE&quot;/&gt;&lt;wsp:rsid wsp:val=&quot;00B00CF7&quot;/&gt;&lt;wsp:rsid wsp:val=&quot;00B023C8&quot;/&gt;&lt;wsp:rsid wsp:val=&quot;00B02AAC&quot;/&gt;&lt;wsp:rsid wsp:val=&quot;00B03391&quot;/&gt;&lt;wsp:rsid wsp:val=&quot;00B04508&quot;/&gt;&lt;wsp:rsid wsp:val=&quot;00B045BA&quot;/&gt;&lt;wsp:rsid wsp:val=&quot;00B04D73&quot;/&gt;&lt;wsp:rsid wsp:val=&quot;00B055C1&quot;/&gt;&lt;wsp:rsid wsp:val=&quot;00B057B6&quot;/&gt;&lt;wsp:rsid wsp:val=&quot;00B065DF&quot;/&gt;&lt;wsp:rsid wsp:val=&quot;00B072EB&quot;/&gt;&lt;wsp:rsid wsp:val=&quot;00B107AD&quot;/&gt;&lt;wsp:rsid wsp:val=&quot;00B110E5&quot;/&gt;&lt;wsp:rsid wsp:val=&quot;00B112BE&quot;/&gt;&lt;wsp:rsid wsp:val=&quot;00B11364&quot;/&gt;&lt;wsp:rsid wsp:val=&quot;00B1143F&quot;/&gt;&lt;wsp:rsid wsp:val=&quot;00B11B59&quot;/&gt;&lt;wsp:rsid wsp:val=&quot;00B13DE0&quot;/&gt;&lt;wsp:rsid wsp:val=&quot;00B1549F&quot;/&gt;&lt;wsp:rsid wsp:val=&quot;00B17084&quot;/&gt;&lt;wsp:rsid wsp:val=&quot;00B20A72&quot;/&gt;&lt;wsp:rsid wsp:val=&quot;00B21C85&quot;/&gt;&lt;wsp:rsid wsp:val=&quot;00B241CB&quot;/&gt;&lt;wsp:rsid wsp:val=&quot;00B251EC&quot;/&gt;&lt;wsp:rsid wsp:val=&quot;00B25519&quot;/&gt;&lt;wsp:rsid wsp:val=&quot;00B27462&quot;/&gt;&lt;wsp:rsid wsp:val=&quot;00B27FAA&quot;/&gt;&lt;wsp:rsid wsp:val=&quot;00B3162F&quot;/&gt;&lt;wsp:rsid wsp:val=&quot;00B31952&quot;/&gt;&lt;wsp:rsid wsp:val=&quot;00B31DE4&quot;/&gt;&lt;wsp:rsid wsp:val=&quot;00B32EE3&quot;/&gt;&lt;wsp:rsid wsp:val=&quot;00B333AF&quot;/&gt;&lt;wsp:rsid wsp:val=&quot;00B3442C&quot;/&gt;&lt;wsp:rsid wsp:val=&quot;00B36F3C&quot;/&gt;&lt;wsp:rsid wsp:val=&quot;00B37ACB&quot;/&gt;&lt;wsp:rsid wsp:val=&quot;00B42BE1&quot;/&gt;&lt;wsp:rsid wsp:val=&quot;00B439A5&quot;/&gt;&lt;wsp:rsid wsp:val=&quot;00B43E25&quot;/&gt;&lt;wsp:rsid wsp:val=&quot;00B443D8&quot;/&gt;&lt;wsp:rsid wsp:val=&quot;00B45564&quot;/&gt;&lt;wsp:rsid wsp:val=&quot;00B46F12&quot;/&gt;&lt;wsp:rsid wsp:val=&quot;00B474DF&quot;/&gt;&lt;wsp:rsid wsp:val=&quot;00B476E4&quot;/&gt;&lt;wsp:rsid wsp:val=&quot;00B50051&quot;/&gt;&lt;wsp:rsid wsp:val=&quot;00B50676&quot;/&gt;&lt;wsp:rsid wsp:val=&quot;00B50F87&quot;/&gt;&lt;wsp:rsid wsp:val=&quot;00B5279E&quot;/&gt;&lt;wsp:rsid wsp:val=&quot;00B52A11&quot;/&gt;&lt;wsp:rsid wsp:val=&quot;00B5370C&quot;/&gt;&lt;wsp:rsid wsp:val=&quot;00B53A74&quot;/&gt;&lt;wsp:rsid wsp:val=&quot;00B53AD3&quot;/&gt;&lt;wsp:rsid wsp:val=&quot;00B54106&quot;/&gt;&lt;wsp:rsid wsp:val=&quot;00B54627&quot;/&gt;&lt;wsp:rsid wsp:val=&quot;00B54759&quot;/&gt;&lt;wsp:rsid wsp:val=&quot;00B54C1C&quot;/&gt;&lt;wsp:rsid wsp:val=&quot;00B55512&quot;/&gt;&lt;wsp:rsid wsp:val=&quot;00B55C25&quot;/&gt;&lt;wsp:rsid wsp:val=&quot;00B57BE0&quot;/&gt;&lt;wsp:rsid wsp:val=&quot;00B60689&quot;/&gt;&lt;wsp:rsid wsp:val=&quot;00B60B01&quot;/&gt;&lt;wsp:rsid wsp:val=&quot;00B60D49&quot;/&gt;&lt;wsp:rsid wsp:val=&quot;00B60F56&quot;/&gt;&lt;wsp:rsid wsp:val=&quot;00B616E2&quot;/&gt;&lt;wsp:rsid wsp:val=&quot;00B61FC2&quot;/&gt;&lt;wsp:rsid wsp:val=&quot;00B62793&quot;/&gt;&lt;wsp:rsid wsp:val=&quot;00B62908&quot;/&gt;&lt;wsp:rsid wsp:val=&quot;00B6299A&quot;/&gt;&lt;wsp:rsid wsp:val=&quot;00B62DC9&quot;/&gt;&lt;wsp:rsid wsp:val=&quot;00B62FC0&quot;/&gt;&lt;wsp:rsid wsp:val=&quot;00B6390D&quot;/&gt;&lt;wsp:rsid wsp:val=&quot;00B644AF&quot;/&gt;&lt;wsp:rsid wsp:val=&quot;00B64F29&quot;/&gt;&lt;wsp:rsid wsp:val=&quot;00B650EC&quot;/&gt;&lt;wsp:rsid wsp:val=&quot;00B66C80&quot;/&gt;&lt;wsp:rsid wsp:val=&quot;00B6706A&quot;/&gt;&lt;wsp:rsid wsp:val=&quot;00B67770&quot;/&gt;&lt;wsp:rsid wsp:val=&quot;00B70478&quot;/&gt;&lt;wsp:rsid wsp:val=&quot;00B70B3D&quot;/&gt;&lt;wsp:rsid wsp:val=&quot;00B72E46&quot;/&gt;&lt;wsp:rsid wsp:val=&quot;00B73E54&quot;/&gt;&lt;wsp:rsid wsp:val=&quot;00B74F15&quot;/&gt;&lt;wsp:rsid wsp:val=&quot;00B74FF9&quot;/&gt;&lt;wsp:rsid wsp:val=&quot;00B76A55&quot;/&gt;&lt;wsp:rsid wsp:val=&quot;00B76FC1&quot;/&gt;&lt;wsp:rsid wsp:val=&quot;00B80872&quot;/&gt;&lt;wsp:rsid wsp:val=&quot;00B80B76&quot;/&gt;&lt;wsp:rsid wsp:val=&quot;00B813C6&quot;/&gt;&lt;wsp:rsid wsp:val=&quot;00B82F4C&quot;/&gt;&lt;wsp:rsid wsp:val=&quot;00B83431&quot;/&gt;&lt;wsp:rsid wsp:val=&quot;00B838C0&quot;/&gt;&lt;wsp:rsid wsp:val=&quot;00B83E7B&quot;/&gt;&lt;wsp:rsid wsp:val=&quot;00B842A8&quot;/&gt;&lt;wsp:rsid wsp:val=&quot;00B847CE&quot;/&gt;&lt;wsp:rsid wsp:val=&quot;00B848CC&quot;/&gt;&lt;wsp:rsid wsp:val=&quot;00B86058&quot;/&gt;&lt;wsp:rsid wsp:val=&quot;00B86723&quot;/&gt;&lt;wsp:rsid wsp:val=&quot;00B868DE&quot;/&gt;&lt;wsp:rsid wsp:val=&quot;00B875C8&quot;/&gt;&lt;wsp:rsid wsp:val=&quot;00B87981&quot;/&gt;&lt;wsp:rsid wsp:val=&quot;00B87E38&quot;/&gt;&lt;wsp:rsid wsp:val=&quot;00B90129&quot;/&gt;&lt;wsp:rsid wsp:val=&quot;00B9082A&quot;/&gt;&lt;wsp:rsid wsp:val=&quot;00B91582&quot;/&gt;&lt;wsp:rsid wsp:val=&quot;00B927DF&quot;/&gt;&lt;wsp:rsid wsp:val=&quot;00B939EE&quot;/&gt;&lt;wsp:rsid wsp:val=&quot;00B94BDA&quot;/&gt;&lt;wsp:rsid wsp:val=&quot;00B965D0&quot;/&gt;&lt;wsp:rsid wsp:val=&quot;00B96A50&quot;/&gt;&lt;wsp:rsid wsp:val=&quot;00B96A65&quot;/&gt;&lt;wsp:rsid wsp:val=&quot;00B97723&quot;/&gt;&lt;wsp:rsid wsp:val=&quot;00B97FA2&quot;/&gt;&lt;wsp:rsid wsp:val=&quot;00BA033B&quot;/&gt;&lt;wsp:rsid wsp:val=&quot;00BA0A58&quot;/&gt;&lt;wsp:rsid wsp:val=&quot;00BA3814&quot;/&gt;&lt;wsp:rsid wsp:val=&quot;00BA598A&quot;/&gt;&lt;wsp:rsid wsp:val=&quot;00BA6302&quot;/&gt;&lt;wsp:rsid wsp:val=&quot;00BA7468&quot;/&gt;&lt;wsp:rsid wsp:val=&quot;00BA7528&quot;/&gt;&lt;wsp:rsid wsp:val=&quot;00BB0AC2&quot;/&gt;&lt;wsp:rsid wsp:val=&quot;00BB0F40&quot;/&gt;&lt;wsp:rsid wsp:val=&quot;00BB185A&quot;/&gt;&lt;wsp:rsid wsp:val=&quot;00BB1AC0&quot;/&gt;&lt;wsp:rsid wsp:val=&quot;00BB1B07&quot;/&gt;&lt;wsp:rsid wsp:val=&quot;00BB558D&quot;/&gt;&lt;wsp:rsid wsp:val=&quot;00BB5796&quot;/&gt;&lt;wsp:rsid wsp:val=&quot;00BB5B1A&quot;/&gt;&lt;wsp:rsid wsp:val=&quot;00BB5C87&quot;/&gt;&lt;wsp:rsid wsp:val=&quot;00BB5E2A&quot;/&gt;&lt;wsp:rsid wsp:val=&quot;00BB6444&quot;/&gt;&lt;wsp:rsid wsp:val=&quot;00BB7DD6&quot;/&gt;&lt;wsp:rsid wsp:val=&quot;00BC0DC5&quot;/&gt;&lt;wsp:rsid wsp:val=&quot;00BC14A4&quot;/&gt;&lt;wsp:rsid wsp:val=&quot;00BC201E&quot;/&gt;&lt;wsp:rsid wsp:val=&quot;00BC2579&quot;/&gt;&lt;wsp:rsid wsp:val=&quot;00BC2C96&quot;/&gt;&lt;wsp:rsid wsp:val=&quot;00BC354F&quot;/&gt;&lt;wsp:rsid wsp:val=&quot;00BC3939&quot;/&gt;&lt;wsp:rsid wsp:val=&quot;00BC3D35&quot;/&gt;&lt;wsp:rsid wsp:val=&quot;00BC4ACD&quot;/&gt;&lt;wsp:rsid wsp:val=&quot;00BC5C73&quot;/&gt;&lt;wsp:rsid wsp:val=&quot;00BC5C8A&quot;/&gt;&lt;wsp:rsid wsp:val=&quot;00BC6044&quot;/&gt;&lt;wsp:rsid wsp:val=&quot;00BC653B&quot;/&gt;&lt;wsp:rsid wsp:val=&quot;00BC6992&quot;/&gt;&lt;wsp:rsid wsp:val=&quot;00BC6CB0&quot;/&gt;&lt;wsp:rsid wsp:val=&quot;00BC7563&quot;/&gt;&lt;wsp:rsid wsp:val=&quot;00BC7873&quot;/&gt;&lt;wsp:rsid wsp:val=&quot;00BD08A4&quot;/&gt;&lt;wsp:rsid wsp:val=&quot;00BD0B82&quot;/&gt;&lt;wsp:rsid wsp:val=&quot;00BD12B7&quot;/&gt;&lt;wsp:rsid wsp:val=&quot;00BD1D65&quot;/&gt;&lt;wsp:rsid wsp:val=&quot;00BD2B78&quot;/&gt;&lt;wsp:rsid wsp:val=&quot;00BD58B7&quot;/&gt;&lt;wsp:rsid wsp:val=&quot;00BD5A06&quot;/&gt;&lt;wsp:rsid wsp:val=&quot;00BD64CB&quot;/&gt;&lt;wsp:rsid wsp:val=&quot;00BE05F0&quot;/&gt;&lt;wsp:rsid wsp:val=&quot;00BE1AFE&quot;/&gt;&lt;wsp:rsid wsp:val=&quot;00BE22D8&quot;/&gt;&lt;wsp:rsid wsp:val=&quot;00BE4439&quot;/&gt;&lt;wsp:rsid wsp:val=&quot;00BE45D5&quot;/&gt;&lt;wsp:rsid wsp:val=&quot;00BE4E06&quot;/&gt;&lt;wsp:rsid wsp:val=&quot;00BE4FF5&quot;/&gt;&lt;wsp:rsid wsp:val=&quot;00BE7387&quot;/&gt;&lt;wsp:rsid wsp:val=&quot;00BF0E1A&quot;/&gt;&lt;wsp:rsid wsp:val=&quot;00BF1E68&quot;/&gt;&lt;wsp:rsid wsp:val=&quot;00BF2061&quot;/&gt;&lt;wsp:rsid wsp:val=&quot;00BF25C9&quot;/&gt;&lt;wsp:rsid wsp:val=&quot;00BF25D6&quot;/&gt;&lt;wsp:rsid wsp:val=&quot;00BF285D&quot;/&gt;&lt;wsp:rsid wsp:val=&quot;00BF2B49&quot;/&gt;&lt;wsp:rsid wsp:val=&quot;00BF309C&quot;/&gt;&lt;wsp:rsid wsp:val=&quot;00BF32E1&quot;/&gt;&lt;wsp:rsid wsp:val=&quot;00BF41ED&quot;/&gt;&lt;wsp:rsid wsp:val=&quot;00BF444E&quot;/&gt;&lt;wsp:rsid wsp:val=&quot;00BF61D5&quot;/&gt;&lt;wsp:rsid wsp:val=&quot;00C00554&quot;/&gt;&lt;wsp:rsid wsp:val=&quot;00C0082F&quot;/&gt;&lt;wsp:rsid wsp:val=&quot;00C00883&quot;/&gt;&lt;wsp:rsid wsp:val=&quot;00C02288&quot;/&gt;&lt;wsp:rsid wsp:val=&quot;00C03F5A&quot;/&gt;&lt;wsp:rsid wsp:val=&quot;00C04695&quot;/&gt;&lt;wsp:rsid wsp:val=&quot;00C06EC4&quot;/&gt;&lt;wsp:rsid wsp:val=&quot;00C07366&quot;/&gt;&lt;wsp:rsid wsp:val=&quot;00C07A66&quot;/&gt;&lt;wsp:rsid wsp:val=&quot;00C07F02&quot;/&gt;&lt;wsp:rsid wsp:val=&quot;00C10A5B&quot;/&gt;&lt;wsp:rsid wsp:val=&quot;00C11932&quot;/&gt;&lt;wsp:rsid wsp:val=&quot;00C12440&quot;/&gt;&lt;wsp:rsid wsp:val=&quot;00C14B7E&quot;/&gt;&lt;wsp:rsid wsp:val=&quot;00C14C9D&quot;/&gt;&lt;wsp:rsid wsp:val=&quot;00C15610&quot;/&gt;&lt;wsp:rsid wsp:val=&quot;00C157D3&quot;/&gt;&lt;wsp:rsid wsp:val=&quot;00C21E71&quot;/&gt;&lt;wsp:rsid wsp:val=&quot;00C22638&quot;/&gt;&lt;wsp:rsid wsp:val=&quot;00C2325C&quot;/&gt;&lt;wsp:rsid wsp:val=&quot;00C23414&quot;/&gt;&lt;wsp:rsid wsp:val=&quot;00C2417F&quot;/&gt;&lt;wsp:rsid wsp:val=&quot;00C242DB&quot;/&gt;&lt;wsp:rsid wsp:val=&quot;00C24CB5&quot;/&gt;&lt;wsp:rsid wsp:val=&quot;00C26391&quot;/&gt;&lt;wsp:rsid wsp:val=&quot;00C2645E&quot;/&gt;&lt;wsp:rsid wsp:val=&quot;00C269FD&quot;/&gt;&lt;wsp:rsid wsp:val=&quot;00C26F47&quot;/&gt;&lt;wsp:rsid wsp:val=&quot;00C279BF&quot;/&gt;&lt;wsp:rsid wsp:val=&quot;00C27CBA&quot;/&gt;&lt;wsp:rsid wsp:val=&quot;00C30081&quot;/&gt;&lt;wsp:rsid wsp:val=&quot;00C3046A&quot;/&gt;&lt;wsp:rsid wsp:val=&quot;00C30A35&quot;/&gt;&lt;wsp:rsid wsp:val=&quot;00C3143F&quot;/&gt;&lt;wsp:rsid wsp:val=&quot;00C31DF3&quot;/&gt;&lt;wsp:rsid wsp:val=&quot;00C3214A&quot;/&gt;&lt;wsp:rsid wsp:val=&quot;00C3226D&quot;/&gt;&lt;wsp:rsid wsp:val=&quot;00C325A5&quot;/&gt;&lt;wsp:rsid wsp:val=&quot;00C325D7&quot;/&gt;&lt;wsp:rsid wsp:val=&quot;00C32D3A&quot;/&gt;&lt;wsp:rsid wsp:val=&quot;00C357B2&quot;/&gt;&lt;wsp:rsid wsp:val=&quot;00C36773&quot;/&gt;&lt;wsp:rsid wsp:val=&quot;00C369FD&quot;/&gt;&lt;wsp:rsid wsp:val=&quot;00C36CBF&quot;/&gt;&lt;wsp:rsid wsp:val=&quot;00C36DFE&quot;/&gt;&lt;wsp:rsid wsp:val=&quot;00C37C3A&quot;/&gt;&lt;wsp:rsid wsp:val=&quot;00C4046B&quot;/&gt;&lt;wsp:rsid wsp:val=&quot;00C40B59&quot;/&gt;&lt;wsp:rsid wsp:val=&quot;00C410B3&quot;/&gt;&lt;wsp:rsid wsp:val=&quot;00C414FD&quot;/&gt;&lt;wsp:rsid wsp:val=&quot;00C41BC5&quot;/&gt;&lt;wsp:rsid wsp:val=&quot;00C426E8&quot;/&gt;&lt;wsp:rsid wsp:val=&quot;00C431FA&quot;/&gt;&lt;wsp:rsid wsp:val=&quot;00C439C7&quot;/&gt;&lt;wsp:rsid wsp:val=&quot;00C44379&quot;/&gt;&lt;wsp:rsid wsp:val=&quot;00C46DA3&quot;/&gt;&lt;wsp:rsid wsp:val=&quot;00C47D87&quot;/&gt;&lt;wsp:rsid wsp:val=&quot;00C5174B&quot;/&gt;&lt;wsp:rsid wsp:val=&quot;00C529F3&quot;/&gt;&lt;wsp:rsid wsp:val=&quot;00C52CC3&quot;/&gt;&lt;wsp:rsid wsp:val=&quot;00C538B1&quot;/&gt;&lt;wsp:rsid wsp:val=&quot;00C54102&quot;/&gt;&lt;wsp:rsid wsp:val=&quot;00C54855&quot;/&gt;&lt;wsp:rsid wsp:val=&quot;00C54929&quot;/&gt;&lt;wsp:rsid wsp:val=&quot;00C55EE7&quot;/&gt;&lt;wsp:rsid wsp:val=&quot;00C56915&quot;/&gt;&lt;wsp:rsid wsp:val=&quot;00C56D10&quot;/&gt;&lt;wsp:rsid wsp:val=&quot;00C5797C&quot;/&gt;&lt;wsp:rsid wsp:val=&quot;00C57F92&quot;/&gt;&lt;wsp:rsid wsp:val=&quot;00C6070B&quot;/&gt;&lt;wsp:rsid wsp:val=&quot;00C624E2&quot;/&gt;&lt;wsp:rsid wsp:val=&quot;00C62E02&quot;/&gt;&lt;wsp:rsid wsp:val=&quot;00C631D5&quot;/&gt;&lt;wsp:rsid wsp:val=&quot;00C644AB&quot;/&gt;&lt;wsp:rsid wsp:val=&quot;00C65139&quot;/&gt;&lt;wsp:rsid wsp:val=&quot;00C654CC&quot;/&gt;&lt;wsp:rsid wsp:val=&quot;00C670DC&quot;/&gt;&lt;wsp:rsid wsp:val=&quot;00C700EF&quot;/&gt;&lt;wsp:rsid wsp:val=&quot;00C70ABA&quot;/&gt;&lt;wsp:rsid wsp:val=&quot;00C71621&quot;/&gt;&lt;wsp:rsid wsp:val=&quot;00C73FE1&quot;/&gt;&lt;wsp:rsid wsp:val=&quot;00C74020&quot;/&gt;&lt;wsp:rsid wsp:val=&quot;00C744B7&quot;/&gt;&lt;wsp:rsid wsp:val=&quot;00C74DDF&quot;/&gt;&lt;wsp:rsid wsp:val=&quot;00C75824&quot;/&gt;&lt;wsp:rsid wsp:val=&quot;00C75E9C&quot;/&gt;&lt;wsp:rsid wsp:val=&quot;00C76977&quot;/&gt;&lt;wsp:rsid wsp:val=&quot;00C76BD2&quot;/&gt;&lt;wsp:rsid wsp:val=&quot;00C77ED4&quot;/&gt;&lt;wsp:rsid wsp:val=&quot;00C80E10&quot;/&gt;&lt;wsp:rsid wsp:val=&quot;00C81932&quot;/&gt;&lt;wsp:rsid wsp:val=&quot;00C81E87&quot;/&gt;&lt;wsp:rsid wsp:val=&quot;00C82698&quot;/&gt;&lt;wsp:rsid wsp:val=&quot;00C82D56&quot;/&gt;&lt;wsp:rsid wsp:val=&quot;00C82FBA&quot;/&gt;&lt;wsp:rsid wsp:val=&quot;00C83878&quot;/&gt;&lt;wsp:rsid wsp:val=&quot;00C83ECB&quot;/&gt;&lt;wsp:rsid wsp:val=&quot;00C847F1&quot;/&gt;&lt;wsp:rsid wsp:val=&quot;00C84918&quot;/&gt;&lt;wsp:rsid wsp:val=&quot;00C856C6&quot;/&gt;&lt;wsp:rsid wsp:val=&quot;00C863A9&quot;/&gt;&lt;wsp:rsid wsp:val=&quot;00C86D15&quot;/&gt;&lt;wsp:rsid wsp:val=&quot;00C87685&quot;/&gt;&lt;wsp:rsid wsp:val=&quot;00C879C5&quot;/&gt;&lt;wsp:rsid wsp:val=&quot;00C903C9&quot;/&gt;&lt;wsp:rsid wsp:val=&quot;00C9102C&quot;/&gt;&lt;wsp:rsid wsp:val=&quot;00C910CF&quot;/&gt;&lt;wsp:rsid wsp:val=&quot;00C91455&quot;/&gt;&lt;wsp:rsid wsp:val=&quot;00C9166A&quot;/&gt;&lt;wsp:rsid wsp:val=&quot;00C91880&quot;/&gt;&lt;wsp:rsid wsp:val=&quot;00C91F7D&quot;/&gt;&lt;wsp:rsid wsp:val=&quot;00C924CB&quot;/&gt;&lt;wsp:rsid wsp:val=&quot;00C9259C&quot;/&gt;&lt;wsp:rsid wsp:val=&quot;00C92944&quot;/&gt;&lt;wsp:rsid wsp:val=&quot;00C931D9&quot;/&gt;&lt;wsp:rsid wsp:val=&quot;00C9323C&quot;/&gt;&lt;wsp:rsid wsp:val=&quot;00C93A07&quot;/&gt;&lt;wsp:rsid wsp:val=&quot;00C942C4&quot;/&gt;&lt;wsp:rsid wsp:val=&quot;00C94B8E&quot;/&gt;&lt;wsp:rsid wsp:val=&quot;00C956BF&quot;/&gt;&lt;wsp:rsid wsp:val=&quot;00C95DFA&quot;/&gt;&lt;wsp:rsid wsp:val=&quot;00C9620A&quot;/&gt;&lt;wsp:rsid wsp:val=&quot;00C964ED&quot;/&gt;&lt;wsp:rsid wsp:val=&quot;00C97E6B&quot;/&gt;&lt;wsp:rsid wsp:val=&quot;00CA2BC7&quot;/&gt;&lt;wsp:rsid wsp:val=&quot;00CA3E16&quot;/&gt;&lt;wsp:rsid wsp:val=&quot;00CA46A0&quot;/&gt;&lt;wsp:rsid wsp:val=&quot;00CA5170&quot;/&gt;&lt;wsp:rsid wsp:val=&quot;00CA5835&quot;/&gt;&lt;wsp:rsid wsp:val=&quot;00CA636D&quot;/&gt;&lt;wsp:rsid wsp:val=&quot;00CA69DB&quot;/&gt;&lt;wsp:rsid wsp:val=&quot;00CA7C2C&quot;/&gt;&lt;wsp:rsid wsp:val=&quot;00CB0C85&quot;/&gt;&lt;wsp:rsid wsp:val=&quot;00CB1A48&quot;/&gt;&lt;wsp:rsid wsp:val=&quot;00CB2725&quot;/&gt;&lt;wsp:rsid wsp:val=&quot;00CB2C85&quot;/&gt;&lt;wsp:rsid wsp:val=&quot;00CB2E98&quot;/&gt;&lt;wsp:rsid wsp:val=&quot;00CB3E93&quot;/&gt;&lt;wsp:rsid wsp:val=&quot;00CB5964&quot;/&gt;&lt;wsp:rsid wsp:val=&quot;00CB653A&quot;/&gt;&lt;wsp:rsid wsp:val=&quot;00CB692D&quot;/&gt;&lt;wsp:rsid wsp:val=&quot;00CC022A&quot;/&gt;&lt;wsp:rsid wsp:val=&quot;00CC2E1D&quot;/&gt;&lt;wsp:rsid wsp:val=&quot;00CC4CFD&quot;/&gt;&lt;wsp:rsid wsp:val=&quot;00CC54A2&quot;/&gt;&lt;wsp:rsid wsp:val=&quot;00CC5D9A&quot;/&gt;&lt;wsp:rsid wsp:val=&quot;00CC7281&quot;/&gt;&lt;wsp:rsid wsp:val=&quot;00CD04D1&quot;/&gt;&lt;wsp:rsid wsp:val=&quot;00CD0CC3&quot;/&gt;&lt;wsp:rsid wsp:val=&quot;00CD1261&quot;/&gt;&lt;wsp:rsid wsp:val=&quot;00CD172E&quot;/&gt;&lt;wsp:rsid wsp:val=&quot;00CD1B8D&quot;/&gt;&lt;wsp:rsid wsp:val=&quot;00CD2790&quot;/&gt;&lt;wsp:rsid wsp:val=&quot;00CD2EEE&quot;/&gt;&lt;wsp:rsid wsp:val=&quot;00CD3459&quot;/&gt;&lt;wsp:rsid wsp:val=&quot;00CD3FB3&quot;/&gt;&lt;wsp:rsid wsp:val=&quot;00CD4C79&quot;/&gt;&lt;wsp:rsid wsp:val=&quot;00CD4EA0&quot;/&gt;&lt;wsp:rsid wsp:val=&quot;00CD4F49&quot;/&gt;&lt;wsp:rsid wsp:val=&quot;00CD6234&quot;/&gt;&lt;wsp:rsid wsp:val=&quot;00CD72A6&quot;/&gt;&lt;wsp:rsid wsp:val=&quot;00CD7483&quot;/&gt;&lt;wsp:rsid wsp:val=&quot;00CE0462&quot;/&gt;&lt;wsp:rsid wsp:val=&quot;00CE20C8&quot;/&gt;&lt;wsp:rsid wsp:val=&quot;00CE263F&quot;/&gt;&lt;wsp:rsid wsp:val=&quot;00CE265C&quot;/&gt;&lt;wsp:rsid wsp:val=&quot;00CE2F4E&quot;/&gt;&lt;wsp:rsid wsp:val=&quot;00CE30A7&quot;/&gt;&lt;wsp:rsid wsp:val=&quot;00CE328A&quot;/&gt;&lt;wsp:rsid wsp:val=&quot;00CE3AB6&quot;/&gt;&lt;wsp:rsid wsp:val=&quot;00CE48BC&quot;/&gt;&lt;wsp:rsid wsp:val=&quot;00CE5574&quot;/&gt;&lt;wsp:rsid wsp:val=&quot;00CE56A3&quot;/&gt;&lt;wsp:rsid wsp:val=&quot;00CE597B&quot;/&gt;&lt;wsp:rsid wsp:val=&quot;00CE5ADA&quot;/&gt;&lt;wsp:rsid wsp:val=&quot;00CE66C2&quot;/&gt;&lt;wsp:rsid wsp:val=&quot;00CE6724&quot;/&gt;&lt;wsp:rsid wsp:val=&quot;00CE67BE&quot;/&gt;&lt;wsp:rsid wsp:val=&quot;00CE75B7&quot;/&gt;&lt;wsp:rsid wsp:val=&quot;00CF031F&quot;/&gt;&lt;wsp:rsid wsp:val=&quot;00CF05D7&quot;/&gt;&lt;wsp:rsid wsp:val=&quot;00CF1816&quot;/&gt;&lt;wsp:rsid wsp:val=&quot;00CF1D28&quot;/&gt;&lt;wsp:rsid wsp:val=&quot;00CF20C3&quot;/&gt;&lt;wsp:rsid wsp:val=&quot;00CF26FB&quot;/&gt;&lt;wsp:rsid wsp:val=&quot;00CF4613&quot;/&gt;&lt;wsp:rsid wsp:val=&quot;00CF4B0F&quot;/&gt;&lt;wsp:rsid wsp:val=&quot;00D00E9E&quot;/&gt;&lt;wsp:rsid wsp:val=&quot;00D00FA0&quot;/&gt;&lt;wsp:rsid wsp:val=&quot;00D012E2&quot;/&gt;&lt;wsp:rsid wsp:val=&quot;00D01F17&quot;/&gt;&lt;wsp:rsid wsp:val=&quot;00D032FC&quot;/&gt;&lt;wsp:rsid wsp:val=&quot;00D0345D&quot;/&gt;&lt;wsp:rsid wsp:val=&quot;00D04CFD&quot;/&gt;&lt;wsp:rsid wsp:val=&quot;00D05A56&quot;/&gt;&lt;wsp:rsid wsp:val=&quot;00D07457&quot;/&gt;&lt;wsp:rsid wsp:val=&quot;00D075F7&quot;/&gt;&lt;wsp:rsid wsp:val=&quot;00D12577&quot;/&gt;&lt;wsp:rsid wsp:val=&quot;00D129F0&quot;/&gt;&lt;wsp:rsid wsp:val=&quot;00D12CF1&quot;/&gt;&lt;wsp:rsid wsp:val=&quot;00D13C3F&quot;/&gt;&lt;wsp:rsid wsp:val=&quot;00D13D9D&quot;/&gt;&lt;wsp:rsid wsp:val=&quot;00D142EE&quot;/&gt;&lt;wsp:rsid wsp:val=&quot;00D148A6&quot;/&gt;&lt;wsp:rsid wsp:val=&quot;00D14E9C&quot;/&gt;&lt;wsp:rsid wsp:val=&quot;00D1504F&quot;/&gt;&lt;wsp:rsid wsp:val=&quot;00D15061&quot;/&gt;&lt;wsp:rsid wsp:val=&quot;00D159F2&quot;/&gt;&lt;wsp:rsid wsp:val=&quot;00D20413&quot;/&gt;&lt;wsp:rsid wsp:val=&quot;00D21158&quot;/&gt;&lt;wsp:rsid wsp:val=&quot;00D21357&quot;/&gt;&lt;wsp:rsid wsp:val=&quot;00D2175D&quot;/&gt;&lt;wsp:rsid wsp:val=&quot;00D21BF4&quot;/&gt;&lt;wsp:rsid wsp:val=&quot;00D222D6&quot;/&gt;&lt;wsp:rsid wsp:val=&quot;00D22982&quot;/&gt;&lt;wsp:rsid wsp:val=&quot;00D22A1B&quot;/&gt;&lt;wsp:rsid wsp:val=&quot;00D22F1B&quot;/&gt;&lt;wsp:rsid wsp:val=&quot;00D233A6&quot;/&gt;&lt;wsp:rsid wsp:val=&quot;00D2342F&quot;/&gt;&lt;wsp:rsid wsp:val=&quot;00D240A5&quot;/&gt;&lt;wsp:rsid wsp:val=&quot;00D25F0D&quot;/&gt;&lt;wsp:rsid wsp:val=&quot;00D26561&quot;/&gt;&lt;wsp:rsid wsp:val=&quot;00D26F96&quot;/&gt;&lt;wsp:rsid wsp:val=&quot;00D3051D&quot;/&gt;&lt;wsp:rsid wsp:val=&quot;00D3269E&quot;/&gt;&lt;wsp:rsid wsp:val=&quot;00D32F19&quot;/&gt;&lt;wsp:rsid wsp:val=&quot;00D3368E&quot;/&gt;&lt;wsp:rsid wsp:val=&quot;00D33ED3&quot;/&gt;&lt;wsp:rsid wsp:val=&quot;00D34097&quot;/&gt;&lt;wsp:rsid wsp:val=&quot;00D34869&quot;/&gt;&lt;wsp:rsid wsp:val=&quot;00D35C1F&quot;/&gt;&lt;wsp:rsid wsp:val=&quot;00D3663D&quot;/&gt;&lt;wsp:rsid wsp:val=&quot;00D371EE&quot;/&gt;&lt;wsp:rsid wsp:val=&quot;00D37BCE&quot;/&gt;&lt;wsp:rsid wsp:val=&quot;00D37F9A&quot;/&gt;&lt;wsp:rsid wsp:val=&quot;00D401CE&quot;/&gt;&lt;wsp:rsid wsp:val=&quot;00D415BA&quot;/&gt;&lt;wsp:rsid wsp:val=&quot;00D42BCC&quot;/&gt;&lt;wsp:rsid wsp:val=&quot;00D4380D&quot;/&gt;&lt;wsp:rsid wsp:val=&quot;00D44034&quot;/&gt;&lt;wsp:rsid wsp:val=&quot;00D44819&quot;/&gt;&lt;wsp:rsid wsp:val=&quot;00D45090&quot;/&gt;&lt;wsp:rsid wsp:val=&quot;00D458CD&quot;/&gt;&lt;wsp:rsid wsp:val=&quot;00D461AF&quot;/&gt;&lt;wsp:rsid wsp:val=&quot;00D46C0A&quot;/&gt;&lt;wsp:rsid wsp:val=&quot;00D47C71&quot;/&gt;&lt;wsp:rsid wsp:val=&quot;00D47CA8&quot;/&gt;&lt;wsp:rsid wsp:val=&quot;00D508DA&quot;/&gt;&lt;wsp:rsid wsp:val=&quot;00D50F37&quot;/&gt;&lt;wsp:rsid wsp:val=&quot;00D5114B&quot;/&gt;&lt;wsp:rsid wsp:val=&quot;00D51BA7&quot;/&gt;&lt;wsp:rsid wsp:val=&quot;00D52B05&quot;/&gt;&lt;wsp:rsid wsp:val=&quot;00D53AD2&quot;/&gt;&lt;wsp:rsid wsp:val=&quot;00D54051&quot;/&gt;&lt;wsp:rsid wsp:val=&quot;00D546E4&quot;/&gt;&lt;wsp:rsid wsp:val=&quot;00D550C8&quot;/&gt;&lt;wsp:rsid wsp:val=&quot;00D57969&quot;/&gt;&lt;wsp:rsid wsp:val=&quot;00D602D5&quot;/&gt;&lt;wsp:rsid wsp:val=&quot;00D60F8F&quot;/&gt;&lt;wsp:rsid wsp:val=&quot;00D60FD1&quot;/&gt;&lt;wsp:rsid wsp:val=&quot;00D619CE&quot;/&gt;&lt;wsp:rsid wsp:val=&quot;00D63515&quot;/&gt;&lt;wsp:rsid wsp:val=&quot;00D639F7&quot;/&gt;&lt;wsp:rsid wsp:val=&quot;00D6505F&quot;/&gt;&lt;wsp:rsid wsp:val=&quot;00D651C6&quot;/&gt;&lt;wsp:rsid wsp:val=&quot;00D655D3&quot;/&gt;&lt;wsp:rsid wsp:val=&quot;00D66426&quot;/&gt;&lt;wsp:rsid wsp:val=&quot;00D665A9&quot;/&gt;&lt;wsp:rsid wsp:val=&quot;00D67991&quot;/&gt;&lt;wsp:rsid wsp:val=&quot;00D7018F&quot;/&gt;&lt;wsp:rsid wsp:val=&quot;00D703D8&quot;/&gt;&lt;wsp:rsid wsp:val=&quot;00D7102D&quot;/&gt;&lt;wsp:rsid wsp:val=&quot;00D71BB9&quot;/&gt;&lt;wsp:rsid wsp:val=&quot;00D72940&quot;/&gt;&lt;wsp:rsid wsp:val=&quot;00D73038&quot;/&gt;&lt;wsp:rsid wsp:val=&quot;00D7547F&quot;/&gt;&lt;wsp:rsid wsp:val=&quot;00D75F70&quot;/&gt;&lt;wsp:rsid wsp:val=&quot;00D76DB9&quot;/&gt;&lt;wsp:rsid wsp:val=&quot;00D77583&quot;/&gt;&lt;wsp:rsid wsp:val=&quot;00D77D34&quot;/&gt;&lt;wsp:rsid wsp:val=&quot;00D80311&quot;/&gt;&lt;wsp:rsid wsp:val=&quot;00D803C0&quot;/&gt;&lt;wsp:rsid wsp:val=&quot;00D81A8B&quot;/&gt;&lt;wsp:rsid wsp:val=&quot;00D81C50&quot;/&gt;&lt;wsp:rsid wsp:val=&quot;00D81C7E&quot;/&gt;&lt;wsp:rsid wsp:val=&quot;00D83846&quot;/&gt;&lt;wsp:rsid wsp:val=&quot;00D83EC5&quot;/&gt;&lt;wsp:rsid wsp:val=&quot;00D84D57&quot;/&gt;&lt;wsp:rsid wsp:val=&quot;00D868AA&quot;/&gt;&lt;wsp:rsid wsp:val=&quot;00D86A52&quot;/&gt;&lt;wsp:rsid wsp:val=&quot;00D872F1&quot;/&gt;&lt;wsp:rsid wsp:val=&quot;00D90C35&quot;/&gt;&lt;wsp:rsid wsp:val=&quot;00D9141F&quot;/&gt;&lt;wsp:rsid wsp:val=&quot;00D91A6C&quot;/&gt;&lt;wsp:rsid wsp:val=&quot;00D91B95&quot;/&gt;&lt;wsp:rsid wsp:val=&quot;00D927BE&quot;/&gt;&lt;wsp:rsid wsp:val=&quot;00D93220&quot;/&gt;&lt;wsp:rsid wsp:val=&quot;00D9484D&quot;/&gt;&lt;wsp:rsid wsp:val=&quot;00D94B1E&quot;/&gt;&lt;wsp:rsid wsp:val=&quot;00D94C9F&quot;/&gt;&lt;wsp:rsid wsp:val=&quot;00D95D2A&quot;/&gt;&lt;wsp:rsid wsp:val=&quot;00D9603F&quot;/&gt;&lt;wsp:rsid wsp:val=&quot;00D9642E&quot;/&gt;&lt;wsp:rsid wsp:val=&quot;00D96BCB&quot;/&gt;&lt;wsp:rsid wsp:val=&quot;00D96D55&quot;/&gt;&lt;wsp:rsid wsp:val=&quot;00D976BD&quot;/&gt;&lt;wsp:rsid wsp:val=&quot;00DA0894&quot;/&gt;&lt;wsp:rsid wsp:val=&quot;00DA0AFE&quot;/&gt;&lt;wsp:rsid wsp:val=&quot;00DA13EE&quot;/&gt;&lt;wsp:rsid wsp:val=&quot;00DA2DF3&quot;/&gt;&lt;wsp:rsid wsp:val=&quot;00DA31BD&quot;/&gt;&lt;wsp:rsid wsp:val=&quot;00DA33D9&quot;/&gt;&lt;wsp:rsid wsp:val=&quot;00DA3CB7&quot;/&gt;&lt;wsp:rsid wsp:val=&quot;00DA4666&quot;/&gt;&lt;wsp:rsid wsp:val=&quot;00DA49A5&quot;/&gt;&lt;wsp:rsid wsp:val=&quot;00DA4E66&quot;/&gt;&lt;wsp:rsid wsp:val=&quot;00DA6740&quot;/&gt;&lt;wsp:rsid wsp:val=&quot;00DA7588&quot;/&gt;&lt;wsp:rsid wsp:val=&quot;00DA78F3&quot;/&gt;&lt;wsp:rsid wsp:val=&quot;00DA7CFD&quot;/&gt;&lt;wsp:rsid wsp:val=&quot;00DB038E&quot;/&gt;&lt;wsp:rsid wsp:val=&quot;00DB03C7&quot;/&gt;&lt;wsp:rsid wsp:val=&quot;00DB0577&quot;/&gt;&lt;wsp:rsid wsp:val=&quot;00DB25A5&quot;/&gt;&lt;wsp:rsid wsp:val=&quot;00DB2D81&quot;/&gt;&lt;wsp:rsid wsp:val=&quot;00DB4B88&quot;/&gt;&lt;wsp:rsid wsp:val=&quot;00DB5BDB&quot;/&gt;&lt;wsp:rsid wsp:val=&quot;00DB763C&quot;/&gt;&lt;wsp:rsid wsp:val=&quot;00DB7C49&quot;/&gt;&lt;wsp:rsid wsp:val=&quot;00DC1F85&quot;/&gt;&lt;wsp:rsid wsp:val=&quot;00DC25B7&quot;/&gt;&lt;wsp:rsid wsp:val=&quot;00DC3592&quot;/&gt;&lt;wsp:rsid wsp:val=&quot;00DC3A87&quot;/&gt;&lt;wsp:rsid wsp:val=&quot;00DC4568&quot;/&gt;&lt;wsp:rsid wsp:val=&quot;00DC57C3&quot;/&gt;&lt;wsp:rsid wsp:val=&quot;00DC5B09&quot;/&gt;&lt;wsp:rsid wsp:val=&quot;00DC61C6&quot;/&gt;&lt;wsp:rsid wsp:val=&quot;00DC67A6&quot;/&gt;&lt;wsp:rsid wsp:val=&quot;00DC6830&quot;/&gt;&lt;wsp:rsid wsp:val=&quot;00DC69C9&quot;/&gt;&lt;wsp:rsid wsp:val=&quot;00DC7A79&quot;/&gt;&lt;wsp:rsid wsp:val=&quot;00DD0894&quot;/&gt;&lt;wsp:rsid wsp:val=&quot;00DD0B76&quot;/&gt;&lt;wsp:rsid wsp:val=&quot;00DD1DAE&quot;/&gt;&lt;wsp:rsid wsp:val=&quot;00DD427A&quot;/&gt;&lt;wsp:rsid wsp:val=&quot;00DD43A9&quot;/&gt;&lt;wsp:rsid wsp:val=&quot;00DD49EC&quot;/&gt;&lt;wsp:rsid wsp:val=&quot;00DD4E94&quot;/&gt;&lt;wsp:rsid wsp:val=&quot;00DD551A&quot;/&gt;&lt;wsp:rsid wsp:val=&quot;00DD57C4&quot;/&gt;&lt;wsp:rsid wsp:val=&quot;00DD5E57&quot;/&gt;&lt;wsp:rsid wsp:val=&quot;00DD60F2&quot;/&gt;&lt;wsp:rsid wsp:val=&quot;00DD77C4&quot;/&gt;&lt;wsp:rsid wsp:val=&quot;00DE0A1A&quot;/&gt;&lt;wsp:rsid wsp:val=&quot;00DE0E7C&quot;/&gt;&lt;wsp:rsid wsp:val=&quot;00DE0F4A&quot;/&gt;&lt;wsp:rsid wsp:val=&quot;00DE30FE&quot;/&gt;&lt;wsp:rsid wsp:val=&quot;00DE40EC&quot;/&gt;&lt;wsp:rsid wsp:val=&quot;00DE41DB&quot;/&gt;&lt;wsp:rsid wsp:val=&quot;00DE4598&quot;/&gt;&lt;wsp:rsid wsp:val=&quot;00DE45CE&quot;/&gt;&lt;wsp:rsid wsp:val=&quot;00DE4822&quot;/&gt;&lt;wsp:rsid wsp:val=&quot;00DE59FA&quot;/&gt;&lt;wsp:rsid wsp:val=&quot;00DE602C&quot;/&gt;&lt;wsp:rsid wsp:val=&quot;00DF017A&quot;/&gt;&lt;wsp:rsid wsp:val=&quot;00DF110A&quot;/&gt;&lt;wsp:rsid wsp:val=&quot;00DF169B&quot;/&gt;&lt;wsp:rsid wsp:val=&quot;00DF2115&quot;/&gt;&lt;wsp:rsid wsp:val=&quot;00DF2AFE&quot;/&gt;&lt;wsp:rsid wsp:val=&quot;00DF2DAC&quot;/&gt;&lt;wsp:rsid wsp:val=&quot;00DF2F08&quot;/&gt;&lt;wsp:rsid wsp:val=&quot;00DF4DE4&quot;/&gt;&lt;wsp:rsid wsp:val=&quot;00DF528D&quot;/&gt;&lt;wsp:rsid wsp:val=&quot;00DF5A68&quot;/&gt;&lt;wsp:rsid wsp:val=&quot;00DF64B1&quot;/&gt;&lt;wsp:rsid wsp:val=&quot;00DF666F&quot;/&gt;&lt;wsp:rsid wsp:val=&quot;00DF6BA0&quot;/&gt;&lt;wsp:rsid wsp:val=&quot;00DF6D46&quot;/&gt;&lt;wsp:rsid wsp:val=&quot;00DF793F&quot;/&gt;&lt;wsp:rsid wsp:val=&quot;00DF7ABC&quot;/&gt;&lt;wsp:rsid wsp:val=&quot;00E00276&quot;/&gt;&lt;wsp:rsid wsp:val=&quot;00E00ABA&quot;/&gt;&lt;wsp:rsid wsp:val=&quot;00E00E8D&quot;/&gt;&lt;wsp:rsid wsp:val=&quot;00E01C1C&quot;/&gt;&lt;wsp:rsid wsp:val=&quot;00E01FA2&quot;/&gt;&lt;wsp:rsid wsp:val=&quot;00E0221A&quot;/&gt;&lt;wsp:rsid wsp:val=&quot;00E02A08&quot;/&gt;&lt;wsp:rsid wsp:val=&quot;00E02D0D&quot;/&gt;&lt;wsp:rsid wsp:val=&quot;00E02F24&quot;/&gt;&lt;wsp:rsid wsp:val=&quot;00E03EB0&quot;/&gt;&lt;wsp:rsid wsp:val=&quot;00E040A0&quot;/&gt;&lt;wsp:rsid wsp:val=&quot;00E045CE&quot;/&gt;&lt;wsp:rsid wsp:val=&quot;00E04650&quot;/&gt;&lt;wsp:rsid wsp:val=&quot;00E05125&quot;/&gt;&lt;wsp:rsid wsp:val=&quot;00E05F05&quot;/&gt;&lt;wsp:rsid wsp:val=&quot;00E07173&quot;/&gt;&lt;wsp:rsid wsp:val=&quot;00E07189&quot;/&gt;&lt;wsp:rsid wsp:val=&quot;00E0755D&quot;/&gt;&lt;wsp:rsid wsp:val=&quot;00E0761E&quot;/&gt;&lt;wsp:rsid wsp:val=&quot;00E07E23&quot;/&gt;&lt;wsp:rsid wsp:val=&quot;00E07ECD&quot;/&gt;&lt;wsp:rsid wsp:val=&quot;00E101F2&quot;/&gt;&lt;wsp:rsid wsp:val=&quot;00E1042A&quot;/&gt;&lt;wsp:rsid wsp:val=&quot;00E1068F&quot;/&gt;&lt;wsp:rsid wsp:val=&quot;00E12176&quot;/&gt;&lt;wsp:rsid wsp:val=&quot;00E12A5B&quot;/&gt;&lt;wsp:rsid wsp:val=&quot;00E12F31&quot;/&gt;&lt;wsp:rsid wsp:val=&quot;00E13113&quot;/&gt;&lt;wsp:rsid wsp:val=&quot;00E134F9&quot;/&gt;&lt;wsp:rsid wsp:val=&quot;00E158B9&quot;/&gt;&lt;wsp:rsid wsp:val=&quot;00E158EF&quot;/&gt;&lt;wsp:rsid wsp:val=&quot;00E1753F&quot;/&gt;&lt;wsp:rsid wsp:val=&quot;00E17C6D&quot;/&gt;&lt;wsp:rsid wsp:val=&quot;00E232EB&quot;/&gt;&lt;wsp:rsid wsp:val=&quot;00E237EB&quot;/&gt;&lt;wsp:rsid wsp:val=&quot;00E23B54&quot;/&gt;&lt;wsp:rsid wsp:val=&quot;00E24029&quot;/&gt;&lt;wsp:rsid wsp:val=&quot;00E24CF9&quot;/&gt;&lt;wsp:rsid wsp:val=&quot;00E24E5A&quot;/&gt;&lt;wsp:rsid wsp:val=&quot;00E26459&quot;/&gt;&lt;wsp:rsid wsp:val=&quot;00E26B7D&quot;/&gt;&lt;wsp:rsid wsp:val=&quot;00E27D96&quot;/&gt;&lt;wsp:rsid wsp:val=&quot;00E31A3E&quot;/&gt;&lt;wsp:rsid wsp:val=&quot;00E31FDA&quot;/&gt;&lt;wsp:rsid wsp:val=&quot;00E325AC&quot;/&gt;&lt;wsp:rsid wsp:val=&quot;00E33BAA&quot;/&gt;&lt;wsp:rsid wsp:val=&quot;00E3483D&quot;/&gt;&lt;wsp:rsid wsp:val=&quot;00E3546B&quot;/&gt;&lt;wsp:rsid wsp:val=&quot;00E362EF&quot;/&gt;&lt;wsp:rsid wsp:val=&quot;00E4068B&quot;/&gt;&lt;wsp:rsid wsp:val=&quot;00E41E0A&quot;/&gt;&lt;wsp:rsid wsp:val=&quot;00E4265B&quot;/&gt;&lt;wsp:rsid wsp:val=&quot;00E4409F&quot;/&gt;&lt;wsp:rsid wsp:val=&quot;00E44583&quot;/&gt;&lt;wsp:rsid wsp:val=&quot;00E446F8&quot;/&gt;&lt;wsp:rsid wsp:val=&quot;00E45B50&quot;/&gt;&lt;wsp:rsid wsp:val=&quot;00E45BF9&quot;/&gt;&lt;wsp:rsid wsp:val=&quot;00E47344&quot;/&gt;&lt;wsp:rsid wsp:val=&quot;00E4776D&quot;/&gt;&lt;wsp:rsid wsp:val=&quot;00E47FD9&quot;/&gt;&lt;wsp:rsid wsp:val=&quot;00E508C4&quot;/&gt;&lt;wsp:rsid wsp:val=&quot;00E50C2C&quot;/&gt;&lt;wsp:rsid wsp:val=&quot;00E5367E&quot;/&gt;&lt;wsp:rsid wsp:val=&quot;00E547F9&quot;/&gt;&lt;wsp:rsid wsp:val=&quot;00E55211&quot;/&gt;&lt;wsp:rsid wsp:val=&quot;00E55C1D&quot;/&gt;&lt;wsp:rsid wsp:val=&quot;00E55CE7&quot;/&gt;&lt;wsp:rsid wsp:val=&quot;00E56457&quot;/&gt;&lt;wsp:rsid wsp:val=&quot;00E56FC1&quot;/&gt;&lt;wsp:rsid wsp:val=&quot;00E60613&quot;/&gt;&lt;wsp:rsid wsp:val=&quot;00E6124A&quot;/&gt;&lt;wsp:rsid wsp:val=&quot;00E618DE&quot;/&gt;&lt;wsp:rsid wsp:val=&quot;00E61FAF&quot;/&gt;&lt;wsp:rsid wsp:val=&quot;00E624A3&quot;/&gt;&lt;wsp:rsid wsp:val=&quot;00E63DCF&quot;/&gt;&lt;wsp:rsid wsp:val=&quot;00E64E60&quot;/&gt;&lt;wsp:rsid wsp:val=&quot;00E65801&quot;/&gt;&lt;wsp:rsid wsp:val=&quot;00E65A57&quot;/&gt;&lt;wsp:rsid wsp:val=&quot;00E667F7&quot;/&gt;&lt;wsp:rsid wsp:val=&quot;00E668BF&quot;/&gt;&lt;wsp:rsid wsp:val=&quot;00E679E8&quot;/&gt;&lt;wsp:rsid wsp:val=&quot;00E700B3&quot;/&gt;&lt;wsp:rsid wsp:val=&quot;00E71535&quot;/&gt;&lt;wsp:rsid wsp:val=&quot;00E729FD&quot;/&gt;&lt;wsp:rsid wsp:val=&quot;00E72D4E&quot;/&gt;&lt;wsp:rsid wsp:val=&quot;00E72F28&quot;/&gt;&lt;wsp:rsid wsp:val=&quot;00E7437C&quot;/&gt;&lt;wsp:rsid wsp:val=&quot;00E74AF6&quot;/&gt;&lt;wsp:rsid wsp:val=&quot;00E74E36&quot;/&gt;&lt;wsp:rsid wsp:val=&quot;00E755F5&quot;/&gt;&lt;wsp:rsid wsp:val=&quot;00E76227&quot;/&gt;&lt;wsp:rsid wsp:val=&quot;00E7644D&quot;/&gt;&lt;wsp:rsid wsp:val=&quot;00E76B96&quot;/&gt;&lt;wsp:rsid wsp:val=&quot;00E77D30&quot;/&gt;&lt;wsp:rsid wsp:val=&quot;00E77D79&quot;/&gt;&lt;wsp:rsid wsp:val=&quot;00E77EAF&quot;/&gt;&lt;wsp:rsid wsp:val=&quot;00E805E6&quot;/&gt;&lt;wsp:rsid wsp:val=&quot;00E818E6&quot;/&gt;&lt;wsp:rsid wsp:val=&quot;00E819FB&quot;/&gt;&lt;wsp:rsid wsp:val=&quot;00E824AF&quot;/&gt;&lt;wsp:rsid wsp:val=&quot;00E828CA&quot;/&gt;&lt;wsp:rsid wsp:val=&quot;00E82C6F&quot;/&gt;&lt;wsp:rsid wsp:val=&quot;00E83354&quot;/&gt;&lt;wsp:rsid wsp:val=&quot;00E8338E&quot;/&gt;&lt;wsp:rsid wsp:val=&quot;00E8447D&quot;/&gt;&lt;wsp:rsid wsp:val=&quot;00E85240&quot;/&gt;&lt;wsp:rsid wsp:val=&quot;00E8595B&quot;/&gt;&lt;wsp:rsid wsp:val=&quot;00E8634F&quot;/&gt;&lt;wsp:rsid wsp:val=&quot;00E9063A&quot;/&gt;&lt;wsp:rsid wsp:val=&quot;00E93119&quot;/&gt;&lt;wsp:rsid wsp:val=&quot;00E93127&quot;/&gt;&lt;wsp:rsid wsp:val=&quot;00E93961&quot;/&gt;&lt;wsp:rsid wsp:val=&quot;00E93B22&quot;/&gt;&lt;wsp:rsid wsp:val=&quot;00E9417F&quot;/&gt;&lt;wsp:rsid wsp:val=&quot;00E958C7&quot;/&gt;&lt;wsp:rsid wsp:val=&quot;00E9625E&quot;/&gt;&lt;wsp:rsid wsp:val=&quot;00E9665A&quot;/&gt;&lt;wsp:rsid wsp:val=&quot;00EA08B1&quot;/&gt;&lt;wsp:rsid wsp:val=&quot;00EA10E6&quot;/&gt;&lt;wsp:rsid wsp:val=&quot;00EA209D&quot;/&gt;&lt;wsp:rsid wsp:val=&quot;00EA2941&quot;/&gt;&lt;wsp:rsid wsp:val=&quot;00EA3272&quot;/&gt;&lt;wsp:rsid wsp:val=&quot;00EA5833&quot;/&gt;&lt;wsp:rsid wsp:val=&quot;00EA5E58&quot;/&gt;&lt;wsp:rsid wsp:val=&quot;00EA5E71&quot;/&gt;&lt;wsp:rsid wsp:val=&quot;00EA7D74&quot;/&gt;&lt;wsp:rsid wsp:val=&quot;00EB02F6&quot;/&gt;&lt;wsp:rsid wsp:val=&quot;00EB2136&quot;/&gt;&lt;wsp:rsid wsp:val=&quot;00EB23A9&quot;/&gt;&lt;wsp:rsid wsp:val=&quot;00EB2403&quot;/&gt;&lt;wsp:rsid wsp:val=&quot;00EB2482&quot;/&gt;&lt;wsp:rsid wsp:val=&quot;00EB29BA&quot;/&gt;&lt;wsp:rsid wsp:val=&quot;00EB2A67&quot;/&gt;&lt;wsp:rsid wsp:val=&quot;00EB305E&quot;/&gt;&lt;wsp:rsid wsp:val=&quot;00EB42DE&quot;/&gt;&lt;wsp:rsid wsp:val=&quot;00EB58C6&quot;/&gt;&lt;wsp:rsid wsp:val=&quot;00EB591E&quot;/&gt;&lt;wsp:rsid wsp:val=&quot;00EB5BC8&quot;/&gt;&lt;wsp:rsid wsp:val=&quot;00EB5D4D&quot;/&gt;&lt;wsp:rsid wsp:val=&quot;00EB5D6E&quot;/&gt;&lt;wsp:rsid wsp:val=&quot;00EB6819&quot;/&gt;&lt;wsp:rsid wsp:val=&quot;00EB6C73&quot;/&gt;&lt;wsp:rsid wsp:val=&quot;00EB73F8&quot;/&gt;&lt;wsp:rsid wsp:val=&quot;00EB7DA6&quot;/&gt;&lt;wsp:rsid wsp:val=&quot;00EC0476&quot;/&gt;&lt;wsp:rsid wsp:val=&quot;00EC05B6&quot;/&gt;&lt;wsp:rsid wsp:val=&quot;00EC062D&quot;/&gt;&lt;wsp:rsid wsp:val=&quot;00EC0F46&quot;/&gt;&lt;wsp:rsid wsp:val=&quot;00EC2A97&quot;/&gt;&lt;wsp:rsid wsp:val=&quot;00EC2AC3&quot;/&gt;&lt;wsp:rsid wsp:val=&quot;00EC333F&quot;/&gt;&lt;wsp:rsid wsp:val=&quot;00EC34D8&quot;/&gt;&lt;wsp:rsid wsp:val=&quot;00EC3571&quot;/&gt;&lt;wsp:rsid wsp:val=&quot;00EC35E2&quot;/&gt;&lt;wsp:rsid wsp:val=&quot;00EC4216&quot;/&gt;&lt;wsp:rsid wsp:val=&quot;00EC4490&quot;/&gt;&lt;wsp:rsid wsp:val=&quot;00EC5EEA&quot;/&gt;&lt;wsp:rsid wsp:val=&quot;00EC625E&quot;/&gt;&lt;wsp:rsid wsp:val=&quot;00ED1987&quot;/&gt;&lt;wsp:rsid wsp:val=&quot;00ED2509&quot;/&gt;&lt;wsp:rsid wsp:val=&quot;00ED30F5&quot;/&gt;&lt;wsp:rsid wsp:val=&quot;00ED354B&quot;/&gt;&lt;wsp:rsid wsp:val=&quot;00ED3576&quot;/&gt;&lt;wsp:rsid wsp:val=&quot;00ED45AB&quot;/&gt;&lt;wsp:rsid wsp:val=&quot;00ED4C7E&quot;/&gt;&lt;wsp:rsid wsp:val=&quot;00ED633E&quot;/&gt;&lt;wsp:rsid wsp:val=&quot;00ED6382&quot;/&gt;&lt;wsp:rsid wsp:val=&quot;00ED70DD&quot;/&gt;&lt;wsp:rsid wsp:val=&quot;00ED7753&quot;/&gt;&lt;wsp:rsid wsp:val=&quot;00ED7C81&quot;/&gt;&lt;wsp:rsid wsp:val=&quot;00EE03AD&quot;/&gt;&lt;wsp:rsid wsp:val=&quot;00EE0DE4&quot;/&gt;&lt;wsp:rsid wsp:val=&quot;00EE15AF&quot;/&gt;&lt;wsp:rsid wsp:val=&quot;00EE1E4F&quot;/&gt;&lt;wsp:rsid wsp:val=&quot;00EE214B&quot;/&gt;&lt;wsp:rsid wsp:val=&quot;00EE24E5&quot;/&gt;&lt;wsp:rsid wsp:val=&quot;00EE4B87&quot;/&gt;&lt;wsp:rsid wsp:val=&quot;00EE5352&quot;/&gt;&lt;wsp:rsid wsp:val=&quot;00EE58D2&quot;/&gt;&lt;wsp:rsid wsp:val=&quot;00EF0AFD&quot;/&gt;&lt;wsp:rsid wsp:val=&quot;00EF146A&quot;/&gt;&lt;wsp:rsid wsp:val=&quot;00EF18B5&quot;/&gt;&lt;wsp:rsid wsp:val=&quot;00EF315C&quot;/&gt;&lt;wsp:rsid wsp:val=&quot;00EF3544&quot;/&gt;&lt;wsp:rsid wsp:val=&quot;00EF37DB&quot;/&gt;&lt;wsp:rsid wsp:val=&quot;00EF3C4D&quot;/&gt;&lt;wsp:rsid wsp:val=&quot;00EF518C&quot;/&gt;&lt;wsp:rsid wsp:val=&quot;00EF6DAB&quot;/&gt;&lt;wsp:rsid wsp:val=&quot;00EF7C70&quot;/&gt;&lt;wsp:rsid wsp:val=&quot;00F007EE&quot;/&gt;&lt;wsp:rsid wsp:val=&quot;00F00956&quot;/&gt;&lt;wsp:rsid wsp:val=&quot;00F00BF3&quot;/&gt;&lt;wsp:rsid wsp:val=&quot;00F01D77&quot;/&gt;&lt;wsp:rsid wsp:val=&quot;00F01ECE&quot;/&gt;&lt;wsp:rsid wsp:val=&quot;00F02345&quot;/&gt;&lt;wsp:rsid wsp:val=&quot;00F02A1D&quot;/&gt;&lt;wsp:rsid wsp:val=&quot;00F02B64&quot;/&gt;&lt;wsp:rsid wsp:val=&quot;00F0344B&quot;/&gt;&lt;wsp:rsid wsp:val=&quot;00F03969&quot;/&gt;&lt;wsp:rsid wsp:val=&quot;00F0499B&quot;/&gt;&lt;wsp:rsid wsp:val=&quot;00F04CAF&quot;/&gt;&lt;wsp:rsid wsp:val=&quot;00F04D8C&quot;/&gt;&lt;wsp:rsid wsp:val=&quot;00F056AA&quot;/&gt;&lt;wsp:rsid wsp:val=&quot;00F05A78&quot;/&gt;&lt;wsp:rsid wsp:val=&quot;00F063D0&quot;/&gt;&lt;wsp:rsid wsp:val=&quot;00F06711&quot;/&gt;&lt;wsp:rsid wsp:val=&quot;00F06DEA&quot;/&gt;&lt;wsp:rsid wsp:val=&quot;00F076E5&quot;/&gt;&lt;wsp:rsid wsp:val=&quot;00F10939&quot;/&gt;&lt;wsp:rsid wsp:val=&quot;00F109A3&quot;/&gt;&lt;wsp:rsid wsp:val=&quot;00F13DFB&quot;/&gt;&lt;wsp:rsid wsp:val=&quot;00F145C5&quot;/&gt;&lt;wsp:rsid wsp:val=&quot;00F1489A&quot;/&gt;&lt;wsp:rsid wsp:val=&quot;00F14D6C&quot;/&gt;&lt;wsp:rsid wsp:val=&quot;00F14EA2&quot;/&gt;&lt;wsp:rsid wsp:val=&quot;00F150AB&quot;/&gt;&lt;wsp:rsid wsp:val=&quot;00F1573C&quot;/&gt;&lt;wsp:rsid wsp:val=&quot;00F15BCD&quot;/&gt;&lt;wsp:rsid wsp:val=&quot;00F1775C&quot;/&gt;&lt;wsp:rsid wsp:val=&quot;00F17B78&quot;/&gt;&lt;wsp:rsid wsp:val=&quot;00F17D5D&quot;/&gt;&lt;wsp:rsid wsp:val=&quot;00F17F49&quot;/&gt;&lt;wsp:rsid wsp:val=&quot;00F201C0&quot;/&gt;&lt;wsp:rsid wsp:val=&quot;00F20493&quot;/&gt;&lt;wsp:rsid wsp:val=&quot;00F22CBB&quot;/&gt;&lt;wsp:rsid wsp:val=&quot;00F22EE1&quot;/&gt;&lt;wsp:rsid wsp:val=&quot;00F23A7C&quot;/&gt;&lt;wsp:rsid wsp:val=&quot;00F243C0&quot;/&gt;&lt;wsp:rsid wsp:val=&quot;00F249C2&quot;/&gt;&lt;wsp:rsid wsp:val=&quot;00F25485&quot;/&gt;&lt;wsp:rsid wsp:val=&quot;00F25584&quot;/&gt;&lt;wsp:rsid wsp:val=&quot;00F25A0D&quot;/&gt;&lt;wsp:rsid wsp:val=&quot;00F26781&quot;/&gt;&lt;wsp:rsid wsp:val=&quot;00F26A07&quot;/&gt;&lt;wsp:rsid wsp:val=&quot;00F2793F&quot;/&gt;&lt;wsp:rsid wsp:val=&quot;00F27AEE&quot;/&gt;&lt;wsp:rsid wsp:val=&quot;00F27F1E&quot;/&gt;&lt;wsp:rsid wsp:val=&quot;00F3009F&quot;/&gt;&lt;wsp:rsid wsp:val=&quot;00F301EE&quot;/&gt;&lt;wsp:rsid wsp:val=&quot;00F315AA&quot;/&gt;&lt;wsp:rsid wsp:val=&quot;00F31938&quot;/&gt;&lt;wsp:rsid wsp:val=&quot;00F32391&quot;/&gt;&lt;wsp:rsid wsp:val=&quot;00F323B3&quot;/&gt;&lt;wsp:rsid wsp:val=&quot;00F3301A&quot;/&gt;&lt;wsp:rsid wsp:val=&quot;00F331E3&quot;/&gt;&lt;wsp:rsid wsp:val=&quot;00F33231&quot;/&gt;&lt;wsp:rsid wsp:val=&quot;00F33E2A&quot;/&gt;&lt;wsp:rsid wsp:val=&quot;00F34519&quot;/&gt;&lt;wsp:rsid wsp:val=&quot;00F345D3&quot;/&gt;&lt;wsp:rsid wsp:val=&quot;00F348A5&quot;/&gt;&lt;wsp:rsid wsp:val=&quot;00F35064&quot;/&gt;&lt;wsp:rsid wsp:val=&quot;00F350A1&quot;/&gt;&lt;wsp:rsid wsp:val=&quot;00F35921&quot;/&gt;&lt;wsp:rsid wsp:val=&quot;00F35925&quot;/&gt;&lt;wsp:rsid wsp:val=&quot;00F35F6D&quot;/&gt;&lt;wsp:rsid wsp:val=&quot;00F37143&quot;/&gt;&lt;wsp:rsid wsp:val=&quot;00F375E7&quot;/&gt;&lt;wsp:rsid wsp:val=&quot;00F376D6&quot;/&gt;&lt;wsp:rsid wsp:val=&quot;00F37808&quot;/&gt;&lt;wsp:rsid wsp:val=&quot;00F400D1&quot;/&gt;&lt;wsp:rsid wsp:val=&quot;00F402E0&quot;/&gt;&lt;wsp:rsid wsp:val=&quot;00F40A4F&quot;/&gt;&lt;wsp:rsid wsp:val=&quot;00F41356&quot;/&gt;&lt;wsp:rsid wsp:val=&quot;00F418B7&quot;/&gt;&lt;wsp:rsid wsp:val=&quot;00F41D69&quot;/&gt;&lt;wsp:rsid wsp:val=&quot;00F41D7E&quot;/&gt;&lt;wsp:rsid wsp:val=&quot;00F420F9&quot;/&gt;&lt;wsp:rsid wsp:val=&quot;00F4297F&quot;/&gt;&lt;wsp:rsid wsp:val=&quot;00F440AC&quot;/&gt;&lt;wsp:rsid wsp:val=&quot;00F451B4&quot;/&gt;&lt;wsp:rsid wsp:val=&quot;00F452E0&quot;/&gt;&lt;wsp:rsid wsp:val=&quot;00F4539F&quot;/&gt;&lt;wsp:rsid wsp:val=&quot;00F4540C&quot;/&gt;&lt;wsp:rsid wsp:val=&quot;00F4551E&quot;/&gt;&lt;wsp:rsid wsp:val=&quot;00F45832&quot;/&gt;&lt;wsp:rsid wsp:val=&quot;00F45F70&quot;/&gt;&lt;wsp:rsid wsp:val=&quot;00F46888&quot;/&gt;&lt;wsp:rsid wsp:val=&quot;00F468FB&quot;/&gt;&lt;wsp:rsid wsp:val=&quot;00F47012&quot;/&gt;&lt;wsp:rsid wsp:val=&quot;00F4760B&quot;/&gt;&lt;wsp:rsid wsp:val=&quot;00F47ABF&quot;/&gt;&lt;wsp:rsid wsp:val=&quot;00F50529&quot;/&gt;&lt;wsp:rsid wsp:val=&quot;00F5062D&quot;/&gt;&lt;wsp:rsid wsp:val=&quot;00F5080E&quot;/&gt;&lt;wsp:rsid wsp:val=&quot;00F5097F&quot;/&gt;&lt;wsp:rsid wsp:val=&quot;00F518EF&quot;/&gt;&lt;wsp:rsid wsp:val=&quot;00F522A5&quot;/&gt;&lt;wsp:rsid wsp:val=&quot;00F52390&quot;/&gt;&lt;wsp:rsid wsp:val=&quot;00F5307B&quot;/&gt;&lt;wsp:rsid wsp:val=&quot;00F537A2&quot;/&gt;&lt;wsp:rsid wsp:val=&quot;00F5389C&quot;/&gt;&lt;wsp:rsid wsp:val=&quot;00F53DA8&quot;/&gt;&lt;wsp:rsid wsp:val=&quot;00F53EEC&quot;/&gt;&lt;wsp:rsid wsp:val=&quot;00F5454A&quot;/&gt;&lt;wsp:rsid wsp:val=&quot;00F5473F&quot;/&gt;&lt;wsp:rsid wsp:val=&quot;00F54922&quot;/&gt;&lt;wsp:rsid wsp:val=&quot;00F562F5&quot;/&gt;&lt;wsp:rsid wsp:val=&quot;00F56489&quot;/&gt;&lt;wsp:rsid wsp:val=&quot;00F579C7&quot;/&gt;&lt;wsp:rsid wsp:val=&quot;00F57D74&quot;/&gt;&lt;wsp:rsid wsp:val=&quot;00F605FD&quot;/&gt;&lt;wsp:rsid wsp:val=&quot;00F60B39&quot;/&gt;&lt;wsp:rsid wsp:val=&quot;00F61E25&quot;/&gt;&lt;wsp:rsid wsp:val=&quot;00F6265C&quot;/&gt;&lt;wsp:rsid wsp:val=&quot;00F62707&quot;/&gt;&lt;wsp:rsid wsp:val=&quot;00F62BCB&quot;/&gt;&lt;wsp:rsid wsp:val=&quot;00F63254&quot;/&gt;&lt;wsp:rsid wsp:val=&quot;00F64E59&quot;/&gt;&lt;wsp:rsid wsp:val=&quot;00F65003&quot;/&gt;&lt;wsp:rsid wsp:val=&quot;00F65164&quot;/&gt;&lt;wsp:rsid wsp:val=&quot;00F662CF&quot;/&gt;&lt;wsp:rsid wsp:val=&quot;00F66624&quot;/&gt;&lt;wsp:rsid wsp:val=&quot;00F675C4&quot;/&gt;&lt;wsp:rsid wsp:val=&quot;00F7024C&quot;/&gt;&lt;wsp:rsid wsp:val=&quot;00F70B18&quot;/&gt;&lt;wsp:rsid wsp:val=&quot;00F71A44&quot;/&gt;&lt;wsp:rsid wsp:val=&quot;00F71D77&quot;/&gt;&lt;wsp:rsid wsp:val=&quot;00F7228B&quot;/&gt;&lt;wsp:rsid wsp:val=&quot;00F72BBE&quot;/&gt;&lt;wsp:rsid wsp:val=&quot;00F72C1A&quot;/&gt;&lt;wsp:rsid wsp:val=&quot;00F7310E&quot;/&gt;&lt;wsp:rsid wsp:val=&quot;00F739B9&quot;/&gt;&lt;wsp:rsid wsp:val=&quot;00F73B35&quot;/&gt;&lt;wsp:rsid wsp:val=&quot;00F75079&quot;/&gt;&lt;wsp:rsid wsp:val=&quot;00F751FB&quot;/&gt;&lt;wsp:rsid wsp:val=&quot;00F76986&quot;/&gt;&lt;wsp:rsid wsp:val=&quot;00F80320&quot;/&gt;&lt;wsp:rsid wsp:val=&quot;00F80F70&quot;/&gt;&lt;wsp:rsid wsp:val=&quot;00F8135B&quot;/&gt;&lt;wsp:rsid wsp:val=&quot;00F81430&quot;/&gt;&lt;wsp:rsid wsp:val=&quot;00F81743&quot;/&gt;&lt;wsp:rsid wsp:val=&quot;00F82C95&quot;/&gt;&lt;wsp:rsid wsp:val=&quot;00F833C2&quot;/&gt;&lt;wsp:rsid wsp:val=&quot;00F836F7&quot;/&gt;&lt;wsp:rsid wsp:val=&quot;00F83FAB&quot;/&gt;&lt;wsp:rsid wsp:val=&quot;00F849A3&quot;/&gt;&lt;wsp:rsid wsp:val=&quot;00F849E7&quot;/&gt;&lt;wsp:rsid wsp:val=&quot;00F85448&quot;/&gt;&lt;wsp:rsid wsp:val=&quot;00F876FE&quot;/&gt;&lt;wsp:rsid wsp:val=&quot;00F87E13&quot;/&gt;&lt;wsp:rsid wsp:val=&quot;00F90CA3&quot;/&gt;&lt;wsp:rsid wsp:val=&quot;00F9188E&quot;/&gt;&lt;wsp:rsid wsp:val=&quot;00F92190&quot;/&gt;&lt;wsp:rsid wsp:val=&quot;00F92C8A&quot;/&gt;&lt;wsp:rsid wsp:val=&quot;00F9325C&quot;/&gt;&lt;wsp:rsid wsp:val=&quot;00F9351D&quot;/&gt;&lt;wsp:rsid wsp:val=&quot;00F938A9&quot;/&gt;&lt;wsp:rsid wsp:val=&quot;00F93A7F&quot;/&gt;&lt;wsp:rsid wsp:val=&quot;00F93C85&quot;/&gt;&lt;wsp:rsid wsp:val=&quot;00F94117&quot;/&gt;&lt;wsp:rsid wsp:val=&quot;00F94238&quot;/&gt;&lt;wsp:rsid wsp:val=&quot;00F94281&quot;/&gt;&lt;wsp:rsid wsp:val=&quot;00F9485C&quot;/&gt;&lt;wsp:rsid wsp:val=&quot;00F94A0A&quot;/&gt;&lt;wsp:rsid wsp:val=&quot;00F953E8&quot;/&gt;&lt;wsp:rsid wsp:val=&quot;00F954AE&quot;/&gt;&lt;wsp:rsid wsp:val=&quot;00F95C0E&quot;/&gt;&lt;wsp:rsid wsp:val=&quot;00F95D32&quot;/&gt;&lt;wsp:rsid wsp:val=&quot;00F961C9&quot;/&gt;&lt;wsp:rsid wsp:val=&quot;00F96883&quot;/&gt;&lt;wsp:rsid wsp:val=&quot;00F970C9&quot;/&gt;&lt;wsp:rsid wsp:val=&quot;00F9724A&quot;/&gt;&lt;wsp:rsid wsp:val=&quot;00F977E6&quot;/&gt;&lt;wsp:rsid wsp:val=&quot;00FA0982&quot;/&gt;&lt;wsp:rsid wsp:val=&quot;00FA0E29&quot;/&gt;&lt;wsp:rsid wsp:val=&quot;00FA1A6B&quot;/&gt;&lt;wsp:rsid wsp:val=&quot;00FA1B7B&quot;/&gt;&lt;wsp:rsid wsp:val=&quot;00FA1EE1&quot;/&gt;&lt;wsp:rsid wsp:val=&quot;00FA37D7&quot;/&gt;&lt;wsp:rsid wsp:val=&quot;00FA3D75&quot;/&gt;&lt;wsp:rsid wsp:val=&quot;00FA4159&quot;/&gt;&lt;wsp:rsid wsp:val=&quot;00FA4805&quot;/&gt;&lt;wsp:rsid wsp:val=&quot;00FA4AA3&quot;/&gt;&lt;wsp:rsid wsp:val=&quot;00FA4C6C&quot;/&gt;&lt;wsp:rsid wsp:val=&quot;00FA5046&quot;/&gt;&lt;wsp:rsid wsp:val=&quot;00FA5324&quot;/&gt;&lt;wsp:rsid wsp:val=&quot;00FA5A5A&quot;/&gt;&lt;wsp:rsid wsp:val=&quot;00FA5D87&quot;/&gt;&lt;wsp:rsid wsp:val=&quot;00FA7814&quot;/&gt;&lt;wsp:rsid wsp:val=&quot;00FA7E0A&quot;/&gt;&lt;wsp:rsid wsp:val=&quot;00FB0187&quot;/&gt;&lt;wsp:rsid wsp:val=&quot;00FB08B7&quot;/&gt;&lt;wsp:rsid wsp:val=&quot;00FB0ABD&quot;/&gt;&lt;wsp:rsid wsp:val=&quot;00FB11B0&quot;/&gt;&lt;wsp:rsid wsp:val=&quot;00FB1B57&quot;/&gt;&lt;wsp:rsid wsp:val=&quot;00FB2026&quot;/&gt;&lt;wsp:rsid wsp:val=&quot;00FB206F&quot;/&gt;&lt;wsp:rsid wsp:val=&quot;00FB2321&quot;/&gt;&lt;wsp:rsid wsp:val=&quot;00FB3539&quot;/&gt;&lt;wsp:rsid wsp:val=&quot;00FB44B2&quot;/&gt;&lt;wsp:rsid wsp:val=&quot;00FB46D3&quot;/&gt;&lt;wsp:rsid wsp:val=&quot;00FB4FB5&quot;/&gt;&lt;wsp:rsid wsp:val=&quot;00FB50F5&quot;/&gt;&lt;wsp:rsid wsp:val=&quot;00FB5707&quot;/&gt;&lt;wsp:rsid wsp:val=&quot;00FB599C&quot;/&gt;&lt;wsp:rsid wsp:val=&quot;00FB5AB2&quot;/&gt;&lt;wsp:rsid wsp:val=&quot;00FB5C1D&quot;/&gt;&lt;wsp:rsid wsp:val=&quot;00FB68DA&quot;/&gt;&lt;wsp:rsid wsp:val=&quot;00FB69F1&quot;/&gt;&lt;wsp:rsid wsp:val=&quot;00FB74F6&quot;/&gt;&lt;wsp:rsid wsp:val=&quot;00FB7D51&quot;/&gt;&lt;wsp:rsid wsp:val=&quot;00FC1AE8&quot;/&gt;&lt;wsp:rsid wsp:val=&quot;00FC3209&quot;/&gt;&lt;wsp:rsid wsp:val=&quot;00FC3220&quot;/&gt;&lt;wsp:rsid wsp:val=&quot;00FC3A8B&quot;/&gt;&lt;wsp:rsid wsp:val=&quot;00FC3C85&quot;/&gt;&lt;wsp:rsid wsp:val=&quot;00FC4FBC&quot;/&gt;&lt;wsp:rsid wsp:val=&quot;00FC527A&quot;/&gt;&lt;wsp:rsid wsp:val=&quot;00FC5B7D&quot;/&gt;&lt;wsp:rsid wsp:val=&quot;00FC6041&quot;/&gt;&lt;wsp:rsid wsp:val=&quot;00FC64CF&quot;/&gt;&lt;wsp:rsid wsp:val=&quot;00FC6860&quot;/&gt;&lt;wsp:rsid wsp:val=&quot;00FC6E76&quot;/&gt;&lt;wsp:rsid wsp:val=&quot;00FC72DC&quot;/&gt;&lt;wsp:rsid wsp:val=&quot;00FC7354&quot;/&gt;&lt;wsp:rsid wsp:val=&quot;00FC79CE&quot;/&gt;&lt;wsp:rsid wsp:val=&quot;00FC7EB4&quot;/&gt;&lt;wsp:rsid wsp:val=&quot;00FD057C&quot;/&gt;&lt;wsp:rsid wsp:val=&quot;00FD0C9B&quot;/&gt;&lt;wsp:rsid wsp:val=&quot;00FD1A03&quot;/&gt;&lt;wsp:rsid wsp:val=&quot;00FD1BE0&quot;/&gt;&lt;wsp:rsid wsp:val=&quot;00FD2142&quot;/&gt;&lt;wsp:rsid wsp:val=&quot;00FD221E&quot;/&gt;&lt;wsp:rsid wsp:val=&quot;00FD26CD&quot;/&gt;&lt;wsp:rsid wsp:val=&quot;00FD2965&quot;/&gt;&lt;wsp:rsid wsp:val=&quot;00FD4FF5&quot;/&gt;&lt;wsp:rsid wsp:val=&quot;00FD5CC8&quot;/&gt;&lt;wsp:rsid wsp:val=&quot;00FD5EBB&quot;/&gt;&lt;wsp:rsid wsp:val=&quot;00FD5F59&quot;/&gt;&lt;wsp:rsid wsp:val=&quot;00FD64A7&quot;/&gt;&lt;wsp:rsid wsp:val=&quot;00FD6CA8&quot;/&gt;&lt;wsp:rsid wsp:val=&quot;00FD6FDE&quot;/&gt;&lt;wsp:rsid wsp:val=&quot;00FD720D&quot;/&gt;&lt;wsp:rsid wsp:val=&quot;00FD724E&quot;/&gt;&lt;wsp:rsid wsp:val=&quot;00FD7381&quot;/&gt;&lt;wsp:rsid wsp:val=&quot;00FD73E8&quot;/&gt;&lt;wsp:rsid wsp:val=&quot;00FE1118&quot;/&gt;&lt;wsp:rsid wsp:val=&quot;00FE286A&quot;/&gt;&lt;wsp:rsid wsp:val=&quot;00FE35E3&quot;/&gt;&lt;wsp:rsid wsp:val=&quot;00FE36AD&quot;/&gt;&lt;wsp:rsid wsp:val=&quot;00FE45AB&quot;/&gt;&lt;wsp:rsid wsp:val=&quot;00FE4A21&quot;/&gt;&lt;wsp:rsid wsp:val=&quot;00FE4E33&quot;/&gt;&lt;wsp:rsid wsp:val=&quot;00FE507B&quot;/&gt;&lt;wsp:rsid wsp:val=&quot;00FE5275&quot;/&gt;&lt;wsp:rsid wsp:val=&quot;00FE6B28&quot;/&gt;&lt;wsp:rsid wsp:val=&quot;00FF049D&quot;/&gt;&lt;wsp:rsid wsp:val=&quot;00FF0C5F&quot;/&gt;&lt;wsp:rsid wsp:val=&quot;00FF2462&quot;/&gt;&lt;wsp:rsid wsp:val=&quot;00FF39B4&quot;/&gt;&lt;wsp:rsid wsp:val=&quot;00FF3FDD&quot;/&gt;&lt;wsp:rsid wsp:val=&quot;00FF4325&quot;/&gt;&lt;wsp:rsid wsp:val=&quot;00FF57C9&quot;/&gt;&lt;wsp:rsid wsp:val=&quot;00FF5F7D&quot;/&gt;&lt;wsp:rsid wsp:val=&quot;00FF7E2C&quot;/&gt;&lt;wsp:rsid wsp:val=&quot;0FC1635E&quot;/&gt;&lt;wsp:rsid wsp:val=&quot;20426A1D&quot;/&gt;&lt;wsp:rsid wsp:val=&quot;2750628B&quot;/&gt;&lt;wsp:rsid wsp:val=&quot;4ECA2F4E&quot;/&gt;&lt;/wsp:rsids&gt;&lt;/w:docPr&gt;&lt;w:body&gt;&lt;wx:sect&gt;&lt;w:p wsp:rsidR=&quot;00000000&quot; wsp:rsidRDefault=&quot;000C0671&quot; wsp:rsidP=&quot;000C0671&quot;&gt;&lt;m:oMathPara&gt;&lt;m:oMath&gt;&lt;m:sSub&gt;&lt;m:sSubPr&gt;&lt;m:ctrlPr&gt;&lt;w:rPr&gt;&lt;w:rFonts w:ascii=&quot;Cambria Math&quot; w:fareast=&quot;宋体&quot; w:h-ansi=&quot;Times New Roman&quot;/&gt;&lt;wx:font wx:val=&quot;Cambria Math&quot;/&gt;&lt;w:color w:val=&quot;000000&quot;/&gt;&lt;w:sz w:val=&quot;24&quot;/&gt;&lt;w:sz-cs w:val=&quot;24&quot;/&gt;&lt;/w:rPr&gt;&lt;/m:ctrlPr&gt;&lt;/m:sSubPr&gt;&lt;m:e&gt;&lt;m:r&gt;&lt;w:rPr&gt;&lt;w:rFonts w:ascii=&quot;Cambria Math&quot; w:fareast=&quot;宋体&quot; w:h-ansi=&quot;Cambria Math&quot;/&gt;&lt;wx:font wx:val=&quot;Cambria Math&quot;/&gt;&lt;w:i/&gt;&lt;w:color w:val=&quot;000000&quot;/&gt;&lt;w:sz w:val=&quot;24&quot;/&gt;&lt;w:sz-cs w:val=&quot;24&quot;/&gt;&lt;/w:rPr&gt;&lt;m:t&gt;q&lt;/m:t&gt;&lt;/m:r&gt;&lt;/m:e&gt;&lt;m:sub&gt;&lt;m:r&gt;&lt;m:rPr&gt;&lt;m:sty m:val=&quot;p&quot;/&gt;&lt;/m:rPr&gt;&lt;w:rPr&gt;&lt;w:rFonts w:ascii=&quot;Cambria Math&quot; w:fareast=&quot;宋体&quot; w:h-ansi=&quot;Times New Roman&quot;/&gt;&lt;wx:font wx:val=&quot;Cambria Math&quot;/&gt;&lt;w:color w:val=&quot;000000&quot;/&gt;&lt;w:sz w:val=&quot;24&quot;/&gt;&lt;w:sz-cs w:val=&quot;24&quot;/&gt;&lt;/w:rPr&gt;&lt;m:t&gt;1&lt;/m:t&gt;&lt;/m:r&gt;&lt;/m:sub&gt;&lt;/m:sSub&gt;&lt;m:r&gt;&lt;m:rPr&gt;&lt;m:sty m:val=&quot;p&quot;/&gt;&lt;/m:rPr&gt;&lt;w:rPr&gt;&lt;w:rFonts w:ascii=&quot;Times New Roman&quot; w:fareast=&quot;宋体&quot; w:h-ansi=&quot;宋体&quot;/&gt;&lt;wx:font wx:val=&quot;宋体&quot;/&gt;&lt;w:color w:val=&quot;000000&quot;/&gt;&lt;w:sz w:val=&quot;24&quot;/&gt;&lt;w:sz-cs w:val=&quot;24&quot;/&gt;&lt;/w:rPr&gt;&lt;m:t&gt;，&lt;/m:t&gt;&lt;/m:r&gt;&lt;m:sSub&gt;&lt;m:sSubPr&gt;&lt;m:ctrlPr&gt;&lt;w:rPr&gt;&lt;w:rFonts w:ascii=&quot;Cambria Math&quot; w:fareast=&quot;宋体&quot; w:h-ansi=&quot;Times New Roman&quot;/&gt;&lt;wx:font wx:val=&quot;Cambria Math&quot;/&gt;&lt;w:color w:val=&quot;000000&quot;/&gt;&lt;w:sz w:val=&quot;24&quot;/&gt;&lt;w:sz-cs w:val=&quot;24&quot;/&gt;&lt;/w:rPr&gt;&lt;/m:ctrlPr&gt;&lt;/m:sSubPr&gt;&lt;m:e&gt;&lt;m:r&gt;&lt;w:rPr&gt;&lt;w:rFonts w:ascii=&quot;Cambria Math&quot; w:fareast=&quot;宋体&quot; w:h-ansi=&quot;Cambria Math&quot;/&gt;&lt;wx:font wx:val=&quot;Cambria Math&quot;/&gt;&lt;w:i/&gt;&lt;w:color w:val=&quot;000000&quot;/&gt;&lt;w:sz w:val=&quot;24&quot;/&gt;&lt;w:sz-cs w:val=&quot;24&quot;/&gt;&lt;/w:rPr&gt;&lt;m:t&gt;q&lt;/m:t&gt;&lt;/m:r&gt;&lt;/m:e&gt;&lt;m:sub&gt;&lt;m:r&gt;&lt;m:rPr&gt;&lt;m:sty m:val=&quot;p&quot;/&gt;&lt;/m:rPr&gt;&lt;w:rPr&gt;&lt;w:rFonts w:ascii=&quot;Cambria Math&quot; w:fareast=&quot;宋体&quot; w:h-ansi=&quot;Times New Roman&quot;/&gt;&lt;wx:font wx:val=&quot;Cambria Math&quot;/&gt;&lt;w:color w:val=&quot;000000&quot;/&gt;&lt;w:sz w:val=&quot;24&quot;/&gt;&lt;w:sz-cs w:val=&quot;24&quot;/&gt;&lt;/w:rPr&gt;&lt;m:t&gt;2&lt;/m:t&gt;&lt;/m:r&gt;&lt;/m:sub&gt;&lt;/m:sSub&gt;&lt;m:r&gt;&lt;m:rPr&gt;&lt;m:sty m:val=&quot;p&quot;/&gt;&lt;/m:rPr&gt;&lt;w:rPr&gt;&lt;w:rFonts w:ascii=&quot;Times New Roman&quot; w:fareast=&quot;宋体&quot; w:h-ansi=&quot;Times New Roman&quot;/&gt;&lt;wx:font wx:val=&quot;Times New Roman&quot;/&gt;&lt;w:color w:val=&quot;000000&quot;/&gt;&lt;w:sz w:val=&quot;24&quot;/&gt;&lt;w:sz-cs w:val=&quot;24&quot;/&gt;&lt;/w:rPr&gt;&lt;m:t&gt;…&lt;/m:t&gt;&lt;/m:r&gt;&lt;m:sSub&gt;&lt;m:sSubPr&gt;&lt;m:ctrlPr&gt;&lt;w:rPr&gt;&lt;w:rFonts w:ascii=&quot;Cambria Math&quot; w:fareast=&quot;宋体&quot; w:h-ansi=&quot;Times New Roman&quot;/&gt;&lt;wx:font wx:val=&quot;Cambria Math&quot;/&gt;&lt;w:color w:val=&quot;000000&quot;/&gt;&lt;w:sz w:val=&quot;24&quot;/&gt;&lt;w:sz-cs w:val=&quot;24&quot;/&gt;&lt;/w:rPr&gt;&lt;/m:ctrlPr&gt;&lt;/m:sSubPr&gt;&lt;m:e&gt;&lt;m:r&gt;&lt;w:rPr&gt;&lt;w:rFonts w:ascii=&quot;Cambria Math&quot; w:fareast=&quot;宋体&quot; w:h-ansi=&quot;Cambria Math&quot;/&gt;&lt;wx:font wx:val=&quot;Cambria Math&quot;/&gt;&lt;w:i/&gt;&lt;w:color w:val=&quot;000000&quot;/&gt;&lt;w:sz w:val=&quot;24&quot;/&gt;&lt;w:sz-cs w:val=&quot;24&quot;/&gt;&lt;/w:rPr&gt;&lt;m:t&gt;q&lt;/m:t&gt;&lt;/m:r&gt;&lt;/m:e&gt;&lt;m:sub&gt;&lt;m:r&gt;&lt;w:rPr&gt;&lt;w:rFonts w:ascii=&quot;Cambria Math&quot; w:fareast=&quot;宋体&quot; w:h-ansi=&quot;Cambria Math&quot;/&gt;&lt;wx:font wx:val=&quot;Cambria Math&quot;/&gt;&lt;w:i/&gt;&lt;w:color w:val=&quot;000000&quot;/&gt;&lt;w:sz w:val=&quot;24&quot;/&gt;&lt;w:sz-cs w:val=&quot;24&quot;/&gt;&lt;/w:rPr&gt;&lt;m:t&gt;n&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10" chromakey="#FFFFFF" o:title=""/>
            <o:lock v:ext="edit" aspectratio="t"/>
            <w10:wrap type="none"/>
            <w10:anchorlock/>
          </v:shape>
        </w:pict>
      </w:r>
      <w:r>
        <w:rPr>
          <w:rFonts w:hint="default" w:ascii="Times New Roman" w:hAnsi="Times New Roman" w:cs="Times New Roman" w:eastAsiaTheme="minorEastAsia"/>
          <w:sz w:val="24"/>
          <w:lang w:val="en-US" w:eastAsia="zh-CN"/>
        </w:rPr>
        <w:instrText xml:space="preserve"> </w:instrText>
      </w:r>
      <w:r>
        <w:rPr>
          <w:rFonts w:hint="default" w:ascii="Times New Roman" w:hAnsi="Times New Roman" w:cs="Times New Roman" w:eastAsiaTheme="minorEastAsia"/>
          <w:sz w:val="24"/>
          <w:lang w:val="en-US" w:eastAsia="zh-CN"/>
        </w:rPr>
        <w:fldChar w:fldCharType="separate"/>
      </w:r>
      <w:r>
        <w:rPr>
          <w:rFonts w:hint="default" w:ascii="Times New Roman" w:hAnsi="Times New Roman" w:cs="Times New Roman" w:eastAsiaTheme="minorEastAsia"/>
          <w:sz w:val="24"/>
          <w:lang w:val="en-US" w:eastAsia="zh-CN"/>
        </w:rPr>
        <w:fldChar w:fldCharType="end"/>
      </w:r>
      <m:oMath>
        <m:sSub>
          <m:sSubPr>
            <m:ctrlPr>
              <w:rPr>
                <w:rFonts w:hint="default" w:ascii="Cambria Math" w:hAnsi="Cambria Math" w:cs="Times New Roman" w:eastAsiaTheme="minorEastAsia"/>
                <w:sz w:val="24"/>
                <w:lang w:val="en-US" w:eastAsia="zh-CN"/>
              </w:rPr>
            </m:ctrlPr>
          </m:sSubPr>
          <m:e>
            <m:r>
              <m:rPr>
                <m:nor/>
                <m:sty m:val="p"/>
              </m:rPr>
              <w:rPr>
                <w:rFonts w:hint="default" w:ascii="Times New Roman" w:hAnsi="Times New Roman" w:cs="Times New Roman" w:eastAsiaTheme="minorEastAsia"/>
                <w:b w:val="0"/>
                <w:i w:val="0"/>
                <w:sz w:val="24"/>
                <w:lang w:val="en-US" w:eastAsia="zh-CN"/>
              </w:rPr>
              <m:t>q</m:t>
            </m:r>
            <m:ctrlPr>
              <w:rPr>
                <w:rFonts w:hint="default" w:ascii="Cambria Math" w:hAnsi="Cambria Math" w:cs="Times New Roman" w:eastAsiaTheme="minorEastAsia"/>
                <w:sz w:val="24"/>
                <w:lang w:val="en-US" w:eastAsia="zh-CN"/>
              </w:rPr>
            </m:ctrlPr>
          </m:e>
          <m:sub>
            <m:r>
              <m:rPr>
                <m:nor/>
                <m:sty m:val="p"/>
              </m:rPr>
              <w:rPr>
                <w:rFonts w:hint="default" w:ascii="Times New Roman" w:hAnsi="Times New Roman" w:cs="Times New Roman" w:eastAsiaTheme="minorEastAsia"/>
                <w:b w:val="0"/>
                <w:i w:val="0"/>
                <w:sz w:val="24"/>
                <w:lang w:val="en-US" w:eastAsia="zh-CN"/>
              </w:rPr>
              <m:t>1</m:t>
            </m:r>
            <m:ctrlPr>
              <w:rPr>
                <w:rFonts w:hint="default" w:ascii="Cambria Math" w:hAnsi="Cambria Math" w:cs="Times New Roman" w:eastAsiaTheme="minorEastAsia"/>
                <w:sz w:val="24"/>
                <w:lang w:val="en-US" w:eastAsia="zh-CN"/>
              </w:rPr>
            </m:ctrlPr>
          </m:sub>
        </m:sSub>
        <m:r>
          <m:rPr>
            <m:nor/>
            <m:sty m:val="p"/>
          </m:rPr>
          <w:rPr>
            <w:rFonts w:hint="default" w:ascii="Times New Roman" w:hAnsi="Times New Roman" w:cs="Times New Roman" w:eastAsiaTheme="minorEastAsia"/>
            <w:b w:val="0"/>
            <w:i w:val="0"/>
            <w:sz w:val="24"/>
            <w:lang w:val="en-US" w:eastAsia="zh-CN"/>
          </w:rPr>
          <m:t>，</m:t>
        </m:r>
        <m:sSub>
          <m:sSubPr>
            <m:ctrlPr>
              <w:rPr>
                <w:rFonts w:hint="default" w:ascii="Cambria Math" w:hAnsi="Cambria Math" w:cs="Times New Roman" w:eastAsiaTheme="minorEastAsia"/>
                <w:sz w:val="24"/>
                <w:lang w:val="en-US" w:eastAsia="zh-CN"/>
              </w:rPr>
            </m:ctrlPr>
          </m:sSubPr>
          <m:e>
            <m:r>
              <m:rPr>
                <m:nor/>
                <m:sty m:val="p"/>
              </m:rPr>
              <w:rPr>
                <w:rFonts w:hint="default" w:ascii="Times New Roman" w:hAnsi="Times New Roman" w:cs="Times New Roman" w:eastAsiaTheme="minorEastAsia"/>
                <w:b w:val="0"/>
                <w:i w:val="0"/>
                <w:sz w:val="24"/>
                <w:lang w:val="en-US" w:eastAsia="zh-CN"/>
              </w:rPr>
              <m:t>q</m:t>
            </m:r>
            <m:ctrlPr>
              <w:rPr>
                <w:rFonts w:hint="default" w:ascii="Cambria Math" w:hAnsi="Cambria Math" w:cs="Times New Roman" w:eastAsiaTheme="minorEastAsia"/>
                <w:sz w:val="24"/>
                <w:lang w:val="en-US" w:eastAsia="zh-CN"/>
              </w:rPr>
            </m:ctrlPr>
          </m:e>
          <m:sub>
            <m:r>
              <m:rPr>
                <m:nor/>
                <m:sty m:val="p"/>
              </m:rPr>
              <w:rPr>
                <w:rFonts w:hint="default" w:ascii="Times New Roman" w:hAnsi="Times New Roman" w:cs="Times New Roman" w:eastAsiaTheme="minorEastAsia"/>
                <w:b w:val="0"/>
                <w:i w:val="0"/>
                <w:sz w:val="24"/>
                <w:lang w:val="en-US" w:eastAsia="zh-CN"/>
              </w:rPr>
              <m:t>2</m:t>
            </m:r>
            <m:ctrlPr>
              <w:rPr>
                <w:rFonts w:hint="default" w:ascii="Cambria Math" w:hAnsi="Cambria Math" w:cs="Times New Roman" w:eastAsiaTheme="minorEastAsia"/>
                <w:sz w:val="24"/>
                <w:lang w:val="en-US" w:eastAsia="zh-CN"/>
              </w:rPr>
            </m:ctrlPr>
          </m:sub>
        </m:sSub>
        <m:r>
          <m:rPr>
            <m:nor/>
            <m:sty m:val="p"/>
          </m:rPr>
          <w:rPr>
            <w:rFonts w:hint="default" w:ascii="Times New Roman" w:hAnsi="Times New Roman" w:cs="Times New Roman" w:eastAsiaTheme="minorEastAsia"/>
            <w:b w:val="0"/>
            <w:i w:val="0"/>
            <w:sz w:val="24"/>
            <w:lang w:val="en-US" w:eastAsia="zh-CN"/>
          </w:rPr>
          <m:t>…</m:t>
        </m:r>
        <m:sSub>
          <m:sSubPr>
            <m:ctrlPr>
              <w:rPr>
                <w:rFonts w:hint="default" w:ascii="Cambria Math" w:hAnsi="Cambria Math" w:cs="Times New Roman" w:eastAsiaTheme="minorEastAsia"/>
                <w:sz w:val="24"/>
                <w:lang w:val="en-US" w:eastAsia="zh-CN"/>
              </w:rPr>
            </m:ctrlPr>
          </m:sSubPr>
          <m:e>
            <m:r>
              <m:rPr>
                <m:nor/>
                <m:sty m:val="p"/>
              </m:rPr>
              <w:rPr>
                <w:rFonts w:hint="default" w:ascii="Times New Roman" w:hAnsi="Times New Roman" w:cs="Times New Roman" w:eastAsiaTheme="minorEastAsia"/>
                <w:b w:val="0"/>
                <w:i w:val="0"/>
                <w:sz w:val="24"/>
                <w:lang w:val="en-US" w:eastAsia="zh-CN"/>
              </w:rPr>
              <m:t>q</m:t>
            </m:r>
            <m:ctrlPr>
              <w:rPr>
                <w:rFonts w:hint="default" w:ascii="Cambria Math" w:hAnsi="Cambria Math" w:cs="Times New Roman" w:eastAsiaTheme="minorEastAsia"/>
                <w:sz w:val="24"/>
                <w:lang w:val="en-US" w:eastAsia="zh-CN"/>
              </w:rPr>
            </m:ctrlPr>
          </m:e>
          <m:sub>
            <m:r>
              <m:rPr>
                <m:nor/>
                <m:sty m:val="p"/>
              </m:rPr>
              <w:rPr>
                <w:rFonts w:hint="default" w:ascii="Times New Roman" w:hAnsi="Times New Roman" w:cs="Times New Roman" w:eastAsiaTheme="minorEastAsia"/>
                <w:b w:val="0"/>
                <w:i w:val="0"/>
                <w:sz w:val="24"/>
                <w:lang w:val="en-US" w:eastAsia="zh-CN"/>
              </w:rPr>
              <m:t>n</m:t>
            </m:r>
            <m:ctrlPr>
              <w:rPr>
                <w:rFonts w:hint="default" w:ascii="Cambria Math" w:hAnsi="Cambria Math" w:cs="Times New Roman" w:eastAsiaTheme="minorEastAsia"/>
                <w:sz w:val="24"/>
                <w:lang w:val="en-US" w:eastAsia="zh-CN"/>
              </w:rPr>
            </m:ctrlPr>
          </m:sub>
        </m:sSub>
      </m:oMath>
      <w:r>
        <w:rPr>
          <w:rFonts w:hint="default" w:ascii="Times New Roman" w:hAnsi="Times New Roman" w:cs="Times New Roman" w:eastAsiaTheme="minorEastAsia"/>
          <w:sz w:val="24"/>
          <w:lang w:val="en-US" w:eastAsia="zh-CN"/>
        </w:rPr>
        <w:t>—每种危险物质的最大存在总量，t；</w:t>
      </w:r>
    </w:p>
    <w:p w14:paraId="74E9F17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fldChar w:fldCharType="begin"/>
      </w:r>
      <w:r>
        <w:rPr>
          <w:rFonts w:hint="default" w:ascii="Times New Roman" w:hAnsi="Times New Roman" w:cs="Times New Roman" w:eastAsiaTheme="minorEastAsia"/>
          <w:sz w:val="24"/>
          <w:lang w:val="en-US" w:eastAsia="zh-CN"/>
        </w:rPr>
        <w:instrText xml:space="preserve"> QUOTE </w:instrText>
      </w:r>
      <w:r>
        <w:rPr>
          <w:rFonts w:hint="default" w:ascii="Times New Roman" w:hAnsi="Times New Roman" w:cs="Times New Roman" w:eastAsiaTheme="minorEastAsia"/>
          <w:sz w:val="24"/>
          <w:lang w:val="en-US" w:eastAsia="zh-CN"/>
        </w:rPr>
        <w:pict>
          <v:shape id="_x0000_i1026" o:spt="75" type="#_x0000_t75" style="height:31.5pt;width:60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0&quot;/&gt;&lt;w:doNotEmbedSystemFonts/&gt;&lt;w:bordersDontSurroundHeader/&gt;&lt;w:bordersDontSurroundFooter/&gt;&lt;w:hideSpellingErrors/&gt;&lt;w:defaultTabStop w:val=&quot;420&quot;/&gt;&lt;w:evenAndOddHeaders/&gt;&lt;w:drawingGridHorizontalSpacing w:val=&quot;105&quot;/&gt;&lt;w:drawingGridVerticalSpacing w:val=&quot;233&quot;/&gt;&lt;w:displayHorizontalDrawingGridEvery w:val=&quot;0&quot;/&gt;&lt;w:displayVerticalDrawingGridEvery w:val=&quot;2&quot;/&gt;&lt;w:punctuationKerning/&gt;&lt;w:characterSpacingControl w:val=&quot;CompressPunctuation&quot;/&gt;&lt;w:webPageEncoding w:val=&quot;x-cp20936&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C11932&quot;/&gt;&lt;wsp:rsid wsp:val=&quot;00000432&quot;/&gt;&lt;wsp:rsid wsp:val=&quot;000005A1&quot;/&gt;&lt;wsp:rsid wsp:val=&quot;00001487&quot;/&gt;&lt;wsp:rsid wsp:val=&quot;000019A3&quot;/&gt;&lt;wsp:rsid wsp:val=&quot;00001C25&quot;/&gt;&lt;wsp:rsid wsp:val=&quot;0000209D&quot;/&gt;&lt;wsp:rsid wsp:val=&quot;000022F6&quot;/&gt;&lt;wsp:rsid wsp:val=&quot;00002652&quot;/&gt;&lt;wsp:rsid wsp:val=&quot;00004129&quot;/&gt;&lt;wsp:rsid wsp:val=&quot;0000728F&quot;/&gt;&lt;wsp:rsid wsp:val=&quot;000072EE&quot;/&gt;&lt;wsp:rsid wsp:val=&quot;0000768B&quot;/&gt;&lt;wsp:rsid wsp:val=&quot;000100A5&quot;/&gt;&lt;wsp:rsid wsp:val=&quot;00010D5D&quot;/&gt;&lt;wsp:rsid wsp:val=&quot;00010E5A&quot;/&gt;&lt;wsp:rsid wsp:val=&quot;00011054&quot;/&gt;&lt;wsp:rsid wsp:val=&quot;00011686&quot;/&gt;&lt;wsp:rsid wsp:val=&quot;000120C7&quot;/&gt;&lt;wsp:rsid wsp:val=&quot;00012164&quot;/&gt;&lt;wsp:rsid wsp:val=&quot;000143BA&quot;/&gt;&lt;wsp:rsid wsp:val=&quot;00014570&quot;/&gt;&lt;wsp:rsid wsp:val=&quot;0001620F&quot;/&gt;&lt;wsp:rsid wsp:val=&quot;0001717E&quot;/&gt;&lt;wsp:rsid wsp:val=&quot;000174D9&quot;/&gt;&lt;wsp:rsid wsp:val=&quot;00021C17&quot;/&gt;&lt;wsp:rsid wsp:val=&quot;0002208E&quot;/&gt;&lt;wsp:rsid wsp:val=&quot;00022137&quot;/&gt;&lt;wsp:rsid wsp:val=&quot;0002260C&quot;/&gt;&lt;wsp:rsid wsp:val=&quot;00022823&quot;/&gt;&lt;wsp:rsid wsp:val=&quot;00023D95&quot;/&gt;&lt;wsp:rsid wsp:val=&quot;000241CB&quot;/&gt;&lt;wsp:rsid wsp:val=&quot;000248AB&quot;/&gt;&lt;wsp:rsid wsp:val=&quot;000254ED&quot;/&gt;&lt;wsp:rsid wsp:val=&quot;00025913&quot;/&gt;&lt;wsp:rsid wsp:val=&quot;00026051&quot;/&gt;&lt;wsp:rsid wsp:val=&quot;00026888&quot;/&gt;&lt;wsp:rsid wsp:val=&quot;00026C4C&quot;/&gt;&lt;wsp:rsid wsp:val=&quot;00026CA0&quot;/&gt;&lt;wsp:rsid wsp:val=&quot;0003039D&quot;/&gt;&lt;wsp:rsid wsp:val=&quot;000310D5&quot;/&gt;&lt;wsp:rsid wsp:val=&quot;000314CC&quot;/&gt;&lt;wsp:rsid wsp:val=&quot;000324A9&quot;/&gt;&lt;wsp:rsid wsp:val=&quot;00034ADA&quot;/&gt;&lt;wsp:rsid wsp:val=&quot;00035A2E&quot;/&gt;&lt;wsp:rsid wsp:val=&quot;00036CCE&quot;/&gt;&lt;wsp:rsid wsp:val=&quot;00036ED2&quot;/&gt;&lt;wsp:rsid wsp:val=&quot;00040222&quot;/&gt;&lt;wsp:rsid wsp:val=&quot;000402D0&quot;/&gt;&lt;wsp:rsid wsp:val=&quot;00040F69&quot;/&gt;&lt;wsp:rsid wsp:val=&quot;000438E9&quot;/&gt;&lt;wsp:rsid wsp:val=&quot;00043944&quot;/&gt;&lt;wsp:rsid wsp:val=&quot;00044552&quot;/&gt;&lt;wsp:rsid wsp:val=&quot;00046D40&quot;/&gt;&lt;wsp:rsid wsp:val=&quot;00047321&quot;/&gt;&lt;wsp:rsid wsp:val=&quot;0004770C&quot;/&gt;&lt;wsp:rsid wsp:val=&quot;00050ABA&quot;/&gt;&lt;wsp:rsid wsp:val=&quot;00051B24&quot;/&gt;&lt;wsp:rsid wsp:val=&quot;00052412&quot;/&gt;&lt;wsp:rsid wsp:val=&quot;00053046&quot;/&gt;&lt;wsp:rsid wsp:val=&quot;00053B61&quot;/&gt;&lt;wsp:rsid wsp:val=&quot;000544EA&quot;/&gt;&lt;wsp:rsid wsp:val=&quot;00054B32&quot;/&gt;&lt;wsp:rsid wsp:val=&quot;000554F3&quot;/&gt;&lt;wsp:rsid wsp:val=&quot;00055571&quot;/&gt;&lt;wsp:rsid wsp:val=&quot;00056B0C&quot;/&gt;&lt;wsp:rsid wsp:val=&quot;00057935&quot;/&gt;&lt;wsp:rsid wsp:val=&quot;00060615&quot;/&gt;&lt;wsp:rsid wsp:val=&quot;00060A69&quot;/&gt;&lt;wsp:rsid wsp:val=&quot;00060C33&quot;/&gt;&lt;wsp:rsid wsp:val=&quot;000613A9&quot;/&gt;&lt;wsp:rsid wsp:val=&quot;000617DA&quot;/&gt;&lt;wsp:rsid wsp:val=&quot;000621FD&quot;/&gt;&lt;wsp:rsid wsp:val=&quot;00062946&quot;/&gt;&lt;wsp:rsid wsp:val=&quot;00062962&quot;/&gt;&lt;wsp:rsid wsp:val=&quot;00064E55&quot;/&gt;&lt;wsp:rsid wsp:val=&quot;000652A1&quot;/&gt;&lt;wsp:rsid wsp:val=&quot;00065AE6&quot;/&gt;&lt;wsp:rsid wsp:val=&quot;00065F49&quot;/&gt;&lt;wsp:rsid wsp:val=&quot;00066D66&quot;/&gt;&lt;wsp:rsid wsp:val=&quot;00067142&quot;/&gt;&lt;wsp:rsid wsp:val=&quot;00067EAB&quot;/&gt;&lt;wsp:rsid wsp:val=&quot;000705B1&quot;/&gt;&lt;wsp:rsid wsp:val=&quot;00071E61&quot;/&gt;&lt;wsp:rsid wsp:val=&quot;00072398&quot;/&gt;&lt;wsp:rsid wsp:val=&quot;00072D86&quot;/&gt;&lt;wsp:rsid wsp:val=&quot;0007390D&quot;/&gt;&lt;wsp:rsid wsp:val=&quot;000739D7&quot;/&gt;&lt;wsp:rsid wsp:val=&quot;000742C7&quot;/&gt;&lt;wsp:rsid wsp:val=&quot;000747A9&quot;/&gt;&lt;wsp:rsid wsp:val=&quot;000757E3&quot;/&gt;&lt;wsp:rsid wsp:val=&quot;0007647B&quot;/&gt;&lt;wsp:rsid wsp:val=&quot;000774D7&quot;/&gt;&lt;wsp:rsid wsp:val=&quot;00077D9F&quot;/&gt;&lt;wsp:rsid wsp:val=&quot;0008027F&quot;/&gt;&lt;wsp:rsid wsp:val=&quot;000808ED&quot;/&gt;&lt;wsp:rsid wsp:val=&quot;00080C60&quot;/&gt;&lt;wsp:rsid wsp:val=&quot;000852F8&quot;/&gt;&lt;wsp:rsid wsp:val=&quot;00085367&quot;/&gt;&lt;wsp:rsid wsp:val=&quot;0008571B&quot;/&gt;&lt;wsp:rsid wsp:val=&quot;000866F7&quot;/&gt;&lt;wsp:rsid wsp:val=&quot;00086C94&quot;/&gt;&lt;wsp:rsid wsp:val=&quot;00086E94&quot;/&gt;&lt;wsp:rsid wsp:val=&quot;000872AC&quot;/&gt;&lt;wsp:rsid wsp:val=&quot;00090740&quot;/&gt;&lt;wsp:rsid wsp:val=&quot;00090747&quot;/&gt;&lt;wsp:rsid wsp:val=&quot;00090FCB&quot;/&gt;&lt;wsp:rsid wsp:val=&quot;00091429&quot;/&gt;&lt;wsp:rsid wsp:val=&quot;00091456&quot;/&gt;&lt;wsp:rsid wsp:val=&quot;000915D6&quot;/&gt;&lt;wsp:rsid wsp:val=&quot;00091668&quot;/&gt;&lt;wsp:rsid wsp:val=&quot;00092991&quot;/&gt;&lt;wsp:rsid wsp:val=&quot;000946F0&quot;/&gt;&lt;wsp:rsid wsp:val=&quot;000964B7&quot;/&gt;&lt;wsp:rsid wsp:val=&quot;0009660E&quot;/&gt;&lt;wsp:rsid wsp:val=&quot;00097072&quot;/&gt;&lt;wsp:rsid wsp:val=&quot;000A10C2&quot;/&gt;&lt;wsp:rsid wsp:val=&quot;000A24B1&quot;/&gt;&lt;wsp:rsid wsp:val=&quot;000A50D7&quot;/&gt;&lt;wsp:rsid wsp:val=&quot;000A5A35&quot;/&gt;&lt;wsp:rsid wsp:val=&quot;000A5AAE&quot;/&gt;&lt;wsp:rsid wsp:val=&quot;000A6A19&quot;/&gt;&lt;wsp:rsid wsp:val=&quot;000A7141&quot;/&gt;&lt;wsp:rsid wsp:val=&quot;000A714D&quot;/&gt;&lt;wsp:rsid wsp:val=&quot;000B0448&quot;/&gt;&lt;wsp:rsid wsp:val=&quot;000B10DB&quot;/&gt;&lt;wsp:rsid wsp:val=&quot;000B28A4&quot;/&gt;&lt;wsp:rsid wsp:val=&quot;000B298B&quot;/&gt;&lt;wsp:rsid wsp:val=&quot;000B29DD&quot;/&gt;&lt;wsp:rsid wsp:val=&quot;000B2E45&quot;/&gt;&lt;wsp:rsid wsp:val=&quot;000B4C45&quot;/&gt;&lt;wsp:rsid wsp:val=&quot;000B4E51&quot;/&gt;&lt;wsp:rsid wsp:val=&quot;000B5295&quot;/&gt;&lt;wsp:rsid wsp:val=&quot;000B6024&quot;/&gt;&lt;wsp:rsid wsp:val=&quot;000B6803&quot;/&gt;&lt;wsp:rsid wsp:val=&quot;000B6E8C&quot;/&gt;&lt;wsp:rsid wsp:val=&quot;000B7753&quot;/&gt;&lt;wsp:rsid wsp:val=&quot;000B7E2C&quot;/&gt;&lt;wsp:rsid wsp:val=&quot;000B7FAC&quot;/&gt;&lt;wsp:rsid wsp:val=&quot;000C03C5&quot;/&gt;&lt;wsp:rsid wsp:val=&quot;000C0D13&quot;/&gt;&lt;wsp:rsid wsp:val=&quot;000C11E6&quot;/&gt;&lt;wsp:rsid wsp:val=&quot;000C582D&quot;/&gt;&lt;wsp:rsid wsp:val=&quot;000C6162&quot;/&gt;&lt;wsp:rsid wsp:val=&quot;000C6613&quot;/&gt;&lt;wsp:rsid wsp:val=&quot;000C6F7B&quot;/&gt;&lt;wsp:rsid wsp:val=&quot;000C7860&quot;/&gt;&lt;wsp:rsid wsp:val=&quot;000C78E6&quot;/&gt;&lt;wsp:rsid wsp:val=&quot;000D0635&quot;/&gt;&lt;wsp:rsid wsp:val=&quot;000D1070&quot;/&gt;&lt;wsp:rsid wsp:val=&quot;000D138E&quot;/&gt;&lt;wsp:rsid wsp:val=&quot;000D1FD3&quot;/&gt;&lt;wsp:rsid wsp:val=&quot;000D243B&quot;/&gt;&lt;wsp:rsid wsp:val=&quot;000D279B&quot;/&gt;&lt;wsp:rsid wsp:val=&quot;000D28FE&quot;/&gt;&lt;wsp:rsid wsp:val=&quot;000D30F2&quot;/&gt;&lt;wsp:rsid wsp:val=&quot;000D3AA5&quot;/&gt;&lt;wsp:rsid wsp:val=&quot;000D5015&quot;/&gt;&lt;wsp:rsid wsp:val=&quot;000D52FD&quot;/&gt;&lt;wsp:rsid wsp:val=&quot;000D551F&quot;/&gt;&lt;wsp:rsid wsp:val=&quot;000D5566&quot;/&gt;&lt;wsp:rsid wsp:val=&quot;000D5C6C&quot;/&gt;&lt;wsp:rsid wsp:val=&quot;000D6025&quot;/&gt;&lt;wsp:rsid wsp:val=&quot;000D7125&quot;/&gt;&lt;wsp:rsid wsp:val=&quot;000D7388&quot;/&gt;&lt;wsp:rsid wsp:val=&quot;000E18A6&quot;/&gt;&lt;wsp:rsid wsp:val=&quot;000E1DC6&quot;/&gt;&lt;wsp:rsid wsp:val=&quot;000E23B7&quot;/&gt;&lt;wsp:rsid wsp:val=&quot;000E44B0&quot;/&gt;&lt;wsp:rsid wsp:val=&quot;000E4568&quot;/&gt;&lt;wsp:rsid wsp:val=&quot;000E516D&quot;/&gt;&lt;wsp:rsid wsp:val=&quot;000E58FD&quot;/&gt;&lt;wsp:rsid wsp:val=&quot;000E624D&quot;/&gt;&lt;wsp:rsid wsp:val=&quot;000E6286&quot;/&gt;&lt;wsp:rsid wsp:val=&quot;000E745F&quot;/&gt;&lt;wsp:rsid wsp:val=&quot;000E7864&quot;/&gt;&lt;wsp:rsid wsp:val=&quot;000F0233&quot;/&gt;&lt;wsp:rsid wsp:val=&quot;000F080B&quot;/&gt;&lt;wsp:rsid wsp:val=&quot;000F096A&quot;/&gt;&lt;wsp:rsid wsp:val=&quot;000F0FC0&quot;/&gt;&lt;wsp:rsid wsp:val=&quot;000F0FEF&quot;/&gt;&lt;wsp:rsid wsp:val=&quot;000F2201&quot;/&gt;&lt;wsp:rsid wsp:val=&quot;000F31AA&quot;/&gt;&lt;wsp:rsid wsp:val=&quot;000F34D6&quot;/&gt;&lt;wsp:rsid wsp:val=&quot;000F47F5&quot;/&gt;&lt;wsp:rsid wsp:val=&quot;000F483D&quot;/&gt;&lt;wsp:rsid wsp:val=&quot;000F594A&quot;/&gt;&lt;wsp:rsid wsp:val=&quot;000F7699&quot;/&gt;&lt;wsp:rsid wsp:val=&quot;00100DA5&quot;/&gt;&lt;wsp:rsid wsp:val=&quot;0010126F&quot;/&gt;&lt;wsp:rsid wsp:val=&quot;00101611&quot;/&gt;&lt;wsp:rsid wsp:val=&quot;001016E3&quot;/&gt;&lt;wsp:rsid wsp:val=&quot;0010218C&quot;/&gt;&lt;wsp:rsid wsp:val=&quot;00102522&quot;/&gt;&lt;wsp:rsid wsp:val=&quot;00103C6A&quot;/&gt;&lt;wsp:rsid wsp:val=&quot;00103D45&quot;/&gt;&lt;wsp:rsid wsp:val=&quot;00104D1C&quot;/&gt;&lt;wsp:rsid wsp:val=&quot;001068BE&quot;/&gt;&lt;wsp:rsid wsp:val=&quot;001077C8&quot;/&gt;&lt;wsp:rsid wsp:val=&quot;00107815&quot;/&gt;&lt;wsp:rsid wsp:val=&quot;0011143B&quot;/&gt;&lt;wsp:rsid wsp:val=&quot;001116A8&quot;/&gt;&lt;wsp:rsid wsp:val=&quot;00111AFF&quot;/&gt;&lt;wsp:rsid wsp:val=&quot;00112199&quot;/&gt;&lt;wsp:rsid wsp:val=&quot;00112371&quot;/&gt;&lt;wsp:rsid wsp:val=&quot;001139F3&quot;/&gt;&lt;wsp:rsid wsp:val=&quot;0011455C&quot;/&gt;&lt;wsp:rsid wsp:val=&quot;00115992&quot;/&gt;&lt;wsp:rsid wsp:val=&quot;00115A4B&quot;/&gt;&lt;wsp:rsid wsp:val=&quot;00116914&quot;/&gt;&lt;wsp:rsid wsp:val=&quot;00116E2C&quot;/&gt;&lt;wsp:rsid wsp:val=&quot;0012107A&quot;/&gt;&lt;wsp:rsid wsp:val=&quot;00121EFD&quot;/&gt;&lt;wsp:rsid wsp:val=&quot;001221F9&quot;/&gt;&lt;wsp:rsid wsp:val=&quot;00122437&quot;/&gt;&lt;wsp:rsid wsp:val=&quot;00123485&quot;/&gt;&lt;wsp:rsid wsp:val=&quot;0012370E&quot;/&gt;&lt;wsp:rsid wsp:val=&quot;001243C4&quot;/&gt;&lt;wsp:rsid wsp:val=&quot;00124570&quot;/&gt;&lt;wsp:rsid wsp:val=&quot;00124C90&quot;/&gt;&lt;wsp:rsid wsp:val=&quot;0012560D&quot;/&gt;&lt;wsp:rsid wsp:val=&quot;0012661D&quot;/&gt;&lt;wsp:rsid wsp:val=&quot;001275B2&quot;/&gt;&lt;wsp:rsid wsp:val=&quot;00127BDE&quot;/&gt;&lt;wsp:rsid wsp:val=&quot;00130575&quot;/&gt;&lt;wsp:rsid wsp:val=&quot;00130D9D&quot;/&gt;&lt;wsp:rsid wsp:val=&quot;0013109F&quot;/&gt;&lt;wsp:rsid wsp:val=&quot;001311B0&quot;/&gt;&lt;wsp:rsid wsp:val=&quot;0013227F&quot;/&gt;&lt;wsp:rsid wsp:val=&quot;00132755&quot;/&gt;&lt;wsp:rsid wsp:val=&quot;00134009&quot;/&gt;&lt;wsp:rsid wsp:val=&quot;00134B7B&quot;/&gt;&lt;wsp:rsid wsp:val=&quot;00134F3E&quot;/&gt;&lt;wsp:rsid wsp:val=&quot;00134F50&quot;/&gt;&lt;wsp:rsid wsp:val=&quot;00136131&quot;/&gt;&lt;wsp:rsid wsp:val=&quot;00136865&quot;/&gt;&lt;wsp:rsid wsp:val=&quot;0013689B&quot;/&gt;&lt;wsp:rsid wsp:val=&quot;00140105&quot;/&gt;&lt;wsp:rsid wsp:val=&quot;0014098F&quot;/&gt;&lt;wsp:rsid wsp:val=&quot;0014107A&quot;/&gt;&lt;wsp:rsid wsp:val=&quot;0014208C&quot;/&gt;&lt;wsp:rsid wsp:val=&quot;00142424&quot;/&gt;&lt;wsp:rsid wsp:val=&quot;001425DB&quot;/&gt;&lt;wsp:rsid wsp:val=&quot;0014287E&quot;/&gt;&lt;wsp:rsid wsp:val=&quot;001429A6&quot;/&gt;&lt;wsp:rsid wsp:val=&quot;00142A53&quot;/&gt;&lt;wsp:rsid wsp:val=&quot;00143C12&quot;/&gt;&lt;wsp:rsid wsp:val=&quot;0014443C&quot;/&gt;&lt;wsp:rsid wsp:val=&quot;001447E5&quot;/&gt;&lt;wsp:rsid wsp:val=&quot;00144BAB&quot;/&gt;&lt;wsp:rsid wsp:val=&quot;00145AC1&quot;/&gt;&lt;wsp:rsid wsp:val=&quot;00146314&quot;/&gt;&lt;wsp:rsid wsp:val=&quot;00146A60&quot;/&gt;&lt;wsp:rsid wsp:val=&quot;00146E12&quot;/&gt;&lt;wsp:rsid wsp:val=&quot;00147098&quot;/&gt;&lt;wsp:rsid wsp:val=&quot;00147446&quot;/&gt;&lt;wsp:rsid wsp:val=&quot;001477B5&quot;/&gt;&lt;wsp:rsid wsp:val=&quot;00147806&quot;/&gt;&lt;wsp:rsid wsp:val=&quot;00147A28&quot;/&gt;&lt;wsp:rsid wsp:val=&quot;00150D5A&quot;/&gt;&lt;wsp:rsid wsp:val=&quot;00151E54&quot;/&gt;&lt;wsp:rsid wsp:val=&quot;001524B2&quot;/&gt;&lt;wsp:rsid wsp:val=&quot;00152AF7&quot;/&gt;&lt;wsp:rsid wsp:val=&quot;00152AFC&quot;/&gt;&lt;wsp:rsid wsp:val=&quot;0015349C&quot;/&gt;&lt;wsp:rsid wsp:val=&quot;00154CE2&quot;/&gt;&lt;wsp:rsid wsp:val=&quot;00156790&quot;/&gt;&lt;wsp:rsid wsp:val=&quot;00160957&quot;/&gt;&lt;wsp:rsid wsp:val=&quot;00160D1A&quot;/&gt;&lt;wsp:rsid wsp:val=&quot;00160DCE&quot;/&gt;&lt;wsp:rsid wsp:val=&quot;00161008&quot;/&gt;&lt;wsp:rsid wsp:val=&quot;001612A4&quot;/&gt;&lt;wsp:rsid wsp:val=&quot;001613A6&quot;/&gt;&lt;wsp:rsid wsp:val=&quot;00161866&quot;/&gt;&lt;wsp:rsid wsp:val=&quot;00162957&quot;/&gt;&lt;wsp:rsid wsp:val=&quot;00163F59&quot;/&gt;&lt;wsp:rsid wsp:val=&quot;001642D3&quot;/&gt;&lt;wsp:rsid wsp:val=&quot;00164F34&quot;/&gt;&lt;wsp:rsid wsp:val=&quot;0016529F&quot;/&gt;&lt;wsp:rsid wsp:val=&quot;0016603B&quot;/&gt;&lt;wsp:rsid wsp:val=&quot;0016683C&quot;/&gt;&lt;wsp:rsid wsp:val=&quot;0016761F&quot;/&gt;&lt;wsp:rsid wsp:val=&quot;00167F9C&quot;/&gt;&lt;wsp:rsid wsp:val=&quot;0017025A&quot;/&gt;&lt;wsp:rsid wsp:val=&quot;00170A2A&quot;/&gt;&lt;wsp:rsid wsp:val=&quot;00171DA5&quot;/&gt;&lt;wsp:rsid wsp:val=&quot;00173219&quot;/&gt;&lt;wsp:rsid wsp:val=&quot;00173773&quot;/&gt;&lt;wsp:rsid wsp:val=&quot;00173F60&quot;/&gt;&lt;wsp:rsid wsp:val=&quot;0017434D&quot;/&gt;&lt;wsp:rsid wsp:val=&quot;00174ADC&quot;/&gt;&lt;wsp:rsid wsp:val=&quot;00175214&quot;/&gt;&lt;wsp:rsid wsp:val=&quot;001761AD&quot;/&gt;&lt;wsp:rsid wsp:val=&quot;001777A2&quot;/&gt;&lt;wsp:rsid wsp:val=&quot;001803D4&quot;/&gt;&lt;wsp:rsid wsp:val=&quot;001811EB&quot;/&gt;&lt;wsp:rsid wsp:val=&quot;001816A9&quot;/&gt;&lt;wsp:rsid wsp:val=&quot;001825C4&quot;/&gt;&lt;wsp:rsid wsp:val=&quot;0018263A&quot;/&gt;&lt;wsp:rsid wsp:val=&quot;00182E4D&quot;/&gt;&lt;wsp:rsid wsp:val=&quot;001838AE&quot;/&gt;&lt;wsp:rsid wsp:val=&quot;00185AB5&quot;/&gt;&lt;wsp:rsid wsp:val=&quot;00194210&quot;/&gt;&lt;wsp:rsid wsp:val=&quot;00194E71&quot;/&gt;&lt;wsp:rsid wsp:val=&quot;0019564D&quot;/&gt;&lt;wsp:rsid wsp:val=&quot;00195776&quot;/&gt;&lt;wsp:rsid wsp:val=&quot;00195A0A&quot;/&gt;&lt;wsp:rsid wsp:val=&quot;00195E1E&quot;/&gt;&lt;wsp:rsid wsp:val=&quot;0019688F&quot;/&gt;&lt;wsp:rsid wsp:val=&quot;00197865&quot;/&gt;&lt;wsp:rsid wsp:val=&quot;00197B4F&quot;/&gt;&lt;wsp:rsid wsp:val=&quot;001A067B&quot;/&gt;&lt;wsp:rsid wsp:val=&quot;001A06ED&quot;/&gt;&lt;wsp:rsid wsp:val=&quot;001A0F35&quot;/&gt;&lt;wsp:rsid wsp:val=&quot;001A1368&quot;/&gt;&lt;wsp:rsid wsp:val=&quot;001A2359&quot;/&gt;&lt;wsp:rsid wsp:val=&quot;001A3A63&quot;/&gt;&lt;wsp:rsid wsp:val=&quot;001A3BFD&quot;/&gt;&lt;wsp:rsid wsp:val=&quot;001A4174&quot;/&gt;&lt;wsp:rsid wsp:val=&quot;001A498E&quot;/&gt;&lt;wsp:rsid wsp:val=&quot;001A58B3&quot;/&gt;&lt;wsp:rsid wsp:val=&quot;001A5905&quot;/&gt;&lt;wsp:rsid wsp:val=&quot;001A5A39&quot;/&gt;&lt;wsp:rsid wsp:val=&quot;001A5FE1&quot;/&gt;&lt;wsp:rsid wsp:val=&quot;001A79E4&quot;/&gt;&lt;wsp:rsid wsp:val=&quot;001B05D0&quot;/&gt;&lt;wsp:rsid wsp:val=&quot;001B0A15&quot;/&gt;&lt;wsp:rsid wsp:val=&quot;001B1C6D&quot;/&gt;&lt;wsp:rsid wsp:val=&quot;001B2344&quot;/&gt;&lt;wsp:rsid wsp:val=&quot;001B25AF&quot;/&gt;&lt;wsp:rsid wsp:val=&quot;001B27A2&quot;/&gt;&lt;wsp:rsid wsp:val=&quot;001B2B6C&quot;/&gt;&lt;wsp:rsid wsp:val=&quot;001B2BF7&quot;/&gt;&lt;wsp:rsid wsp:val=&quot;001B2C5B&quot;/&gt;&lt;wsp:rsid wsp:val=&quot;001B3C93&quot;/&gt;&lt;wsp:rsid wsp:val=&quot;001B3E60&quot;/&gt;&lt;wsp:rsid wsp:val=&quot;001B53F4&quot;/&gt;&lt;wsp:rsid wsp:val=&quot;001B6B17&quot;/&gt;&lt;wsp:rsid wsp:val=&quot;001C0D53&quot;/&gt;&lt;wsp:rsid wsp:val=&quot;001C0E33&quot;/&gt;&lt;wsp:rsid wsp:val=&quot;001C130E&quot;/&gt;&lt;wsp:rsid wsp:val=&quot;001C14A1&quot;/&gt;&lt;wsp:rsid wsp:val=&quot;001C2B04&quot;/&gt;&lt;wsp:rsid wsp:val=&quot;001C31E7&quot;/&gt;&lt;wsp:rsid wsp:val=&quot;001C3FCE&quot;/&gt;&lt;wsp:rsid wsp:val=&quot;001C44D5&quot;/&gt;&lt;wsp:rsid wsp:val=&quot;001C453C&quot;/&gt;&lt;wsp:rsid wsp:val=&quot;001C4696&quot;/&gt;&lt;wsp:rsid wsp:val=&quot;001C48A4&quot;/&gt;&lt;wsp:rsid wsp:val=&quot;001C511B&quot;/&gt;&lt;wsp:rsid wsp:val=&quot;001C5923&quot;/&gt;&lt;wsp:rsid wsp:val=&quot;001C5ADF&quot;/&gt;&lt;wsp:rsid wsp:val=&quot;001C5C65&quot;/&gt;&lt;wsp:rsid wsp:val=&quot;001C7283&quot;/&gt;&lt;wsp:rsid wsp:val=&quot;001C7B40&quot;/&gt;&lt;wsp:rsid wsp:val=&quot;001C7CE5&quot;/&gt;&lt;wsp:rsid wsp:val=&quot;001C7EFF&quot;/&gt;&lt;wsp:rsid wsp:val=&quot;001D00CB&quot;/&gt;&lt;wsp:rsid wsp:val=&quot;001D0234&quot;/&gt;&lt;wsp:rsid wsp:val=&quot;001D0BEF&quot;/&gt;&lt;wsp:rsid wsp:val=&quot;001D108E&quot;/&gt;&lt;wsp:rsid wsp:val=&quot;001D1BDE&quot;/&gt;&lt;wsp:rsid wsp:val=&quot;001D40EB&quot;/&gt;&lt;wsp:rsid wsp:val=&quot;001D624A&quot;/&gt;&lt;wsp:rsid wsp:val=&quot;001D648E&quot;/&gt;&lt;wsp:rsid wsp:val=&quot;001D685B&quot;/&gt;&lt;wsp:rsid wsp:val=&quot;001D6E74&quot;/&gt;&lt;wsp:rsid wsp:val=&quot;001E08C1&quot;/&gt;&lt;wsp:rsid wsp:val=&quot;001E0A53&quot;/&gt;&lt;wsp:rsid wsp:val=&quot;001E3A2B&quot;/&gt;&lt;wsp:rsid wsp:val=&quot;001E51F2&quot;/&gt;&lt;wsp:rsid wsp:val=&quot;001E5BF8&quot;/&gt;&lt;wsp:rsid wsp:val=&quot;001E64BB&quot;/&gt;&lt;wsp:rsid wsp:val=&quot;001E6B1C&quot;/&gt;&lt;wsp:rsid wsp:val=&quot;001E789F&quot;/&gt;&lt;wsp:rsid wsp:val=&quot;001E7E89&quot;/&gt;&lt;wsp:rsid wsp:val=&quot;001F026A&quot;/&gt;&lt;wsp:rsid wsp:val=&quot;001F0957&quot;/&gt;&lt;wsp:rsid wsp:val=&quot;001F0F81&quot;/&gt;&lt;wsp:rsid wsp:val=&quot;001F0FDB&quot;/&gt;&lt;wsp:rsid wsp:val=&quot;001F1F44&quot;/&gt;&lt;wsp:rsid wsp:val=&quot;001F2C0D&quot;/&gt;&lt;wsp:rsid wsp:val=&quot;001F2C87&quot;/&gt;&lt;wsp:rsid wsp:val=&quot;001F33D2&quot;/&gt;&lt;wsp:rsid wsp:val=&quot;001F3DE3&quot;/&gt;&lt;wsp:rsid wsp:val=&quot;001F4430&quot;/&gt;&lt;wsp:rsid wsp:val=&quot;001F4DD9&quot;/&gt;&lt;wsp:rsid wsp:val=&quot;001F5B98&quot;/&gt;&lt;wsp:rsid wsp:val=&quot;001F6082&quot;/&gt;&lt;wsp:rsid wsp:val=&quot;001F7214&quot;/&gt;&lt;wsp:rsid wsp:val=&quot;001F7A7B&quot;/&gt;&lt;wsp:rsid wsp:val=&quot;001F7F3A&quot;/&gt;&lt;wsp:rsid wsp:val=&quot;0020010C&quot;/&gt;&lt;wsp:rsid wsp:val=&quot;00200E7C&quot;/&gt;&lt;wsp:rsid wsp:val=&quot;00200EAE&quot;/&gt;&lt;wsp:rsid wsp:val=&quot;0020115B&quot;/&gt;&lt;wsp:rsid wsp:val=&quot;00201DD3&quot;/&gt;&lt;wsp:rsid wsp:val=&quot;00202808&quot;/&gt;&lt;wsp:rsid wsp:val=&quot;00204903&quot;/&gt;&lt;wsp:rsid wsp:val=&quot;00204D70&quot;/&gt;&lt;wsp:rsid wsp:val=&quot;00205ADF&quot;/&gt;&lt;wsp:rsid wsp:val=&quot;00205E34&quot;/&gt;&lt;wsp:rsid wsp:val=&quot;00205FDE&quot;/&gt;&lt;wsp:rsid wsp:val=&quot;00207F86&quot;/&gt;&lt;wsp:rsid wsp:val=&quot;00212B8C&quot;/&gt;&lt;wsp:rsid wsp:val=&quot;00213027&quot;/&gt;&lt;wsp:rsid wsp:val=&quot;00213728&quot;/&gt;&lt;wsp:rsid wsp:val=&quot;00213B5E&quot;/&gt;&lt;wsp:rsid wsp:val=&quot;002140DE&quot;/&gt;&lt;wsp:rsid wsp:val=&quot;00214AEC&quot;/&gt;&lt;wsp:rsid wsp:val=&quot;00214F8B&quot;/&gt;&lt;wsp:rsid wsp:val=&quot;0021607F&quot;/&gt;&lt;wsp:rsid wsp:val=&quot;00216E3D&quot;/&gt;&lt;wsp:rsid wsp:val=&quot;00220AC7&quot;/&gt;&lt;wsp:rsid wsp:val=&quot;0022164D&quot;/&gt;&lt;wsp:rsid wsp:val=&quot;00222853&quot;/&gt;&lt;wsp:rsid wsp:val=&quot;00222C21&quot;/&gt;&lt;wsp:rsid wsp:val=&quot;00222F1E&quot;/&gt;&lt;wsp:rsid wsp:val=&quot;0022354F&quot;/&gt;&lt;wsp:rsid wsp:val=&quot;00223C16&quot;/&gt;&lt;wsp:rsid wsp:val=&quot;00226593&quot;/&gt;&lt;wsp:rsid wsp:val=&quot;0022660A&quot;/&gt;&lt;wsp:rsid wsp:val=&quot;002302A3&quot;/&gt;&lt;wsp:rsid wsp:val=&quot;00230B08&quot;/&gt;&lt;wsp:rsid wsp:val=&quot;0023283A&quot;/&gt;&lt;wsp:rsid wsp:val=&quot;0023299E&quot;/&gt;&lt;wsp:rsid wsp:val=&quot;00233202&quot;/&gt;&lt;wsp:rsid wsp:val=&quot;00235B22&quot;/&gt;&lt;wsp:rsid wsp:val=&quot;00235B9B&quot;/&gt;&lt;wsp:rsid wsp:val=&quot;002362E2&quot;/&gt;&lt;wsp:rsid wsp:val=&quot;00236EE8&quot;/&gt;&lt;wsp:rsid wsp:val=&quot;00237AE0&quot;/&gt;&lt;wsp:rsid wsp:val=&quot;0024017D&quot;/&gt;&lt;wsp:rsid wsp:val=&quot;00240300&quot;/&gt;&lt;wsp:rsid wsp:val=&quot;002415C0&quot;/&gt;&lt;wsp:rsid wsp:val=&quot;002418B4&quot;/&gt;&lt;wsp:rsid wsp:val=&quot;00241D32&quot;/&gt;&lt;wsp:rsid wsp:val=&quot;00241E56&quot;/&gt;&lt;wsp:rsid wsp:val=&quot;00243F1D&quot;/&gt;&lt;wsp:rsid wsp:val=&quot;00243F9E&quot;/&gt;&lt;wsp:rsid wsp:val=&quot;002442EE&quot;/&gt;&lt;wsp:rsid wsp:val=&quot;00244598&quot;/&gt;&lt;wsp:rsid wsp:val=&quot;002454E7&quot;/&gt;&lt;wsp:rsid wsp:val=&quot;00246D64&quot;/&gt;&lt;wsp:rsid wsp:val=&quot;0025196A&quot;/&gt;&lt;wsp:rsid wsp:val=&quot;00251DD9&quot;/&gt;&lt;wsp:rsid wsp:val=&quot;0025266C&quot;/&gt;&lt;wsp:rsid wsp:val=&quot;002526D1&quot;/&gt;&lt;wsp:rsid wsp:val=&quot;002527DC&quot;/&gt;&lt;wsp:rsid wsp:val=&quot;00253316&quot;/&gt;&lt;wsp:rsid wsp:val=&quot;00254739&quot;/&gt;&lt;wsp:rsid wsp:val=&quot;00255669&quot;/&gt;&lt;wsp:rsid wsp:val=&quot;00255CA0&quot;/&gt;&lt;wsp:rsid wsp:val=&quot;00255FC8&quot;/&gt;&lt;wsp:rsid wsp:val=&quot;00256E6B&quot;/&gt;&lt;wsp:rsid wsp:val=&quot;00257513&quot;/&gt;&lt;wsp:rsid wsp:val=&quot;0026019E&quot;/&gt;&lt;wsp:rsid wsp:val=&quot;0026120A&quot;/&gt;&lt;wsp:rsid wsp:val=&quot;00262E2C&quot;/&gt;&lt;wsp:rsid wsp:val=&quot;00263726&quot;/&gt;&lt;wsp:rsid wsp:val=&quot;00263BC4&quot;/&gt;&lt;wsp:rsid wsp:val=&quot;002659EC&quot;/&gt;&lt;wsp:rsid wsp:val=&quot;0026671B&quot;/&gt;&lt;wsp:rsid wsp:val=&quot;00266F38&quot;/&gt;&lt;wsp:rsid wsp:val=&quot;00267B62&quot;/&gt;&lt;wsp:rsid wsp:val=&quot;00267CD2&quot;/&gt;&lt;wsp:rsid wsp:val=&quot;00270CB6&quot;/&gt;&lt;wsp:rsid wsp:val=&quot;0027142E&quot;/&gt;&lt;wsp:rsid wsp:val=&quot;00272D2B&quot;/&gt;&lt;wsp:rsid wsp:val=&quot;002734BB&quot;/&gt;&lt;wsp:rsid wsp:val=&quot;00273F1A&quot;/&gt;&lt;wsp:rsid wsp:val=&quot;002744C6&quot;/&gt;&lt;wsp:rsid wsp:val=&quot;0027463C&quot;/&gt;&lt;wsp:rsid wsp:val=&quot;002753C4&quot;/&gt;&lt;wsp:rsid wsp:val=&quot;00275959&quot;/&gt;&lt;wsp:rsid wsp:val=&quot;002760A2&quot;/&gt;&lt;wsp:rsid wsp:val=&quot;002767BF&quot;/&gt;&lt;wsp:rsid wsp:val=&quot;00276B5D&quot;/&gt;&lt;wsp:rsid wsp:val=&quot;00281AC6&quot;/&gt;&lt;wsp:rsid wsp:val=&quot;002827D2&quot;/&gt;&lt;wsp:rsid wsp:val=&quot;00282D7E&quot;/&gt;&lt;wsp:rsid wsp:val=&quot;00282E64&quot;/&gt;&lt;wsp:rsid wsp:val=&quot;002831F6&quot;/&gt;&lt;wsp:rsid wsp:val=&quot;00283C1A&quot;/&gt;&lt;wsp:rsid wsp:val=&quot;002843DC&quot;/&gt;&lt;wsp:rsid wsp:val=&quot;00285C95&quot;/&gt;&lt;wsp:rsid wsp:val=&quot;00286987&quot;/&gt;&lt;wsp:rsid wsp:val=&quot;002870E0&quot;/&gt;&lt;wsp:rsid wsp:val=&quot;00287A5C&quot;/&gt;&lt;wsp:rsid wsp:val=&quot;002903DA&quot;/&gt;&lt;wsp:rsid wsp:val=&quot;002904B1&quot;/&gt;&lt;wsp:rsid wsp:val=&quot;002914F4&quot;/&gt;&lt;wsp:rsid wsp:val=&quot;00291798&quot;/&gt;&lt;wsp:rsid wsp:val=&quot;002918C8&quot;/&gt;&lt;wsp:rsid wsp:val=&quot;00291C1A&quot;/&gt;&lt;wsp:rsid wsp:val=&quot;0029345D&quot;/&gt;&lt;wsp:rsid wsp:val=&quot;00293542&quot;/&gt;&lt;wsp:rsid wsp:val=&quot;00293581&quot;/&gt;&lt;wsp:rsid wsp:val=&quot;002936E5&quot;/&gt;&lt;wsp:rsid wsp:val=&quot;00295CEE&quot;/&gt;&lt;wsp:rsid wsp:val=&quot;00295D0F&quot;/&gt;&lt;wsp:rsid wsp:val=&quot;00296554&quot;/&gt;&lt;wsp:rsid wsp:val=&quot;00297695&quot;/&gt;&lt;wsp:rsid wsp:val=&quot;00297F78&quot;/&gt;&lt;wsp:rsid wsp:val=&quot;002A057C&quot;/&gt;&lt;wsp:rsid wsp:val=&quot;002A088C&quot;/&gt;&lt;wsp:rsid wsp:val=&quot;002A0F2D&quot;/&gt;&lt;wsp:rsid wsp:val=&quot;002A1C69&quot;/&gt;&lt;wsp:rsid wsp:val=&quot;002A22E3&quot;/&gt;&lt;wsp:rsid wsp:val=&quot;002A2A0E&quot;/&gt;&lt;wsp:rsid wsp:val=&quot;002A3CCF&quot;/&gt;&lt;wsp:rsid wsp:val=&quot;002A3DAA&quot;/&gt;&lt;wsp:rsid wsp:val=&quot;002A3FD3&quot;/&gt;&lt;wsp:rsid wsp:val=&quot;002A56ED&quot;/&gt;&lt;wsp:rsid wsp:val=&quot;002B0C4F&quot;/&gt;&lt;wsp:rsid wsp:val=&quot;002B156C&quot;/&gt;&lt;wsp:rsid wsp:val=&quot;002B1DEA&quot;/&gt;&lt;wsp:rsid wsp:val=&quot;002B24B8&quot;/&gt;&lt;wsp:rsid wsp:val=&quot;002B2582&quot;/&gt;&lt;wsp:rsid wsp:val=&quot;002B25B5&quot;/&gt;&lt;wsp:rsid wsp:val=&quot;002B376F&quot;/&gt;&lt;wsp:rsid wsp:val=&quot;002B47D8&quot;/&gt;&lt;wsp:rsid wsp:val=&quot;002B79AB&quot;/&gt;&lt;wsp:rsid wsp:val=&quot;002C0F8F&quot;/&gt;&lt;wsp:rsid wsp:val=&quot;002C0F95&quot;/&gt;&lt;wsp:rsid wsp:val=&quot;002C38F5&quot;/&gt;&lt;wsp:rsid wsp:val=&quot;002C3DEC&quot;/&gt;&lt;wsp:rsid wsp:val=&quot;002C55E9&quot;/&gt;&lt;wsp:rsid wsp:val=&quot;002C5804&quot;/&gt;&lt;wsp:rsid wsp:val=&quot;002C6E14&quot;/&gt;&lt;wsp:rsid wsp:val=&quot;002D060B&quot;/&gt;&lt;wsp:rsid wsp:val=&quot;002D1E48&quot;/&gt;&lt;wsp:rsid wsp:val=&quot;002D1F63&quot;/&gt;&lt;wsp:rsid wsp:val=&quot;002D2E7F&quot;/&gt;&lt;wsp:rsid wsp:val=&quot;002D3052&quot;/&gt;&lt;wsp:rsid wsp:val=&quot;002D35C8&quot;/&gt;&lt;wsp:rsid wsp:val=&quot;002D54B2&quot;/&gt;&lt;wsp:rsid wsp:val=&quot;002D55C4&quot;/&gt;&lt;wsp:rsid wsp:val=&quot;002D5E1A&quot;/&gt;&lt;wsp:rsid wsp:val=&quot;002D66F3&quot;/&gt;&lt;wsp:rsid wsp:val=&quot;002D7629&quot;/&gt;&lt;wsp:rsid wsp:val=&quot;002E0E0D&quot;/&gt;&lt;wsp:rsid wsp:val=&quot;002E105D&quot;/&gt;&lt;wsp:rsid wsp:val=&quot;002E1EBC&quot;/&gt;&lt;wsp:rsid wsp:val=&quot;002E404E&quot;/&gt;&lt;wsp:rsid wsp:val=&quot;002E42E6&quot;/&gt;&lt;wsp:rsid wsp:val=&quot;002E4B2C&quot;/&gt;&lt;wsp:rsid wsp:val=&quot;002E70B9&quot;/&gt;&lt;wsp:rsid wsp:val=&quot;002E720D&quot;/&gt;&lt;wsp:rsid wsp:val=&quot;002F022C&quot;/&gt;&lt;wsp:rsid wsp:val=&quot;002F03AD&quot;/&gt;&lt;wsp:rsid wsp:val=&quot;002F03D9&quot;/&gt;&lt;wsp:rsid wsp:val=&quot;002F161B&quot;/&gt;&lt;wsp:rsid wsp:val=&quot;002F3474&quot;/&gt;&lt;wsp:rsid wsp:val=&quot;002F3B7A&quot;/&gt;&lt;wsp:rsid wsp:val=&quot;002F40AD&quot;/&gt;&lt;wsp:rsid wsp:val=&quot;002F466D&quot;/&gt;&lt;wsp:rsid wsp:val=&quot;002F50B4&quot;/&gt;&lt;wsp:rsid wsp:val=&quot;002F51AB&quot;/&gt;&lt;wsp:rsid wsp:val=&quot;002F55D4&quot;/&gt;&lt;wsp:rsid wsp:val=&quot;002F5926&quot;/&gt;&lt;wsp:rsid wsp:val=&quot;002F7F4D&quot;/&gt;&lt;wsp:rsid wsp:val=&quot;003010E6&quot;/&gt;&lt;wsp:rsid wsp:val=&quot;00301229&quot;/&gt;&lt;wsp:rsid wsp:val=&quot;0030142F&quot;/&gt;&lt;wsp:rsid wsp:val=&quot;00302396&quot;/&gt;&lt;wsp:rsid wsp:val=&quot;00302517&quot;/&gt;&lt;wsp:rsid wsp:val=&quot;0030340F&quot;/&gt;&lt;wsp:rsid wsp:val=&quot;0030346C&quot;/&gt;&lt;wsp:rsid wsp:val=&quot;00303E45&quot;/&gt;&lt;wsp:rsid wsp:val=&quot;003045FF&quot;/&gt;&lt;wsp:rsid wsp:val=&quot;003058A6&quot;/&gt;&lt;wsp:rsid wsp:val=&quot;00305F06&quot;/&gt;&lt;wsp:rsid wsp:val=&quot;00306702&quot;/&gt;&lt;wsp:rsid wsp:val=&quot;00306AC0&quot;/&gt;&lt;wsp:rsid wsp:val=&quot;00306D02&quot;/&gt;&lt;wsp:rsid wsp:val=&quot;00307642&quot;/&gt;&lt;wsp:rsid wsp:val=&quot;00307E57&quot;/&gt;&lt;wsp:rsid wsp:val=&quot;00310046&quot;/&gt;&lt;wsp:rsid wsp:val=&quot;003101DF&quot;/&gt;&lt;wsp:rsid wsp:val=&quot;00311B68&quot;/&gt;&lt;wsp:rsid wsp:val=&quot;0031244E&quot;/&gt;&lt;wsp:rsid wsp:val=&quot;003127BB&quot;/&gt;&lt;wsp:rsid wsp:val=&quot;0031414B&quot;/&gt;&lt;wsp:rsid wsp:val=&quot;003143BB&quot;/&gt;&lt;wsp:rsid wsp:val=&quot;00314994&quot;/&gt;&lt;wsp:rsid wsp:val=&quot;00316AB5&quot;/&gt;&lt;wsp:rsid wsp:val=&quot;00316C6D&quot;/&gt;&lt;wsp:rsid wsp:val=&quot;00316EB2&quot;/&gt;&lt;wsp:rsid wsp:val=&quot;003176D8&quot;/&gt;&lt;wsp:rsid wsp:val=&quot;00321DD0&quot;/&gt;&lt;wsp:rsid wsp:val=&quot;0032208B&quot;/&gt;&lt;wsp:rsid wsp:val=&quot;00323D56&quot;/&gt;&lt;wsp:rsid wsp:val=&quot;00324476&quot;/&gt;&lt;wsp:rsid wsp:val=&quot;003248F9&quot;/&gt;&lt;wsp:rsid wsp:val=&quot;00326267&quot;/&gt;&lt;wsp:rsid wsp:val=&quot;00331213&quot;/&gt;&lt;wsp:rsid wsp:val=&quot;003313E3&quot;/&gt;&lt;wsp:rsid wsp:val=&quot;00331F36&quot;/&gt;&lt;wsp:rsid wsp:val=&quot;0033244A&quot;/&gt;&lt;wsp:rsid wsp:val=&quot;00332735&quot;/&gt;&lt;wsp:rsid wsp:val=&quot;00332CA0&quot;/&gt;&lt;wsp:rsid wsp:val=&quot;00332CF0&quot;/&gt;&lt;wsp:rsid wsp:val=&quot;00333B41&quot;/&gt;&lt;wsp:rsid wsp:val=&quot;0033445E&quot;/&gt;&lt;wsp:rsid wsp:val=&quot;00336754&quot;/&gt;&lt;wsp:rsid wsp:val=&quot;00336DC9&quot;/&gt;&lt;wsp:rsid wsp:val=&quot;00337229&quot;/&gt;&lt;wsp:rsid wsp:val=&quot;0033724C&quot;/&gt;&lt;wsp:rsid wsp:val=&quot;003372B8&quot;/&gt;&lt;wsp:rsid wsp:val=&quot;00340983&quot;/&gt;&lt;wsp:rsid wsp:val=&quot;00340CC7&quot;/&gt;&lt;wsp:rsid wsp:val=&quot;00340D07&quot;/&gt;&lt;wsp:rsid wsp:val=&quot;0034125D&quot;/&gt;&lt;wsp:rsid wsp:val=&quot;003417C9&quot;/&gt;&lt;wsp:rsid wsp:val=&quot;003420F1&quot;/&gt;&lt;wsp:rsid wsp:val=&quot;0034262E&quot;/&gt;&lt;wsp:rsid wsp:val=&quot;003429DB&quot;/&gt;&lt;wsp:rsid wsp:val=&quot;00342AAC&quot;/&gt;&lt;wsp:rsid wsp:val=&quot;003436C1&quot;/&gt;&lt;wsp:rsid wsp:val=&quot;00344353&quot;/&gt;&lt;wsp:rsid wsp:val=&quot;00344C91&quot;/&gt;&lt;wsp:rsid wsp:val=&quot;003454F5&quot;/&gt;&lt;wsp:rsid wsp:val=&quot;0034566E&quot;/&gt;&lt;wsp:rsid wsp:val=&quot;00347FC3&quot;/&gt;&lt;wsp:rsid wsp:val=&quot;0035034E&quot;/&gt;&lt;wsp:rsid wsp:val=&quot;00350576&quot;/&gt;&lt;wsp:rsid wsp:val=&quot;00350674&quot;/&gt;&lt;wsp:rsid wsp:val=&quot;00350F1C&quot;/&gt;&lt;wsp:rsid wsp:val=&quot;0035107F&quot;/&gt;&lt;wsp:rsid wsp:val=&quot;00352050&quot;/&gt;&lt;wsp:rsid wsp:val=&quot;00352E7E&quot;/&gt;&lt;wsp:rsid wsp:val=&quot;00354346&quot;/&gt;&lt;wsp:rsid wsp:val=&quot;003544EA&quot;/&gt;&lt;wsp:rsid wsp:val=&quot;003545F0&quot;/&gt;&lt;wsp:rsid wsp:val=&quot;00354872&quot;/&gt;&lt;wsp:rsid wsp:val=&quot;00354943&quot;/&gt;&lt;wsp:rsid wsp:val=&quot;00354DD8&quot;/&gt;&lt;wsp:rsid wsp:val=&quot;0035725E&quot;/&gt;&lt;wsp:rsid wsp:val=&quot;0036009A&quot;/&gt;&lt;wsp:rsid wsp:val=&quot;003618FC&quot;/&gt;&lt;wsp:rsid wsp:val=&quot;00361A94&quot;/&gt;&lt;wsp:rsid wsp:val=&quot;00362E09&quot;/&gt;&lt;wsp:rsid wsp:val=&quot;00363838&quot;/&gt;&lt;wsp:rsid wsp:val=&quot;003645F9&quot;/&gt;&lt;wsp:rsid wsp:val=&quot;00364779&quot;/&gt;&lt;wsp:rsid wsp:val=&quot;0036478D&quot;/&gt;&lt;wsp:rsid wsp:val=&quot;003648D8&quot;/&gt;&lt;wsp:rsid wsp:val=&quot;00364BA5&quot;/&gt;&lt;wsp:rsid wsp:val=&quot;00365493&quot;/&gt;&lt;wsp:rsid wsp:val=&quot;00365CD8&quot;/&gt;&lt;wsp:rsid wsp:val=&quot;00366AD1&quot;/&gt;&lt;wsp:rsid wsp:val=&quot;00367F3F&quot;/&gt;&lt;wsp:rsid wsp:val=&quot;00370B6F&quot;/&gt;&lt;wsp:rsid wsp:val=&quot;00371458&quot;/&gt;&lt;wsp:rsid wsp:val=&quot;003736C7&quot;/&gt;&lt;wsp:rsid wsp:val=&quot;00373891&quot;/&gt;&lt;wsp:rsid wsp:val=&quot;00374462&quot;/&gt;&lt;wsp:rsid wsp:val=&quot;00374688&quot;/&gt;&lt;wsp:rsid wsp:val=&quot;00374F43&quot;/&gt;&lt;wsp:rsid wsp:val=&quot;00375277&quot;/&gt;&lt;wsp:rsid wsp:val=&quot;00375393&quot;/&gt;&lt;wsp:rsid wsp:val=&quot;003758A8&quot;/&gt;&lt;wsp:rsid wsp:val=&quot;00376A90&quot;/&gt;&lt;wsp:rsid wsp:val=&quot;00376DB7&quot;/&gt;&lt;wsp:rsid wsp:val=&quot;00377111&quot;/&gt;&lt;wsp:rsid wsp:val=&quot;00377AC5&quot;/&gt;&lt;wsp:rsid wsp:val=&quot;00377EBD&quot;/&gt;&lt;wsp:rsid wsp:val=&quot;003806FD&quot;/&gt;&lt;wsp:rsid wsp:val=&quot;003807E2&quot;/&gt;&lt;wsp:rsid wsp:val=&quot;003807E6&quot;/&gt;&lt;wsp:rsid wsp:val=&quot;003825D2&quot;/&gt;&lt;wsp:rsid wsp:val=&quot;003830D4&quot;/&gt;&lt;wsp:rsid wsp:val=&quot;00383BE8&quot;/&gt;&lt;wsp:rsid wsp:val=&quot;00383FB3&quot;/&gt;&lt;wsp:rsid wsp:val=&quot;00384E92&quot;/&gt;&lt;wsp:rsid wsp:val=&quot;00384FA8&quot;/&gt;&lt;wsp:rsid wsp:val=&quot;00385D30&quot;/&gt;&lt;wsp:rsid wsp:val=&quot;00385E06&quot;/&gt;&lt;wsp:rsid wsp:val=&quot;003860CF&quot;/&gt;&lt;wsp:rsid wsp:val=&quot;003862B2&quot;/&gt;&lt;wsp:rsid wsp:val=&quot;00386BAE&quot;/&gt;&lt;wsp:rsid wsp:val=&quot;00386D90&quot;/&gt;&lt;wsp:rsid wsp:val=&quot;0038709B&quot;/&gt;&lt;wsp:rsid wsp:val=&quot;00387C4E&quot;/&gt;&lt;wsp:rsid wsp:val=&quot;00390857&quot;/&gt;&lt;wsp:rsid wsp:val=&quot;00390B4A&quot;/&gt;&lt;wsp:rsid wsp:val=&quot;00390D20&quot;/&gt;&lt;wsp:rsid wsp:val=&quot;00392C37&quot;/&gt;&lt;wsp:rsid wsp:val=&quot;00393C68&quot;/&gt;&lt;wsp:rsid wsp:val=&quot;00393E86&quot;/&gt;&lt;wsp:rsid wsp:val=&quot;003944CC&quot;/&gt;&lt;wsp:rsid wsp:val=&quot;003945B9&quot;/&gt;&lt;wsp:rsid wsp:val=&quot;00395AFC&quot;/&gt;&lt;wsp:rsid wsp:val=&quot;00395D82&quot;/&gt;&lt;wsp:rsid wsp:val=&quot;0039606A&quot;/&gt;&lt;wsp:rsid wsp:val=&quot;00396A75&quot;/&gt;&lt;wsp:rsid wsp:val=&quot;00396C56&quot;/&gt;&lt;wsp:rsid wsp:val=&quot;003971D3&quot;/&gt;&lt;wsp:rsid wsp:val=&quot;0039797D&quot;/&gt;&lt;wsp:rsid wsp:val=&quot;00397B92&quot;/&gt;&lt;wsp:rsid wsp:val=&quot;003A0150&quot;/&gt;&lt;wsp:rsid wsp:val=&quot;003A0F5F&quot;/&gt;&lt;wsp:rsid wsp:val=&quot;003A13AE&quot;/&gt;&lt;wsp:rsid wsp:val=&quot;003A1EAD&quot;/&gt;&lt;wsp:rsid wsp:val=&quot;003A22C3&quot;/&gt;&lt;wsp:rsid wsp:val=&quot;003A2554&quot;/&gt;&lt;wsp:rsid wsp:val=&quot;003A322C&quot;/&gt;&lt;wsp:rsid wsp:val=&quot;003A5A77&quot;/&gt;&lt;wsp:rsid wsp:val=&quot;003A61A3&quot;/&gt;&lt;wsp:rsid wsp:val=&quot;003A659D&quot;/&gt;&lt;wsp:rsid wsp:val=&quot;003A6695&quot;/&gt;&lt;wsp:rsid wsp:val=&quot;003A6932&quot;/&gt;&lt;wsp:rsid wsp:val=&quot;003A6D6B&quot;/&gt;&lt;wsp:rsid wsp:val=&quot;003A7090&quot;/&gt;&lt;wsp:rsid wsp:val=&quot;003B098E&quot;/&gt;&lt;wsp:rsid wsp:val=&quot;003B0D2B&quot;/&gt;&lt;wsp:rsid wsp:val=&quot;003B1764&quot;/&gt;&lt;wsp:rsid wsp:val=&quot;003B199E&quot;/&gt;&lt;wsp:rsid wsp:val=&quot;003B2635&quot;/&gt;&lt;wsp:rsid wsp:val=&quot;003B2812&quot;/&gt;&lt;wsp:rsid wsp:val=&quot;003B2866&quot;/&gt;&lt;wsp:rsid wsp:val=&quot;003B28F3&quot;/&gt;&lt;wsp:rsid wsp:val=&quot;003B2B5F&quot;/&gt;&lt;wsp:rsid wsp:val=&quot;003B3DA4&quot;/&gt;&lt;wsp:rsid wsp:val=&quot;003B44BF&quot;/&gt;&lt;wsp:rsid wsp:val=&quot;003B4CCA&quot;/&gt;&lt;wsp:rsid wsp:val=&quot;003B53F5&quot;/&gt;&lt;wsp:rsid wsp:val=&quot;003B5DCC&quot;/&gt;&lt;wsp:rsid wsp:val=&quot;003B6BBA&quot;/&gt;&lt;wsp:rsid wsp:val=&quot;003C10A1&quot;/&gt;&lt;wsp:rsid wsp:val=&quot;003C111E&quot;/&gt;&lt;wsp:rsid wsp:val=&quot;003C1185&quot;/&gt;&lt;wsp:rsid wsp:val=&quot;003C1716&quot;/&gt;&lt;wsp:rsid wsp:val=&quot;003C172C&quot;/&gt;&lt;wsp:rsid wsp:val=&quot;003C2296&quot;/&gt;&lt;wsp:rsid wsp:val=&quot;003C34F2&quot;/&gt;&lt;wsp:rsid wsp:val=&quot;003C5D06&quot;/&gt;&lt;wsp:rsid wsp:val=&quot;003C6BC5&quot;/&gt;&lt;wsp:rsid wsp:val=&quot;003D1894&quot;/&gt;&lt;wsp:rsid wsp:val=&quot;003D1EDA&quot;/&gt;&lt;wsp:rsid wsp:val=&quot;003D23E7&quot;/&gt;&lt;wsp:rsid wsp:val=&quot;003D273E&quot;/&gt;&lt;wsp:rsid wsp:val=&quot;003D2ABD&quot;/&gt;&lt;wsp:rsid wsp:val=&quot;003D2B07&quot;/&gt;&lt;wsp:rsid wsp:val=&quot;003D2C11&quot;/&gt;&lt;wsp:rsid wsp:val=&quot;003D4417&quot;/&gt;&lt;wsp:rsid wsp:val=&quot;003E0292&quot;/&gt;&lt;wsp:rsid wsp:val=&quot;003E0C7D&quot;/&gt;&lt;wsp:rsid wsp:val=&quot;003E0DAF&quot;/&gt;&lt;wsp:rsid wsp:val=&quot;003E1013&quot;/&gt;&lt;wsp:rsid wsp:val=&quot;003E1E87&quot;/&gt;&lt;wsp:rsid wsp:val=&quot;003E2243&quot;/&gt;&lt;wsp:rsid wsp:val=&quot;003E2583&quot;/&gt;&lt;wsp:rsid wsp:val=&quot;003E2DCE&quot;/&gt;&lt;wsp:rsid wsp:val=&quot;003E3212&quot;/&gt;&lt;wsp:rsid wsp:val=&quot;003E332B&quot;/&gt;&lt;wsp:rsid wsp:val=&quot;003E4E98&quot;/&gt;&lt;wsp:rsid wsp:val=&quot;003E5DBE&quot;/&gt;&lt;wsp:rsid wsp:val=&quot;003E6404&quot;/&gt;&lt;wsp:rsid wsp:val=&quot;003E6A3F&quot;/&gt;&lt;wsp:rsid wsp:val=&quot;003E6C5A&quot;/&gt;&lt;wsp:rsid wsp:val=&quot;003E7721&quot;/&gt;&lt;wsp:rsid wsp:val=&quot;003F0046&quot;/&gt;&lt;wsp:rsid wsp:val=&quot;003F0BB9&quot;/&gt;&lt;wsp:rsid wsp:val=&quot;003F0D94&quot;/&gt;&lt;wsp:rsid wsp:val=&quot;003F1469&quot;/&gt;&lt;wsp:rsid wsp:val=&quot;003F1FC7&quot;/&gt;&lt;wsp:rsid wsp:val=&quot;003F2AF4&quot;/&gt;&lt;wsp:rsid wsp:val=&quot;003F3E86&quot;/&gt;&lt;wsp:rsid wsp:val=&quot;003F4341&quot;/&gt;&lt;wsp:rsid wsp:val=&quot;003F4A42&quot;/&gt;&lt;wsp:rsid wsp:val=&quot;003F4C5D&quot;/&gt;&lt;wsp:rsid wsp:val=&quot;003F57FF&quot;/&gt;&lt;wsp:rsid wsp:val=&quot;003F6134&quot;/&gt;&lt;wsp:rsid wsp:val=&quot;003F6171&quot;/&gt;&lt;wsp:rsid wsp:val=&quot;003F64F7&quot;/&gt;&lt;wsp:rsid wsp:val=&quot;003F64FE&quot;/&gt;&lt;wsp:rsid wsp:val=&quot;003F6669&quot;/&gt;&lt;wsp:rsid wsp:val=&quot;003F6D54&quot;/&gt;&lt;wsp:rsid wsp:val=&quot;003F6F4C&quot;/&gt;&lt;wsp:rsid wsp:val=&quot;00400982&quot;/&gt;&lt;wsp:rsid wsp:val=&quot;00401742&quot;/&gt;&lt;wsp:rsid wsp:val=&quot;004018D4&quot;/&gt;&lt;wsp:rsid wsp:val=&quot;00402FF4&quot;/&gt;&lt;wsp:rsid wsp:val=&quot;00403D6C&quot;/&gt;&lt;wsp:rsid wsp:val=&quot;004053F4&quot;/&gt;&lt;wsp:rsid wsp:val=&quot;004075FC&quot;/&gt;&lt;wsp:rsid wsp:val=&quot;004107E6&quot;/&gt;&lt;wsp:rsid wsp:val=&quot;00410839&quot;/&gt;&lt;wsp:rsid wsp:val=&quot;00410AE0&quot;/&gt;&lt;wsp:rsid wsp:val=&quot;00410E19&quot;/&gt;&lt;wsp:rsid wsp:val=&quot;00411B31&quot;/&gt;&lt;wsp:rsid wsp:val=&quot;00412842&quot;/&gt;&lt;wsp:rsid wsp:val=&quot;00412F47&quot;/&gt;&lt;wsp:rsid wsp:val=&quot;00414276&quot;/&gt;&lt;wsp:rsid wsp:val=&quot;00414904&quot;/&gt;&lt;wsp:rsid wsp:val=&quot;004149A5&quot;/&gt;&lt;wsp:rsid wsp:val=&quot;004151F6&quot;/&gt;&lt;wsp:rsid wsp:val=&quot;004152BA&quot;/&gt;&lt;wsp:rsid wsp:val=&quot;00415C9B&quot;/&gt;&lt;wsp:rsid wsp:val=&quot;00415D9D&quot;/&gt;&lt;wsp:rsid wsp:val=&quot;004179A2&quot;/&gt;&lt;wsp:rsid wsp:val=&quot;004213F8&quot;/&gt;&lt;wsp:rsid wsp:val=&quot;00421D9C&quot;/&gt;&lt;wsp:rsid wsp:val=&quot;00422ABD&quot;/&gt;&lt;wsp:rsid wsp:val=&quot;00423DDC&quot;/&gt;&lt;wsp:rsid wsp:val=&quot;00424643&quot;/&gt;&lt;wsp:rsid wsp:val=&quot;00424790&quot;/&gt;&lt;wsp:rsid wsp:val=&quot;0042690E&quot;/&gt;&lt;wsp:rsid wsp:val=&quot;00426CC8&quot;/&gt;&lt;wsp:rsid wsp:val=&quot;00427000&quot;/&gt;&lt;wsp:rsid wsp:val=&quot;00427067&quot;/&gt;&lt;wsp:rsid wsp:val=&quot;00430AE5&quot;/&gt;&lt;wsp:rsid wsp:val=&quot;0043110E&quot;/&gt;&lt;wsp:rsid wsp:val=&quot;004312E2&quot;/&gt;&lt;wsp:rsid wsp:val=&quot;00432D59&quot;/&gt;&lt;wsp:rsid wsp:val=&quot;004334D5&quot;/&gt;&lt;wsp:rsid wsp:val=&quot;00433913&quot;/&gt;&lt;wsp:rsid wsp:val=&quot;00433A25&quot;/&gt;&lt;wsp:rsid wsp:val=&quot;00433BD6&quot;/&gt;&lt;wsp:rsid wsp:val=&quot;00433CBE&quot;/&gt;&lt;wsp:rsid wsp:val=&quot;004345D9&quot;/&gt;&lt;wsp:rsid wsp:val=&quot;004357E9&quot;/&gt;&lt;wsp:rsid wsp:val=&quot;00435BDB&quot;/&gt;&lt;wsp:rsid wsp:val=&quot;00435D48&quot;/&gt;&lt;wsp:rsid wsp:val=&quot;00435DC5&quot;/&gt;&lt;wsp:rsid wsp:val=&quot;00435FAB&quot;/&gt;&lt;wsp:rsid wsp:val=&quot;00436056&quot;/&gt;&lt;wsp:rsid wsp:val=&quot;00436C7D&quot;/&gt;&lt;wsp:rsid wsp:val=&quot;004372DB&quot;/&gt;&lt;wsp:rsid wsp:val=&quot;004374AD&quot;/&gt;&lt;wsp:rsid wsp:val=&quot;0044102E&quot;/&gt;&lt;wsp:rsid wsp:val=&quot;00441A26&quot;/&gt;&lt;wsp:rsid wsp:val=&quot;00442187&quot;/&gt;&lt;wsp:rsid wsp:val=&quot;00442369&quot;/&gt;&lt;wsp:rsid wsp:val=&quot;004436D2&quot;/&gt;&lt;wsp:rsid wsp:val=&quot;00444485&quot;/&gt;&lt;wsp:rsid wsp:val=&quot;00444C4C&quot;/&gt;&lt;wsp:rsid wsp:val=&quot;00445C4D&quot;/&gt;&lt;wsp:rsid wsp:val=&quot;004461CB&quot;/&gt;&lt;wsp:rsid wsp:val=&quot;004466BB&quot;/&gt;&lt;wsp:rsid wsp:val=&quot;004477B9&quot;/&gt;&lt;wsp:rsid wsp:val=&quot;004502E0&quot;/&gt;&lt;wsp:rsid wsp:val=&quot;004509CD&quot;/&gt;&lt;wsp:rsid wsp:val=&quot;00450B3B&quot;/&gt;&lt;wsp:rsid wsp:val=&quot;00451FCB&quot;/&gt;&lt;wsp:rsid wsp:val=&quot;00454382&quot;/&gt;&lt;wsp:rsid wsp:val=&quot;00454F95&quot;/&gt;&lt;wsp:rsid wsp:val=&quot;00455019&quot;/&gt;&lt;wsp:rsid wsp:val=&quot;004558A3&quot;/&gt;&lt;wsp:rsid wsp:val=&quot;00455F9D&quot;/&gt;&lt;wsp:rsid wsp:val=&quot;00456001&quot;/&gt;&lt;wsp:rsid wsp:val=&quot;00456541&quot;/&gt;&lt;wsp:rsid wsp:val=&quot;00456CCF&quot;/&gt;&lt;wsp:rsid wsp:val=&quot;00456D4A&quot;/&gt;&lt;wsp:rsid wsp:val=&quot;004577CE&quot;/&gt;&lt;wsp:rsid wsp:val=&quot;00457F58&quot;/&gt;&lt;wsp:rsid wsp:val=&quot;0046066D&quot;/&gt;&lt;wsp:rsid wsp:val=&quot;00461A29&quot;/&gt;&lt;wsp:rsid wsp:val=&quot;0046233C&quot;/&gt;&lt;wsp:rsid wsp:val=&quot;00462441&quot;/&gt;&lt;wsp:rsid wsp:val=&quot;00463624&quot;/&gt;&lt;wsp:rsid wsp:val=&quot;00463859&quot;/&gt;&lt;wsp:rsid wsp:val=&quot;00463E7E&quot;/&gt;&lt;wsp:rsid wsp:val=&quot;004643C3&quot;/&gt;&lt;wsp:rsid wsp:val=&quot;00464771&quot;/&gt;&lt;wsp:rsid wsp:val=&quot;00465781&quot;/&gt;&lt;wsp:rsid wsp:val=&quot;00465CD6&quot;/&gt;&lt;wsp:rsid wsp:val=&quot;004662B3&quot;/&gt;&lt;wsp:rsid wsp:val=&quot;00466A72&quot;/&gt;&lt;wsp:rsid wsp:val=&quot;00467F8B&quot;/&gt;&lt;wsp:rsid wsp:val=&quot;004712B1&quot;/&gt;&lt;wsp:rsid wsp:val=&quot;004728B3&quot;/&gt;&lt;wsp:rsid wsp:val=&quot;00475208&quot;/&gt;&lt;wsp:rsid wsp:val=&quot;00475C1C&quot;/&gt;&lt;wsp:rsid wsp:val=&quot;00476096&quot;/&gt;&lt;wsp:rsid wsp:val=&quot;0047729B&quot;/&gt;&lt;wsp:rsid wsp:val=&quot;00481E5A&quot;/&gt;&lt;wsp:rsid wsp:val=&quot;0048208D&quot;/&gt;&lt;wsp:rsid wsp:val=&quot;004821C8&quot;/&gt;&lt;wsp:rsid wsp:val=&quot;00482671&quot;/&gt;&lt;wsp:rsid wsp:val=&quot;00482737&quot;/&gt;&lt;wsp:rsid wsp:val=&quot;0048332B&quot;/&gt;&lt;wsp:rsid wsp:val=&quot;00483DFA&quot;/&gt;&lt;wsp:rsid wsp:val=&quot;00484D9C&quot;/&gt;&lt;wsp:rsid wsp:val=&quot;0048656D&quot;/&gt;&lt;wsp:rsid wsp:val=&quot;00487582&quot;/&gt;&lt;wsp:rsid wsp:val=&quot;0049007D&quot;/&gt;&lt;wsp:rsid wsp:val=&quot;00490219&quot;/&gt;&lt;wsp:rsid wsp:val=&quot;00490588&quot;/&gt;&lt;wsp:rsid wsp:val=&quot;004906EA&quot;/&gt;&lt;wsp:rsid wsp:val=&quot;004907FA&quot;/&gt;&lt;wsp:rsid wsp:val=&quot;0049087A&quot;/&gt;&lt;wsp:rsid wsp:val=&quot;004908F0&quot;/&gt;&lt;wsp:rsid wsp:val=&quot;00491659&quot;/&gt;&lt;wsp:rsid wsp:val=&quot;004917A5&quot;/&gt;&lt;wsp:rsid wsp:val=&quot;00491F3D&quot;/&gt;&lt;wsp:rsid wsp:val=&quot;0049251C&quot;/&gt;&lt;wsp:rsid wsp:val=&quot;00492A1F&quot;/&gt;&lt;wsp:rsid wsp:val=&quot;00492BA9&quot;/&gt;&lt;wsp:rsid wsp:val=&quot;0049344B&quot;/&gt;&lt;wsp:rsid wsp:val=&quot;00493843&quot;/&gt;&lt;wsp:rsid wsp:val=&quot;00494B68&quot;/&gt;&lt;wsp:rsid wsp:val=&quot;00494C5B&quot;/&gt;&lt;wsp:rsid wsp:val=&quot;004951F1&quot;/&gt;&lt;wsp:rsid wsp:val=&quot;0049629B&quot;/&gt;&lt;wsp:rsid wsp:val=&quot;00496382&quot;/&gt;&lt;wsp:rsid wsp:val=&quot;0049685A&quot;/&gt;&lt;wsp:rsid wsp:val=&quot;004968A2&quot;/&gt;&lt;wsp:rsid wsp:val=&quot;00496BC5&quot;/&gt;&lt;wsp:rsid wsp:val=&quot;00497779&quot;/&gt;&lt;wsp:rsid wsp:val=&quot;004A03CD&quot;/&gt;&lt;wsp:rsid wsp:val=&quot;004A1509&quot;/&gt;&lt;wsp:rsid wsp:val=&quot;004A153C&quot;/&gt;&lt;wsp:rsid wsp:val=&quot;004A170B&quot;/&gt;&lt;wsp:rsid wsp:val=&quot;004A242A&quot;/&gt;&lt;wsp:rsid wsp:val=&quot;004A2B24&quot;/&gt;&lt;wsp:rsid wsp:val=&quot;004A363F&quot;/&gt;&lt;wsp:rsid wsp:val=&quot;004A387A&quot;/&gt;&lt;wsp:rsid wsp:val=&quot;004A3A1F&quot;/&gt;&lt;wsp:rsid wsp:val=&quot;004A3A35&quot;/&gt;&lt;wsp:rsid wsp:val=&quot;004A3CD3&quot;/&gt;&lt;wsp:rsid wsp:val=&quot;004A4715&quot;/&gt;&lt;wsp:rsid wsp:val=&quot;004A6398&quot;/&gt;&lt;wsp:rsid wsp:val=&quot;004A6F05&quot;/&gt;&lt;wsp:rsid wsp:val=&quot;004A6F64&quot;/&gt;&lt;wsp:rsid wsp:val=&quot;004B0DE2&quot;/&gt;&lt;wsp:rsid wsp:val=&quot;004B11F3&quot;/&gt;&lt;wsp:rsid wsp:val=&quot;004B1417&quot;/&gt;&lt;wsp:rsid wsp:val=&quot;004B1672&quot;/&gt;&lt;wsp:rsid wsp:val=&quot;004B1E07&quot;/&gt;&lt;wsp:rsid wsp:val=&quot;004B381E&quot;/&gt;&lt;wsp:rsid wsp:val=&quot;004B3DB8&quot;/&gt;&lt;wsp:rsid wsp:val=&quot;004B3E3B&quot;/&gt;&lt;wsp:rsid wsp:val=&quot;004B4D20&quot;/&gt;&lt;wsp:rsid wsp:val=&quot;004B5BF5&quot;/&gt;&lt;wsp:rsid wsp:val=&quot;004B5E1D&quot;/&gt;&lt;wsp:rsid wsp:val=&quot;004B6160&quot;/&gt;&lt;wsp:rsid wsp:val=&quot;004B759D&quot;/&gt;&lt;wsp:rsid wsp:val=&quot;004B75B1&quot;/&gt;&lt;wsp:rsid wsp:val=&quot;004C1D36&quot;/&gt;&lt;wsp:rsid wsp:val=&quot;004C22A3&quot;/&gt;&lt;wsp:rsid wsp:val=&quot;004C2D16&quot;/&gt;&lt;wsp:rsid wsp:val=&quot;004C3576&quot;/&gt;&lt;wsp:rsid wsp:val=&quot;004C3D70&quot;/&gt;&lt;wsp:rsid wsp:val=&quot;004C62CF&quot;/&gt;&lt;wsp:rsid wsp:val=&quot;004C6901&quot;/&gt;&lt;wsp:rsid wsp:val=&quot;004C6939&quot;/&gt;&lt;wsp:rsid wsp:val=&quot;004C6EE1&quot;/&gt;&lt;wsp:rsid wsp:val=&quot;004C7268&quot;/&gt;&lt;wsp:rsid wsp:val=&quot;004C75BC&quot;/&gt;&lt;wsp:rsid wsp:val=&quot;004D0E93&quot;/&gt;&lt;wsp:rsid wsp:val=&quot;004D3021&quot;/&gt;&lt;wsp:rsid wsp:val=&quot;004D4DF6&quot;/&gt;&lt;wsp:rsid wsp:val=&quot;004D4EC2&quot;/&gt;&lt;wsp:rsid wsp:val=&quot;004D6209&quot;/&gt;&lt;wsp:rsid wsp:val=&quot;004D637E&quot;/&gt;&lt;wsp:rsid wsp:val=&quot;004D6BE9&quot;/&gt;&lt;wsp:rsid wsp:val=&quot;004D7275&quot;/&gt;&lt;wsp:rsid wsp:val=&quot;004D7818&quot;/&gt;&lt;wsp:rsid wsp:val=&quot;004D7894&quot;/&gt;&lt;wsp:rsid wsp:val=&quot;004D7B2E&quot;/&gt;&lt;wsp:rsid wsp:val=&quot;004D7DC1&quot;/&gt;&lt;wsp:rsid wsp:val=&quot;004E027F&quot;/&gt;&lt;wsp:rsid wsp:val=&quot;004E08E5&quot;/&gt;&lt;wsp:rsid wsp:val=&quot;004E1879&quot;/&gt;&lt;wsp:rsid wsp:val=&quot;004E595E&quot;/&gt;&lt;wsp:rsid wsp:val=&quot;004E5E16&quot;/&gt;&lt;wsp:rsid wsp:val=&quot;004E690A&quot;/&gt;&lt;wsp:rsid wsp:val=&quot;004E7180&quot;/&gt;&lt;wsp:rsid wsp:val=&quot;004E791A&quot;/&gt;&lt;wsp:rsid wsp:val=&quot;004E7A29&quot;/&gt;&lt;wsp:rsid wsp:val=&quot;004F037E&quot;/&gt;&lt;wsp:rsid wsp:val=&quot;004F09EA&quot;/&gt;&lt;wsp:rsid wsp:val=&quot;004F1122&quot;/&gt;&lt;wsp:rsid wsp:val=&quot;004F15CC&quot;/&gt;&lt;wsp:rsid wsp:val=&quot;004F1ACA&quot;/&gt;&lt;wsp:rsid wsp:val=&quot;004F1E92&quot;/&gt;&lt;wsp:rsid wsp:val=&quot;004F2178&quot;/&gt;&lt;wsp:rsid wsp:val=&quot;004F2746&quot;/&gt;&lt;wsp:rsid wsp:val=&quot;004F36E7&quot;/&gt;&lt;wsp:rsid wsp:val=&quot;004F4273&quot;/&gt;&lt;wsp:rsid wsp:val=&quot;004F573A&quot;/&gt;&lt;wsp:rsid wsp:val=&quot;004F5C23&quot;/&gt;&lt;wsp:rsid wsp:val=&quot;004F6B88&quot;/&gt;&lt;wsp:rsid wsp:val=&quot;004F6D99&quot;/&gt;&lt;wsp:rsid wsp:val=&quot;004F6F5E&quot;/&gt;&lt;wsp:rsid wsp:val=&quot;004F7BA6&quot;/&gt;&lt;wsp:rsid wsp:val=&quot;00500781&quot;/&gt;&lt;wsp:rsid wsp:val=&quot;00501440&quot;/&gt;&lt;wsp:rsid wsp:val=&quot;005026BF&quot;/&gt;&lt;wsp:rsid wsp:val=&quot;00502DDD&quot;/&gt;&lt;wsp:rsid wsp:val=&quot;005032D9&quot;/&gt;&lt;wsp:rsid wsp:val=&quot;0050381B&quot;/&gt;&lt;wsp:rsid wsp:val=&quot;0050435C&quot;/&gt;&lt;wsp:rsid wsp:val=&quot;00505310&quot;/&gt;&lt;wsp:rsid wsp:val=&quot;005067B7&quot;/&gt;&lt;wsp:rsid wsp:val=&quot;00506C06&quot;/&gt;&lt;wsp:rsid wsp:val=&quot;00506C56&quot;/&gt;&lt;wsp:rsid wsp:val=&quot;005074A1&quot;/&gt;&lt;wsp:rsid wsp:val=&quot;00507A8A&quot;/&gt;&lt;wsp:rsid wsp:val=&quot;00507B74&quot;/&gt;&lt;wsp:rsid wsp:val=&quot;00507DFE&quot;/&gt;&lt;wsp:rsid wsp:val=&quot;00507F67&quot;/&gt;&lt;wsp:rsid wsp:val=&quot;00510554&quot;/&gt;&lt;wsp:rsid wsp:val=&quot;00511C84&quot;/&gt;&lt;wsp:rsid wsp:val=&quot;00511D57&quot;/&gt;&lt;wsp:rsid wsp:val=&quot;00513793&quot;/&gt;&lt;wsp:rsid wsp:val=&quot;00513A29&quot;/&gt;&lt;wsp:rsid wsp:val=&quot;005142C0&quot;/&gt;&lt;wsp:rsid wsp:val=&quot;00514FE1&quot;/&gt;&lt;wsp:rsid wsp:val=&quot;00515110&quot;/&gt;&lt;wsp:rsid wsp:val=&quot;00516159&quot;/&gt;&lt;wsp:rsid wsp:val=&quot;0051680C&quot;/&gt;&lt;wsp:rsid wsp:val=&quot;00516CD8&quot;/&gt;&lt;wsp:rsid wsp:val=&quot;00516FAA&quot;/&gt;&lt;wsp:rsid wsp:val=&quot;0051774B&quot;/&gt;&lt;wsp:rsid wsp:val=&quot;005178F4&quot;/&gt;&lt;wsp:rsid wsp:val=&quot;0051797A&quot;/&gt;&lt;wsp:rsid wsp:val=&quot;00517E95&quot;/&gt;&lt;wsp:rsid wsp:val=&quot;00517F8C&quot;/&gt;&lt;wsp:rsid wsp:val=&quot;00520FE3&quot;/&gt;&lt;wsp:rsid wsp:val=&quot;0052182B&quot;/&gt;&lt;wsp:rsid wsp:val=&quot;005221FD&quot;/&gt;&lt;wsp:rsid wsp:val=&quot;0052293B&quot;/&gt;&lt;wsp:rsid wsp:val=&quot;00522BA6&quot;/&gt;&lt;wsp:rsid wsp:val=&quot;005235CA&quot;/&gt;&lt;wsp:rsid wsp:val=&quot;005236E8&quot;/&gt;&lt;wsp:rsid wsp:val=&quot;00523ADB&quot;/&gt;&lt;wsp:rsid wsp:val=&quot;00523BD1&quot;/&gt;&lt;wsp:rsid wsp:val=&quot;0052433B&quot;/&gt;&lt;wsp:rsid wsp:val=&quot;00524C2B&quot;/&gt;&lt;wsp:rsid wsp:val=&quot;005251D0&quot;/&gt;&lt;wsp:rsid wsp:val=&quot;005257EC&quot;/&gt;&lt;wsp:rsid wsp:val=&quot;00525B1E&quot;/&gt;&lt;wsp:rsid wsp:val=&quot;00526135&quot;/&gt;&lt;wsp:rsid wsp:val=&quot;00527880&quot;/&gt;&lt;wsp:rsid wsp:val=&quot;00530A25&quot;/&gt;&lt;wsp:rsid wsp:val=&quot;005311D8&quot;/&gt;&lt;wsp:rsid wsp:val=&quot;00532E40&quot;/&gt;&lt;wsp:rsid wsp:val=&quot;005334B1&quot;/&gt;&lt;wsp:rsid wsp:val=&quot;00533B99&quot;/&gt;&lt;wsp:rsid wsp:val=&quot;005340DF&quot;/&gt;&lt;wsp:rsid wsp:val=&quot;005361F8&quot;/&gt;&lt;wsp:rsid wsp:val=&quot;00536F7D&quot;/&gt;&lt;wsp:rsid wsp:val=&quot;00537EF2&quot;/&gt;&lt;wsp:rsid wsp:val=&quot;00537FB6&quot;/&gt;&lt;wsp:rsid wsp:val=&quot;00540013&quot;/&gt;&lt;wsp:rsid wsp:val=&quot;005405FE&quot;/&gt;&lt;wsp:rsid wsp:val=&quot;00541AE3&quot;/&gt;&lt;wsp:rsid wsp:val=&quot;005420E3&quot;/&gt;&lt;wsp:rsid wsp:val=&quot;005429E3&quot;/&gt;&lt;wsp:rsid wsp:val=&quot;00542A2B&quot;/&gt;&lt;wsp:rsid wsp:val=&quot;00542A99&quot;/&gt;&lt;wsp:rsid wsp:val=&quot;00543736&quot;/&gt;&lt;wsp:rsid wsp:val=&quot;00543B52&quot;/&gt;&lt;wsp:rsid wsp:val=&quot;00545237&quot;/&gt;&lt;wsp:rsid wsp:val=&quot;005454A2&quot;/&gt;&lt;wsp:rsid wsp:val=&quot;00545CE0&quot;/&gt;&lt;wsp:rsid wsp:val=&quot;00545F80&quot;/&gt;&lt;wsp:rsid wsp:val=&quot;00547058&quot;/&gt;&lt;wsp:rsid wsp:val=&quot;00550667&quot;/&gt;&lt;wsp:rsid wsp:val=&quot;00550B70&quot;/&gt;&lt;wsp:rsid wsp:val=&quot;00551855&quot;/&gt;&lt;wsp:rsid wsp:val=&quot;0055283E&quot;/&gt;&lt;wsp:rsid wsp:val=&quot;005543F7&quot;/&gt;&lt;wsp:rsid wsp:val=&quot;005550FB&quot;/&gt;&lt;wsp:rsid wsp:val=&quot;00556485&quot;/&gt;&lt;wsp:rsid wsp:val=&quot;005564F6&quot;/&gt;&lt;wsp:rsid wsp:val=&quot;00557287&quot;/&gt;&lt;wsp:rsid wsp:val=&quot;0055778D&quot;/&gt;&lt;wsp:rsid wsp:val=&quot;00560C85&quot;/&gt;&lt;wsp:rsid wsp:val=&quot;00564AAE&quot;/&gt;&lt;wsp:rsid wsp:val=&quot;00564D94&quot;/&gt;&lt;wsp:rsid wsp:val=&quot;00564E7D&quot;/&gt;&lt;wsp:rsid wsp:val=&quot;00566DA0&quot;/&gt;&lt;wsp:rsid wsp:val=&quot;00572A4E&quot;/&gt;&lt;wsp:rsid wsp:val=&quot;0057365A&quot;/&gt;&lt;wsp:rsid wsp:val=&quot;00573C6A&quot;/&gt;&lt;wsp:rsid wsp:val=&quot;00573CA9&quot;/&gt;&lt;wsp:rsid wsp:val=&quot;00574101&quot;/&gt;&lt;wsp:rsid wsp:val=&quot;00574A1B&quot;/&gt;&lt;wsp:rsid wsp:val=&quot;00574F0E&quot;/&gt;&lt;wsp:rsid wsp:val=&quot;00576D64&quot;/&gt;&lt;wsp:rsid wsp:val=&quot;0057744C&quot;/&gt;&lt;wsp:rsid wsp:val=&quot;0057762A&quot;/&gt;&lt;wsp:rsid wsp:val=&quot;005807F8&quot;/&gt;&lt;wsp:rsid wsp:val=&quot;005812EC&quot;/&gt;&lt;wsp:rsid wsp:val=&quot;005835E9&quot;/&gt;&lt;wsp:rsid wsp:val=&quot;00583B0D&quot;/&gt;&lt;wsp:rsid wsp:val=&quot;00583B44&quot;/&gt;&lt;wsp:rsid wsp:val=&quot;00584A08&quot;/&gt;&lt;wsp:rsid wsp:val=&quot;00584AD8&quot;/&gt;&lt;wsp:rsid wsp:val=&quot;00584C27&quot;/&gt;&lt;wsp:rsid wsp:val=&quot;0058586B&quot;/&gt;&lt;wsp:rsid wsp:val=&quot;005861DC&quot;/&gt;&lt;wsp:rsid wsp:val=&quot;005878DF&quot;/&gt;&lt;wsp:rsid wsp:val=&quot;00587D60&quot;/&gt;&lt;wsp:rsid wsp:val=&quot;005918CD&quot;/&gt;&lt;wsp:rsid wsp:val=&quot;00591C55&quot;/&gt;&lt;wsp:rsid wsp:val=&quot;0059214E&quot;/&gt;&lt;wsp:rsid wsp:val=&quot;00592456&quot;/&gt;&lt;wsp:rsid wsp:val=&quot;005935F0&quot;/&gt;&lt;wsp:rsid wsp:val=&quot;00593BD5&quot;/&gt;&lt;wsp:rsid wsp:val=&quot;00594298&quot;/&gt;&lt;wsp:rsid wsp:val=&quot;005944F9&quot;/&gt;&lt;wsp:rsid wsp:val=&quot;005946E5&quot;/&gt;&lt;wsp:rsid wsp:val=&quot;005959DC&quot;/&gt;&lt;wsp:rsid wsp:val=&quot;00595A6F&quot;/&gt;&lt;wsp:rsid wsp:val=&quot;00596B50&quot;/&gt;&lt;wsp:rsid wsp:val=&quot;00597A29&quot;/&gt;&lt;wsp:rsid wsp:val=&quot;00597B4A&quot;/&gt;&lt;wsp:rsid wsp:val=&quot;005A254B&quot;/&gt;&lt;wsp:rsid wsp:val=&quot;005A3A77&quot;/&gt;&lt;wsp:rsid wsp:val=&quot;005A4A1B&quot;/&gt;&lt;wsp:rsid wsp:val=&quot;005A53D7&quot;/&gt;&lt;wsp:rsid wsp:val=&quot;005A57DD&quot;/&gt;&lt;wsp:rsid wsp:val=&quot;005A6308&quot;/&gt;&lt;wsp:rsid wsp:val=&quot;005A6DF5&quot;/&gt;&lt;wsp:rsid wsp:val=&quot;005A7982&quot;/&gt;&lt;wsp:rsid wsp:val=&quot;005B0CE3&quot;/&gt;&lt;wsp:rsid wsp:val=&quot;005B225B&quot;/&gt;&lt;wsp:rsid wsp:val=&quot;005B238D&quot;/&gt;&lt;wsp:rsid wsp:val=&quot;005B3369&quot;/&gt;&lt;wsp:rsid wsp:val=&quot;005B3386&quot;/&gt;&lt;wsp:rsid wsp:val=&quot;005B3956&quot;/&gt;&lt;wsp:rsid wsp:val=&quot;005B3B38&quot;/&gt;&lt;wsp:rsid wsp:val=&quot;005B4B9D&quot;/&gt;&lt;wsp:rsid wsp:val=&quot;005B62E5&quot;/&gt;&lt;wsp:rsid wsp:val=&quot;005B7A69&quot;/&gt;&lt;wsp:rsid wsp:val=&quot;005B7B1A&quot;/&gt;&lt;wsp:rsid wsp:val=&quot;005B7D5C&quot;/&gt;&lt;wsp:rsid wsp:val=&quot;005C0980&quot;/&gt;&lt;wsp:rsid wsp:val=&quot;005C2193&quot;/&gt;&lt;wsp:rsid wsp:val=&quot;005C2F2E&quot;/&gt;&lt;wsp:rsid wsp:val=&quot;005C4209&quot;/&gt;&lt;wsp:rsid wsp:val=&quot;005C42BA&quot;/&gt;&lt;wsp:rsid wsp:val=&quot;005C43C0&quot;/&gt;&lt;wsp:rsid wsp:val=&quot;005C4D31&quot;/&gt;&lt;wsp:rsid wsp:val=&quot;005C53BE&quot;/&gt;&lt;wsp:rsid wsp:val=&quot;005C5A35&quot;/&gt;&lt;wsp:rsid wsp:val=&quot;005C68A8&quot;/&gt;&lt;wsp:rsid wsp:val=&quot;005C6AB1&quot;/&gt;&lt;wsp:rsid wsp:val=&quot;005C6C9A&quot;/&gt;&lt;wsp:rsid wsp:val=&quot;005C6D08&quot;/&gt;&lt;wsp:rsid wsp:val=&quot;005C7548&quot;/&gt;&lt;wsp:rsid wsp:val=&quot;005C7E7E&quot;/&gt;&lt;wsp:rsid wsp:val=&quot;005D10AD&quot;/&gt;&lt;wsp:rsid wsp:val=&quot;005D2FB4&quot;/&gt;&lt;wsp:rsid wsp:val=&quot;005D51F9&quot;/&gt;&lt;wsp:rsid wsp:val=&quot;005D52B9&quot;/&gt;&lt;wsp:rsid wsp:val=&quot;005D5D58&quot;/&gt;&lt;wsp:rsid wsp:val=&quot;005D6A41&quot;/&gt;&lt;wsp:rsid wsp:val=&quot;005E0B4C&quot;/&gt;&lt;wsp:rsid wsp:val=&quot;005E0F91&quot;/&gt;&lt;wsp:rsid wsp:val=&quot;005E1AD8&quot;/&gt;&lt;wsp:rsid wsp:val=&quot;005E1DF2&quot;/&gt;&lt;wsp:rsid wsp:val=&quot;005E27FE&quot;/&gt;&lt;wsp:rsid wsp:val=&quot;005E28B0&quot;/&gt;&lt;wsp:rsid wsp:val=&quot;005E29FC&quot;/&gt;&lt;wsp:rsid wsp:val=&quot;005E3922&quot;/&gt;&lt;wsp:rsid wsp:val=&quot;005E64F9&quot;/&gt;&lt;wsp:rsid wsp:val=&quot;005E6509&quot;/&gt;&lt;wsp:rsid wsp:val=&quot;005E6D00&quot;/&gt;&lt;wsp:rsid wsp:val=&quot;005E719D&quot;/&gt;&lt;wsp:rsid wsp:val=&quot;005E7C56&quot;/&gt;&lt;wsp:rsid wsp:val=&quot;005F01CB&quot;/&gt;&lt;wsp:rsid wsp:val=&quot;005F042F&quot;/&gt;&lt;wsp:rsid wsp:val=&quot;005F2025&quot;/&gt;&lt;wsp:rsid wsp:val=&quot;005F37E8&quot;/&gt;&lt;wsp:rsid wsp:val=&quot;005F3BC2&quot;/&gt;&lt;wsp:rsid wsp:val=&quot;005F46FB&quot;/&gt;&lt;wsp:rsid wsp:val=&quot;005F5BD8&quot;/&gt;&lt;wsp:rsid wsp:val=&quot;005F637F&quot;/&gt;&lt;wsp:rsid wsp:val=&quot;005F7397&quot;/&gt;&lt;wsp:rsid wsp:val=&quot;00600457&quot;/&gt;&lt;wsp:rsid wsp:val=&quot;00600EB9&quot;/&gt;&lt;wsp:rsid wsp:val=&quot;00602656&quot;/&gt;&lt;wsp:rsid wsp:val=&quot;00603BDB&quot;/&gt;&lt;wsp:rsid wsp:val=&quot;00604AC5&quot;/&gt;&lt;wsp:rsid wsp:val=&quot;00606009&quot;/&gt;&lt;wsp:rsid wsp:val=&quot;00606182&quot;/&gt;&lt;wsp:rsid wsp:val=&quot;00607357&quot;/&gt;&lt;wsp:rsid wsp:val=&quot;00610F96&quot;/&gt;&lt;wsp:rsid wsp:val=&quot;00611098&quot;/&gt;&lt;wsp:rsid wsp:val=&quot;006111FE&quot;/&gt;&lt;wsp:rsid wsp:val=&quot;00611519&quot;/&gt;&lt;wsp:rsid wsp:val=&quot;00611DA5&quot;/&gt;&lt;wsp:rsid wsp:val=&quot;00612C65&quot;/&gt;&lt;wsp:rsid wsp:val=&quot;006132B4&quot;/&gt;&lt;wsp:rsid wsp:val=&quot;00615B1C&quot;/&gt;&lt;wsp:rsid wsp:val=&quot;00616986&quot;/&gt;&lt;wsp:rsid wsp:val=&quot;00616DD9&quot;/&gt;&lt;wsp:rsid wsp:val=&quot;006170CB&quot;/&gt;&lt;wsp:rsid wsp:val=&quot;00621085&quot;/&gt;&lt;wsp:rsid wsp:val=&quot;00621241&quot;/&gt;&lt;wsp:rsid wsp:val=&quot;00621920&quot;/&gt;&lt;wsp:rsid wsp:val=&quot;00621EB7&quot;/&gt;&lt;wsp:rsid wsp:val=&quot;006220B0&quot;/&gt;&lt;wsp:rsid wsp:val=&quot;006221A8&quot;/&gt;&lt;wsp:rsid wsp:val=&quot;0062241A&quot;/&gt;&lt;wsp:rsid wsp:val=&quot;00622748&quot;/&gt;&lt;wsp:rsid wsp:val=&quot;00623AF4&quot;/&gt;&lt;wsp:rsid wsp:val=&quot;00623FA6&quot;/&gt;&lt;wsp:rsid wsp:val=&quot;00624F07&quot;/&gt;&lt;wsp:rsid wsp:val=&quot;00625084&quot;/&gt;&lt;wsp:rsid wsp:val=&quot;0062548C&quot;/&gt;&lt;wsp:rsid wsp:val=&quot;006256C7&quot;/&gt;&lt;wsp:rsid wsp:val=&quot;00625BCC&quot;/&gt;&lt;wsp:rsid wsp:val=&quot;00625EA4&quot;/&gt;&lt;wsp:rsid wsp:val=&quot;00626F70&quot;/&gt;&lt;wsp:rsid wsp:val=&quot;006273ED&quot;/&gt;&lt;wsp:rsid wsp:val=&quot;006274AF&quot;/&gt;&lt;wsp:rsid wsp:val=&quot;00627B1B&quot;/&gt;&lt;wsp:rsid wsp:val=&quot;006302D6&quot;/&gt;&lt;wsp:rsid wsp:val=&quot;006308ED&quot;/&gt;&lt;wsp:rsid wsp:val=&quot;0063182D&quot;/&gt;&lt;wsp:rsid wsp:val=&quot;00631A71&quot;/&gt;&lt;wsp:rsid wsp:val=&quot;00631DEE&quot;/&gt;&lt;wsp:rsid wsp:val=&quot;006324BD&quot;/&gt;&lt;wsp:rsid wsp:val=&quot;0063370A&quot;/&gt;&lt;wsp:rsid wsp:val=&quot;00634628&quot;/&gt;&lt;wsp:rsid wsp:val=&quot;00634CF2&quot;/&gt;&lt;wsp:rsid wsp:val=&quot;00636559&quot;/&gt;&lt;wsp:rsid wsp:val=&quot;006374A8&quot;/&gt;&lt;wsp:rsid wsp:val=&quot;00637677&quot;/&gt;&lt;wsp:rsid wsp:val=&quot;00637F6D&quot;/&gt;&lt;wsp:rsid wsp:val=&quot;006402AB&quot;/&gt;&lt;wsp:rsid wsp:val=&quot;00640483&quot;/&gt;&lt;wsp:rsid wsp:val=&quot;00640AD2&quot;/&gt;&lt;wsp:rsid wsp:val=&quot;00640CBA&quot;/&gt;&lt;wsp:rsid wsp:val=&quot;0064126B&quot;/&gt;&lt;wsp:rsid wsp:val=&quot;006424BC&quot;/&gt;&lt;wsp:rsid wsp:val=&quot;0064321D&quot;/&gt;&lt;wsp:rsid wsp:val=&quot;0064341C&quot;/&gt;&lt;wsp:rsid wsp:val=&quot;00643CBD&quot;/&gt;&lt;wsp:rsid wsp:val=&quot;0064424F&quot;/&gt;&lt;wsp:rsid wsp:val=&quot;00644952&quot;/&gt;&lt;wsp:rsid wsp:val=&quot;00644BE5&quot;/&gt;&lt;wsp:rsid wsp:val=&quot;006451DF&quot;/&gt;&lt;wsp:rsid wsp:val=&quot;00645678&quot;/&gt;&lt;wsp:rsid wsp:val=&quot;00646747&quot;/&gt;&lt;wsp:rsid wsp:val=&quot;006468C2&quot;/&gt;&lt;wsp:rsid wsp:val=&quot;00647C94&quot;/&gt;&lt;wsp:rsid wsp:val=&quot;0065232E&quot;/&gt;&lt;wsp:rsid wsp:val=&quot;00652643&quot;/&gt;&lt;wsp:rsid wsp:val=&quot;00652928&quot;/&gt;&lt;wsp:rsid wsp:val=&quot;00653313&quot;/&gt;&lt;wsp:rsid wsp:val=&quot;006535FF&quot;/&gt;&lt;wsp:rsid wsp:val=&quot;006538B3&quot;/&gt;&lt;wsp:rsid wsp:val=&quot;00653DB2&quot;/&gt;&lt;wsp:rsid wsp:val=&quot;00654E6E&quot;/&gt;&lt;wsp:rsid wsp:val=&quot;00655830&quot;/&gt;&lt;wsp:rsid wsp:val=&quot;00655B1E&quot;/&gt;&lt;wsp:rsid wsp:val=&quot;00655C6C&quot;/&gt;&lt;wsp:rsid wsp:val=&quot;00657DC6&quot;/&gt;&lt;wsp:rsid wsp:val=&quot;006607ED&quot;/&gt;&lt;wsp:rsid wsp:val=&quot;00661051&quot;/&gt;&lt;wsp:rsid wsp:val=&quot;00662C35&quot;/&gt;&lt;wsp:rsid wsp:val=&quot;00662CA5&quot;/&gt;&lt;wsp:rsid wsp:val=&quot;006630D4&quot;/&gt;&lt;wsp:rsid wsp:val=&quot;00664D3C&quot;/&gt;&lt;wsp:rsid wsp:val=&quot;00665A93&quot;/&gt;&lt;wsp:rsid wsp:val=&quot;006669DE&quot;/&gt;&lt;wsp:rsid wsp:val=&quot;00666B38&quot;/&gt;&lt;wsp:rsid wsp:val=&quot;00670332&quot;/&gt;&lt;wsp:rsid wsp:val=&quot;00670A07&quot;/&gt;&lt;wsp:rsid wsp:val=&quot;006713C0&quot;/&gt;&lt;wsp:rsid wsp:val=&quot;00671ABF&quot;/&gt;&lt;wsp:rsid wsp:val=&quot;00671BE0&quot;/&gt;&lt;wsp:rsid wsp:val=&quot;00672A1F&quot;/&gt;&lt;wsp:rsid wsp:val=&quot;00672F9E&quot;/&gt;&lt;wsp:rsid wsp:val=&quot;00673D33&quot;/&gt;&lt;wsp:rsid wsp:val=&quot;00673E68&quot;/&gt;&lt;wsp:rsid wsp:val=&quot;0067456C&quot;/&gt;&lt;wsp:rsid wsp:val=&quot;00675544&quot;/&gt;&lt;wsp:rsid wsp:val=&quot;006774AE&quot;/&gt;&lt;wsp:rsid wsp:val=&quot;0067795C&quot;/&gt;&lt;wsp:rsid wsp:val=&quot;00680490&quot;/&gt;&lt;wsp:rsid wsp:val=&quot;006805EA&quot;/&gt;&lt;wsp:rsid wsp:val=&quot;006807C4&quot;/&gt;&lt;wsp:rsid wsp:val=&quot;00680854&quot;/&gt;&lt;wsp:rsid wsp:val=&quot;00681A7A&quot;/&gt;&lt;wsp:rsid wsp:val=&quot;00682556&quot;/&gt;&lt;wsp:rsid wsp:val=&quot;00682A6B&quot;/&gt;&lt;wsp:rsid wsp:val=&quot;00683176&quot;/&gt;&lt;wsp:rsid wsp:val=&quot;00683266&quot;/&gt;&lt;wsp:rsid wsp:val=&quot;0068395B&quot;/&gt;&lt;wsp:rsid wsp:val=&quot;00683CDD&quot;/&gt;&lt;wsp:rsid wsp:val=&quot;0068427D&quot;/&gt;&lt;wsp:rsid wsp:val=&quot;0068440B&quot;/&gt;&lt;wsp:rsid wsp:val=&quot;006863FF&quot;/&gt;&lt;wsp:rsid wsp:val=&quot;00686456&quot;/&gt;&lt;wsp:rsid wsp:val=&quot;00686958&quot;/&gt;&lt;wsp:rsid wsp:val=&quot;00686E10&quot;/&gt;&lt;wsp:rsid wsp:val=&quot;00687B0A&quot;/&gt;&lt;wsp:rsid wsp:val=&quot;00687C20&quot;/&gt;&lt;wsp:rsid wsp:val=&quot;00690864&quot;/&gt;&lt;wsp:rsid wsp:val=&quot;00690F5F&quot;/&gt;&lt;wsp:rsid wsp:val=&quot;00691278&quot;/&gt;&lt;wsp:rsid wsp:val=&quot;006912E5&quot;/&gt;&lt;wsp:rsid wsp:val=&quot;00691909&quot;/&gt;&lt;wsp:rsid wsp:val=&quot;0069205C&quot;/&gt;&lt;wsp:rsid wsp:val=&quot;00693181&quot;/&gt;&lt;wsp:rsid wsp:val=&quot;00693635&quot;/&gt;&lt;wsp:rsid wsp:val=&quot;006945E7&quot;/&gt;&lt;wsp:rsid wsp:val=&quot;00694F28&quot;/&gt;&lt;wsp:rsid wsp:val=&quot;00695C6F&quot;/&gt;&lt;wsp:rsid wsp:val=&quot;0069774B&quot;/&gt;&lt;wsp:rsid wsp:val=&quot;00697B4F&quot;/&gt;&lt;wsp:rsid wsp:val=&quot;006A012C&quot;/&gt;&lt;wsp:rsid wsp:val=&quot;006A0B6E&quot;/&gt;&lt;wsp:rsid wsp:val=&quot;006A0E2C&quot;/&gt;&lt;wsp:rsid wsp:val=&quot;006A16CE&quot;/&gt;&lt;wsp:rsid wsp:val=&quot;006A1FC3&quot;/&gt;&lt;wsp:rsid wsp:val=&quot;006A21F6&quot;/&gt;&lt;wsp:rsid wsp:val=&quot;006A2625&quot;/&gt;&lt;wsp:rsid wsp:val=&quot;006A262F&quot;/&gt;&lt;wsp:rsid wsp:val=&quot;006A2D3F&quot;/&gt;&lt;wsp:rsid wsp:val=&quot;006A2EAC&quot;/&gt;&lt;wsp:rsid wsp:val=&quot;006A2F7C&quot;/&gt;&lt;wsp:rsid wsp:val=&quot;006A3100&quot;/&gt;&lt;wsp:rsid wsp:val=&quot;006A451A&quot;/&gt;&lt;wsp:rsid wsp:val=&quot;006A5AB0&quot;/&gt;&lt;wsp:rsid wsp:val=&quot;006A6271&quot;/&gt;&lt;wsp:rsid wsp:val=&quot;006A62E6&quot;/&gt;&lt;wsp:rsid wsp:val=&quot;006A7005&quot;/&gt;&lt;wsp:rsid wsp:val=&quot;006A7DAF&quot;/&gt;&lt;wsp:rsid wsp:val=&quot;006B1113&quot;/&gt;&lt;wsp:rsid wsp:val=&quot;006B1652&quot;/&gt;&lt;wsp:rsid wsp:val=&quot;006B448A&quot;/&gt;&lt;wsp:rsid wsp:val=&quot;006B470C&quot;/&gt;&lt;wsp:rsid wsp:val=&quot;006B4C87&quot;/&gt;&lt;wsp:rsid wsp:val=&quot;006B5284&quot;/&gt;&lt;wsp:rsid wsp:val=&quot;006B5597&quot;/&gt;&lt;wsp:rsid wsp:val=&quot;006C05BE&quot;/&gt;&lt;wsp:rsid wsp:val=&quot;006C1ECE&quot;/&gt;&lt;wsp:rsid wsp:val=&quot;006C2936&quot;/&gt;&lt;wsp:rsid wsp:val=&quot;006C388B&quot;/&gt;&lt;wsp:rsid wsp:val=&quot;006C42E3&quot;/&gt;&lt;wsp:rsid wsp:val=&quot;006C4D27&quot;/&gt;&lt;wsp:rsid wsp:val=&quot;006C656A&quot;/&gt;&lt;wsp:rsid wsp:val=&quot;006C711F&quot;/&gt;&lt;wsp:rsid wsp:val=&quot;006C727D&quot;/&gt;&lt;wsp:rsid wsp:val=&quot;006C73FE&quot;/&gt;&lt;wsp:rsid wsp:val=&quot;006C7451&quot;/&gt;&lt;wsp:rsid wsp:val=&quot;006C7DDE&quot;/&gt;&lt;wsp:rsid wsp:val=&quot;006C7E11&quot;/&gt;&lt;wsp:rsid wsp:val=&quot;006C7F0F&quot;/&gt;&lt;wsp:rsid wsp:val=&quot;006D22D9&quot;/&gt;&lt;wsp:rsid wsp:val=&quot;006D5591&quot;/&gt;&lt;wsp:rsid wsp:val=&quot;006D585A&quot;/&gt;&lt;wsp:rsid wsp:val=&quot;006D7280&quot;/&gt;&lt;wsp:rsid wsp:val=&quot;006D74E0&quot;/&gt;&lt;wsp:rsid wsp:val=&quot;006E105A&quot;/&gt;&lt;wsp:rsid wsp:val=&quot;006E1F96&quot;/&gt;&lt;wsp:rsid wsp:val=&quot;006E2645&quot;/&gt;&lt;wsp:rsid wsp:val=&quot;006E2B69&quot;/&gt;&lt;wsp:rsid wsp:val=&quot;006E2BC6&quot;/&gt;&lt;wsp:rsid wsp:val=&quot;006E3DFA&quot;/&gt;&lt;wsp:rsid wsp:val=&quot;006E468D&quot;/&gt;&lt;wsp:rsid wsp:val=&quot;006E47A3&quot;/&gt;&lt;wsp:rsid wsp:val=&quot;006E5685&quot;/&gt;&lt;wsp:rsid wsp:val=&quot;006E5B03&quot;/&gt;&lt;wsp:rsid wsp:val=&quot;006E5B95&quot;/&gt;&lt;wsp:rsid wsp:val=&quot;006E7069&quot;/&gt;&lt;wsp:rsid wsp:val=&quot;006E7FA2&quot;/&gt;&lt;wsp:rsid wsp:val=&quot;006F023F&quot;/&gt;&lt;wsp:rsid wsp:val=&quot;006F0445&quot;/&gt;&lt;wsp:rsid wsp:val=&quot;006F0B2E&quot;/&gt;&lt;wsp:rsid wsp:val=&quot;006F0F32&quot;/&gt;&lt;wsp:rsid wsp:val=&quot;006F0FA9&quot;/&gt;&lt;wsp:rsid wsp:val=&quot;006F1A99&quot;/&gt;&lt;wsp:rsid wsp:val=&quot;006F221E&quot;/&gt;&lt;wsp:rsid wsp:val=&quot;006F2E01&quot;/&gt;&lt;wsp:rsid wsp:val=&quot;006F40D8&quot;/&gt;&lt;wsp:rsid wsp:val=&quot;006F4440&quot;/&gt;&lt;wsp:rsid wsp:val=&quot;006F4BEC&quot;/&gt;&lt;wsp:rsid wsp:val=&quot;006F4DFF&quot;/&gt;&lt;wsp:rsid wsp:val=&quot;006F6248&quot;/&gt;&lt;wsp:rsid wsp:val=&quot;006F6379&quot;/&gt;&lt;wsp:rsid wsp:val=&quot;006F732A&quot;/&gt;&lt;wsp:rsid wsp:val=&quot;006F76F9&quot;/&gt;&lt;wsp:rsid wsp:val=&quot;00700014&quot;/&gt;&lt;wsp:rsid wsp:val=&quot;00701D3F&quot;/&gt;&lt;wsp:rsid wsp:val=&quot;00702447&quot;/&gt;&lt;wsp:rsid wsp:val=&quot;00702FEA&quot;/&gt;&lt;wsp:rsid wsp:val=&quot;0070307A&quot;/&gt;&lt;wsp:rsid wsp:val=&quot;00703B26&quot;/&gt;&lt;wsp:rsid wsp:val=&quot;007042E6&quot;/&gt;&lt;wsp:rsid wsp:val=&quot;007067B6&quot;/&gt;&lt;wsp:rsid wsp:val=&quot;00706805&quot;/&gt;&lt;wsp:rsid wsp:val=&quot;0070693F&quot;/&gt;&lt;wsp:rsid wsp:val=&quot;00707112&quot;/&gt;&lt;wsp:rsid wsp:val=&quot;007077F2&quot;/&gt;&lt;wsp:rsid wsp:val=&quot;00707B90&quot;/&gt;&lt;wsp:rsid wsp:val=&quot;00707ED5&quot;/&gt;&lt;wsp:rsid wsp:val=&quot;007101D4&quot;/&gt;&lt;wsp:rsid wsp:val=&quot;00710FCD&quot;/&gt;&lt;wsp:rsid wsp:val=&quot;00711AB3&quot;/&gt;&lt;wsp:rsid wsp:val=&quot;00711EBB&quot;/&gt;&lt;wsp:rsid wsp:val=&quot;00712EAD&quot;/&gt;&lt;wsp:rsid wsp:val=&quot;007138E4&quot;/&gt;&lt;wsp:rsid wsp:val=&quot;00714540&quot;/&gt;&lt;wsp:rsid wsp:val=&quot;00716319&quot;/&gt;&lt;wsp:rsid wsp:val=&quot;00716D8B&quot;/&gt;&lt;wsp:rsid wsp:val=&quot;00720876&quot;/&gt;&lt;wsp:rsid wsp:val=&quot;007210BD&quot;/&gt;&lt;wsp:rsid wsp:val=&quot;00721484&quot;/&gt;&lt;wsp:rsid wsp:val=&quot;007227F6&quot;/&gt;&lt;wsp:rsid wsp:val=&quot;007228EA&quot;/&gt;&lt;wsp:rsid wsp:val=&quot;00723437&quot;/&gt;&lt;wsp:rsid wsp:val=&quot;00723AA8&quot;/&gt;&lt;wsp:rsid wsp:val=&quot;007240D5&quot;/&gt;&lt;wsp:rsid wsp:val=&quot;00724268&quot;/&gt;&lt;wsp:rsid wsp:val=&quot;007245F2&quot;/&gt;&lt;wsp:rsid wsp:val=&quot;00725038&quot;/&gt;&lt;wsp:rsid wsp:val=&quot;00725851&quot;/&gt;&lt;wsp:rsid wsp:val=&quot;007267FD&quot;/&gt;&lt;wsp:rsid wsp:val=&quot;00730681&quot;/&gt;&lt;wsp:rsid wsp:val=&quot;0073138B&quot;/&gt;&lt;wsp:rsid wsp:val=&quot;00732196&quot;/&gt;&lt;wsp:rsid wsp:val=&quot;007322DE&quot;/&gt;&lt;wsp:rsid wsp:val=&quot;00732A7F&quot;/&gt;&lt;wsp:rsid wsp:val=&quot;007334AC&quot;/&gt;&lt;wsp:rsid wsp:val=&quot;00734B34&quot;/&gt;&lt;wsp:rsid wsp:val=&quot;00734CFD&quot;/&gt;&lt;wsp:rsid wsp:val=&quot;00737772&quot;/&gt;&lt;wsp:rsid wsp:val=&quot;00740570&quot;/&gt;&lt;wsp:rsid wsp:val=&quot;0074114B&quot;/&gt;&lt;wsp:rsid wsp:val=&quot;007411E0&quot;/&gt;&lt;wsp:rsid wsp:val=&quot;00742BDF&quot;/&gt;&lt;wsp:rsid wsp:val=&quot;007431F0&quot;/&gt;&lt;wsp:rsid wsp:val=&quot;007435FF&quot;/&gt;&lt;wsp:rsid wsp:val=&quot;0074370B&quot;/&gt;&lt;wsp:rsid wsp:val=&quot;00744328&quot;/&gt;&lt;wsp:rsid wsp:val=&quot;00744A21&quot;/&gt;&lt;wsp:rsid wsp:val=&quot;00744F06&quot;/&gt;&lt;wsp:rsid wsp:val=&quot;00746BBA&quot;/&gt;&lt;wsp:rsid wsp:val=&quot;00746FC8&quot;/&gt;&lt;wsp:rsid wsp:val=&quot;0074730F&quot;/&gt;&lt;wsp:rsid wsp:val=&quot;00752D68&quot;/&gt;&lt;wsp:rsid wsp:val=&quot;00752E56&quot;/&gt;&lt;wsp:rsid wsp:val=&quot;007541A8&quot;/&gt;&lt;wsp:rsid wsp:val=&quot;007543F4&quot;/&gt;&lt;wsp:rsid wsp:val=&quot;00754B98&quot;/&gt;&lt;wsp:rsid wsp:val=&quot;00754D51&quot;/&gt;&lt;wsp:rsid wsp:val=&quot;00754F4C&quot;/&gt;&lt;wsp:rsid wsp:val=&quot;00756AD5&quot;/&gt;&lt;wsp:rsid wsp:val=&quot;007576F0&quot;/&gt;&lt;wsp:rsid wsp:val=&quot;00757E75&quot;/&gt;&lt;wsp:rsid wsp:val=&quot;007606F5&quot;/&gt;&lt;wsp:rsid wsp:val=&quot;00760B74&quot;/&gt;&lt;wsp:rsid wsp:val=&quot;00761426&quot;/&gt;&lt;wsp:rsid wsp:val=&quot;00761AAC&quot;/&gt;&lt;wsp:rsid wsp:val=&quot;00761E26&quot;/&gt;&lt;wsp:rsid wsp:val=&quot;007626A8&quot;/&gt;&lt;wsp:rsid wsp:val=&quot;00762B0C&quot;/&gt;&lt;wsp:rsid wsp:val=&quot;007631BE&quot;/&gt;&lt;wsp:rsid wsp:val=&quot;007637FC&quot;/&gt;&lt;wsp:rsid wsp:val=&quot;007639FF&quot;/&gt;&lt;wsp:rsid wsp:val=&quot;00763AB7&quot;/&gt;&lt;wsp:rsid wsp:val=&quot;00764B7C&quot;/&gt;&lt;wsp:rsid wsp:val=&quot;00766E6C&quot;/&gt;&lt;wsp:rsid wsp:val=&quot;0076717C&quot;/&gt;&lt;wsp:rsid wsp:val=&quot;00770232&quot;/&gt;&lt;wsp:rsid wsp:val=&quot;007702B2&quot;/&gt;&lt;wsp:rsid wsp:val=&quot;00770500&quot;/&gt;&lt;wsp:rsid wsp:val=&quot;00771422&quot;/&gt;&lt;wsp:rsid wsp:val=&quot;00771BC9&quot;/&gt;&lt;wsp:rsid wsp:val=&quot;00771C95&quot;/&gt;&lt;wsp:rsid wsp:val=&quot;00772B9A&quot;/&gt;&lt;wsp:rsid wsp:val=&quot;00772D71&quot;/&gt;&lt;wsp:rsid wsp:val=&quot;00773168&quot;/&gt;&lt;wsp:rsid wsp:val=&quot;007735CD&quot;/&gt;&lt;wsp:rsid wsp:val=&quot;007741C2&quot;/&gt;&lt;wsp:rsid wsp:val=&quot;00774518&quot;/&gt;&lt;wsp:rsid wsp:val=&quot;00774709&quot;/&gt;&lt;wsp:rsid wsp:val=&quot;00775E56&quot;/&gt;&lt;wsp:rsid wsp:val=&quot;007760A6&quot;/&gt;&lt;wsp:rsid wsp:val=&quot;00777D8A&quot;/&gt;&lt;wsp:rsid wsp:val=&quot;00777DD1&quot;/&gt;&lt;wsp:rsid wsp:val=&quot;00780E98&quot;/&gt;&lt;wsp:rsid wsp:val=&quot;0078149C&quot;/&gt;&lt;wsp:rsid wsp:val=&quot;0078251E&quot;/&gt;&lt;wsp:rsid wsp:val=&quot;00782FA9&quot;/&gt;&lt;wsp:rsid wsp:val=&quot;00784C5D&quot;/&gt;&lt;wsp:rsid wsp:val=&quot;0078622E&quot;/&gt;&lt;wsp:rsid wsp:val=&quot;007870D0&quot;/&gt;&lt;wsp:rsid wsp:val=&quot;0078742D&quot;/&gt;&lt;wsp:rsid wsp:val=&quot;00787C04&quot;/&gt;&lt;wsp:rsid wsp:val=&quot;00790335&quot;/&gt;&lt;wsp:rsid wsp:val=&quot;00790A3B&quot;/&gt;&lt;wsp:rsid wsp:val=&quot;00791ED3&quot;/&gt;&lt;wsp:rsid wsp:val=&quot;007933C5&quot;/&gt;&lt;wsp:rsid wsp:val=&quot;00793F7E&quot;/&gt;&lt;wsp:rsid wsp:val=&quot;00793FE6&quot;/&gt;&lt;wsp:rsid wsp:val=&quot;0079431E&quot;/&gt;&lt;wsp:rsid wsp:val=&quot;0079524E&quot;/&gt;&lt;wsp:rsid wsp:val=&quot;00795B81&quot;/&gt;&lt;wsp:rsid wsp:val=&quot;00795C7F&quot;/&gt;&lt;wsp:rsid wsp:val=&quot;007967BE&quot;/&gt;&lt;wsp:rsid wsp:val=&quot;00796D6C&quot;/&gt;&lt;wsp:rsid wsp:val=&quot;00796F1E&quot;/&gt;&lt;wsp:rsid wsp:val=&quot;007A0931&quot;/&gt;&lt;wsp:rsid wsp:val=&quot;007A0FAA&quot;/&gt;&lt;wsp:rsid wsp:val=&quot;007A112A&quot;/&gt;&lt;wsp:rsid wsp:val=&quot;007A239B&quot;/&gt;&lt;wsp:rsid wsp:val=&quot;007A240E&quot;/&gt;&lt;wsp:rsid wsp:val=&quot;007A2891&quot;/&gt;&lt;wsp:rsid wsp:val=&quot;007A358C&quot;/&gt;&lt;wsp:rsid wsp:val=&quot;007A3CE3&quot;/&gt;&lt;wsp:rsid wsp:val=&quot;007A6936&quot;/&gt;&lt;wsp:rsid wsp:val=&quot;007A784B&quot;/&gt;&lt;wsp:rsid wsp:val=&quot;007A791F&quot;/&gt;&lt;wsp:rsid wsp:val=&quot;007A7BBF&quot;/&gt;&lt;wsp:rsid wsp:val=&quot;007A7D9C&quot;/&gt;&lt;wsp:rsid wsp:val=&quot;007B005A&quot;/&gt;&lt;wsp:rsid wsp:val=&quot;007B1CB3&quot;/&gt;&lt;wsp:rsid wsp:val=&quot;007B340C&quot;/&gt;&lt;wsp:rsid wsp:val=&quot;007B413F&quot;/&gt;&lt;wsp:rsid wsp:val=&quot;007B47F1&quot;/&gt;&lt;wsp:rsid wsp:val=&quot;007B552A&quot;/&gt;&lt;wsp:rsid wsp:val=&quot;007B579E&quot;/&gt;&lt;wsp:rsid wsp:val=&quot;007B5CCD&quot;/&gt;&lt;wsp:rsid wsp:val=&quot;007B6AC4&quot;/&gt;&lt;wsp:rsid wsp:val=&quot;007B6C34&quot;/&gt;&lt;wsp:rsid wsp:val=&quot;007B6F98&quot;/&gt;&lt;wsp:rsid wsp:val=&quot;007B7490&quot;/&gt;&lt;wsp:rsid wsp:val=&quot;007B79D4&quot;/&gt;&lt;wsp:rsid wsp:val=&quot;007B7BA3&quot;/&gt;&lt;wsp:rsid wsp:val=&quot;007C0407&quot;/&gt;&lt;wsp:rsid wsp:val=&quot;007C1638&quot;/&gt;&lt;wsp:rsid wsp:val=&quot;007C1AD6&quot;/&gt;&lt;wsp:rsid wsp:val=&quot;007C345F&quot;/&gt;&lt;wsp:rsid wsp:val=&quot;007C3FC4&quot;/&gt;&lt;wsp:rsid wsp:val=&quot;007C49E2&quot;/&gt;&lt;wsp:rsid wsp:val=&quot;007C5C74&quot;/&gt;&lt;wsp:rsid wsp:val=&quot;007C660A&quot;/&gt;&lt;wsp:rsid wsp:val=&quot;007C6914&quot;/&gt;&lt;wsp:rsid wsp:val=&quot;007C6DAC&quot;/&gt;&lt;wsp:rsid wsp:val=&quot;007D1345&quot;/&gt;&lt;wsp:rsid wsp:val=&quot;007D191C&quot;/&gt;&lt;wsp:rsid wsp:val=&quot;007D1D2D&quot;/&gt;&lt;wsp:rsid wsp:val=&quot;007D2549&quot;/&gt;&lt;wsp:rsid wsp:val=&quot;007D273C&quot;/&gt;&lt;wsp:rsid wsp:val=&quot;007D2B38&quot;/&gt;&lt;wsp:rsid wsp:val=&quot;007D2C43&quot;/&gt;&lt;wsp:rsid wsp:val=&quot;007D2E41&quot;/&gt;&lt;wsp:rsid wsp:val=&quot;007D2EA8&quot;/&gt;&lt;wsp:rsid wsp:val=&quot;007D3B60&quot;/&gt;&lt;wsp:rsid wsp:val=&quot;007D4308&quot;/&gt;&lt;wsp:rsid wsp:val=&quot;007D44D4&quot;/&gt;&lt;wsp:rsid wsp:val=&quot;007D4587&quot;/&gt;&lt;wsp:rsid wsp:val=&quot;007D45DD&quot;/&gt;&lt;wsp:rsid wsp:val=&quot;007D494F&quot;/&gt;&lt;wsp:rsid wsp:val=&quot;007D4FC3&quot;/&gt;&lt;wsp:rsid wsp:val=&quot;007D5795&quot;/&gt;&lt;wsp:rsid wsp:val=&quot;007D57AE&quot;/&gt;&lt;wsp:rsid wsp:val=&quot;007D5C58&quot;/&gt;&lt;wsp:rsid wsp:val=&quot;007D6C30&quot;/&gt;&lt;wsp:rsid wsp:val=&quot;007D775C&quot;/&gt;&lt;wsp:rsid wsp:val=&quot;007E0D33&quot;/&gt;&lt;wsp:rsid wsp:val=&quot;007E1CA3&quot;/&gt;&lt;wsp:rsid wsp:val=&quot;007E1E15&quot;/&gt;&lt;wsp:rsid wsp:val=&quot;007E2F23&quot;/&gt;&lt;wsp:rsid wsp:val=&quot;007E365B&quot;/&gt;&lt;wsp:rsid wsp:val=&quot;007E5692&quot;/&gt;&lt;wsp:rsid wsp:val=&quot;007E5FFE&quot;/&gt;&lt;wsp:rsid wsp:val=&quot;007E6048&quot;/&gt;&lt;wsp:rsid wsp:val=&quot;007E6E42&quot;/&gt;&lt;wsp:rsid wsp:val=&quot;007E76C6&quot;/&gt;&lt;wsp:rsid wsp:val=&quot;007E7E33&quot;/&gt;&lt;wsp:rsid wsp:val=&quot;007F0A76&quot;/&gt;&lt;wsp:rsid wsp:val=&quot;007F0C54&quot;/&gt;&lt;wsp:rsid wsp:val=&quot;007F10F6&quot;/&gt;&lt;wsp:rsid wsp:val=&quot;007F2717&quot;/&gt;&lt;wsp:rsid wsp:val=&quot;007F271B&quot;/&gt;&lt;wsp:rsid wsp:val=&quot;007F3253&quot;/&gt;&lt;wsp:rsid wsp:val=&quot;007F3813&quot;/&gt;&lt;wsp:rsid wsp:val=&quot;007F3935&quot;/&gt;&lt;wsp:rsid wsp:val=&quot;007F3F49&quot;/&gt;&lt;wsp:rsid wsp:val=&quot;007F4BDB&quot;/&gt;&lt;wsp:rsid wsp:val=&quot;007F4E7D&quot;/&gt;&lt;wsp:rsid wsp:val=&quot;007F55FC&quot;/&gt;&lt;wsp:rsid wsp:val=&quot;007F593B&quot;/&gt;&lt;wsp:rsid wsp:val=&quot;007F5A71&quot;/&gt;&lt;wsp:rsid wsp:val=&quot;007F6CE9&quot;/&gt;&lt;wsp:rsid wsp:val=&quot;007F7609&quot;/&gt;&lt;wsp:rsid wsp:val=&quot;007F7978&quot;/&gt;&lt;wsp:rsid wsp:val=&quot;00800E5C&quot;/&gt;&lt;wsp:rsid wsp:val=&quot;008015FC&quot;/&gt;&lt;wsp:rsid wsp:val=&quot;008034A9&quot;/&gt;&lt;wsp:rsid wsp:val=&quot;00803A17&quot;/&gt;&lt;wsp:rsid wsp:val=&quot;00804922&quot;/&gt;&lt;wsp:rsid wsp:val=&quot;008056AA&quot;/&gt;&lt;wsp:rsid wsp:val=&quot;00805C58&quot;/&gt;&lt;wsp:rsid wsp:val=&quot;008063B3&quot;/&gt;&lt;wsp:rsid wsp:val=&quot;0080732B&quot;/&gt;&lt;wsp:rsid wsp:val=&quot;00807A1F&quot;/&gt;&lt;wsp:rsid wsp:val=&quot;0081201E&quot;/&gt;&lt;wsp:rsid wsp:val=&quot;008123F3&quot;/&gt;&lt;wsp:rsid wsp:val=&quot;00812D71&quot;/&gt;&lt;wsp:rsid wsp:val=&quot;00812DC9&quot;/&gt;&lt;wsp:rsid wsp:val=&quot;00813005&quot;/&gt;&lt;wsp:rsid wsp:val=&quot;0081348B&quot;/&gt;&lt;wsp:rsid wsp:val=&quot;0081378D&quot;/&gt;&lt;wsp:rsid wsp:val=&quot;0081393C&quot;/&gt;&lt;wsp:rsid wsp:val=&quot;00813B6D&quot;/&gt;&lt;wsp:rsid wsp:val=&quot;00814E74&quot;/&gt;&lt;wsp:rsid wsp:val=&quot;00815773&quot;/&gt;&lt;wsp:rsid wsp:val=&quot;0081587B&quot;/&gt;&lt;wsp:rsid wsp:val=&quot;00817538&quot;/&gt;&lt;wsp:rsid wsp:val=&quot;008177F8&quot;/&gt;&lt;wsp:rsid wsp:val=&quot;00821DBC&quot;/&gt;&lt;wsp:rsid wsp:val=&quot;00821E2D&quot;/&gt;&lt;wsp:rsid wsp:val=&quot;0082242E&quot;/&gt;&lt;wsp:rsid wsp:val=&quot;0082303F&quot;/&gt;&lt;wsp:rsid wsp:val=&quot;0082361D&quot;/&gt;&lt;wsp:rsid wsp:val=&quot;0082383A&quot;/&gt;&lt;wsp:rsid wsp:val=&quot;00824D7E&quot;/&gt;&lt;wsp:rsid wsp:val=&quot;008252DF&quot;/&gt;&lt;wsp:rsid wsp:val=&quot;008252F6&quot;/&gt;&lt;wsp:rsid wsp:val=&quot;0082597B&quot;/&gt;&lt;wsp:rsid wsp:val=&quot;00827354&quot;/&gt;&lt;wsp:rsid wsp:val=&quot;00830B2F&quot;/&gt;&lt;wsp:rsid wsp:val=&quot;00830DD4&quot;/&gt;&lt;wsp:rsid wsp:val=&quot;0083175E&quot;/&gt;&lt;wsp:rsid wsp:val=&quot;008317CB&quot;/&gt;&lt;wsp:rsid wsp:val=&quot;0083224B&quot;/&gt;&lt;wsp:rsid wsp:val=&quot;0083291A&quot;/&gt;&lt;wsp:rsid wsp:val=&quot;00833256&quot;/&gt;&lt;wsp:rsid wsp:val=&quot;008348E7&quot;/&gt;&lt;wsp:rsid wsp:val=&quot;00834B3A&quot;/&gt;&lt;wsp:rsid wsp:val=&quot;00834BDC&quot;/&gt;&lt;wsp:rsid wsp:val=&quot;008351A3&quot;/&gt;&lt;wsp:rsid wsp:val=&quot;00836050&quot;/&gt;&lt;wsp:rsid wsp:val=&quot;00836BB0&quot;/&gt;&lt;wsp:rsid wsp:val=&quot;00836DD9&quot;/&gt;&lt;wsp:rsid wsp:val=&quot;00837795&quot;/&gt;&lt;wsp:rsid wsp:val=&quot;00837E2C&quot;/&gt;&lt;wsp:rsid wsp:val=&quot;00840421&quot;/&gt;&lt;wsp:rsid wsp:val=&quot;008423BE&quot;/&gt;&lt;wsp:rsid wsp:val=&quot;00843615&quot;/&gt;&lt;wsp:rsid wsp:val=&quot;00844208&quot;/&gt;&lt;wsp:rsid wsp:val=&quot;00844AC1&quot;/&gt;&lt;wsp:rsid wsp:val=&quot;008451E8&quot;/&gt;&lt;wsp:rsid wsp:val=&quot;008452AB&quot;/&gt;&lt;wsp:rsid wsp:val=&quot;00850107&quot;/&gt;&lt;wsp:rsid wsp:val=&quot;00851906&quot;/&gt;&lt;wsp:rsid wsp:val=&quot;008519AE&quot;/&gt;&lt;wsp:rsid wsp:val=&quot;00851E32&quot;/&gt;&lt;wsp:rsid wsp:val=&quot;00852A89&quot;/&gt;&lt;wsp:rsid wsp:val=&quot;00853B7B&quot;/&gt;&lt;wsp:rsid wsp:val=&quot;00855238&quot;/&gt;&lt;wsp:rsid wsp:val=&quot;008556CC&quot;/&gt;&lt;wsp:rsid wsp:val=&quot;00856B1C&quot;/&gt;&lt;wsp:rsid wsp:val=&quot;00856B6A&quot;/&gt;&lt;wsp:rsid wsp:val=&quot;00857C35&quot;/&gt;&lt;wsp:rsid wsp:val=&quot;00857CF7&quot;/&gt;&lt;wsp:rsid wsp:val=&quot;00860671&quot;/&gt;&lt;wsp:rsid wsp:val=&quot;00861729&quot;/&gt;&lt;wsp:rsid wsp:val=&quot;0086187C&quot;/&gt;&lt;wsp:rsid wsp:val=&quot;00862AC8&quot;/&gt;&lt;wsp:rsid wsp:val=&quot;00862CA4&quot;/&gt;&lt;wsp:rsid wsp:val=&quot;0086380B&quot;/&gt;&lt;wsp:rsid wsp:val=&quot;008650B8&quot;/&gt;&lt;wsp:rsid wsp:val=&quot;008655A6&quot;/&gt;&lt;wsp:rsid wsp:val=&quot;008660B2&quot;/&gt;&lt;wsp:rsid wsp:val=&quot;00866D99&quot;/&gt;&lt;wsp:rsid wsp:val=&quot;008673C6&quot;/&gt;&lt;wsp:rsid wsp:val=&quot;008703E2&quot;/&gt;&lt;wsp:rsid wsp:val=&quot;00870A44&quot;/&gt;&lt;wsp:rsid wsp:val=&quot;00872E48&quot;/&gt;&lt;wsp:rsid wsp:val=&quot;00872ECF&quot;/&gt;&lt;wsp:rsid wsp:val=&quot;00873082&quot;/&gt;&lt;wsp:rsid wsp:val=&quot;00873C08&quot;/&gt;&lt;wsp:rsid wsp:val=&quot;00873D8E&quot;/&gt;&lt;wsp:rsid wsp:val=&quot;00873EEC&quot;/&gt;&lt;wsp:rsid wsp:val=&quot;00874691&quot;/&gt;&lt;wsp:rsid wsp:val=&quot;00874A50&quot;/&gt;&lt;wsp:rsid wsp:val=&quot;0087608C&quot;/&gt;&lt;wsp:rsid wsp:val=&quot;0087665C&quot;/&gt;&lt;wsp:rsid wsp:val=&quot;008771FA&quot;/&gt;&lt;wsp:rsid wsp:val=&quot;00877329&quot;/&gt;&lt;wsp:rsid wsp:val=&quot;00880767&quot;/&gt;&lt;wsp:rsid wsp:val=&quot;00880B16&quot;/&gt;&lt;wsp:rsid wsp:val=&quot;00881636&quot;/&gt;&lt;wsp:rsid wsp:val=&quot;00881816&quot;/&gt;&lt;wsp:rsid wsp:val=&quot;00881A0D&quot;/&gt;&lt;wsp:rsid wsp:val=&quot;00882089&quot;/&gt;&lt;wsp:rsid wsp:val=&quot;00882A54&quot;/&gt;&lt;wsp:rsid wsp:val=&quot;00882F67&quot;/&gt;&lt;wsp:rsid wsp:val=&quot;0088368A&quot;/&gt;&lt;wsp:rsid wsp:val=&quot;00884E2F&quot;/&gt;&lt;wsp:rsid wsp:val=&quot;00884E83&quot;/&gt;&lt;wsp:rsid wsp:val=&quot;00884FFC&quot;/&gt;&lt;wsp:rsid wsp:val=&quot;00885DC7&quot;/&gt;&lt;wsp:rsid wsp:val=&quot;00886339&quot;/&gt;&lt;wsp:rsid wsp:val=&quot;008873C7&quot;/&gt;&lt;wsp:rsid wsp:val=&quot;0089014B&quot;/&gt;&lt;wsp:rsid wsp:val=&quot;00891005&quot;/&gt;&lt;wsp:rsid wsp:val=&quot;00891CD0&quot;/&gt;&lt;wsp:rsid wsp:val=&quot;008922B1&quot;/&gt;&lt;wsp:rsid wsp:val=&quot;008925FD&quot;/&gt;&lt;wsp:rsid wsp:val=&quot;00893586&quot;/&gt;&lt;wsp:rsid wsp:val=&quot;00894D02&quot;/&gt;&lt;wsp:rsid wsp:val=&quot;00895665&quot;/&gt;&lt;wsp:rsid wsp:val=&quot;00896988&quot;/&gt;&lt;wsp:rsid wsp:val=&quot;00896C3B&quot;/&gt;&lt;wsp:rsid wsp:val=&quot;008976BF&quot;/&gt;&lt;wsp:rsid wsp:val=&quot;008A0B8C&quot;/&gt;&lt;wsp:rsid wsp:val=&quot;008A0C73&quot;/&gt;&lt;wsp:rsid wsp:val=&quot;008A1809&quot;/&gt;&lt;wsp:rsid wsp:val=&quot;008A2D3A&quot;/&gt;&lt;wsp:rsid wsp:val=&quot;008A2E64&quot;/&gt;&lt;wsp:rsid wsp:val=&quot;008A36FF&quot;/&gt;&lt;wsp:rsid wsp:val=&quot;008A4776&quot;/&gt;&lt;wsp:rsid wsp:val=&quot;008A4ABE&quot;/&gt;&lt;wsp:rsid wsp:val=&quot;008A60B0&quot;/&gt;&lt;wsp:rsid wsp:val=&quot;008A618D&quot;/&gt;&lt;wsp:rsid wsp:val=&quot;008A68B0&quot;/&gt;&lt;wsp:rsid wsp:val=&quot;008A6D55&quot;/&gt;&lt;wsp:rsid wsp:val=&quot;008A7037&quot;/&gt;&lt;wsp:rsid wsp:val=&quot;008A7104&quot;/&gt;&lt;wsp:rsid wsp:val=&quot;008A7904&quot;/&gt;&lt;wsp:rsid wsp:val=&quot;008B118B&quot;/&gt;&lt;wsp:rsid wsp:val=&quot;008B13A0&quot;/&gt;&lt;wsp:rsid wsp:val=&quot;008B1411&quot;/&gt;&lt;wsp:rsid wsp:val=&quot;008B26ED&quot;/&gt;&lt;wsp:rsid wsp:val=&quot;008B2BB1&quot;/&gt;&lt;wsp:rsid wsp:val=&quot;008B2D5E&quot;/&gt;&lt;wsp:rsid wsp:val=&quot;008B2E91&quot;/&gt;&lt;wsp:rsid wsp:val=&quot;008B340C&quot;/&gt;&lt;wsp:rsid wsp:val=&quot;008B35F3&quot;/&gt;&lt;wsp:rsid wsp:val=&quot;008B5510&quot;/&gt;&lt;wsp:rsid wsp:val=&quot;008B5C7D&quot;/&gt;&lt;wsp:rsid wsp:val=&quot;008B79A9&quot;/&gt;&lt;wsp:rsid wsp:val=&quot;008C2689&quot;/&gt;&lt;wsp:rsid wsp:val=&quot;008C2BF9&quot;/&gt;&lt;wsp:rsid wsp:val=&quot;008C2CD9&quot;/&gt;&lt;wsp:rsid wsp:val=&quot;008C3C09&quot;/&gt;&lt;wsp:rsid wsp:val=&quot;008C47B4&quot;/&gt;&lt;wsp:rsid wsp:val=&quot;008C53CB&quot;/&gt;&lt;wsp:rsid wsp:val=&quot;008C6D65&quot;/&gt;&lt;wsp:rsid wsp:val=&quot;008C7863&quot;/&gt;&lt;wsp:rsid wsp:val=&quot;008C78D2&quot;/&gt;&lt;wsp:rsid wsp:val=&quot;008C7EEB&quot;/&gt;&lt;wsp:rsid wsp:val=&quot;008C7F55&quot;/&gt;&lt;wsp:rsid wsp:val=&quot;008D07A2&quot;/&gt;&lt;wsp:rsid wsp:val=&quot;008D0EBB&quot;/&gt;&lt;wsp:rsid wsp:val=&quot;008D106F&quot;/&gt;&lt;wsp:rsid wsp:val=&quot;008D1181&quot;/&gt;&lt;wsp:rsid wsp:val=&quot;008D1D79&quot;/&gt;&lt;wsp:rsid wsp:val=&quot;008D31AE&quot;/&gt;&lt;wsp:rsid wsp:val=&quot;008D3A4E&quot;/&gt;&lt;wsp:rsid wsp:val=&quot;008D3B31&quot;/&gt;&lt;wsp:rsid wsp:val=&quot;008D401B&quot;/&gt;&lt;wsp:rsid wsp:val=&quot;008D46CB&quot;/&gt;&lt;wsp:rsid wsp:val=&quot;008D5640&quot;/&gt;&lt;wsp:rsid wsp:val=&quot;008D63A6&quot;/&gt;&lt;wsp:rsid wsp:val=&quot;008D71BE&quot;/&gt;&lt;wsp:rsid wsp:val=&quot;008D77D1&quot;/&gt;&lt;wsp:rsid wsp:val=&quot;008D7B0C&quot;/&gt;&lt;wsp:rsid wsp:val=&quot;008D7B8B&quot;/&gt;&lt;wsp:rsid wsp:val=&quot;008E1433&quot;/&gt;&lt;wsp:rsid wsp:val=&quot;008E2A07&quot;/&gt;&lt;wsp:rsid wsp:val=&quot;008E2E25&quot;/&gt;&lt;wsp:rsid wsp:val=&quot;008E2F7B&quot;/&gt;&lt;wsp:rsid wsp:val=&quot;008E3DEE&quot;/&gt;&lt;wsp:rsid wsp:val=&quot;008E5782&quot;/&gt;&lt;wsp:rsid wsp:val=&quot;008E59FB&quot;/&gt;&lt;wsp:rsid wsp:val=&quot;008E5BE7&quot;/&gt;&lt;wsp:rsid wsp:val=&quot;008E5D5A&quot;/&gt;&lt;wsp:rsid wsp:val=&quot;008E5FEB&quot;/&gt;&lt;wsp:rsid wsp:val=&quot;008E73A8&quot;/&gt;&lt;wsp:rsid wsp:val=&quot;008F0129&quot;/&gt;&lt;wsp:rsid wsp:val=&quot;008F2E61&quot;/&gt;&lt;wsp:rsid wsp:val=&quot;008F4258&quot;/&gt;&lt;wsp:rsid wsp:val=&quot;008F438A&quot;/&gt;&lt;wsp:rsid wsp:val=&quot;008F45B3&quot;/&gt;&lt;wsp:rsid wsp:val=&quot;0090146D&quot;/&gt;&lt;wsp:rsid wsp:val=&quot;00903C64&quot;/&gt;&lt;wsp:rsid wsp:val=&quot;00905118&quot;/&gt;&lt;wsp:rsid wsp:val=&quot;00906546&quot;/&gt;&lt;wsp:rsid wsp:val=&quot;00906C39&quot;/&gt;&lt;wsp:rsid wsp:val=&quot;00907987&quot;/&gt;&lt;wsp:rsid wsp:val=&quot;00907A5F&quot;/&gt;&lt;wsp:rsid wsp:val=&quot;00910428&quot;/&gt;&lt;wsp:rsid wsp:val=&quot;00910822&quot;/&gt;&lt;wsp:rsid wsp:val=&quot;0091196C&quot;/&gt;&lt;wsp:rsid wsp:val=&quot;00911D30&quot;/&gt;&lt;wsp:rsid wsp:val=&quot;00913D36&quot;/&gt;&lt;wsp:rsid wsp:val=&quot;009155F2&quot;/&gt;&lt;wsp:rsid wsp:val=&quot;009157DA&quot;/&gt;&lt;wsp:rsid wsp:val=&quot;00915863&quot;/&gt;&lt;wsp:rsid wsp:val=&quot;00915DBF&quot;/&gt;&lt;wsp:rsid wsp:val=&quot;009171F9&quot;/&gt;&lt;wsp:rsid wsp:val=&quot;00917750&quot;/&gt;&lt;wsp:rsid wsp:val=&quot;009204F0&quot;/&gt;&lt;wsp:rsid wsp:val=&quot;009211FB&quot;/&gt;&lt;wsp:rsid wsp:val=&quot;00921CBB&quot;/&gt;&lt;wsp:rsid wsp:val=&quot;00922324&quot;/&gt;&lt;wsp:rsid wsp:val=&quot;0092304C&quot;/&gt;&lt;wsp:rsid wsp:val=&quot;0092380C&quot;/&gt;&lt;wsp:rsid wsp:val=&quot;009240FC&quot;/&gt;&lt;wsp:rsid wsp:val=&quot;00924C26&quot;/&gt;&lt;wsp:rsid wsp:val=&quot;00926932&quot;/&gt;&lt;wsp:rsid wsp:val=&quot;00927388&quot;/&gt;&lt;wsp:rsid wsp:val=&quot;00927539&quot;/&gt;&lt;wsp:rsid wsp:val=&quot;00930474&quot;/&gt;&lt;wsp:rsid wsp:val=&quot;00930561&quot;/&gt;&lt;wsp:rsid wsp:val=&quot;00930716&quot;/&gt;&lt;wsp:rsid wsp:val=&quot;009312F3&quot;/&gt;&lt;wsp:rsid wsp:val=&quot;00931613&quot;/&gt;&lt;wsp:rsid wsp:val=&quot;00931823&quot;/&gt;&lt;wsp:rsid wsp:val=&quot;009327B1&quot;/&gt;&lt;wsp:rsid wsp:val=&quot;009328F4&quot;/&gt;&lt;wsp:rsid wsp:val=&quot;00933736&quot;/&gt;&lt;wsp:rsid wsp:val=&quot;009342C5&quot;/&gt;&lt;wsp:rsid wsp:val=&quot;0093542A&quot;/&gt;&lt;wsp:rsid wsp:val=&quot;00935F84&quot;/&gt;&lt;wsp:rsid wsp:val=&quot;00936294&quot;/&gt;&lt;wsp:rsid wsp:val=&quot;009373C1&quot;/&gt;&lt;wsp:rsid wsp:val=&quot;00941DEC&quot;/&gt;&lt;wsp:rsid wsp:val=&quot;00941DED&quot;/&gt;&lt;wsp:rsid wsp:val=&quot;009427CE&quot;/&gt;&lt;wsp:rsid wsp:val=&quot;00942960&quot;/&gt;&lt;wsp:rsid wsp:val=&quot;00944EEB&quot;/&gt;&lt;wsp:rsid wsp:val=&quot;00950181&quot;/&gt;&lt;wsp:rsid wsp:val=&quot;00950642&quot;/&gt;&lt;wsp:rsid wsp:val=&quot;00951082&quot;/&gt;&lt;wsp:rsid wsp:val=&quot;00951E71&quot;/&gt;&lt;wsp:rsid wsp:val=&quot;00952DDC&quot;/&gt;&lt;wsp:rsid wsp:val=&quot;00953D1B&quot;/&gt;&lt;wsp:rsid wsp:val=&quot;00955C41&quot;/&gt;&lt;wsp:rsid wsp:val=&quot;00956A2F&quot;/&gt;&lt;wsp:rsid wsp:val=&quot;00956CD0&quot;/&gt;&lt;wsp:rsid wsp:val=&quot;00957187&quot;/&gt;&lt;wsp:rsid wsp:val=&quot;00960884&quot;/&gt;&lt;wsp:rsid wsp:val=&quot;009609B3&quot;/&gt;&lt;wsp:rsid wsp:val=&quot;00960E52&quot;/&gt;&lt;wsp:rsid wsp:val=&quot;00961908&quot;/&gt;&lt;wsp:rsid wsp:val=&quot;009620BC&quot;/&gt;&lt;wsp:rsid wsp:val=&quot;009622DB&quot;/&gt;&lt;wsp:rsid wsp:val=&quot;00962688&quot;/&gt;&lt;wsp:rsid wsp:val=&quot;0096292A&quot;/&gt;&lt;wsp:rsid wsp:val=&quot;00962D5C&quot;/&gt;&lt;wsp:rsid wsp:val=&quot;00963121&quot;/&gt;&lt;wsp:rsid wsp:val=&quot;0096343E&quot;/&gt;&lt;wsp:rsid wsp:val=&quot;009641A1&quot;/&gt;&lt;wsp:rsid wsp:val=&quot;009643D1&quot;/&gt;&lt;wsp:rsid wsp:val=&quot;009645BF&quot;/&gt;&lt;wsp:rsid wsp:val=&quot;009647AC&quot;/&gt;&lt;wsp:rsid wsp:val=&quot;00965A83&quot;/&gt;&lt;wsp:rsid wsp:val=&quot;00967B5C&quot;/&gt;&lt;wsp:rsid wsp:val=&quot;00967F5D&quot;/&gt;&lt;wsp:rsid wsp:val=&quot;00970EDB&quot;/&gt;&lt;wsp:rsid wsp:val=&quot;0097351D&quot;/&gt;&lt;wsp:rsid wsp:val=&quot;00973A71&quot;/&gt;&lt;wsp:rsid wsp:val=&quot;00973DF6&quot;/&gt;&lt;wsp:rsid wsp:val=&quot;00975825&quot;/&gt;&lt;wsp:rsid wsp:val=&quot;00975FD1&quot;/&gt;&lt;wsp:rsid wsp:val=&quot;0098014B&quot;/&gt;&lt;wsp:rsid wsp:val=&quot;00980343&quot;/&gt;&lt;wsp:rsid wsp:val=&quot;0098056C&quot;/&gt;&lt;wsp:rsid wsp:val=&quot;0098075A&quot;/&gt;&lt;wsp:rsid wsp:val=&quot;00983505&quot;/&gt;&lt;wsp:rsid wsp:val=&quot;00984580&quot;/&gt;&lt;wsp:rsid wsp:val=&quot;00984F67&quot;/&gt;&lt;wsp:rsid wsp:val=&quot;009852FF&quot;/&gt;&lt;wsp:rsid wsp:val=&quot;00985B13&quot;/&gt;&lt;wsp:rsid wsp:val=&quot;00985B88&quot;/&gt;&lt;wsp:rsid wsp:val=&quot;00986934&quot;/&gt;&lt;wsp:rsid wsp:val=&quot;009870BC&quot;/&gt;&lt;wsp:rsid wsp:val=&quot;009905FB&quot;/&gt;&lt;wsp:rsid wsp:val=&quot;00992393&quot;/&gt;&lt;wsp:rsid wsp:val=&quot;00993CFD&quot;/&gt;&lt;wsp:rsid wsp:val=&quot;00995B60&quot;/&gt;&lt;wsp:rsid wsp:val=&quot;009967CC&quot;/&gt;&lt;wsp:rsid wsp:val=&quot;00996FED&quot;/&gt;&lt;wsp:rsid wsp:val=&quot;009A0BCF&quot;/&gt;&lt;wsp:rsid wsp:val=&quot;009A0C78&quot;/&gt;&lt;wsp:rsid wsp:val=&quot;009A2B35&quot;/&gt;&lt;wsp:rsid wsp:val=&quot;009A2DF8&quot;/&gt;&lt;wsp:rsid wsp:val=&quot;009A3956&quot;/&gt;&lt;wsp:rsid wsp:val=&quot;009A4B3B&quot;/&gt;&lt;wsp:rsid wsp:val=&quot;009A5124&quot;/&gt;&lt;wsp:rsid wsp:val=&quot;009A52F9&quot;/&gt;&lt;wsp:rsid wsp:val=&quot;009A60D9&quot;/&gt;&lt;wsp:rsid wsp:val=&quot;009A6526&quot;/&gt;&lt;wsp:rsid wsp:val=&quot;009A7E0B&quot;/&gt;&lt;wsp:rsid wsp:val=&quot;009B0100&quot;/&gt;&lt;wsp:rsid wsp:val=&quot;009B099E&quot;/&gt;&lt;wsp:rsid wsp:val=&quot;009B2CD1&quot;/&gt;&lt;wsp:rsid wsp:val=&quot;009B2DF4&quot;/&gt;&lt;wsp:rsid wsp:val=&quot;009B416D&quot;/&gt;&lt;wsp:rsid wsp:val=&quot;009B4B08&quot;/&gt;&lt;wsp:rsid wsp:val=&quot;009B4C20&quot;/&gt;&lt;wsp:rsid wsp:val=&quot;009B7B78&quot;/&gt;&lt;wsp:rsid wsp:val=&quot;009C0C0C&quot;/&gt;&lt;wsp:rsid wsp:val=&quot;009C1455&quot;/&gt;&lt;wsp:rsid wsp:val=&quot;009C2AC5&quot;/&gt;&lt;wsp:rsid wsp:val=&quot;009C2C71&quot;/&gt;&lt;wsp:rsid wsp:val=&quot;009C35E0&quot;/&gt;&lt;wsp:rsid wsp:val=&quot;009C3B2A&quot;/&gt;&lt;wsp:rsid wsp:val=&quot;009C44A3&quot;/&gt;&lt;wsp:rsid wsp:val=&quot;009C5721&quot;/&gt;&lt;wsp:rsid wsp:val=&quot;009C6D5C&quot;/&gt;&lt;wsp:rsid wsp:val=&quot;009C6FE2&quot;/&gt;&lt;wsp:rsid wsp:val=&quot;009C731B&quot;/&gt;&lt;wsp:rsid wsp:val=&quot;009C7A4D&quot;/&gt;&lt;wsp:rsid wsp:val=&quot;009D02AA&quot;/&gt;&lt;wsp:rsid wsp:val=&quot;009D13D4&quot;/&gt;&lt;wsp:rsid wsp:val=&quot;009D1B8F&quot;/&gt;&lt;wsp:rsid wsp:val=&quot;009D20FF&quot;/&gt;&lt;wsp:rsid wsp:val=&quot;009D2BE5&quot;/&gt;&lt;wsp:rsid wsp:val=&quot;009D33C0&quot;/&gt;&lt;wsp:rsid wsp:val=&quot;009D47E3&quot;/&gt;&lt;wsp:rsid wsp:val=&quot;009D5D1B&quot;/&gt;&lt;wsp:rsid wsp:val=&quot;009D7990&quot;/&gt;&lt;wsp:rsid wsp:val=&quot;009E03EB&quot;/&gt;&lt;wsp:rsid wsp:val=&quot;009E172C&quot;/&gt;&lt;wsp:rsid wsp:val=&quot;009E2508&quot;/&gt;&lt;wsp:rsid wsp:val=&quot;009E25E8&quot;/&gt;&lt;wsp:rsid wsp:val=&quot;009E26CA&quot;/&gt;&lt;wsp:rsid wsp:val=&quot;009E28FA&quot;/&gt;&lt;wsp:rsid wsp:val=&quot;009E36E7&quot;/&gt;&lt;wsp:rsid wsp:val=&quot;009E3880&quot;/&gt;&lt;wsp:rsid wsp:val=&quot;009E3E6D&quot;/&gt;&lt;wsp:rsid wsp:val=&quot;009E5ABC&quot;/&gt;&lt;wsp:rsid wsp:val=&quot;009E7873&quot;/&gt;&lt;wsp:rsid wsp:val=&quot;009F2B12&quot;/&gt;&lt;wsp:rsid wsp:val=&quot;009F2E58&quot;/&gt;&lt;wsp:rsid wsp:val=&quot;009F4F32&quot;/&gt;&lt;wsp:rsid wsp:val=&quot;009F5AB1&quot;/&gt;&lt;wsp:rsid wsp:val=&quot;009F6104&quot;/&gt;&lt;wsp:rsid wsp:val=&quot;009F6A57&quot;/&gt;&lt;wsp:rsid wsp:val=&quot;009F711B&quot;/&gt;&lt;wsp:rsid wsp:val=&quot;009F759D&quot;/&gt;&lt;wsp:rsid wsp:val=&quot;009F778D&quot;/&gt;&lt;wsp:rsid wsp:val=&quot;00A009D9&quot;/&gt;&lt;wsp:rsid wsp:val=&quot;00A00F3F&quot;/&gt;&lt;wsp:rsid wsp:val=&quot;00A010B3&quot;/&gt;&lt;wsp:rsid wsp:val=&quot;00A011E7&quot;/&gt;&lt;wsp:rsid wsp:val=&quot;00A019D7&quot;/&gt;&lt;wsp:rsid wsp:val=&quot;00A01A05&quot;/&gt;&lt;wsp:rsid wsp:val=&quot;00A02A49&quot;/&gt;&lt;wsp:rsid wsp:val=&quot;00A03BD0&quot;/&gt;&lt;wsp:rsid wsp:val=&quot;00A03C18&quot;/&gt;&lt;wsp:rsid wsp:val=&quot;00A05334&quot;/&gt;&lt;wsp:rsid wsp:val=&quot;00A05359&quot;/&gt;&lt;wsp:rsid wsp:val=&quot;00A055A4&quot;/&gt;&lt;wsp:rsid wsp:val=&quot;00A05D14&quot;/&gt;&lt;wsp:rsid wsp:val=&quot;00A05E30&quot;/&gt;&lt;wsp:rsid wsp:val=&quot;00A06533&quot;/&gt;&lt;wsp:rsid wsp:val=&quot;00A06DB0&quot;/&gt;&lt;wsp:rsid wsp:val=&quot;00A06EFB&quot;/&gt;&lt;wsp:rsid wsp:val=&quot;00A07254&quot;/&gt;&lt;wsp:rsid wsp:val=&quot;00A07615&quot;/&gt;&lt;wsp:rsid wsp:val=&quot;00A07F49&quot;/&gt;&lt;wsp:rsid wsp:val=&quot;00A10867&quot;/&gt;&lt;wsp:rsid wsp:val=&quot;00A128E1&quot;/&gt;&lt;wsp:rsid wsp:val=&quot;00A12956&quot;/&gt;&lt;wsp:rsid wsp:val=&quot;00A13C32&quot;/&gt;&lt;wsp:rsid wsp:val=&quot;00A13E44&quot;/&gt;&lt;wsp:rsid wsp:val=&quot;00A13E6C&quot;/&gt;&lt;wsp:rsid wsp:val=&quot;00A1472B&quot;/&gt;&lt;wsp:rsid wsp:val=&quot;00A149BD&quot;/&gt;&lt;wsp:rsid wsp:val=&quot;00A14F3C&quot;/&gt;&lt;wsp:rsid wsp:val=&quot;00A15829&quot;/&gt;&lt;wsp:rsid wsp:val=&quot;00A15A8B&quot;/&gt;&lt;wsp:rsid wsp:val=&quot;00A15CF4&quot;/&gt;&lt;wsp:rsid wsp:val=&quot;00A1762E&quot;/&gt;&lt;wsp:rsid wsp:val=&quot;00A2021D&quot;/&gt;&lt;wsp:rsid wsp:val=&quot;00A20C1D&quot;/&gt;&lt;wsp:rsid wsp:val=&quot;00A215F6&quot;/&gt;&lt;wsp:rsid wsp:val=&quot;00A21DD6&quot;/&gt;&lt;wsp:rsid wsp:val=&quot;00A22939&quot;/&gt;&lt;wsp:rsid wsp:val=&quot;00A24322&quot;/&gt;&lt;wsp:rsid wsp:val=&quot;00A24ED8&quot;/&gt;&lt;wsp:rsid wsp:val=&quot;00A25145&quot;/&gt;&lt;wsp:rsid wsp:val=&quot;00A25998&quot;/&gt;&lt;wsp:rsid wsp:val=&quot;00A25A1A&quot;/&gt;&lt;wsp:rsid wsp:val=&quot;00A26ECB&quot;/&gt;&lt;wsp:rsid wsp:val=&quot;00A273BE&quot;/&gt;&lt;wsp:rsid wsp:val=&quot;00A3154B&quot;/&gt;&lt;wsp:rsid wsp:val=&quot;00A316A0&quot;/&gt;&lt;wsp:rsid wsp:val=&quot;00A319B4&quot;/&gt;&lt;wsp:rsid wsp:val=&quot;00A31E75&quot;/&gt;&lt;wsp:rsid wsp:val=&quot;00A325E4&quot;/&gt;&lt;wsp:rsid wsp:val=&quot;00A32802&quot;/&gt;&lt;wsp:rsid wsp:val=&quot;00A32A1B&quot;/&gt;&lt;wsp:rsid wsp:val=&quot;00A33878&quot;/&gt;&lt;wsp:rsid wsp:val=&quot;00A339F3&quot;/&gt;&lt;wsp:rsid wsp:val=&quot;00A33A22&quot;/&gt;&lt;wsp:rsid wsp:val=&quot;00A34461&quot;/&gt;&lt;wsp:rsid wsp:val=&quot;00A3532F&quot;/&gt;&lt;wsp:rsid wsp:val=&quot;00A35580&quot;/&gt;&lt;wsp:rsid wsp:val=&quot;00A3685D&quot;/&gt;&lt;wsp:rsid wsp:val=&quot;00A375F1&quot;/&gt;&lt;wsp:rsid wsp:val=&quot;00A37AB2&quot;/&gt;&lt;wsp:rsid wsp:val=&quot;00A37B81&quot;/&gt;&lt;wsp:rsid wsp:val=&quot;00A40A6E&quot;/&gt;&lt;wsp:rsid wsp:val=&quot;00A417A6&quot;/&gt;&lt;wsp:rsid wsp:val=&quot;00A4367D&quot;/&gt;&lt;wsp:rsid wsp:val=&quot;00A43A77&quot;/&gt;&lt;wsp:rsid wsp:val=&quot;00A43EAC&quot;/&gt;&lt;wsp:rsid wsp:val=&quot;00A4432E&quot;/&gt;&lt;wsp:rsid wsp:val=&quot;00A4647F&quot;/&gt;&lt;wsp:rsid wsp:val=&quot;00A46927&quot;/&gt;&lt;wsp:rsid wsp:val=&quot;00A46AA3&quot;/&gt;&lt;wsp:rsid wsp:val=&quot;00A4771B&quot;/&gt;&lt;wsp:rsid wsp:val=&quot;00A50056&quot;/&gt;&lt;wsp:rsid wsp:val=&quot;00A504F1&quot;/&gt;&lt;wsp:rsid wsp:val=&quot;00A5064A&quot;/&gt;&lt;wsp:rsid wsp:val=&quot;00A50A67&quot;/&gt;&lt;wsp:rsid wsp:val=&quot;00A50B4D&quot;/&gt;&lt;wsp:rsid wsp:val=&quot;00A50FC1&quot;/&gt;&lt;wsp:rsid wsp:val=&quot;00A5123D&quot;/&gt;&lt;wsp:rsid wsp:val=&quot;00A5150B&quot;/&gt;&lt;wsp:rsid wsp:val=&quot;00A53686&quot;/&gt;&lt;wsp:rsid wsp:val=&quot;00A53852&quot;/&gt;&lt;wsp:rsid wsp:val=&quot;00A53A77&quot;/&gt;&lt;wsp:rsid wsp:val=&quot;00A54B94&quot;/&gt;&lt;wsp:rsid wsp:val=&quot;00A54CB5&quot;/&gt;&lt;wsp:rsid wsp:val=&quot;00A55183&quot;/&gt;&lt;wsp:rsid wsp:val=&quot;00A55DA4&quot;/&gt;&lt;wsp:rsid wsp:val=&quot;00A56344&quot;/&gt;&lt;wsp:rsid wsp:val=&quot;00A57188&quot;/&gt;&lt;wsp:rsid wsp:val=&quot;00A575F6&quot;/&gt;&lt;wsp:rsid wsp:val=&quot;00A60B12&quot;/&gt;&lt;wsp:rsid wsp:val=&quot;00A61541&quot;/&gt;&lt;wsp:rsid wsp:val=&quot;00A61D2C&quot;/&gt;&lt;wsp:rsid wsp:val=&quot;00A61DB5&quot;/&gt;&lt;wsp:rsid wsp:val=&quot;00A622E0&quot;/&gt;&lt;wsp:rsid wsp:val=&quot;00A631EB&quot;/&gt;&lt;wsp:rsid wsp:val=&quot;00A636A7&quot;/&gt;&lt;wsp:rsid wsp:val=&quot;00A6488B&quot;/&gt;&lt;wsp:rsid wsp:val=&quot;00A654D9&quot;/&gt;&lt;wsp:rsid wsp:val=&quot;00A67A09&quot;/&gt;&lt;wsp:rsid wsp:val=&quot;00A67C7F&quot;/&gt;&lt;wsp:rsid wsp:val=&quot;00A67CC1&quot;/&gt;&lt;wsp:rsid wsp:val=&quot;00A70D3F&quot;/&gt;&lt;wsp:rsid wsp:val=&quot;00A7157B&quot;/&gt;&lt;wsp:rsid wsp:val=&quot;00A720CD&quot;/&gt;&lt;wsp:rsid wsp:val=&quot;00A7257D&quot;/&gt;&lt;wsp:rsid wsp:val=&quot;00A733ED&quot;/&gt;&lt;wsp:rsid wsp:val=&quot;00A73556&quot;/&gt;&lt;wsp:rsid wsp:val=&quot;00A73B2F&quot;/&gt;&lt;wsp:rsid wsp:val=&quot;00A74622&quot;/&gt;&lt;wsp:rsid wsp:val=&quot;00A74679&quot;/&gt;&lt;wsp:rsid wsp:val=&quot;00A7514C&quot;/&gt;&lt;wsp:rsid wsp:val=&quot;00A75738&quot;/&gt;&lt;wsp:rsid wsp:val=&quot;00A758BC&quot;/&gt;&lt;wsp:rsid wsp:val=&quot;00A76B2D&quot;/&gt;&lt;wsp:rsid wsp:val=&quot;00A77144&quot;/&gt;&lt;wsp:rsid wsp:val=&quot;00A7797B&quot;/&gt;&lt;wsp:rsid wsp:val=&quot;00A77E20&quot;/&gt;&lt;wsp:rsid wsp:val=&quot;00A80305&quot;/&gt;&lt;wsp:rsid wsp:val=&quot;00A80D96&quot;/&gt;&lt;wsp:rsid wsp:val=&quot;00A8227B&quot;/&gt;&lt;wsp:rsid wsp:val=&quot;00A83A3C&quot;/&gt;&lt;wsp:rsid wsp:val=&quot;00A84453&quot;/&gt;&lt;wsp:rsid wsp:val=&quot;00A849A4&quot;/&gt;&lt;wsp:rsid wsp:val=&quot;00A850CA&quot;/&gt;&lt;wsp:rsid wsp:val=&quot;00A8581F&quot;/&gt;&lt;wsp:rsid wsp:val=&quot;00A85978&quot;/&gt;&lt;wsp:rsid wsp:val=&quot;00A85C33&quot;/&gt;&lt;wsp:rsid wsp:val=&quot;00A871EA&quot;/&gt;&lt;wsp:rsid wsp:val=&quot;00A872B5&quot;/&gt;&lt;wsp:rsid wsp:val=&quot;00A9000A&quot;/&gt;&lt;wsp:rsid wsp:val=&quot;00A90019&quot;/&gt;&lt;wsp:rsid wsp:val=&quot;00A90E2E&quot;/&gt;&lt;wsp:rsid wsp:val=&quot;00A91935&quot;/&gt;&lt;wsp:rsid wsp:val=&quot;00A91A79&quot;/&gt;&lt;wsp:rsid wsp:val=&quot;00A92732&quot;/&gt;&lt;wsp:rsid wsp:val=&quot;00A92808&quot;/&gt;&lt;wsp:rsid wsp:val=&quot;00A93070&quot;/&gt;&lt;wsp:rsid wsp:val=&quot;00A94A02&quot;/&gt;&lt;wsp:rsid wsp:val=&quot;00A94A9F&quot;/&gt;&lt;wsp:rsid wsp:val=&quot;00A96011&quot;/&gt;&lt;wsp:rsid wsp:val=&quot;00A96B42&quot;/&gt;&lt;wsp:rsid wsp:val=&quot;00A97A81&quot;/&gt;&lt;wsp:rsid wsp:val=&quot;00A97D34&quot;/&gt;&lt;wsp:rsid wsp:val=&quot;00AA0B25&quot;/&gt;&lt;wsp:rsid wsp:val=&quot;00AA137E&quot;/&gt;&lt;wsp:rsid wsp:val=&quot;00AA3304&quot;/&gt;&lt;wsp:rsid wsp:val=&quot;00AA3F5D&quot;/&gt;&lt;wsp:rsid wsp:val=&quot;00AA4039&quot;/&gt;&lt;wsp:rsid wsp:val=&quot;00AA46B9&quot;/&gt;&lt;wsp:rsid wsp:val=&quot;00AA4D32&quot;/&gt;&lt;wsp:rsid wsp:val=&quot;00AA4D5B&quot;/&gt;&lt;wsp:rsid wsp:val=&quot;00AA53B4&quot;/&gt;&lt;wsp:rsid wsp:val=&quot;00AA56CA&quot;/&gt;&lt;wsp:rsid wsp:val=&quot;00AA5DDA&quot;/&gt;&lt;wsp:rsid wsp:val=&quot;00AA6063&quot;/&gt;&lt;wsp:rsid wsp:val=&quot;00AA6269&quot;/&gt;&lt;wsp:rsid wsp:val=&quot;00AA69E6&quot;/&gt;&lt;wsp:rsid wsp:val=&quot;00AA6A14&quot;/&gt;&lt;wsp:rsid wsp:val=&quot;00AA6C15&quot;/&gt;&lt;wsp:rsid wsp:val=&quot;00AA6E19&quot;/&gt;&lt;wsp:rsid wsp:val=&quot;00AA71B8&quot;/&gt;&lt;wsp:rsid wsp:val=&quot;00AA7353&quot;/&gt;&lt;wsp:rsid wsp:val=&quot;00AA78D0&quot;/&gt;&lt;wsp:rsid wsp:val=&quot;00AB0596&quot;/&gt;&lt;wsp:rsid wsp:val=&quot;00AB0EBC&quot;/&gt;&lt;wsp:rsid wsp:val=&quot;00AB15E7&quot;/&gt;&lt;wsp:rsid wsp:val=&quot;00AB2836&quot;/&gt;&lt;wsp:rsid wsp:val=&quot;00AB4E4A&quot;/&gt;&lt;wsp:rsid wsp:val=&quot;00AB5917&quot;/&gt;&lt;wsp:rsid wsp:val=&quot;00AB6B59&quot;/&gt;&lt;wsp:rsid wsp:val=&quot;00AB7949&quot;/&gt;&lt;wsp:rsid wsp:val=&quot;00AC2C2C&quot;/&gt;&lt;wsp:rsid wsp:val=&quot;00AC2F96&quot;/&gt;&lt;wsp:rsid wsp:val=&quot;00AC30D7&quot;/&gt;&lt;wsp:rsid wsp:val=&quot;00AC3FBF&quot;/&gt;&lt;wsp:rsid wsp:val=&quot;00AC4D61&quot;/&gt;&lt;wsp:rsid wsp:val=&quot;00AC5C98&quot;/&gt;&lt;wsp:rsid wsp:val=&quot;00AC618D&quot;/&gt;&lt;wsp:rsid wsp:val=&quot;00AC6846&quot;/&gt;&lt;wsp:rsid wsp:val=&quot;00AC6BAB&quot;/&gt;&lt;wsp:rsid wsp:val=&quot;00AC71D8&quot;/&gt;&lt;wsp:rsid wsp:val=&quot;00AC7303&quot;/&gt;&lt;wsp:rsid wsp:val=&quot;00AC77E9&quot;/&gt;&lt;wsp:rsid wsp:val=&quot;00AC7817&quot;/&gt;&lt;wsp:rsid wsp:val=&quot;00AD0217&quot;/&gt;&lt;wsp:rsid wsp:val=&quot;00AD05E1&quot;/&gt;&lt;wsp:rsid wsp:val=&quot;00AD1E99&quot;/&gt;&lt;wsp:rsid wsp:val=&quot;00AD38AE&quot;/&gt;&lt;wsp:rsid wsp:val=&quot;00AD45AF&quot;/&gt;&lt;wsp:rsid wsp:val=&quot;00AD53D0&quot;/&gt;&lt;wsp:rsid wsp:val=&quot;00AD673D&quot;/&gt;&lt;wsp:rsid wsp:val=&quot;00AD6AD0&quot;/&gt;&lt;wsp:rsid wsp:val=&quot;00AD7B32&quot;/&gt;&lt;wsp:rsid wsp:val=&quot;00AE0997&quot;/&gt;&lt;wsp:rsid wsp:val=&quot;00AE12FF&quot;/&gt;&lt;wsp:rsid wsp:val=&quot;00AE2E4B&quot;/&gt;&lt;wsp:rsid wsp:val=&quot;00AE3982&quot;/&gt;&lt;wsp:rsid wsp:val=&quot;00AE3FA1&quot;/&gt;&lt;wsp:rsid wsp:val=&quot;00AE48AB&quot;/&gt;&lt;wsp:rsid wsp:val=&quot;00AE48D8&quot;/&gt;&lt;wsp:rsid wsp:val=&quot;00AE693F&quot;/&gt;&lt;wsp:rsid wsp:val=&quot;00AE6E3B&quot;/&gt;&lt;wsp:rsid wsp:val=&quot;00AE6EED&quot;/&gt;&lt;wsp:rsid wsp:val=&quot;00AF0435&quot;/&gt;&lt;wsp:rsid wsp:val=&quot;00AF0679&quot;/&gt;&lt;wsp:rsid wsp:val=&quot;00AF1566&quot;/&gt;&lt;wsp:rsid wsp:val=&quot;00AF194E&quot;/&gt;&lt;wsp:rsid wsp:val=&quot;00AF1A50&quot;/&gt;&lt;wsp:rsid wsp:val=&quot;00AF1CAB&quot;/&gt;&lt;wsp:rsid wsp:val=&quot;00AF25FA&quot;/&gt;&lt;wsp:rsid wsp:val=&quot;00AF28DA&quot;/&gt;&lt;wsp:rsid wsp:val=&quot;00AF3321&quot;/&gt;&lt;wsp:rsid wsp:val=&quot;00AF49E7&quot;/&gt;&lt;wsp:rsid wsp:val=&quot;00AF4E1F&quot;/&gt;&lt;wsp:rsid wsp:val=&quot;00AF58B5&quot;/&gt;&lt;wsp:rsid wsp:val=&quot;00AF6B08&quot;/&gt;&lt;wsp:rsid wsp:val=&quot;00AF7189&quot;/&gt;&lt;wsp:rsid wsp:val=&quot;00AF7C81&quot;/&gt;&lt;wsp:rsid wsp:val=&quot;00B0093C&quot;/&gt;&lt;wsp:rsid wsp:val=&quot;00B00BCE&quot;/&gt;&lt;wsp:rsid wsp:val=&quot;00B00CF7&quot;/&gt;&lt;wsp:rsid wsp:val=&quot;00B023C8&quot;/&gt;&lt;wsp:rsid wsp:val=&quot;00B02AAC&quot;/&gt;&lt;wsp:rsid wsp:val=&quot;00B03391&quot;/&gt;&lt;wsp:rsid wsp:val=&quot;00B04508&quot;/&gt;&lt;wsp:rsid wsp:val=&quot;00B045BA&quot;/&gt;&lt;wsp:rsid wsp:val=&quot;00B04D73&quot;/&gt;&lt;wsp:rsid wsp:val=&quot;00B055C1&quot;/&gt;&lt;wsp:rsid wsp:val=&quot;00B057B6&quot;/&gt;&lt;wsp:rsid wsp:val=&quot;00B065DF&quot;/&gt;&lt;wsp:rsid wsp:val=&quot;00B072EB&quot;/&gt;&lt;wsp:rsid wsp:val=&quot;00B107AD&quot;/&gt;&lt;wsp:rsid wsp:val=&quot;00B110E5&quot;/&gt;&lt;wsp:rsid wsp:val=&quot;00B112BE&quot;/&gt;&lt;wsp:rsid wsp:val=&quot;00B11364&quot;/&gt;&lt;wsp:rsid wsp:val=&quot;00B1143F&quot;/&gt;&lt;wsp:rsid wsp:val=&quot;00B11B59&quot;/&gt;&lt;wsp:rsid wsp:val=&quot;00B13DE0&quot;/&gt;&lt;wsp:rsid wsp:val=&quot;00B1549F&quot;/&gt;&lt;wsp:rsid wsp:val=&quot;00B17084&quot;/&gt;&lt;wsp:rsid wsp:val=&quot;00B20A72&quot;/&gt;&lt;wsp:rsid wsp:val=&quot;00B21C85&quot;/&gt;&lt;wsp:rsid wsp:val=&quot;00B241CB&quot;/&gt;&lt;wsp:rsid wsp:val=&quot;00B251EC&quot;/&gt;&lt;wsp:rsid wsp:val=&quot;00B25519&quot;/&gt;&lt;wsp:rsid wsp:val=&quot;00B27462&quot;/&gt;&lt;wsp:rsid wsp:val=&quot;00B27FAA&quot;/&gt;&lt;wsp:rsid wsp:val=&quot;00B3162F&quot;/&gt;&lt;wsp:rsid wsp:val=&quot;00B31952&quot;/&gt;&lt;wsp:rsid wsp:val=&quot;00B31DE4&quot;/&gt;&lt;wsp:rsid wsp:val=&quot;00B32EE3&quot;/&gt;&lt;wsp:rsid wsp:val=&quot;00B333AF&quot;/&gt;&lt;wsp:rsid wsp:val=&quot;00B3442C&quot;/&gt;&lt;wsp:rsid wsp:val=&quot;00B36F3C&quot;/&gt;&lt;wsp:rsid wsp:val=&quot;00B37ACB&quot;/&gt;&lt;wsp:rsid wsp:val=&quot;00B42BE1&quot;/&gt;&lt;wsp:rsid wsp:val=&quot;00B439A5&quot;/&gt;&lt;wsp:rsid wsp:val=&quot;00B43E25&quot;/&gt;&lt;wsp:rsid wsp:val=&quot;00B443D8&quot;/&gt;&lt;wsp:rsid wsp:val=&quot;00B45564&quot;/&gt;&lt;wsp:rsid wsp:val=&quot;00B46F12&quot;/&gt;&lt;wsp:rsid wsp:val=&quot;00B474DF&quot;/&gt;&lt;wsp:rsid wsp:val=&quot;00B476E4&quot;/&gt;&lt;wsp:rsid wsp:val=&quot;00B50051&quot;/&gt;&lt;wsp:rsid wsp:val=&quot;00B50676&quot;/&gt;&lt;wsp:rsid wsp:val=&quot;00B50F87&quot;/&gt;&lt;wsp:rsid wsp:val=&quot;00B5279E&quot;/&gt;&lt;wsp:rsid wsp:val=&quot;00B52A11&quot;/&gt;&lt;wsp:rsid wsp:val=&quot;00B5370C&quot;/&gt;&lt;wsp:rsid wsp:val=&quot;00B53A74&quot;/&gt;&lt;wsp:rsid wsp:val=&quot;00B53AD3&quot;/&gt;&lt;wsp:rsid wsp:val=&quot;00B54106&quot;/&gt;&lt;wsp:rsid wsp:val=&quot;00B54627&quot;/&gt;&lt;wsp:rsid wsp:val=&quot;00B54759&quot;/&gt;&lt;wsp:rsid wsp:val=&quot;00B54C1C&quot;/&gt;&lt;wsp:rsid wsp:val=&quot;00B55512&quot;/&gt;&lt;wsp:rsid wsp:val=&quot;00B55C25&quot;/&gt;&lt;wsp:rsid wsp:val=&quot;00B57BE0&quot;/&gt;&lt;wsp:rsid wsp:val=&quot;00B60689&quot;/&gt;&lt;wsp:rsid wsp:val=&quot;00B60B01&quot;/&gt;&lt;wsp:rsid wsp:val=&quot;00B60D49&quot;/&gt;&lt;wsp:rsid wsp:val=&quot;00B60F56&quot;/&gt;&lt;wsp:rsid wsp:val=&quot;00B616E2&quot;/&gt;&lt;wsp:rsid wsp:val=&quot;00B61FC2&quot;/&gt;&lt;wsp:rsid wsp:val=&quot;00B62793&quot;/&gt;&lt;wsp:rsid wsp:val=&quot;00B62908&quot;/&gt;&lt;wsp:rsid wsp:val=&quot;00B6299A&quot;/&gt;&lt;wsp:rsid wsp:val=&quot;00B62DC9&quot;/&gt;&lt;wsp:rsid wsp:val=&quot;00B62FC0&quot;/&gt;&lt;wsp:rsid wsp:val=&quot;00B6390D&quot;/&gt;&lt;wsp:rsid wsp:val=&quot;00B644AF&quot;/&gt;&lt;wsp:rsid wsp:val=&quot;00B64F29&quot;/&gt;&lt;wsp:rsid wsp:val=&quot;00B650EC&quot;/&gt;&lt;wsp:rsid wsp:val=&quot;00B66C80&quot;/&gt;&lt;wsp:rsid wsp:val=&quot;00B6706A&quot;/&gt;&lt;wsp:rsid wsp:val=&quot;00B67770&quot;/&gt;&lt;wsp:rsid wsp:val=&quot;00B70478&quot;/&gt;&lt;wsp:rsid wsp:val=&quot;00B70B3D&quot;/&gt;&lt;wsp:rsid wsp:val=&quot;00B72E46&quot;/&gt;&lt;wsp:rsid wsp:val=&quot;00B73E54&quot;/&gt;&lt;wsp:rsid wsp:val=&quot;00B74F15&quot;/&gt;&lt;wsp:rsid wsp:val=&quot;00B74FF9&quot;/&gt;&lt;wsp:rsid wsp:val=&quot;00B76A55&quot;/&gt;&lt;wsp:rsid wsp:val=&quot;00B76FC1&quot;/&gt;&lt;wsp:rsid wsp:val=&quot;00B80872&quot;/&gt;&lt;wsp:rsid wsp:val=&quot;00B80B76&quot;/&gt;&lt;wsp:rsid wsp:val=&quot;00B813C6&quot;/&gt;&lt;wsp:rsid wsp:val=&quot;00B82F4C&quot;/&gt;&lt;wsp:rsid wsp:val=&quot;00B83431&quot;/&gt;&lt;wsp:rsid wsp:val=&quot;00B838C0&quot;/&gt;&lt;wsp:rsid wsp:val=&quot;00B83E7B&quot;/&gt;&lt;wsp:rsid wsp:val=&quot;00B842A8&quot;/&gt;&lt;wsp:rsid wsp:val=&quot;00B847CE&quot;/&gt;&lt;wsp:rsid wsp:val=&quot;00B848CC&quot;/&gt;&lt;wsp:rsid wsp:val=&quot;00B86058&quot;/&gt;&lt;wsp:rsid wsp:val=&quot;00B86723&quot;/&gt;&lt;wsp:rsid wsp:val=&quot;00B868DE&quot;/&gt;&lt;wsp:rsid wsp:val=&quot;00B875C8&quot;/&gt;&lt;wsp:rsid wsp:val=&quot;00B87981&quot;/&gt;&lt;wsp:rsid wsp:val=&quot;00B87E38&quot;/&gt;&lt;wsp:rsid wsp:val=&quot;00B90129&quot;/&gt;&lt;wsp:rsid wsp:val=&quot;00B9082A&quot;/&gt;&lt;wsp:rsid wsp:val=&quot;00B91582&quot;/&gt;&lt;wsp:rsid wsp:val=&quot;00B927DF&quot;/&gt;&lt;wsp:rsid wsp:val=&quot;00B939EE&quot;/&gt;&lt;wsp:rsid wsp:val=&quot;00B94BDA&quot;/&gt;&lt;wsp:rsid wsp:val=&quot;00B965D0&quot;/&gt;&lt;wsp:rsid wsp:val=&quot;00B96A50&quot;/&gt;&lt;wsp:rsid wsp:val=&quot;00B96A65&quot;/&gt;&lt;wsp:rsid wsp:val=&quot;00B97723&quot;/&gt;&lt;wsp:rsid wsp:val=&quot;00B97FA2&quot;/&gt;&lt;wsp:rsid wsp:val=&quot;00BA033B&quot;/&gt;&lt;wsp:rsid wsp:val=&quot;00BA0A58&quot;/&gt;&lt;wsp:rsid wsp:val=&quot;00BA3814&quot;/&gt;&lt;wsp:rsid wsp:val=&quot;00BA598A&quot;/&gt;&lt;wsp:rsid wsp:val=&quot;00BA6302&quot;/&gt;&lt;wsp:rsid wsp:val=&quot;00BA7468&quot;/&gt;&lt;wsp:rsid wsp:val=&quot;00BA7528&quot;/&gt;&lt;wsp:rsid wsp:val=&quot;00BB0AC2&quot;/&gt;&lt;wsp:rsid wsp:val=&quot;00BB0F40&quot;/&gt;&lt;wsp:rsid wsp:val=&quot;00BB185A&quot;/&gt;&lt;wsp:rsid wsp:val=&quot;00BB1AC0&quot;/&gt;&lt;wsp:rsid wsp:val=&quot;00BB1B07&quot;/&gt;&lt;wsp:rsid wsp:val=&quot;00BB558D&quot;/&gt;&lt;wsp:rsid wsp:val=&quot;00BB5796&quot;/&gt;&lt;wsp:rsid wsp:val=&quot;00BB5B1A&quot;/&gt;&lt;wsp:rsid wsp:val=&quot;00BB5C87&quot;/&gt;&lt;wsp:rsid wsp:val=&quot;00BB5E2A&quot;/&gt;&lt;wsp:rsid wsp:val=&quot;00BB6444&quot;/&gt;&lt;wsp:rsid wsp:val=&quot;00BB7DD6&quot;/&gt;&lt;wsp:rsid wsp:val=&quot;00BC0DC5&quot;/&gt;&lt;wsp:rsid wsp:val=&quot;00BC14A4&quot;/&gt;&lt;wsp:rsid wsp:val=&quot;00BC201E&quot;/&gt;&lt;wsp:rsid wsp:val=&quot;00BC2579&quot;/&gt;&lt;wsp:rsid wsp:val=&quot;00BC2C96&quot;/&gt;&lt;wsp:rsid wsp:val=&quot;00BC354F&quot;/&gt;&lt;wsp:rsid wsp:val=&quot;00BC3939&quot;/&gt;&lt;wsp:rsid wsp:val=&quot;00BC3D35&quot;/&gt;&lt;wsp:rsid wsp:val=&quot;00BC4ACD&quot;/&gt;&lt;wsp:rsid wsp:val=&quot;00BC5C73&quot;/&gt;&lt;wsp:rsid wsp:val=&quot;00BC5C8A&quot;/&gt;&lt;wsp:rsid wsp:val=&quot;00BC6044&quot;/&gt;&lt;wsp:rsid wsp:val=&quot;00BC653B&quot;/&gt;&lt;wsp:rsid wsp:val=&quot;00BC6992&quot;/&gt;&lt;wsp:rsid wsp:val=&quot;00BC6CB0&quot;/&gt;&lt;wsp:rsid wsp:val=&quot;00BC7563&quot;/&gt;&lt;wsp:rsid wsp:val=&quot;00BC7873&quot;/&gt;&lt;wsp:rsid wsp:val=&quot;00BD08A4&quot;/&gt;&lt;wsp:rsid wsp:val=&quot;00BD0B82&quot;/&gt;&lt;wsp:rsid wsp:val=&quot;00BD12B7&quot;/&gt;&lt;wsp:rsid wsp:val=&quot;00BD1D65&quot;/&gt;&lt;wsp:rsid wsp:val=&quot;00BD2B78&quot;/&gt;&lt;wsp:rsid wsp:val=&quot;00BD58B7&quot;/&gt;&lt;wsp:rsid wsp:val=&quot;00BD5A06&quot;/&gt;&lt;wsp:rsid wsp:val=&quot;00BD64CB&quot;/&gt;&lt;wsp:rsid wsp:val=&quot;00BE05F0&quot;/&gt;&lt;wsp:rsid wsp:val=&quot;00BE1AFE&quot;/&gt;&lt;wsp:rsid wsp:val=&quot;00BE22D8&quot;/&gt;&lt;wsp:rsid wsp:val=&quot;00BE4439&quot;/&gt;&lt;wsp:rsid wsp:val=&quot;00BE45D5&quot;/&gt;&lt;wsp:rsid wsp:val=&quot;00BE4E06&quot;/&gt;&lt;wsp:rsid wsp:val=&quot;00BE4FF5&quot;/&gt;&lt;wsp:rsid wsp:val=&quot;00BE7387&quot;/&gt;&lt;wsp:rsid wsp:val=&quot;00BF0E1A&quot;/&gt;&lt;wsp:rsid wsp:val=&quot;00BF1E68&quot;/&gt;&lt;wsp:rsid wsp:val=&quot;00BF2061&quot;/&gt;&lt;wsp:rsid wsp:val=&quot;00BF25C9&quot;/&gt;&lt;wsp:rsid wsp:val=&quot;00BF25D6&quot;/&gt;&lt;wsp:rsid wsp:val=&quot;00BF285D&quot;/&gt;&lt;wsp:rsid wsp:val=&quot;00BF2B49&quot;/&gt;&lt;wsp:rsid wsp:val=&quot;00BF309C&quot;/&gt;&lt;wsp:rsid wsp:val=&quot;00BF32E1&quot;/&gt;&lt;wsp:rsid wsp:val=&quot;00BF41ED&quot;/&gt;&lt;wsp:rsid wsp:val=&quot;00BF444E&quot;/&gt;&lt;wsp:rsid wsp:val=&quot;00BF61D5&quot;/&gt;&lt;wsp:rsid wsp:val=&quot;00C00554&quot;/&gt;&lt;wsp:rsid wsp:val=&quot;00C0082F&quot;/&gt;&lt;wsp:rsid wsp:val=&quot;00C00883&quot;/&gt;&lt;wsp:rsid wsp:val=&quot;00C02288&quot;/&gt;&lt;wsp:rsid wsp:val=&quot;00C03F5A&quot;/&gt;&lt;wsp:rsid wsp:val=&quot;00C04695&quot;/&gt;&lt;wsp:rsid wsp:val=&quot;00C06EC4&quot;/&gt;&lt;wsp:rsid wsp:val=&quot;00C07366&quot;/&gt;&lt;wsp:rsid wsp:val=&quot;00C07A66&quot;/&gt;&lt;wsp:rsid wsp:val=&quot;00C07F02&quot;/&gt;&lt;wsp:rsid wsp:val=&quot;00C10A5B&quot;/&gt;&lt;wsp:rsid wsp:val=&quot;00C11932&quot;/&gt;&lt;wsp:rsid wsp:val=&quot;00C12440&quot;/&gt;&lt;wsp:rsid wsp:val=&quot;00C14B7E&quot;/&gt;&lt;wsp:rsid wsp:val=&quot;00C14C9D&quot;/&gt;&lt;wsp:rsid wsp:val=&quot;00C15610&quot;/&gt;&lt;wsp:rsid wsp:val=&quot;00C157D3&quot;/&gt;&lt;wsp:rsid wsp:val=&quot;00C21E71&quot;/&gt;&lt;wsp:rsid wsp:val=&quot;00C22638&quot;/&gt;&lt;wsp:rsid wsp:val=&quot;00C2325C&quot;/&gt;&lt;wsp:rsid wsp:val=&quot;00C23414&quot;/&gt;&lt;wsp:rsid wsp:val=&quot;00C2417F&quot;/&gt;&lt;wsp:rsid wsp:val=&quot;00C242DB&quot;/&gt;&lt;wsp:rsid wsp:val=&quot;00C24CB5&quot;/&gt;&lt;wsp:rsid wsp:val=&quot;00C26391&quot;/&gt;&lt;wsp:rsid wsp:val=&quot;00C2645E&quot;/&gt;&lt;wsp:rsid wsp:val=&quot;00C269FD&quot;/&gt;&lt;wsp:rsid wsp:val=&quot;00C26F47&quot;/&gt;&lt;wsp:rsid wsp:val=&quot;00C279BF&quot;/&gt;&lt;wsp:rsid wsp:val=&quot;00C27CBA&quot;/&gt;&lt;wsp:rsid wsp:val=&quot;00C30081&quot;/&gt;&lt;wsp:rsid wsp:val=&quot;00C3046A&quot;/&gt;&lt;wsp:rsid wsp:val=&quot;00C30A35&quot;/&gt;&lt;wsp:rsid wsp:val=&quot;00C3143F&quot;/&gt;&lt;wsp:rsid wsp:val=&quot;00C31DF3&quot;/&gt;&lt;wsp:rsid wsp:val=&quot;00C3214A&quot;/&gt;&lt;wsp:rsid wsp:val=&quot;00C3226D&quot;/&gt;&lt;wsp:rsid wsp:val=&quot;00C325A5&quot;/&gt;&lt;wsp:rsid wsp:val=&quot;00C325D7&quot;/&gt;&lt;wsp:rsid wsp:val=&quot;00C32D3A&quot;/&gt;&lt;wsp:rsid wsp:val=&quot;00C357B2&quot;/&gt;&lt;wsp:rsid wsp:val=&quot;00C36773&quot;/&gt;&lt;wsp:rsid wsp:val=&quot;00C369FD&quot;/&gt;&lt;wsp:rsid wsp:val=&quot;00C36CBF&quot;/&gt;&lt;wsp:rsid wsp:val=&quot;00C36DFE&quot;/&gt;&lt;wsp:rsid wsp:val=&quot;00C37C3A&quot;/&gt;&lt;wsp:rsid wsp:val=&quot;00C4046B&quot;/&gt;&lt;wsp:rsid wsp:val=&quot;00C40B59&quot;/&gt;&lt;wsp:rsid wsp:val=&quot;00C410B3&quot;/&gt;&lt;wsp:rsid wsp:val=&quot;00C414FD&quot;/&gt;&lt;wsp:rsid wsp:val=&quot;00C41BC5&quot;/&gt;&lt;wsp:rsid wsp:val=&quot;00C426E8&quot;/&gt;&lt;wsp:rsid wsp:val=&quot;00C431FA&quot;/&gt;&lt;wsp:rsid wsp:val=&quot;00C439C7&quot;/&gt;&lt;wsp:rsid wsp:val=&quot;00C44379&quot;/&gt;&lt;wsp:rsid wsp:val=&quot;00C46DA3&quot;/&gt;&lt;wsp:rsid wsp:val=&quot;00C47D87&quot;/&gt;&lt;wsp:rsid wsp:val=&quot;00C5174B&quot;/&gt;&lt;wsp:rsid wsp:val=&quot;00C529F3&quot;/&gt;&lt;wsp:rsid wsp:val=&quot;00C52CC3&quot;/&gt;&lt;wsp:rsid wsp:val=&quot;00C538B1&quot;/&gt;&lt;wsp:rsid wsp:val=&quot;00C54102&quot;/&gt;&lt;wsp:rsid wsp:val=&quot;00C54855&quot;/&gt;&lt;wsp:rsid wsp:val=&quot;00C54929&quot;/&gt;&lt;wsp:rsid wsp:val=&quot;00C55EE7&quot;/&gt;&lt;wsp:rsid wsp:val=&quot;00C56915&quot;/&gt;&lt;wsp:rsid wsp:val=&quot;00C56D10&quot;/&gt;&lt;wsp:rsid wsp:val=&quot;00C5797C&quot;/&gt;&lt;wsp:rsid wsp:val=&quot;00C57F92&quot;/&gt;&lt;wsp:rsid wsp:val=&quot;00C6070B&quot;/&gt;&lt;wsp:rsid wsp:val=&quot;00C624E2&quot;/&gt;&lt;wsp:rsid wsp:val=&quot;00C62E02&quot;/&gt;&lt;wsp:rsid wsp:val=&quot;00C631D5&quot;/&gt;&lt;wsp:rsid wsp:val=&quot;00C644AB&quot;/&gt;&lt;wsp:rsid wsp:val=&quot;00C65139&quot;/&gt;&lt;wsp:rsid wsp:val=&quot;00C654CC&quot;/&gt;&lt;wsp:rsid wsp:val=&quot;00C670DC&quot;/&gt;&lt;wsp:rsid wsp:val=&quot;00C700EF&quot;/&gt;&lt;wsp:rsid wsp:val=&quot;00C70ABA&quot;/&gt;&lt;wsp:rsid wsp:val=&quot;00C71621&quot;/&gt;&lt;wsp:rsid wsp:val=&quot;00C73FE1&quot;/&gt;&lt;wsp:rsid wsp:val=&quot;00C74020&quot;/&gt;&lt;wsp:rsid wsp:val=&quot;00C744B7&quot;/&gt;&lt;wsp:rsid wsp:val=&quot;00C74DDF&quot;/&gt;&lt;wsp:rsid wsp:val=&quot;00C75824&quot;/&gt;&lt;wsp:rsid wsp:val=&quot;00C75E9C&quot;/&gt;&lt;wsp:rsid wsp:val=&quot;00C76977&quot;/&gt;&lt;wsp:rsid wsp:val=&quot;00C76BD2&quot;/&gt;&lt;wsp:rsid wsp:val=&quot;00C77ED4&quot;/&gt;&lt;wsp:rsid wsp:val=&quot;00C80E10&quot;/&gt;&lt;wsp:rsid wsp:val=&quot;00C81932&quot;/&gt;&lt;wsp:rsid wsp:val=&quot;00C81E87&quot;/&gt;&lt;wsp:rsid wsp:val=&quot;00C82698&quot;/&gt;&lt;wsp:rsid wsp:val=&quot;00C82D56&quot;/&gt;&lt;wsp:rsid wsp:val=&quot;00C82FBA&quot;/&gt;&lt;wsp:rsid wsp:val=&quot;00C83878&quot;/&gt;&lt;wsp:rsid wsp:val=&quot;00C83ECB&quot;/&gt;&lt;wsp:rsid wsp:val=&quot;00C847F1&quot;/&gt;&lt;wsp:rsid wsp:val=&quot;00C84918&quot;/&gt;&lt;wsp:rsid wsp:val=&quot;00C856C6&quot;/&gt;&lt;wsp:rsid wsp:val=&quot;00C863A9&quot;/&gt;&lt;wsp:rsid wsp:val=&quot;00C86D15&quot;/&gt;&lt;wsp:rsid wsp:val=&quot;00C87685&quot;/&gt;&lt;wsp:rsid wsp:val=&quot;00C879C5&quot;/&gt;&lt;wsp:rsid wsp:val=&quot;00C903C9&quot;/&gt;&lt;wsp:rsid wsp:val=&quot;00C9102C&quot;/&gt;&lt;wsp:rsid wsp:val=&quot;00C910CF&quot;/&gt;&lt;wsp:rsid wsp:val=&quot;00C91455&quot;/&gt;&lt;wsp:rsid wsp:val=&quot;00C9166A&quot;/&gt;&lt;wsp:rsid wsp:val=&quot;00C91880&quot;/&gt;&lt;wsp:rsid wsp:val=&quot;00C91F7D&quot;/&gt;&lt;wsp:rsid wsp:val=&quot;00C924CB&quot;/&gt;&lt;wsp:rsid wsp:val=&quot;00C9259C&quot;/&gt;&lt;wsp:rsid wsp:val=&quot;00C92944&quot;/&gt;&lt;wsp:rsid wsp:val=&quot;00C931D9&quot;/&gt;&lt;wsp:rsid wsp:val=&quot;00C9323C&quot;/&gt;&lt;wsp:rsid wsp:val=&quot;00C93A07&quot;/&gt;&lt;wsp:rsid wsp:val=&quot;00C942C4&quot;/&gt;&lt;wsp:rsid wsp:val=&quot;00C94B8E&quot;/&gt;&lt;wsp:rsid wsp:val=&quot;00C956BF&quot;/&gt;&lt;wsp:rsid wsp:val=&quot;00C95DFA&quot;/&gt;&lt;wsp:rsid wsp:val=&quot;00C9620A&quot;/&gt;&lt;wsp:rsid wsp:val=&quot;00C964ED&quot;/&gt;&lt;wsp:rsid wsp:val=&quot;00C97E6B&quot;/&gt;&lt;wsp:rsid wsp:val=&quot;00CA2BC7&quot;/&gt;&lt;wsp:rsid wsp:val=&quot;00CA3E16&quot;/&gt;&lt;wsp:rsid wsp:val=&quot;00CA46A0&quot;/&gt;&lt;wsp:rsid wsp:val=&quot;00CA5170&quot;/&gt;&lt;wsp:rsid wsp:val=&quot;00CA5835&quot;/&gt;&lt;wsp:rsid wsp:val=&quot;00CA636D&quot;/&gt;&lt;wsp:rsid wsp:val=&quot;00CA69DB&quot;/&gt;&lt;wsp:rsid wsp:val=&quot;00CA7C2C&quot;/&gt;&lt;wsp:rsid wsp:val=&quot;00CB0C85&quot;/&gt;&lt;wsp:rsid wsp:val=&quot;00CB1A48&quot;/&gt;&lt;wsp:rsid wsp:val=&quot;00CB2725&quot;/&gt;&lt;wsp:rsid wsp:val=&quot;00CB2C85&quot;/&gt;&lt;wsp:rsid wsp:val=&quot;00CB2E98&quot;/&gt;&lt;wsp:rsid wsp:val=&quot;00CB3E93&quot;/&gt;&lt;wsp:rsid wsp:val=&quot;00CB5964&quot;/&gt;&lt;wsp:rsid wsp:val=&quot;00CB653A&quot;/&gt;&lt;wsp:rsid wsp:val=&quot;00CB692D&quot;/&gt;&lt;wsp:rsid wsp:val=&quot;00CC022A&quot;/&gt;&lt;wsp:rsid wsp:val=&quot;00CC2E1D&quot;/&gt;&lt;wsp:rsid wsp:val=&quot;00CC4CFD&quot;/&gt;&lt;wsp:rsid wsp:val=&quot;00CC54A2&quot;/&gt;&lt;wsp:rsid wsp:val=&quot;00CC5D9A&quot;/&gt;&lt;wsp:rsid wsp:val=&quot;00CC7281&quot;/&gt;&lt;wsp:rsid wsp:val=&quot;00CD04D1&quot;/&gt;&lt;wsp:rsid wsp:val=&quot;00CD0CC3&quot;/&gt;&lt;wsp:rsid wsp:val=&quot;00CD1261&quot;/&gt;&lt;wsp:rsid wsp:val=&quot;00CD172E&quot;/&gt;&lt;wsp:rsid wsp:val=&quot;00CD1B8D&quot;/&gt;&lt;wsp:rsid wsp:val=&quot;00CD2790&quot;/&gt;&lt;wsp:rsid wsp:val=&quot;00CD2EEE&quot;/&gt;&lt;wsp:rsid wsp:val=&quot;00CD3459&quot;/&gt;&lt;wsp:rsid wsp:val=&quot;00CD3FB3&quot;/&gt;&lt;wsp:rsid wsp:val=&quot;00CD4C79&quot;/&gt;&lt;wsp:rsid wsp:val=&quot;00CD4EA0&quot;/&gt;&lt;wsp:rsid wsp:val=&quot;00CD4F49&quot;/&gt;&lt;wsp:rsid wsp:val=&quot;00CD6234&quot;/&gt;&lt;wsp:rsid wsp:val=&quot;00CD72A6&quot;/&gt;&lt;wsp:rsid wsp:val=&quot;00CD7483&quot;/&gt;&lt;wsp:rsid wsp:val=&quot;00CE0462&quot;/&gt;&lt;wsp:rsid wsp:val=&quot;00CE20C8&quot;/&gt;&lt;wsp:rsid wsp:val=&quot;00CE263F&quot;/&gt;&lt;wsp:rsid wsp:val=&quot;00CE265C&quot;/&gt;&lt;wsp:rsid wsp:val=&quot;00CE2F4E&quot;/&gt;&lt;wsp:rsid wsp:val=&quot;00CE30A7&quot;/&gt;&lt;wsp:rsid wsp:val=&quot;00CE328A&quot;/&gt;&lt;wsp:rsid wsp:val=&quot;00CE3AB6&quot;/&gt;&lt;wsp:rsid wsp:val=&quot;00CE48BC&quot;/&gt;&lt;wsp:rsid wsp:val=&quot;00CE5574&quot;/&gt;&lt;wsp:rsid wsp:val=&quot;00CE56A3&quot;/&gt;&lt;wsp:rsid wsp:val=&quot;00CE597B&quot;/&gt;&lt;wsp:rsid wsp:val=&quot;00CE5ADA&quot;/&gt;&lt;wsp:rsid wsp:val=&quot;00CE66C2&quot;/&gt;&lt;wsp:rsid wsp:val=&quot;00CE6724&quot;/&gt;&lt;wsp:rsid wsp:val=&quot;00CE67BE&quot;/&gt;&lt;wsp:rsid wsp:val=&quot;00CE75B7&quot;/&gt;&lt;wsp:rsid wsp:val=&quot;00CF031F&quot;/&gt;&lt;wsp:rsid wsp:val=&quot;00CF05D7&quot;/&gt;&lt;wsp:rsid wsp:val=&quot;00CF1816&quot;/&gt;&lt;wsp:rsid wsp:val=&quot;00CF1D28&quot;/&gt;&lt;wsp:rsid wsp:val=&quot;00CF20C3&quot;/&gt;&lt;wsp:rsid wsp:val=&quot;00CF26FB&quot;/&gt;&lt;wsp:rsid wsp:val=&quot;00CF4613&quot;/&gt;&lt;wsp:rsid wsp:val=&quot;00CF4B0F&quot;/&gt;&lt;wsp:rsid wsp:val=&quot;00D00E9E&quot;/&gt;&lt;wsp:rsid wsp:val=&quot;00D00FA0&quot;/&gt;&lt;wsp:rsid wsp:val=&quot;00D012E2&quot;/&gt;&lt;wsp:rsid wsp:val=&quot;00D01F17&quot;/&gt;&lt;wsp:rsid wsp:val=&quot;00D032FC&quot;/&gt;&lt;wsp:rsid wsp:val=&quot;00D0345D&quot;/&gt;&lt;wsp:rsid wsp:val=&quot;00D04CFD&quot;/&gt;&lt;wsp:rsid wsp:val=&quot;00D05A56&quot;/&gt;&lt;wsp:rsid wsp:val=&quot;00D07457&quot;/&gt;&lt;wsp:rsid wsp:val=&quot;00D075F7&quot;/&gt;&lt;wsp:rsid wsp:val=&quot;00D12577&quot;/&gt;&lt;wsp:rsid wsp:val=&quot;00D129F0&quot;/&gt;&lt;wsp:rsid wsp:val=&quot;00D12CF1&quot;/&gt;&lt;wsp:rsid wsp:val=&quot;00D13C3F&quot;/&gt;&lt;wsp:rsid wsp:val=&quot;00D13D9D&quot;/&gt;&lt;wsp:rsid wsp:val=&quot;00D142EE&quot;/&gt;&lt;wsp:rsid wsp:val=&quot;00D148A6&quot;/&gt;&lt;wsp:rsid wsp:val=&quot;00D14E9C&quot;/&gt;&lt;wsp:rsid wsp:val=&quot;00D1504F&quot;/&gt;&lt;wsp:rsid wsp:val=&quot;00D15061&quot;/&gt;&lt;wsp:rsid wsp:val=&quot;00D159F2&quot;/&gt;&lt;wsp:rsid wsp:val=&quot;00D20413&quot;/&gt;&lt;wsp:rsid wsp:val=&quot;00D21158&quot;/&gt;&lt;wsp:rsid wsp:val=&quot;00D21357&quot;/&gt;&lt;wsp:rsid wsp:val=&quot;00D2175D&quot;/&gt;&lt;wsp:rsid wsp:val=&quot;00D21BF4&quot;/&gt;&lt;wsp:rsid wsp:val=&quot;00D222D6&quot;/&gt;&lt;wsp:rsid wsp:val=&quot;00D22982&quot;/&gt;&lt;wsp:rsid wsp:val=&quot;00D22A1B&quot;/&gt;&lt;wsp:rsid wsp:val=&quot;00D22F1B&quot;/&gt;&lt;wsp:rsid wsp:val=&quot;00D233A6&quot;/&gt;&lt;wsp:rsid wsp:val=&quot;00D2342F&quot;/&gt;&lt;wsp:rsid wsp:val=&quot;00D240A5&quot;/&gt;&lt;wsp:rsid wsp:val=&quot;00D25F0D&quot;/&gt;&lt;wsp:rsid wsp:val=&quot;00D26561&quot;/&gt;&lt;wsp:rsid wsp:val=&quot;00D26F96&quot;/&gt;&lt;wsp:rsid wsp:val=&quot;00D3051D&quot;/&gt;&lt;wsp:rsid wsp:val=&quot;00D3269E&quot;/&gt;&lt;wsp:rsid wsp:val=&quot;00D32F19&quot;/&gt;&lt;wsp:rsid wsp:val=&quot;00D3368E&quot;/&gt;&lt;wsp:rsid wsp:val=&quot;00D33ED3&quot;/&gt;&lt;wsp:rsid wsp:val=&quot;00D34097&quot;/&gt;&lt;wsp:rsid wsp:val=&quot;00D34869&quot;/&gt;&lt;wsp:rsid wsp:val=&quot;00D35C1F&quot;/&gt;&lt;wsp:rsid wsp:val=&quot;00D3663D&quot;/&gt;&lt;wsp:rsid wsp:val=&quot;00D371EE&quot;/&gt;&lt;wsp:rsid wsp:val=&quot;00D37BCE&quot;/&gt;&lt;wsp:rsid wsp:val=&quot;00D37F9A&quot;/&gt;&lt;wsp:rsid wsp:val=&quot;00D401CE&quot;/&gt;&lt;wsp:rsid wsp:val=&quot;00D415BA&quot;/&gt;&lt;wsp:rsid wsp:val=&quot;00D42BCC&quot;/&gt;&lt;wsp:rsid wsp:val=&quot;00D4380D&quot;/&gt;&lt;wsp:rsid wsp:val=&quot;00D44034&quot;/&gt;&lt;wsp:rsid wsp:val=&quot;00D44819&quot;/&gt;&lt;wsp:rsid wsp:val=&quot;00D45090&quot;/&gt;&lt;wsp:rsid wsp:val=&quot;00D458CD&quot;/&gt;&lt;wsp:rsid wsp:val=&quot;00D461AF&quot;/&gt;&lt;wsp:rsid wsp:val=&quot;00D46C0A&quot;/&gt;&lt;wsp:rsid wsp:val=&quot;00D47C71&quot;/&gt;&lt;wsp:rsid wsp:val=&quot;00D47CA8&quot;/&gt;&lt;wsp:rsid wsp:val=&quot;00D508DA&quot;/&gt;&lt;wsp:rsid wsp:val=&quot;00D50F37&quot;/&gt;&lt;wsp:rsid wsp:val=&quot;00D5114B&quot;/&gt;&lt;wsp:rsid wsp:val=&quot;00D51BA7&quot;/&gt;&lt;wsp:rsid wsp:val=&quot;00D52B05&quot;/&gt;&lt;wsp:rsid wsp:val=&quot;00D53AD2&quot;/&gt;&lt;wsp:rsid wsp:val=&quot;00D54051&quot;/&gt;&lt;wsp:rsid wsp:val=&quot;00D546E4&quot;/&gt;&lt;wsp:rsid wsp:val=&quot;00D550C8&quot;/&gt;&lt;wsp:rsid wsp:val=&quot;00D57969&quot;/&gt;&lt;wsp:rsid wsp:val=&quot;00D602D5&quot;/&gt;&lt;wsp:rsid wsp:val=&quot;00D60F8F&quot;/&gt;&lt;wsp:rsid wsp:val=&quot;00D60FD1&quot;/&gt;&lt;wsp:rsid wsp:val=&quot;00D619CE&quot;/&gt;&lt;wsp:rsid wsp:val=&quot;00D63515&quot;/&gt;&lt;wsp:rsid wsp:val=&quot;00D639F7&quot;/&gt;&lt;wsp:rsid wsp:val=&quot;00D6505F&quot;/&gt;&lt;wsp:rsid wsp:val=&quot;00D651C6&quot;/&gt;&lt;wsp:rsid wsp:val=&quot;00D655D3&quot;/&gt;&lt;wsp:rsid wsp:val=&quot;00D66426&quot;/&gt;&lt;wsp:rsid wsp:val=&quot;00D665A9&quot;/&gt;&lt;wsp:rsid wsp:val=&quot;00D67991&quot;/&gt;&lt;wsp:rsid wsp:val=&quot;00D7018F&quot;/&gt;&lt;wsp:rsid wsp:val=&quot;00D703D8&quot;/&gt;&lt;wsp:rsid wsp:val=&quot;00D7102D&quot;/&gt;&lt;wsp:rsid wsp:val=&quot;00D71BB9&quot;/&gt;&lt;wsp:rsid wsp:val=&quot;00D72940&quot;/&gt;&lt;wsp:rsid wsp:val=&quot;00D73038&quot;/&gt;&lt;wsp:rsid wsp:val=&quot;00D7547F&quot;/&gt;&lt;wsp:rsid wsp:val=&quot;00D75F70&quot;/&gt;&lt;wsp:rsid wsp:val=&quot;00D76DB9&quot;/&gt;&lt;wsp:rsid wsp:val=&quot;00D77583&quot;/&gt;&lt;wsp:rsid wsp:val=&quot;00D77D34&quot;/&gt;&lt;wsp:rsid wsp:val=&quot;00D80311&quot;/&gt;&lt;wsp:rsid wsp:val=&quot;00D803C0&quot;/&gt;&lt;wsp:rsid wsp:val=&quot;00D81A8B&quot;/&gt;&lt;wsp:rsid wsp:val=&quot;00D81C50&quot;/&gt;&lt;wsp:rsid wsp:val=&quot;00D81C7E&quot;/&gt;&lt;wsp:rsid wsp:val=&quot;00D83846&quot;/&gt;&lt;wsp:rsid wsp:val=&quot;00D83EC5&quot;/&gt;&lt;wsp:rsid wsp:val=&quot;00D84D57&quot;/&gt;&lt;wsp:rsid wsp:val=&quot;00D868AA&quot;/&gt;&lt;wsp:rsid wsp:val=&quot;00D86A52&quot;/&gt;&lt;wsp:rsid wsp:val=&quot;00D872F1&quot;/&gt;&lt;wsp:rsid wsp:val=&quot;00D90C35&quot;/&gt;&lt;wsp:rsid wsp:val=&quot;00D9141F&quot;/&gt;&lt;wsp:rsid wsp:val=&quot;00D91A6C&quot;/&gt;&lt;wsp:rsid wsp:val=&quot;00D91B95&quot;/&gt;&lt;wsp:rsid wsp:val=&quot;00D927BE&quot;/&gt;&lt;wsp:rsid wsp:val=&quot;00D93220&quot;/&gt;&lt;wsp:rsid wsp:val=&quot;00D9484D&quot;/&gt;&lt;wsp:rsid wsp:val=&quot;00D94B1E&quot;/&gt;&lt;wsp:rsid wsp:val=&quot;00D94C9F&quot;/&gt;&lt;wsp:rsid wsp:val=&quot;00D95D2A&quot;/&gt;&lt;wsp:rsid wsp:val=&quot;00D9603F&quot;/&gt;&lt;wsp:rsid wsp:val=&quot;00D9642E&quot;/&gt;&lt;wsp:rsid wsp:val=&quot;00D96BCB&quot;/&gt;&lt;wsp:rsid wsp:val=&quot;00D96D55&quot;/&gt;&lt;wsp:rsid wsp:val=&quot;00D976BD&quot;/&gt;&lt;wsp:rsid wsp:val=&quot;00DA0894&quot;/&gt;&lt;wsp:rsid wsp:val=&quot;00DA0AFE&quot;/&gt;&lt;wsp:rsid wsp:val=&quot;00DA13EE&quot;/&gt;&lt;wsp:rsid wsp:val=&quot;00DA2DF3&quot;/&gt;&lt;wsp:rsid wsp:val=&quot;00DA31BD&quot;/&gt;&lt;wsp:rsid wsp:val=&quot;00DA33D9&quot;/&gt;&lt;wsp:rsid wsp:val=&quot;00DA3CB7&quot;/&gt;&lt;wsp:rsid wsp:val=&quot;00DA4666&quot;/&gt;&lt;wsp:rsid wsp:val=&quot;00DA49A5&quot;/&gt;&lt;wsp:rsid wsp:val=&quot;00DA4E66&quot;/&gt;&lt;wsp:rsid wsp:val=&quot;00DA6740&quot;/&gt;&lt;wsp:rsid wsp:val=&quot;00DA7588&quot;/&gt;&lt;wsp:rsid wsp:val=&quot;00DA78F3&quot;/&gt;&lt;wsp:rsid wsp:val=&quot;00DA7CFD&quot;/&gt;&lt;wsp:rsid wsp:val=&quot;00DB038E&quot;/&gt;&lt;wsp:rsid wsp:val=&quot;00DB03C7&quot;/&gt;&lt;wsp:rsid wsp:val=&quot;00DB0577&quot;/&gt;&lt;wsp:rsid wsp:val=&quot;00DB25A5&quot;/&gt;&lt;wsp:rsid wsp:val=&quot;00DB2D81&quot;/&gt;&lt;wsp:rsid wsp:val=&quot;00DB4B88&quot;/&gt;&lt;wsp:rsid wsp:val=&quot;00DB5BDB&quot;/&gt;&lt;wsp:rsid wsp:val=&quot;00DB763C&quot;/&gt;&lt;wsp:rsid wsp:val=&quot;00DB7C49&quot;/&gt;&lt;wsp:rsid wsp:val=&quot;00DC1F85&quot;/&gt;&lt;wsp:rsid wsp:val=&quot;00DC25B7&quot;/&gt;&lt;wsp:rsid wsp:val=&quot;00DC3592&quot;/&gt;&lt;wsp:rsid wsp:val=&quot;00DC3A87&quot;/&gt;&lt;wsp:rsid wsp:val=&quot;00DC4568&quot;/&gt;&lt;wsp:rsid wsp:val=&quot;00DC57C3&quot;/&gt;&lt;wsp:rsid wsp:val=&quot;00DC5B09&quot;/&gt;&lt;wsp:rsid wsp:val=&quot;00DC61C6&quot;/&gt;&lt;wsp:rsid wsp:val=&quot;00DC67A6&quot;/&gt;&lt;wsp:rsid wsp:val=&quot;00DC6830&quot;/&gt;&lt;wsp:rsid wsp:val=&quot;00DC69C9&quot;/&gt;&lt;wsp:rsid wsp:val=&quot;00DC7A79&quot;/&gt;&lt;wsp:rsid wsp:val=&quot;00DD0894&quot;/&gt;&lt;wsp:rsid wsp:val=&quot;00DD0B76&quot;/&gt;&lt;wsp:rsid wsp:val=&quot;00DD1DAE&quot;/&gt;&lt;wsp:rsid wsp:val=&quot;00DD427A&quot;/&gt;&lt;wsp:rsid wsp:val=&quot;00DD43A9&quot;/&gt;&lt;wsp:rsid wsp:val=&quot;00DD49EC&quot;/&gt;&lt;wsp:rsid wsp:val=&quot;00DD4E94&quot;/&gt;&lt;wsp:rsid wsp:val=&quot;00DD551A&quot;/&gt;&lt;wsp:rsid wsp:val=&quot;00DD57C4&quot;/&gt;&lt;wsp:rsid wsp:val=&quot;00DD5E57&quot;/&gt;&lt;wsp:rsid wsp:val=&quot;00DD60F2&quot;/&gt;&lt;wsp:rsid wsp:val=&quot;00DD77C4&quot;/&gt;&lt;wsp:rsid wsp:val=&quot;00DE0A1A&quot;/&gt;&lt;wsp:rsid wsp:val=&quot;00DE0E7C&quot;/&gt;&lt;wsp:rsid wsp:val=&quot;00DE0F4A&quot;/&gt;&lt;wsp:rsid wsp:val=&quot;00DE30FE&quot;/&gt;&lt;wsp:rsid wsp:val=&quot;00DE40EC&quot;/&gt;&lt;wsp:rsid wsp:val=&quot;00DE41DB&quot;/&gt;&lt;wsp:rsid wsp:val=&quot;00DE4598&quot;/&gt;&lt;wsp:rsid wsp:val=&quot;00DE45CE&quot;/&gt;&lt;wsp:rsid wsp:val=&quot;00DE4822&quot;/&gt;&lt;wsp:rsid wsp:val=&quot;00DE59FA&quot;/&gt;&lt;wsp:rsid wsp:val=&quot;00DE602C&quot;/&gt;&lt;wsp:rsid wsp:val=&quot;00DF017A&quot;/&gt;&lt;wsp:rsid wsp:val=&quot;00DF110A&quot;/&gt;&lt;wsp:rsid wsp:val=&quot;00DF169B&quot;/&gt;&lt;wsp:rsid wsp:val=&quot;00DF2115&quot;/&gt;&lt;wsp:rsid wsp:val=&quot;00DF2AFE&quot;/&gt;&lt;wsp:rsid wsp:val=&quot;00DF2DAC&quot;/&gt;&lt;wsp:rsid wsp:val=&quot;00DF2F08&quot;/&gt;&lt;wsp:rsid wsp:val=&quot;00DF4DE4&quot;/&gt;&lt;wsp:rsid wsp:val=&quot;00DF528D&quot;/&gt;&lt;wsp:rsid wsp:val=&quot;00DF5A68&quot;/&gt;&lt;wsp:rsid wsp:val=&quot;00DF64B1&quot;/&gt;&lt;wsp:rsid wsp:val=&quot;00DF666F&quot;/&gt;&lt;wsp:rsid wsp:val=&quot;00DF6BA0&quot;/&gt;&lt;wsp:rsid wsp:val=&quot;00DF6D46&quot;/&gt;&lt;wsp:rsid wsp:val=&quot;00DF793F&quot;/&gt;&lt;wsp:rsid wsp:val=&quot;00DF7ABC&quot;/&gt;&lt;wsp:rsid wsp:val=&quot;00E00276&quot;/&gt;&lt;wsp:rsid wsp:val=&quot;00E00ABA&quot;/&gt;&lt;wsp:rsid wsp:val=&quot;00E00E8D&quot;/&gt;&lt;wsp:rsid wsp:val=&quot;00E01C1C&quot;/&gt;&lt;wsp:rsid wsp:val=&quot;00E01FA2&quot;/&gt;&lt;wsp:rsid wsp:val=&quot;00E0221A&quot;/&gt;&lt;wsp:rsid wsp:val=&quot;00E02A08&quot;/&gt;&lt;wsp:rsid wsp:val=&quot;00E02D0D&quot;/&gt;&lt;wsp:rsid wsp:val=&quot;00E02F24&quot;/&gt;&lt;wsp:rsid wsp:val=&quot;00E03EB0&quot;/&gt;&lt;wsp:rsid wsp:val=&quot;00E040A0&quot;/&gt;&lt;wsp:rsid wsp:val=&quot;00E045CE&quot;/&gt;&lt;wsp:rsid wsp:val=&quot;00E04650&quot;/&gt;&lt;wsp:rsid wsp:val=&quot;00E05125&quot;/&gt;&lt;wsp:rsid wsp:val=&quot;00E05F05&quot;/&gt;&lt;wsp:rsid wsp:val=&quot;00E07173&quot;/&gt;&lt;wsp:rsid wsp:val=&quot;00E07189&quot;/&gt;&lt;wsp:rsid wsp:val=&quot;00E0755D&quot;/&gt;&lt;wsp:rsid wsp:val=&quot;00E0761E&quot;/&gt;&lt;wsp:rsid wsp:val=&quot;00E07E23&quot;/&gt;&lt;wsp:rsid wsp:val=&quot;00E07ECD&quot;/&gt;&lt;wsp:rsid wsp:val=&quot;00E101F2&quot;/&gt;&lt;wsp:rsid wsp:val=&quot;00E1042A&quot;/&gt;&lt;wsp:rsid wsp:val=&quot;00E1068F&quot;/&gt;&lt;wsp:rsid wsp:val=&quot;00E12176&quot;/&gt;&lt;wsp:rsid wsp:val=&quot;00E12A5B&quot;/&gt;&lt;wsp:rsid wsp:val=&quot;00E12F31&quot;/&gt;&lt;wsp:rsid wsp:val=&quot;00E13113&quot;/&gt;&lt;wsp:rsid wsp:val=&quot;00E134F9&quot;/&gt;&lt;wsp:rsid wsp:val=&quot;00E158B9&quot;/&gt;&lt;wsp:rsid wsp:val=&quot;00E158EF&quot;/&gt;&lt;wsp:rsid wsp:val=&quot;00E1753F&quot;/&gt;&lt;wsp:rsid wsp:val=&quot;00E17C6D&quot;/&gt;&lt;wsp:rsid wsp:val=&quot;00E232EB&quot;/&gt;&lt;wsp:rsid wsp:val=&quot;00E237EB&quot;/&gt;&lt;wsp:rsid wsp:val=&quot;00E23B54&quot;/&gt;&lt;wsp:rsid wsp:val=&quot;00E24029&quot;/&gt;&lt;wsp:rsid wsp:val=&quot;00E24CF9&quot;/&gt;&lt;wsp:rsid wsp:val=&quot;00E24E5A&quot;/&gt;&lt;wsp:rsid wsp:val=&quot;00E26459&quot;/&gt;&lt;wsp:rsid wsp:val=&quot;00E26B7D&quot;/&gt;&lt;wsp:rsid wsp:val=&quot;00E27D96&quot;/&gt;&lt;wsp:rsid wsp:val=&quot;00E31A3E&quot;/&gt;&lt;wsp:rsid wsp:val=&quot;00E31FDA&quot;/&gt;&lt;wsp:rsid wsp:val=&quot;00E325AC&quot;/&gt;&lt;wsp:rsid wsp:val=&quot;00E33BAA&quot;/&gt;&lt;wsp:rsid wsp:val=&quot;00E3483D&quot;/&gt;&lt;wsp:rsid wsp:val=&quot;00E3546B&quot;/&gt;&lt;wsp:rsid wsp:val=&quot;00E362EF&quot;/&gt;&lt;wsp:rsid wsp:val=&quot;00E4068B&quot;/&gt;&lt;wsp:rsid wsp:val=&quot;00E41E0A&quot;/&gt;&lt;wsp:rsid wsp:val=&quot;00E4265B&quot;/&gt;&lt;wsp:rsid wsp:val=&quot;00E4409F&quot;/&gt;&lt;wsp:rsid wsp:val=&quot;00E44583&quot;/&gt;&lt;wsp:rsid wsp:val=&quot;00E446F8&quot;/&gt;&lt;wsp:rsid wsp:val=&quot;00E45B50&quot;/&gt;&lt;wsp:rsid wsp:val=&quot;00E45BF9&quot;/&gt;&lt;wsp:rsid wsp:val=&quot;00E47344&quot;/&gt;&lt;wsp:rsid wsp:val=&quot;00E4776D&quot;/&gt;&lt;wsp:rsid wsp:val=&quot;00E47FD9&quot;/&gt;&lt;wsp:rsid wsp:val=&quot;00E508C4&quot;/&gt;&lt;wsp:rsid wsp:val=&quot;00E50C2C&quot;/&gt;&lt;wsp:rsid wsp:val=&quot;00E5367E&quot;/&gt;&lt;wsp:rsid wsp:val=&quot;00E547F9&quot;/&gt;&lt;wsp:rsid wsp:val=&quot;00E55211&quot;/&gt;&lt;wsp:rsid wsp:val=&quot;00E55C1D&quot;/&gt;&lt;wsp:rsid wsp:val=&quot;00E55CE7&quot;/&gt;&lt;wsp:rsid wsp:val=&quot;00E56457&quot;/&gt;&lt;wsp:rsid wsp:val=&quot;00E56FC1&quot;/&gt;&lt;wsp:rsid wsp:val=&quot;00E60613&quot;/&gt;&lt;wsp:rsid wsp:val=&quot;00E6124A&quot;/&gt;&lt;wsp:rsid wsp:val=&quot;00E618DE&quot;/&gt;&lt;wsp:rsid wsp:val=&quot;00E61FAF&quot;/&gt;&lt;wsp:rsid wsp:val=&quot;00E624A3&quot;/&gt;&lt;wsp:rsid wsp:val=&quot;00E63DCF&quot;/&gt;&lt;wsp:rsid wsp:val=&quot;00E64E60&quot;/&gt;&lt;wsp:rsid wsp:val=&quot;00E65801&quot;/&gt;&lt;wsp:rsid wsp:val=&quot;00E65A57&quot;/&gt;&lt;wsp:rsid wsp:val=&quot;00E667F7&quot;/&gt;&lt;wsp:rsid wsp:val=&quot;00E668BF&quot;/&gt;&lt;wsp:rsid wsp:val=&quot;00E679E8&quot;/&gt;&lt;wsp:rsid wsp:val=&quot;00E700B3&quot;/&gt;&lt;wsp:rsid wsp:val=&quot;00E71535&quot;/&gt;&lt;wsp:rsid wsp:val=&quot;00E729FD&quot;/&gt;&lt;wsp:rsid wsp:val=&quot;00E72D4E&quot;/&gt;&lt;wsp:rsid wsp:val=&quot;00E72F28&quot;/&gt;&lt;wsp:rsid wsp:val=&quot;00E7437C&quot;/&gt;&lt;wsp:rsid wsp:val=&quot;00E74AF6&quot;/&gt;&lt;wsp:rsid wsp:val=&quot;00E74E36&quot;/&gt;&lt;wsp:rsid wsp:val=&quot;00E755F5&quot;/&gt;&lt;wsp:rsid wsp:val=&quot;00E76227&quot;/&gt;&lt;wsp:rsid wsp:val=&quot;00E7644D&quot;/&gt;&lt;wsp:rsid wsp:val=&quot;00E76B96&quot;/&gt;&lt;wsp:rsid wsp:val=&quot;00E77D30&quot;/&gt;&lt;wsp:rsid wsp:val=&quot;00E77D79&quot;/&gt;&lt;wsp:rsid wsp:val=&quot;00E77EAF&quot;/&gt;&lt;wsp:rsid wsp:val=&quot;00E805E6&quot;/&gt;&lt;wsp:rsid wsp:val=&quot;00E818E6&quot;/&gt;&lt;wsp:rsid wsp:val=&quot;00E819FB&quot;/&gt;&lt;wsp:rsid wsp:val=&quot;00E824AF&quot;/&gt;&lt;wsp:rsid wsp:val=&quot;00E828CA&quot;/&gt;&lt;wsp:rsid wsp:val=&quot;00E82C6F&quot;/&gt;&lt;wsp:rsid wsp:val=&quot;00E83354&quot;/&gt;&lt;wsp:rsid wsp:val=&quot;00E8338E&quot;/&gt;&lt;wsp:rsid wsp:val=&quot;00E8447D&quot;/&gt;&lt;wsp:rsid wsp:val=&quot;00E85240&quot;/&gt;&lt;wsp:rsid wsp:val=&quot;00E8595B&quot;/&gt;&lt;wsp:rsid wsp:val=&quot;00E8634F&quot;/&gt;&lt;wsp:rsid wsp:val=&quot;00E9063A&quot;/&gt;&lt;wsp:rsid wsp:val=&quot;00E93119&quot;/&gt;&lt;wsp:rsid wsp:val=&quot;00E93127&quot;/&gt;&lt;wsp:rsid wsp:val=&quot;00E93961&quot;/&gt;&lt;wsp:rsid wsp:val=&quot;00E93B22&quot;/&gt;&lt;wsp:rsid wsp:val=&quot;00E9417F&quot;/&gt;&lt;wsp:rsid wsp:val=&quot;00E958C7&quot;/&gt;&lt;wsp:rsid wsp:val=&quot;00E9625E&quot;/&gt;&lt;wsp:rsid wsp:val=&quot;00E9665A&quot;/&gt;&lt;wsp:rsid wsp:val=&quot;00EA08B1&quot;/&gt;&lt;wsp:rsid wsp:val=&quot;00EA10E6&quot;/&gt;&lt;wsp:rsid wsp:val=&quot;00EA209D&quot;/&gt;&lt;wsp:rsid wsp:val=&quot;00EA2941&quot;/&gt;&lt;wsp:rsid wsp:val=&quot;00EA3272&quot;/&gt;&lt;wsp:rsid wsp:val=&quot;00EA5833&quot;/&gt;&lt;wsp:rsid wsp:val=&quot;00EA5E58&quot;/&gt;&lt;wsp:rsid wsp:val=&quot;00EA5E71&quot;/&gt;&lt;wsp:rsid wsp:val=&quot;00EA7D74&quot;/&gt;&lt;wsp:rsid wsp:val=&quot;00EB02F6&quot;/&gt;&lt;wsp:rsid wsp:val=&quot;00EB2136&quot;/&gt;&lt;wsp:rsid wsp:val=&quot;00EB23A9&quot;/&gt;&lt;wsp:rsid wsp:val=&quot;00EB2403&quot;/&gt;&lt;wsp:rsid wsp:val=&quot;00EB2482&quot;/&gt;&lt;wsp:rsid wsp:val=&quot;00EB29BA&quot;/&gt;&lt;wsp:rsid wsp:val=&quot;00EB2A67&quot;/&gt;&lt;wsp:rsid wsp:val=&quot;00EB305E&quot;/&gt;&lt;wsp:rsid wsp:val=&quot;00EB42DE&quot;/&gt;&lt;wsp:rsid wsp:val=&quot;00EB58C6&quot;/&gt;&lt;wsp:rsid wsp:val=&quot;00EB591E&quot;/&gt;&lt;wsp:rsid wsp:val=&quot;00EB5BC8&quot;/&gt;&lt;wsp:rsid wsp:val=&quot;00EB5D4D&quot;/&gt;&lt;wsp:rsid wsp:val=&quot;00EB5D6E&quot;/&gt;&lt;wsp:rsid wsp:val=&quot;00EB6819&quot;/&gt;&lt;wsp:rsid wsp:val=&quot;00EB6C73&quot;/&gt;&lt;wsp:rsid wsp:val=&quot;00EB73F8&quot;/&gt;&lt;wsp:rsid wsp:val=&quot;00EB7DA6&quot;/&gt;&lt;wsp:rsid wsp:val=&quot;00EC0476&quot;/&gt;&lt;wsp:rsid wsp:val=&quot;00EC05B6&quot;/&gt;&lt;wsp:rsid wsp:val=&quot;00EC062D&quot;/&gt;&lt;wsp:rsid wsp:val=&quot;00EC0F46&quot;/&gt;&lt;wsp:rsid wsp:val=&quot;00EC2A97&quot;/&gt;&lt;wsp:rsid wsp:val=&quot;00EC2AC3&quot;/&gt;&lt;wsp:rsid wsp:val=&quot;00EC333F&quot;/&gt;&lt;wsp:rsid wsp:val=&quot;00EC34D8&quot;/&gt;&lt;wsp:rsid wsp:val=&quot;00EC3571&quot;/&gt;&lt;wsp:rsid wsp:val=&quot;00EC35E2&quot;/&gt;&lt;wsp:rsid wsp:val=&quot;00EC4216&quot;/&gt;&lt;wsp:rsid wsp:val=&quot;00EC4490&quot;/&gt;&lt;wsp:rsid wsp:val=&quot;00EC5EEA&quot;/&gt;&lt;wsp:rsid wsp:val=&quot;00EC625E&quot;/&gt;&lt;wsp:rsid wsp:val=&quot;00ED1987&quot;/&gt;&lt;wsp:rsid wsp:val=&quot;00ED2509&quot;/&gt;&lt;wsp:rsid wsp:val=&quot;00ED30F5&quot;/&gt;&lt;wsp:rsid wsp:val=&quot;00ED354B&quot;/&gt;&lt;wsp:rsid wsp:val=&quot;00ED3576&quot;/&gt;&lt;wsp:rsid wsp:val=&quot;00ED45AB&quot;/&gt;&lt;wsp:rsid wsp:val=&quot;00ED4C7E&quot;/&gt;&lt;wsp:rsid wsp:val=&quot;00ED633E&quot;/&gt;&lt;wsp:rsid wsp:val=&quot;00ED6382&quot;/&gt;&lt;wsp:rsid wsp:val=&quot;00ED70DD&quot;/&gt;&lt;wsp:rsid wsp:val=&quot;00ED7753&quot;/&gt;&lt;wsp:rsid wsp:val=&quot;00ED7C81&quot;/&gt;&lt;wsp:rsid wsp:val=&quot;00EE03AD&quot;/&gt;&lt;wsp:rsid wsp:val=&quot;00EE0DE4&quot;/&gt;&lt;wsp:rsid wsp:val=&quot;00EE15AF&quot;/&gt;&lt;wsp:rsid wsp:val=&quot;00EE1E4F&quot;/&gt;&lt;wsp:rsid wsp:val=&quot;00EE214B&quot;/&gt;&lt;wsp:rsid wsp:val=&quot;00EE24E5&quot;/&gt;&lt;wsp:rsid wsp:val=&quot;00EE4B87&quot;/&gt;&lt;wsp:rsid wsp:val=&quot;00EE5352&quot;/&gt;&lt;wsp:rsid wsp:val=&quot;00EE58D2&quot;/&gt;&lt;wsp:rsid wsp:val=&quot;00EF0AFD&quot;/&gt;&lt;wsp:rsid wsp:val=&quot;00EF146A&quot;/&gt;&lt;wsp:rsid wsp:val=&quot;00EF18B5&quot;/&gt;&lt;wsp:rsid wsp:val=&quot;00EF315C&quot;/&gt;&lt;wsp:rsid wsp:val=&quot;00EF3544&quot;/&gt;&lt;wsp:rsid wsp:val=&quot;00EF37DB&quot;/&gt;&lt;wsp:rsid wsp:val=&quot;00EF3C4D&quot;/&gt;&lt;wsp:rsid wsp:val=&quot;00EF518C&quot;/&gt;&lt;wsp:rsid wsp:val=&quot;00EF6DAB&quot;/&gt;&lt;wsp:rsid wsp:val=&quot;00EF7C70&quot;/&gt;&lt;wsp:rsid wsp:val=&quot;00F007EE&quot;/&gt;&lt;wsp:rsid wsp:val=&quot;00F00956&quot;/&gt;&lt;wsp:rsid wsp:val=&quot;00F00BF3&quot;/&gt;&lt;wsp:rsid wsp:val=&quot;00F01D77&quot;/&gt;&lt;wsp:rsid wsp:val=&quot;00F01ECE&quot;/&gt;&lt;wsp:rsid wsp:val=&quot;00F02345&quot;/&gt;&lt;wsp:rsid wsp:val=&quot;00F02A1D&quot;/&gt;&lt;wsp:rsid wsp:val=&quot;00F02B64&quot;/&gt;&lt;wsp:rsid wsp:val=&quot;00F0344B&quot;/&gt;&lt;wsp:rsid wsp:val=&quot;00F03969&quot;/&gt;&lt;wsp:rsid wsp:val=&quot;00F0499B&quot;/&gt;&lt;wsp:rsid wsp:val=&quot;00F04CAF&quot;/&gt;&lt;wsp:rsid wsp:val=&quot;00F04D8C&quot;/&gt;&lt;wsp:rsid wsp:val=&quot;00F056AA&quot;/&gt;&lt;wsp:rsid wsp:val=&quot;00F05A78&quot;/&gt;&lt;wsp:rsid wsp:val=&quot;00F063D0&quot;/&gt;&lt;wsp:rsid wsp:val=&quot;00F06711&quot;/&gt;&lt;wsp:rsid wsp:val=&quot;00F06DEA&quot;/&gt;&lt;wsp:rsid wsp:val=&quot;00F076E5&quot;/&gt;&lt;wsp:rsid wsp:val=&quot;00F10939&quot;/&gt;&lt;wsp:rsid wsp:val=&quot;00F109A3&quot;/&gt;&lt;wsp:rsid wsp:val=&quot;00F13DFB&quot;/&gt;&lt;wsp:rsid wsp:val=&quot;00F145C5&quot;/&gt;&lt;wsp:rsid wsp:val=&quot;00F1489A&quot;/&gt;&lt;wsp:rsid wsp:val=&quot;00F14D6C&quot;/&gt;&lt;wsp:rsid wsp:val=&quot;00F14EA2&quot;/&gt;&lt;wsp:rsid wsp:val=&quot;00F150AB&quot;/&gt;&lt;wsp:rsid wsp:val=&quot;00F1573C&quot;/&gt;&lt;wsp:rsid wsp:val=&quot;00F15BCD&quot;/&gt;&lt;wsp:rsid wsp:val=&quot;00F1775C&quot;/&gt;&lt;wsp:rsid wsp:val=&quot;00F17B78&quot;/&gt;&lt;wsp:rsid wsp:val=&quot;00F17D5D&quot;/&gt;&lt;wsp:rsid wsp:val=&quot;00F17F49&quot;/&gt;&lt;wsp:rsid wsp:val=&quot;00F201C0&quot;/&gt;&lt;wsp:rsid wsp:val=&quot;00F20493&quot;/&gt;&lt;wsp:rsid wsp:val=&quot;00F22CBB&quot;/&gt;&lt;wsp:rsid wsp:val=&quot;00F22EE1&quot;/&gt;&lt;wsp:rsid wsp:val=&quot;00F23A7C&quot;/&gt;&lt;wsp:rsid wsp:val=&quot;00F243C0&quot;/&gt;&lt;wsp:rsid wsp:val=&quot;00F249C2&quot;/&gt;&lt;wsp:rsid wsp:val=&quot;00F25485&quot;/&gt;&lt;wsp:rsid wsp:val=&quot;00F25584&quot;/&gt;&lt;wsp:rsid wsp:val=&quot;00F25A0D&quot;/&gt;&lt;wsp:rsid wsp:val=&quot;00F26781&quot;/&gt;&lt;wsp:rsid wsp:val=&quot;00F26A07&quot;/&gt;&lt;wsp:rsid wsp:val=&quot;00F2793F&quot;/&gt;&lt;wsp:rsid wsp:val=&quot;00F27AEE&quot;/&gt;&lt;wsp:rsid wsp:val=&quot;00F27F1E&quot;/&gt;&lt;wsp:rsid wsp:val=&quot;00F3009F&quot;/&gt;&lt;wsp:rsid wsp:val=&quot;00F301EE&quot;/&gt;&lt;wsp:rsid wsp:val=&quot;00F315AA&quot;/&gt;&lt;wsp:rsid wsp:val=&quot;00F31938&quot;/&gt;&lt;wsp:rsid wsp:val=&quot;00F32391&quot;/&gt;&lt;wsp:rsid wsp:val=&quot;00F323B3&quot;/&gt;&lt;wsp:rsid wsp:val=&quot;00F3301A&quot;/&gt;&lt;wsp:rsid wsp:val=&quot;00F331E3&quot;/&gt;&lt;wsp:rsid wsp:val=&quot;00F33231&quot;/&gt;&lt;wsp:rsid wsp:val=&quot;00F33E2A&quot;/&gt;&lt;wsp:rsid wsp:val=&quot;00F34519&quot;/&gt;&lt;wsp:rsid wsp:val=&quot;00F345D3&quot;/&gt;&lt;wsp:rsid wsp:val=&quot;00F348A5&quot;/&gt;&lt;wsp:rsid wsp:val=&quot;00F35064&quot;/&gt;&lt;wsp:rsid wsp:val=&quot;00F350A1&quot;/&gt;&lt;wsp:rsid wsp:val=&quot;00F35921&quot;/&gt;&lt;wsp:rsid wsp:val=&quot;00F35925&quot;/&gt;&lt;wsp:rsid wsp:val=&quot;00F35F6D&quot;/&gt;&lt;wsp:rsid wsp:val=&quot;00F37143&quot;/&gt;&lt;wsp:rsid wsp:val=&quot;00F375E7&quot;/&gt;&lt;wsp:rsid wsp:val=&quot;00F376D6&quot;/&gt;&lt;wsp:rsid wsp:val=&quot;00F37808&quot;/&gt;&lt;wsp:rsid wsp:val=&quot;00F400D1&quot;/&gt;&lt;wsp:rsid wsp:val=&quot;00F402E0&quot;/&gt;&lt;wsp:rsid wsp:val=&quot;00F40A4F&quot;/&gt;&lt;wsp:rsid wsp:val=&quot;00F41356&quot;/&gt;&lt;wsp:rsid wsp:val=&quot;00F418B7&quot;/&gt;&lt;wsp:rsid wsp:val=&quot;00F41D69&quot;/&gt;&lt;wsp:rsid wsp:val=&quot;00F41D7E&quot;/&gt;&lt;wsp:rsid wsp:val=&quot;00F420F9&quot;/&gt;&lt;wsp:rsid wsp:val=&quot;00F4297F&quot;/&gt;&lt;wsp:rsid wsp:val=&quot;00F440AC&quot;/&gt;&lt;wsp:rsid wsp:val=&quot;00F451B4&quot;/&gt;&lt;wsp:rsid wsp:val=&quot;00F452E0&quot;/&gt;&lt;wsp:rsid wsp:val=&quot;00F4539F&quot;/&gt;&lt;wsp:rsid wsp:val=&quot;00F4540C&quot;/&gt;&lt;wsp:rsid wsp:val=&quot;00F4551E&quot;/&gt;&lt;wsp:rsid wsp:val=&quot;00F45832&quot;/&gt;&lt;wsp:rsid wsp:val=&quot;00F45F70&quot;/&gt;&lt;wsp:rsid wsp:val=&quot;00F46888&quot;/&gt;&lt;wsp:rsid wsp:val=&quot;00F468FB&quot;/&gt;&lt;wsp:rsid wsp:val=&quot;00F47012&quot;/&gt;&lt;wsp:rsid wsp:val=&quot;00F4760B&quot;/&gt;&lt;wsp:rsid wsp:val=&quot;00F47ABF&quot;/&gt;&lt;wsp:rsid wsp:val=&quot;00F50529&quot;/&gt;&lt;wsp:rsid wsp:val=&quot;00F5062D&quot;/&gt;&lt;wsp:rsid wsp:val=&quot;00F5080E&quot;/&gt;&lt;wsp:rsid wsp:val=&quot;00F5097F&quot;/&gt;&lt;wsp:rsid wsp:val=&quot;00F518EF&quot;/&gt;&lt;wsp:rsid wsp:val=&quot;00F522A5&quot;/&gt;&lt;wsp:rsid wsp:val=&quot;00F52390&quot;/&gt;&lt;wsp:rsid wsp:val=&quot;00F5307B&quot;/&gt;&lt;wsp:rsid wsp:val=&quot;00F537A2&quot;/&gt;&lt;wsp:rsid wsp:val=&quot;00F5389C&quot;/&gt;&lt;wsp:rsid wsp:val=&quot;00F53DA8&quot;/&gt;&lt;wsp:rsid wsp:val=&quot;00F53EEC&quot;/&gt;&lt;wsp:rsid wsp:val=&quot;00F5454A&quot;/&gt;&lt;wsp:rsid wsp:val=&quot;00F5473F&quot;/&gt;&lt;wsp:rsid wsp:val=&quot;00F54922&quot;/&gt;&lt;wsp:rsid wsp:val=&quot;00F562F5&quot;/&gt;&lt;wsp:rsid wsp:val=&quot;00F56489&quot;/&gt;&lt;wsp:rsid wsp:val=&quot;00F579C7&quot;/&gt;&lt;wsp:rsid wsp:val=&quot;00F57D74&quot;/&gt;&lt;wsp:rsid wsp:val=&quot;00F605FD&quot;/&gt;&lt;wsp:rsid wsp:val=&quot;00F60B39&quot;/&gt;&lt;wsp:rsid wsp:val=&quot;00F61E25&quot;/&gt;&lt;wsp:rsid wsp:val=&quot;00F6265C&quot;/&gt;&lt;wsp:rsid wsp:val=&quot;00F62707&quot;/&gt;&lt;wsp:rsid wsp:val=&quot;00F62BCB&quot;/&gt;&lt;wsp:rsid wsp:val=&quot;00F63254&quot;/&gt;&lt;wsp:rsid wsp:val=&quot;00F64E59&quot;/&gt;&lt;wsp:rsid wsp:val=&quot;00F65003&quot;/&gt;&lt;wsp:rsid wsp:val=&quot;00F65164&quot;/&gt;&lt;wsp:rsid wsp:val=&quot;00F662CF&quot;/&gt;&lt;wsp:rsid wsp:val=&quot;00F66624&quot;/&gt;&lt;wsp:rsid wsp:val=&quot;00F675C4&quot;/&gt;&lt;wsp:rsid wsp:val=&quot;00F7024C&quot;/&gt;&lt;wsp:rsid wsp:val=&quot;00F70B18&quot;/&gt;&lt;wsp:rsid wsp:val=&quot;00F71A44&quot;/&gt;&lt;wsp:rsid wsp:val=&quot;00F71D77&quot;/&gt;&lt;wsp:rsid wsp:val=&quot;00F7228B&quot;/&gt;&lt;wsp:rsid wsp:val=&quot;00F72BBE&quot;/&gt;&lt;wsp:rsid wsp:val=&quot;00F72C1A&quot;/&gt;&lt;wsp:rsid wsp:val=&quot;00F7310E&quot;/&gt;&lt;wsp:rsid wsp:val=&quot;00F739B9&quot;/&gt;&lt;wsp:rsid wsp:val=&quot;00F73B35&quot;/&gt;&lt;wsp:rsid wsp:val=&quot;00F75079&quot;/&gt;&lt;wsp:rsid wsp:val=&quot;00F751FB&quot;/&gt;&lt;wsp:rsid wsp:val=&quot;00F76986&quot;/&gt;&lt;wsp:rsid wsp:val=&quot;00F80320&quot;/&gt;&lt;wsp:rsid wsp:val=&quot;00F80F70&quot;/&gt;&lt;wsp:rsid wsp:val=&quot;00F8135B&quot;/&gt;&lt;wsp:rsid wsp:val=&quot;00F81430&quot;/&gt;&lt;wsp:rsid wsp:val=&quot;00F81743&quot;/&gt;&lt;wsp:rsid wsp:val=&quot;00F82C95&quot;/&gt;&lt;wsp:rsid wsp:val=&quot;00F833C2&quot;/&gt;&lt;wsp:rsid wsp:val=&quot;00F836F7&quot;/&gt;&lt;wsp:rsid wsp:val=&quot;00F83FAB&quot;/&gt;&lt;wsp:rsid wsp:val=&quot;00F849A3&quot;/&gt;&lt;wsp:rsid wsp:val=&quot;00F849E7&quot;/&gt;&lt;wsp:rsid wsp:val=&quot;00F85448&quot;/&gt;&lt;wsp:rsid wsp:val=&quot;00F876FE&quot;/&gt;&lt;wsp:rsid wsp:val=&quot;00F87E13&quot;/&gt;&lt;wsp:rsid wsp:val=&quot;00F90CA3&quot;/&gt;&lt;wsp:rsid wsp:val=&quot;00F9188E&quot;/&gt;&lt;wsp:rsid wsp:val=&quot;00F92190&quot;/&gt;&lt;wsp:rsid wsp:val=&quot;00F92C8A&quot;/&gt;&lt;wsp:rsid wsp:val=&quot;00F9325C&quot;/&gt;&lt;wsp:rsid wsp:val=&quot;00F9351D&quot;/&gt;&lt;wsp:rsid wsp:val=&quot;00F938A9&quot;/&gt;&lt;wsp:rsid wsp:val=&quot;00F93A7F&quot;/&gt;&lt;wsp:rsid wsp:val=&quot;00F93C85&quot;/&gt;&lt;wsp:rsid wsp:val=&quot;00F94117&quot;/&gt;&lt;wsp:rsid wsp:val=&quot;00F94238&quot;/&gt;&lt;wsp:rsid wsp:val=&quot;00F94281&quot;/&gt;&lt;wsp:rsid wsp:val=&quot;00F9485C&quot;/&gt;&lt;wsp:rsid wsp:val=&quot;00F94A0A&quot;/&gt;&lt;wsp:rsid wsp:val=&quot;00F953E8&quot;/&gt;&lt;wsp:rsid wsp:val=&quot;00F954AE&quot;/&gt;&lt;wsp:rsid wsp:val=&quot;00F95C0E&quot;/&gt;&lt;wsp:rsid wsp:val=&quot;00F95D32&quot;/&gt;&lt;wsp:rsid wsp:val=&quot;00F961C9&quot;/&gt;&lt;wsp:rsid wsp:val=&quot;00F96883&quot;/&gt;&lt;wsp:rsid wsp:val=&quot;00F970C9&quot;/&gt;&lt;wsp:rsid wsp:val=&quot;00F9724A&quot;/&gt;&lt;wsp:rsid wsp:val=&quot;00F977E6&quot;/&gt;&lt;wsp:rsid wsp:val=&quot;00FA0982&quot;/&gt;&lt;wsp:rsid wsp:val=&quot;00FA0E29&quot;/&gt;&lt;wsp:rsid wsp:val=&quot;00FA1A6B&quot;/&gt;&lt;wsp:rsid wsp:val=&quot;00FA1B7B&quot;/&gt;&lt;wsp:rsid wsp:val=&quot;00FA1EE1&quot;/&gt;&lt;wsp:rsid wsp:val=&quot;00FA37D7&quot;/&gt;&lt;wsp:rsid wsp:val=&quot;00FA3D75&quot;/&gt;&lt;wsp:rsid wsp:val=&quot;00FA4159&quot;/&gt;&lt;wsp:rsid wsp:val=&quot;00FA4805&quot;/&gt;&lt;wsp:rsid wsp:val=&quot;00FA4AA3&quot;/&gt;&lt;wsp:rsid wsp:val=&quot;00FA4C6C&quot;/&gt;&lt;wsp:rsid wsp:val=&quot;00FA5046&quot;/&gt;&lt;wsp:rsid wsp:val=&quot;00FA5324&quot;/&gt;&lt;wsp:rsid wsp:val=&quot;00FA5A5A&quot;/&gt;&lt;wsp:rsid wsp:val=&quot;00FA5D87&quot;/&gt;&lt;wsp:rsid wsp:val=&quot;00FA7814&quot;/&gt;&lt;wsp:rsid wsp:val=&quot;00FA7E0A&quot;/&gt;&lt;wsp:rsid wsp:val=&quot;00FB0187&quot;/&gt;&lt;wsp:rsid wsp:val=&quot;00FB08B7&quot;/&gt;&lt;wsp:rsid wsp:val=&quot;00FB0ABD&quot;/&gt;&lt;wsp:rsid wsp:val=&quot;00FB11B0&quot;/&gt;&lt;wsp:rsid wsp:val=&quot;00FB1B57&quot;/&gt;&lt;wsp:rsid wsp:val=&quot;00FB2026&quot;/&gt;&lt;wsp:rsid wsp:val=&quot;00FB206F&quot;/&gt;&lt;wsp:rsid wsp:val=&quot;00FB2321&quot;/&gt;&lt;wsp:rsid wsp:val=&quot;00FB3539&quot;/&gt;&lt;wsp:rsid wsp:val=&quot;00FB44B2&quot;/&gt;&lt;wsp:rsid wsp:val=&quot;00FB46D3&quot;/&gt;&lt;wsp:rsid wsp:val=&quot;00FB4FB5&quot;/&gt;&lt;wsp:rsid wsp:val=&quot;00FB50F5&quot;/&gt;&lt;wsp:rsid wsp:val=&quot;00FB5707&quot;/&gt;&lt;wsp:rsid wsp:val=&quot;00FB599C&quot;/&gt;&lt;wsp:rsid wsp:val=&quot;00FB5AB2&quot;/&gt;&lt;wsp:rsid wsp:val=&quot;00FB5C1D&quot;/&gt;&lt;wsp:rsid wsp:val=&quot;00FB68DA&quot;/&gt;&lt;wsp:rsid wsp:val=&quot;00FB69F1&quot;/&gt;&lt;wsp:rsid wsp:val=&quot;00FB74F6&quot;/&gt;&lt;wsp:rsid wsp:val=&quot;00FB7D51&quot;/&gt;&lt;wsp:rsid wsp:val=&quot;00FC1AE8&quot;/&gt;&lt;wsp:rsid wsp:val=&quot;00FC3209&quot;/&gt;&lt;wsp:rsid wsp:val=&quot;00FC3220&quot;/&gt;&lt;wsp:rsid wsp:val=&quot;00FC3A8B&quot;/&gt;&lt;wsp:rsid wsp:val=&quot;00FC3C85&quot;/&gt;&lt;wsp:rsid wsp:val=&quot;00FC4FBC&quot;/&gt;&lt;wsp:rsid wsp:val=&quot;00FC527A&quot;/&gt;&lt;wsp:rsid wsp:val=&quot;00FC5B7D&quot;/&gt;&lt;wsp:rsid wsp:val=&quot;00FC6041&quot;/&gt;&lt;wsp:rsid wsp:val=&quot;00FC64CF&quot;/&gt;&lt;wsp:rsid wsp:val=&quot;00FC6860&quot;/&gt;&lt;wsp:rsid wsp:val=&quot;00FC6E76&quot;/&gt;&lt;wsp:rsid wsp:val=&quot;00FC72DC&quot;/&gt;&lt;wsp:rsid wsp:val=&quot;00FC7354&quot;/&gt;&lt;wsp:rsid wsp:val=&quot;00FC79CE&quot;/&gt;&lt;wsp:rsid wsp:val=&quot;00FC7EB4&quot;/&gt;&lt;wsp:rsid wsp:val=&quot;00FD057C&quot;/&gt;&lt;wsp:rsid wsp:val=&quot;00FD0C9B&quot;/&gt;&lt;wsp:rsid wsp:val=&quot;00FD1A03&quot;/&gt;&lt;wsp:rsid wsp:val=&quot;00FD1BE0&quot;/&gt;&lt;wsp:rsid wsp:val=&quot;00FD2142&quot;/&gt;&lt;wsp:rsid wsp:val=&quot;00FD221E&quot;/&gt;&lt;wsp:rsid wsp:val=&quot;00FD26CD&quot;/&gt;&lt;wsp:rsid wsp:val=&quot;00FD2965&quot;/&gt;&lt;wsp:rsid wsp:val=&quot;00FD4FF5&quot;/&gt;&lt;wsp:rsid wsp:val=&quot;00FD5CC8&quot;/&gt;&lt;wsp:rsid wsp:val=&quot;00FD5EBB&quot;/&gt;&lt;wsp:rsid wsp:val=&quot;00FD5F59&quot;/&gt;&lt;wsp:rsid wsp:val=&quot;00FD64A7&quot;/&gt;&lt;wsp:rsid wsp:val=&quot;00FD6CA8&quot;/&gt;&lt;wsp:rsid wsp:val=&quot;00FD6FDE&quot;/&gt;&lt;wsp:rsid wsp:val=&quot;00FD720D&quot;/&gt;&lt;wsp:rsid wsp:val=&quot;00FD724E&quot;/&gt;&lt;wsp:rsid wsp:val=&quot;00FD7381&quot;/&gt;&lt;wsp:rsid wsp:val=&quot;00FD73E8&quot;/&gt;&lt;wsp:rsid wsp:val=&quot;00FE1118&quot;/&gt;&lt;wsp:rsid wsp:val=&quot;00FE286A&quot;/&gt;&lt;wsp:rsid wsp:val=&quot;00FE35E3&quot;/&gt;&lt;wsp:rsid wsp:val=&quot;00FE36AD&quot;/&gt;&lt;wsp:rsid wsp:val=&quot;00FE45AB&quot;/&gt;&lt;wsp:rsid wsp:val=&quot;00FE4A21&quot;/&gt;&lt;wsp:rsid wsp:val=&quot;00FE4E33&quot;/&gt;&lt;wsp:rsid wsp:val=&quot;00FE507B&quot;/&gt;&lt;wsp:rsid wsp:val=&quot;00FE5275&quot;/&gt;&lt;wsp:rsid wsp:val=&quot;00FE6B28&quot;/&gt;&lt;wsp:rsid wsp:val=&quot;00FF049D&quot;/&gt;&lt;wsp:rsid wsp:val=&quot;00FF0C5F&quot;/&gt;&lt;wsp:rsid wsp:val=&quot;00FF2462&quot;/&gt;&lt;wsp:rsid wsp:val=&quot;00FF39B4&quot;/&gt;&lt;wsp:rsid wsp:val=&quot;00FF3FDD&quot;/&gt;&lt;wsp:rsid wsp:val=&quot;00FF4325&quot;/&gt;&lt;wsp:rsid wsp:val=&quot;00FF57C9&quot;/&gt;&lt;wsp:rsid wsp:val=&quot;00FF5F7D&quot;/&gt;&lt;wsp:rsid wsp:val=&quot;00FF7E2C&quot;/&gt;&lt;wsp:rsid wsp:val=&quot;0FC1635E&quot;/&gt;&lt;wsp:rsid wsp:val=&quot;20426A1D&quot;/&gt;&lt;wsp:rsid wsp:val=&quot;2750628B&quot;/&gt;&lt;wsp:rsid wsp:val=&quot;4ECA2F4E&quot;/&gt;&lt;/wsp:rsids&gt;&lt;/w:docPr&gt;&lt;w:body&gt;&lt;wx:sect&gt;&lt;w:p wsp:rsidR=&quot;00000000&quot; wsp:rsidRDefault=&quot;00662CA5&quot; wsp:rsidP=&quot;00662CA5&quot;&gt;&lt;m:oMathPara&gt;&lt;m:oMath&gt;&lt;m:r&gt;&lt;w:rPr&gt;&lt;w:rFonts w:ascii=&quot;Cambria Math&quot; w:fareast=&quot;宋体&quot; w:h-ansi=&quot;Cambria Math&quot;/&gt;&lt;wx:font wx:val=&quot;Cambria Math&quot;/&gt;&lt;w:i/&gt;&lt;w:color w:val=&quot;000000&quot;/&gt;&lt;w:sz w:val=&quot;24&quot;/&gt;&lt;w:sz-cs w:val=&quot;24&quot;/&gt;&lt;/w:rPr&gt;&lt;m:t&gt;Q&lt;/m:t&gt;&lt;/m:r&gt;&lt;m:r&gt;&lt;m:rPr&gt;&lt;m:sty m:val=&quot;p&quot;/&gt;&lt;/m:rPr&gt;&lt;w:rPr&gt;&lt;w:rFonts w:ascii=&quot;Times New Roman&quot; w:fareast=&quot;宋体&quot; w:h-ansi=&quot;宋体&quot;/&gt;&lt;wx:font wx:val=&quot;宋体&quot;/&gt;&lt;w:color w:val=&quot;000000&quot;/&gt;&lt;w:sz w:val=&quot;24&quot;/&gt;&lt;w:sz-cs w:val=&quot;24&quot;/&gt;&lt;/w:rPr&gt;&lt;m:t&gt;，&lt;/m:t&gt;&lt;/m:r&gt;&lt;m:sSub&gt;&lt;m:sSubPr&gt;&lt;m:ctrlPr&gt;&lt;w:rPr&gt;&lt;w:rFonts w:ascii=&quot;Cambria Math&quot; w:fareast=&quot;宋体&quot; w:h-ansi=&quot;Times New Roman&quot;/&gt;&lt;wx:font wx:val=&quot;Cambria Math&quot;/&gt;&lt;w:color w:val=&quot;000000&quot;/&gt;&lt;w:sz w:val=&quot;24&quot;/&gt;&lt;w:sz-cs w:val=&quot;24&quot;/&gt;&lt;/w:rPr&gt;&lt;/m:ctrlPr&gt;&lt;/m:sSubPr&gt;&lt;m:e&gt;&lt;m:r&gt;&lt;w:rPr&gt;&lt;w:rFonts w:ascii=&quot;Cambria Math&quot; w:fareast=&quot;宋体&quot; w:h-ansi=&quot;Cambria Math&quot;/&gt;&lt;wx:font wx:val=&quot;Cambria Math&quot;/&gt;&lt;w:i/&gt;&lt;w:color w:val=&quot;000000&quot;/&gt;&lt;w:sz w:val=&quot;24&quot;/&gt;&lt;w:sz-cs w:val=&quot;24&quot;/&gt;&lt;/w:rPr&gt;&lt;m:t&gt;Q&lt;/m:t&gt;&lt;/m:r&gt;&lt;/m:e&gt;&lt;m:sub&gt;&lt;m:r&gt;&lt;m:rPr&gt;&lt;m:sty m:val=&quot;p&quot;/&gt;&lt;/m:rPr&gt;&lt;w:rPr&gt;&lt;w:rFonts w:ascii=&quot;Cambria Math&quot; w:fareast=&quot;宋体&quot; w:h-ansi=&quot;Times New Roman&quot;/&gt;&lt;wx:font wx:val=&quot;Cambria Math&quot;/&gt;&lt;w:color w:val=&quot;000000&quot;/&gt;&lt;w:sz w:val=&quot;24&quot;/&gt;&lt;w:sz-cs w:val=&quot;24&quot;/&gt;&lt;/w:rPr&gt;&lt;m:t&gt;2&lt;/m:t&gt;&lt;/m:r&gt;&lt;/m:sub&gt;&lt;/m:sSub&gt;&lt;m:r&gt;&lt;m:rPr&gt;&lt;m:sty m:val=&quot;p&quot;/&gt;&lt;/m:rPr&gt;&lt;w:rPr&gt;&lt;w:rFonts w:ascii=&quot;Times New Roman&quot; w:fareast=&quot;宋体&quot; w:h-ansi=&quot;Times New Roman&quot;/&gt;&lt;wx:font wx:val=&quot;Times New Roman&quot;/&gt;&lt;w:color w:val=&quot;000000&quot;/&gt;&lt;w:sz w:val=&quot;24&quot;/&gt;&lt;w:sz-cs w:val=&quot;24&quot;/&gt;&lt;/w:rPr&gt;&lt;m:t&gt;…&lt;/m:t&gt;&lt;/m:r&gt;&lt;m:sSub&gt;&lt;m:sSubPr&gt;&lt;m:ctrlPr&gt;&lt;w:rPr&gt;&lt;w:rFonts w:ascii=&quot;Cambria Math&quot; w:fareast=&quot;宋体&quot; w:h-ansi=&quot;Times New Roman&quot;/&gt;&lt;wx:font wx:val=&quot;Cambria Math&quot;/&gt;&lt;w:color w:val=&quot;000000&quot;/&gt;&lt;w:sz w:val=&quot;24&quot;/&gt;&lt;w:sz-cs w:val=&quot;24&quot;/&gt;&lt;/w:rPr&gt;&lt;/m:ctrlPr&gt;&lt;/m:sSubPr&gt;&lt;m:e&gt;&lt;m:r&gt;&lt;w:rPr&gt;&lt;w:rFonts w:ascii=&quot;Cambria Math&quot; w:fareast=&quot;宋体&quot; w:h-ansi=&quot;Cambria Math&quot;/&gt;&lt;wx:font wx:val=&quot;Cambria Math&quot;/&gt;&lt;w:i/&gt;&lt;w:color w:val=&quot;000000&quot;/&gt;&lt;w:sz w:val=&quot;24&quot;/&gt;&lt;w:sz-cs w:val=&quot;24&quot;/&gt;&lt;/w:rPr&gt;&lt;m:t&gt;Q&lt;/m:t&gt;&lt;/m:r&gt;&lt;/m:e&gt;&lt;m:sub&gt;&lt;m:r&gt;&lt;w:rPr&gt;&lt;w:rFonts w:ascii=&quot;Cambria Math&quot; w:fareast=&quot;宋体&quot; w:h-ansi=&quot;Cambria Math&quot;/&gt;&lt;wx:font wx:val=&quot;Cambria Math&quot;/&gt;&lt;w:i/&gt;&lt;w:color w:val=&quot;000000&quot;/&gt;&lt;w:sz w:val=&quot;24&quot;/&gt;&lt;w:sz-cs w:val=&quot;24&quot;/&gt;&lt;/w:rPr&gt;&lt;m:t&gt;n&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11" chromakey="#FFFFFF" o:title=""/>
            <o:lock v:ext="edit" aspectratio="t"/>
            <w10:wrap type="none"/>
            <w10:anchorlock/>
          </v:shape>
        </w:pict>
      </w:r>
      <w:r>
        <w:rPr>
          <w:rFonts w:hint="default" w:ascii="Times New Roman" w:hAnsi="Times New Roman" w:cs="Times New Roman" w:eastAsiaTheme="minorEastAsia"/>
          <w:sz w:val="24"/>
          <w:lang w:val="en-US" w:eastAsia="zh-CN"/>
        </w:rPr>
        <w:instrText xml:space="preserve"> </w:instrText>
      </w:r>
      <w:r>
        <w:rPr>
          <w:rFonts w:hint="default" w:ascii="Times New Roman" w:hAnsi="Times New Roman" w:cs="Times New Roman" w:eastAsiaTheme="minorEastAsia"/>
          <w:sz w:val="24"/>
          <w:lang w:val="en-US" w:eastAsia="zh-CN"/>
        </w:rPr>
        <w:fldChar w:fldCharType="separate"/>
      </w:r>
      <w:r>
        <w:rPr>
          <w:rFonts w:hint="default" w:ascii="Times New Roman" w:hAnsi="Times New Roman" w:cs="Times New Roman" w:eastAsiaTheme="minorEastAsia"/>
          <w:sz w:val="24"/>
          <w:lang w:val="en-US" w:eastAsia="zh-CN"/>
        </w:rPr>
        <w:fldChar w:fldCharType="end"/>
      </w:r>
      <w:r>
        <w:rPr>
          <w:rFonts w:hint="default" w:ascii="Times New Roman" w:hAnsi="Times New Roman" w:cs="Times New Roman" w:eastAsiaTheme="minorEastAsia"/>
          <w:sz w:val="24"/>
          <w:lang w:val="en-US" w:eastAsia="zh-CN"/>
        </w:rPr>
        <w:t xml:space="preserve">      </w:t>
      </w:r>
      <m:oMath>
        <m:r>
          <m:rPr>
            <m:nor/>
            <m:sty m:val="p"/>
          </m:rPr>
          <w:rPr>
            <w:rFonts w:hint="default" w:ascii="Times New Roman" w:hAnsi="Times New Roman" w:cs="Times New Roman" w:eastAsiaTheme="minorEastAsia"/>
            <w:b w:val="0"/>
            <w:i w:val="0"/>
            <w:sz w:val="24"/>
            <w:lang w:val="en-US" w:eastAsia="zh-CN"/>
          </w:rPr>
          <m:t>Q，</m:t>
        </m:r>
        <m:sSub>
          <m:sSubPr>
            <m:ctrlPr>
              <w:rPr>
                <w:rFonts w:hint="default" w:ascii="Cambria Math" w:hAnsi="Cambria Math" w:cs="Times New Roman" w:eastAsiaTheme="minorEastAsia"/>
                <w:sz w:val="24"/>
                <w:lang w:val="en-US" w:eastAsia="zh-CN"/>
              </w:rPr>
            </m:ctrlPr>
          </m:sSubPr>
          <m:e>
            <m:r>
              <m:rPr>
                <m:nor/>
                <m:sty m:val="p"/>
              </m:rPr>
              <w:rPr>
                <w:rFonts w:hint="default" w:ascii="Times New Roman" w:hAnsi="Times New Roman" w:cs="Times New Roman" w:eastAsiaTheme="minorEastAsia"/>
                <w:b w:val="0"/>
                <w:i w:val="0"/>
                <w:sz w:val="24"/>
                <w:lang w:val="en-US" w:eastAsia="zh-CN"/>
              </w:rPr>
              <m:t>Q</m:t>
            </m:r>
            <m:ctrlPr>
              <w:rPr>
                <w:rFonts w:hint="default" w:ascii="Cambria Math" w:hAnsi="Cambria Math" w:cs="Times New Roman" w:eastAsiaTheme="minorEastAsia"/>
                <w:sz w:val="24"/>
                <w:lang w:val="en-US" w:eastAsia="zh-CN"/>
              </w:rPr>
            </m:ctrlPr>
          </m:e>
          <m:sub>
            <m:r>
              <m:rPr>
                <m:nor/>
                <m:sty m:val="p"/>
              </m:rPr>
              <w:rPr>
                <w:rFonts w:hint="default" w:ascii="Times New Roman" w:hAnsi="Times New Roman" w:cs="Times New Roman" w:eastAsiaTheme="minorEastAsia"/>
                <w:b w:val="0"/>
                <w:i w:val="0"/>
                <w:sz w:val="24"/>
                <w:lang w:val="en-US" w:eastAsia="zh-CN"/>
              </w:rPr>
              <m:t>2</m:t>
            </m:r>
            <m:ctrlPr>
              <w:rPr>
                <w:rFonts w:hint="default" w:ascii="Cambria Math" w:hAnsi="Cambria Math" w:cs="Times New Roman" w:eastAsiaTheme="minorEastAsia"/>
                <w:sz w:val="24"/>
                <w:lang w:val="en-US" w:eastAsia="zh-CN"/>
              </w:rPr>
            </m:ctrlPr>
          </m:sub>
        </m:sSub>
        <m:r>
          <m:rPr>
            <m:nor/>
            <m:sty m:val="p"/>
          </m:rPr>
          <w:rPr>
            <w:rFonts w:hint="default" w:ascii="Times New Roman" w:hAnsi="Times New Roman" w:cs="Times New Roman" w:eastAsiaTheme="minorEastAsia"/>
            <w:b w:val="0"/>
            <w:i w:val="0"/>
            <w:sz w:val="24"/>
            <w:lang w:val="en-US" w:eastAsia="zh-CN"/>
          </w:rPr>
          <m:t>…</m:t>
        </m:r>
        <m:sSub>
          <m:sSubPr>
            <m:ctrlPr>
              <w:rPr>
                <w:rFonts w:hint="default" w:ascii="Cambria Math" w:hAnsi="Cambria Math" w:cs="Times New Roman" w:eastAsiaTheme="minorEastAsia"/>
                <w:sz w:val="24"/>
                <w:lang w:val="en-US" w:eastAsia="zh-CN"/>
              </w:rPr>
            </m:ctrlPr>
          </m:sSubPr>
          <m:e>
            <m:r>
              <m:rPr>
                <m:nor/>
                <m:sty m:val="p"/>
              </m:rPr>
              <w:rPr>
                <w:rFonts w:hint="default" w:ascii="Times New Roman" w:hAnsi="Times New Roman" w:cs="Times New Roman" w:eastAsiaTheme="minorEastAsia"/>
                <w:b w:val="0"/>
                <w:i w:val="0"/>
                <w:sz w:val="24"/>
                <w:lang w:val="en-US" w:eastAsia="zh-CN"/>
              </w:rPr>
              <m:t>Q</m:t>
            </m:r>
            <m:ctrlPr>
              <w:rPr>
                <w:rFonts w:hint="default" w:ascii="Cambria Math" w:hAnsi="Cambria Math" w:cs="Times New Roman" w:eastAsiaTheme="minorEastAsia"/>
                <w:sz w:val="24"/>
                <w:lang w:val="en-US" w:eastAsia="zh-CN"/>
              </w:rPr>
            </m:ctrlPr>
          </m:e>
          <m:sub>
            <m:r>
              <m:rPr>
                <m:nor/>
                <m:sty m:val="p"/>
              </m:rPr>
              <w:rPr>
                <w:rFonts w:hint="default" w:ascii="Times New Roman" w:hAnsi="Times New Roman" w:cs="Times New Roman" w:eastAsiaTheme="minorEastAsia"/>
                <w:b w:val="0"/>
                <w:i w:val="0"/>
                <w:sz w:val="24"/>
                <w:lang w:val="en-US" w:eastAsia="zh-CN"/>
              </w:rPr>
              <m:t>n</m:t>
            </m:r>
            <m:ctrlPr>
              <w:rPr>
                <w:rFonts w:hint="default" w:ascii="Cambria Math" w:hAnsi="Cambria Math" w:cs="Times New Roman" w:eastAsiaTheme="minorEastAsia"/>
                <w:sz w:val="24"/>
                <w:lang w:val="en-US" w:eastAsia="zh-CN"/>
              </w:rPr>
            </m:ctrlPr>
          </m:sub>
        </m:sSub>
      </m:oMath>
      <w:r>
        <w:rPr>
          <w:rFonts w:hint="default" w:ascii="Times New Roman" w:hAnsi="Times New Roman" w:cs="Times New Roman" w:eastAsiaTheme="minorEastAsia"/>
          <w:sz w:val="24"/>
          <w:lang w:val="en-US" w:eastAsia="zh-CN"/>
        </w:rPr>
        <w:t>—每种危险物质的临界量，t。</w:t>
      </w:r>
    </w:p>
    <w:p w14:paraId="386322DC">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具体计算结果见表2.5-</w:t>
      </w:r>
      <w:r>
        <w:rPr>
          <w:rFonts w:hint="eastAsia" w:ascii="Times New Roman" w:hAnsi="Times New Roman" w:cs="Times New Roman"/>
          <w:sz w:val="24"/>
          <w:lang w:val="en-US" w:eastAsia="zh-CN"/>
        </w:rPr>
        <w:t>10</w:t>
      </w:r>
      <w:r>
        <w:rPr>
          <w:rFonts w:hint="default" w:ascii="Times New Roman" w:hAnsi="Times New Roman" w:cs="Times New Roman" w:eastAsiaTheme="minorEastAsia"/>
          <w:sz w:val="24"/>
          <w:lang w:val="en-US" w:eastAsia="zh-CN"/>
        </w:rPr>
        <w:t>。</w:t>
      </w:r>
    </w:p>
    <w:p w14:paraId="2EEF1AE8">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表2.5-</w:t>
      </w:r>
      <w:r>
        <w:rPr>
          <w:rFonts w:hint="eastAsia" w:ascii="Times New Roman" w:hAnsi="Times New Roman" w:cs="Times New Roman"/>
          <w:b/>
          <w:szCs w:val="21"/>
          <w:lang w:val="en-US" w:eastAsia="zh-CN"/>
        </w:rPr>
        <w:t>10</w:t>
      </w:r>
      <w:r>
        <w:rPr>
          <w:rFonts w:hint="default" w:ascii="Times New Roman" w:hAnsi="Times New Roman" w:cs="Times New Roman" w:eastAsiaTheme="minorEastAsia"/>
          <w:b/>
          <w:szCs w:val="21"/>
          <w:lang w:val="en-US" w:eastAsia="zh-CN"/>
        </w:rPr>
        <w:t xml:space="preserve">  重大危险源识别</w:t>
      </w:r>
    </w:p>
    <w:tbl>
      <w:tblPr>
        <w:tblStyle w:val="1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7"/>
        <w:gridCol w:w="1578"/>
        <w:gridCol w:w="1641"/>
        <w:gridCol w:w="2853"/>
      </w:tblGrid>
      <w:tr w14:paraId="093B4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36" w:type="pct"/>
            <w:vMerge w:val="restart"/>
            <w:tcBorders>
              <w:tl2br w:val="nil"/>
              <w:tr2bl w:val="nil"/>
            </w:tcBorders>
            <w:noWrap w:val="0"/>
            <w:vAlign w:val="center"/>
          </w:tcPr>
          <w:p w14:paraId="716FF77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物质</w:t>
            </w:r>
          </w:p>
        </w:tc>
        <w:tc>
          <w:tcPr>
            <w:tcW w:w="3563" w:type="pct"/>
            <w:gridSpan w:val="3"/>
            <w:tcBorders>
              <w:tl2br w:val="nil"/>
              <w:tr2bl w:val="nil"/>
            </w:tcBorders>
            <w:noWrap w:val="0"/>
            <w:vAlign w:val="center"/>
          </w:tcPr>
          <w:p w14:paraId="63F9385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危险源辨识</w:t>
            </w:r>
          </w:p>
        </w:tc>
      </w:tr>
      <w:tr w14:paraId="698D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36" w:type="pct"/>
            <w:vMerge w:val="continue"/>
            <w:tcBorders>
              <w:tl2br w:val="nil"/>
              <w:tr2bl w:val="nil"/>
            </w:tcBorders>
            <w:noWrap w:val="0"/>
            <w:vAlign w:val="center"/>
          </w:tcPr>
          <w:p w14:paraId="1F01C06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26" w:type="pct"/>
            <w:tcBorders>
              <w:tl2br w:val="nil"/>
              <w:tr2bl w:val="nil"/>
            </w:tcBorders>
            <w:noWrap w:val="0"/>
            <w:vAlign w:val="center"/>
          </w:tcPr>
          <w:p w14:paraId="72056C0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临界量（t）</w:t>
            </w:r>
          </w:p>
        </w:tc>
        <w:tc>
          <w:tcPr>
            <w:tcW w:w="963" w:type="pct"/>
            <w:tcBorders>
              <w:tl2br w:val="nil"/>
              <w:tr2bl w:val="nil"/>
            </w:tcBorders>
            <w:noWrap w:val="0"/>
            <w:vAlign w:val="center"/>
          </w:tcPr>
          <w:p w14:paraId="0C43003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最大</w:t>
            </w:r>
            <w:r>
              <w:rPr>
                <w:rFonts w:hint="default" w:ascii="Times New Roman" w:hAnsi="Times New Roman" w:cs="Times New Roman" w:eastAsiaTheme="minorEastAsia"/>
                <w:szCs w:val="21"/>
                <w:lang w:val="en-US" w:eastAsia="zh-CN"/>
              </w:rPr>
              <w:t>贮存量（t）</w:t>
            </w:r>
          </w:p>
        </w:tc>
        <w:tc>
          <w:tcPr>
            <w:tcW w:w="1674" w:type="pct"/>
            <w:tcBorders>
              <w:tl2br w:val="nil"/>
              <w:tr2bl w:val="nil"/>
            </w:tcBorders>
            <w:noWrap w:val="0"/>
            <w:vAlign w:val="center"/>
          </w:tcPr>
          <w:p w14:paraId="210FAAD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比值</w:t>
            </w:r>
          </w:p>
        </w:tc>
      </w:tr>
      <w:tr w14:paraId="252A9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36" w:type="pct"/>
            <w:tcBorders>
              <w:tl2br w:val="nil"/>
              <w:tr2bl w:val="nil"/>
            </w:tcBorders>
            <w:noWrap w:val="0"/>
            <w:vAlign w:val="center"/>
          </w:tcPr>
          <w:p w14:paraId="37A204F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柴油</w:t>
            </w:r>
          </w:p>
        </w:tc>
        <w:tc>
          <w:tcPr>
            <w:tcW w:w="926" w:type="pct"/>
            <w:tcBorders>
              <w:tl2br w:val="nil"/>
              <w:tr2bl w:val="nil"/>
            </w:tcBorders>
            <w:noWrap w:val="0"/>
            <w:vAlign w:val="center"/>
          </w:tcPr>
          <w:p w14:paraId="0187547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2500</w:t>
            </w:r>
          </w:p>
        </w:tc>
        <w:tc>
          <w:tcPr>
            <w:tcW w:w="963" w:type="pct"/>
            <w:tcBorders>
              <w:tl2br w:val="nil"/>
              <w:tr2bl w:val="nil"/>
            </w:tcBorders>
            <w:noWrap w:val="0"/>
            <w:vAlign w:val="center"/>
          </w:tcPr>
          <w:p w14:paraId="092ACE6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2.55</w:t>
            </w:r>
          </w:p>
        </w:tc>
        <w:tc>
          <w:tcPr>
            <w:tcW w:w="1674" w:type="pct"/>
            <w:tcBorders>
              <w:tl2br w:val="nil"/>
              <w:tr2bl w:val="nil"/>
            </w:tcBorders>
            <w:noWrap w:val="0"/>
            <w:vAlign w:val="center"/>
          </w:tcPr>
          <w:p w14:paraId="0F0D6DE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0.001</w:t>
            </w:r>
          </w:p>
        </w:tc>
      </w:tr>
      <w:tr w14:paraId="18C98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36" w:type="pct"/>
            <w:tcBorders>
              <w:tl2br w:val="nil"/>
              <w:tr2bl w:val="nil"/>
            </w:tcBorders>
            <w:noWrap w:val="0"/>
            <w:vAlign w:val="center"/>
          </w:tcPr>
          <w:p w14:paraId="458C7CB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次氯酸钠</w:t>
            </w:r>
          </w:p>
        </w:tc>
        <w:tc>
          <w:tcPr>
            <w:tcW w:w="926" w:type="pct"/>
            <w:tcBorders>
              <w:tl2br w:val="nil"/>
              <w:tr2bl w:val="nil"/>
            </w:tcBorders>
            <w:noWrap w:val="0"/>
            <w:vAlign w:val="center"/>
          </w:tcPr>
          <w:p w14:paraId="5697EE7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w:t>
            </w:r>
          </w:p>
        </w:tc>
        <w:tc>
          <w:tcPr>
            <w:tcW w:w="963" w:type="pct"/>
            <w:tcBorders>
              <w:tl2br w:val="nil"/>
              <w:tr2bl w:val="nil"/>
            </w:tcBorders>
            <w:noWrap w:val="0"/>
            <w:vAlign w:val="center"/>
          </w:tcPr>
          <w:p w14:paraId="5A8A564C">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0.5</w:t>
            </w:r>
          </w:p>
        </w:tc>
        <w:tc>
          <w:tcPr>
            <w:tcW w:w="1674" w:type="pct"/>
            <w:tcBorders>
              <w:tl2br w:val="nil"/>
              <w:tr2bl w:val="nil"/>
            </w:tcBorders>
            <w:noWrap w:val="0"/>
            <w:vAlign w:val="center"/>
          </w:tcPr>
          <w:p w14:paraId="639B716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0.1</w:t>
            </w:r>
          </w:p>
        </w:tc>
      </w:tr>
      <w:tr w14:paraId="4ADD5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36" w:type="pct"/>
            <w:tcBorders>
              <w:tl2br w:val="nil"/>
              <w:tr2bl w:val="nil"/>
            </w:tcBorders>
            <w:noWrap w:val="0"/>
            <w:vAlign w:val="center"/>
          </w:tcPr>
          <w:p w14:paraId="53E6AA6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氢氧化钠</w:t>
            </w:r>
          </w:p>
        </w:tc>
        <w:tc>
          <w:tcPr>
            <w:tcW w:w="926" w:type="pct"/>
            <w:tcBorders>
              <w:tl2br w:val="nil"/>
              <w:tr2bl w:val="nil"/>
            </w:tcBorders>
            <w:noWrap w:val="0"/>
            <w:vAlign w:val="center"/>
          </w:tcPr>
          <w:p w14:paraId="52EA6AB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50</w:t>
            </w:r>
          </w:p>
        </w:tc>
        <w:tc>
          <w:tcPr>
            <w:tcW w:w="963" w:type="pct"/>
            <w:tcBorders>
              <w:tl2br w:val="nil"/>
              <w:tr2bl w:val="nil"/>
            </w:tcBorders>
            <w:noWrap w:val="0"/>
            <w:vAlign w:val="center"/>
          </w:tcPr>
          <w:p w14:paraId="6D751B7E">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w:t>
            </w:r>
          </w:p>
        </w:tc>
        <w:tc>
          <w:tcPr>
            <w:tcW w:w="1674" w:type="pct"/>
            <w:tcBorders>
              <w:tl2br w:val="nil"/>
              <w:tr2bl w:val="nil"/>
            </w:tcBorders>
            <w:noWrap w:val="0"/>
            <w:vAlign w:val="center"/>
          </w:tcPr>
          <w:p w14:paraId="4FB12D0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0.2</w:t>
            </w:r>
          </w:p>
        </w:tc>
      </w:tr>
      <w:tr w14:paraId="0DFDE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36" w:type="pct"/>
            <w:tcBorders>
              <w:tl2br w:val="nil"/>
              <w:tr2bl w:val="nil"/>
            </w:tcBorders>
            <w:noWrap w:val="0"/>
            <w:vAlign w:val="center"/>
          </w:tcPr>
          <w:p w14:paraId="75046B2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医疗废物</w:t>
            </w:r>
          </w:p>
        </w:tc>
        <w:tc>
          <w:tcPr>
            <w:tcW w:w="926" w:type="pct"/>
            <w:tcBorders>
              <w:tl2br w:val="nil"/>
              <w:tr2bl w:val="nil"/>
            </w:tcBorders>
            <w:noWrap w:val="0"/>
            <w:vAlign w:val="center"/>
          </w:tcPr>
          <w:p w14:paraId="3EA4915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50</w:t>
            </w:r>
          </w:p>
        </w:tc>
        <w:tc>
          <w:tcPr>
            <w:tcW w:w="963" w:type="pct"/>
            <w:tcBorders>
              <w:tl2br w:val="nil"/>
              <w:tr2bl w:val="nil"/>
            </w:tcBorders>
            <w:noWrap w:val="0"/>
            <w:vAlign w:val="center"/>
          </w:tcPr>
          <w:p w14:paraId="7F8B75F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w:t>
            </w:r>
          </w:p>
        </w:tc>
        <w:tc>
          <w:tcPr>
            <w:tcW w:w="1674" w:type="pct"/>
            <w:tcBorders>
              <w:tl2br w:val="nil"/>
              <w:tr2bl w:val="nil"/>
            </w:tcBorders>
            <w:noWrap w:val="0"/>
            <w:vAlign w:val="center"/>
          </w:tcPr>
          <w:p w14:paraId="01CD263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0.2</w:t>
            </w:r>
          </w:p>
        </w:tc>
      </w:tr>
      <w:tr w14:paraId="6C00E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36" w:type="pct"/>
            <w:tcBorders>
              <w:tl2br w:val="nil"/>
              <w:tr2bl w:val="nil"/>
            </w:tcBorders>
            <w:noWrap w:val="0"/>
            <w:vAlign w:val="center"/>
          </w:tcPr>
          <w:p w14:paraId="318FA48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污泥</w:t>
            </w:r>
          </w:p>
        </w:tc>
        <w:tc>
          <w:tcPr>
            <w:tcW w:w="926" w:type="pct"/>
            <w:tcBorders>
              <w:tl2br w:val="nil"/>
              <w:tr2bl w:val="nil"/>
            </w:tcBorders>
            <w:noWrap w:val="0"/>
            <w:vAlign w:val="center"/>
          </w:tcPr>
          <w:p w14:paraId="0653556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50</w:t>
            </w:r>
          </w:p>
        </w:tc>
        <w:tc>
          <w:tcPr>
            <w:tcW w:w="963" w:type="pct"/>
            <w:tcBorders>
              <w:tl2br w:val="nil"/>
              <w:tr2bl w:val="nil"/>
            </w:tcBorders>
            <w:noWrap w:val="0"/>
            <w:vAlign w:val="center"/>
          </w:tcPr>
          <w:p w14:paraId="7A1B0224">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0.958</w:t>
            </w:r>
          </w:p>
        </w:tc>
        <w:tc>
          <w:tcPr>
            <w:tcW w:w="1674" w:type="pct"/>
            <w:tcBorders>
              <w:tl2br w:val="nil"/>
              <w:tr2bl w:val="nil"/>
            </w:tcBorders>
            <w:noWrap w:val="0"/>
            <w:vAlign w:val="center"/>
          </w:tcPr>
          <w:p w14:paraId="465D4E5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0.019</w:t>
            </w:r>
          </w:p>
        </w:tc>
      </w:tr>
      <w:tr w14:paraId="400CE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36" w:type="pct"/>
            <w:tcBorders>
              <w:tl2br w:val="nil"/>
              <w:tr2bl w:val="nil"/>
            </w:tcBorders>
            <w:noWrap w:val="0"/>
            <w:vAlign w:val="center"/>
          </w:tcPr>
          <w:p w14:paraId="46B86AC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废活性炭</w:t>
            </w:r>
          </w:p>
        </w:tc>
        <w:tc>
          <w:tcPr>
            <w:tcW w:w="926" w:type="pct"/>
            <w:tcBorders>
              <w:tl2br w:val="nil"/>
              <w:tr2bl w:val="nil"/>
            </w:tcBorders>
            <w:noWrap w:val="0"/>
            <w:vAlign w:val="center"/>
          </w:tcPr>
          <w:p w14:paraId="5E778FE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50</w:t>
            </w:r>
          </w:p>
        </w:tc>
        <w:tc>
          <w:tcPr>
            <w:tcW w:w="963" w:type="pct"/>
            <w:tcBorders>
              <w:tl2br w:val="nil"/>
              <w:tr2bl w:val="nil"/>
            </w:tcBorders>
            <w:noWrap w:val="0"/>
            <w:vAlign w:val="center"/>
          </w:tcPr>
          <w:p w14:paraId="1E65171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0.303</w:t>
            </w:r>
          </w:p>
        </w:tc>
        <w:tc>
          <w:tcPr>
            <w:tcW w:w="1674" w:type="pct"/>
            <w:tcBorders>
              <w:tl2br w:val="nil"/>
              <w:tr2bl w:val="nil"/>
            </w:tcBorders>
            <w:noWrap w:val="0"/>
            <w:vAlign w:val="center"/>
          </w:tcPr>
          <w:p w14:paraId="2A8839F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0.006</w:t>
            </w:r>
          </w:p>
        </w:tc>
      </w:tr>
      <w:tr w14:paraId="50F86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25" w:type="pct"/>
            <w:gridSpan w:val="3"/>
            <w:tcBorders>
              <w:tl2br w:val="nil"/>
              <w:tr2bl w:val="nil"/>
            </w:tcBorders>
            <w:noWrap w:val="0"/>
            <w:vAlign w:val="center"/>
          </w:tcPr>
          <w:p w14:paraId="48C7A92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合计</w:t>
            </w:r>
          </w:p>
        </w:tc>
        <w:tc>
          <w:tcPr>
            <w:tcW w:w="1674" w:type="pct"/>
            <w:tcBorders>
              <w:tl2br w:val="nil"/>
              <w:tr2bl w:val="nil"/>
            </w:tcBorders>
            <w:noWrap w:val="0"/>
            <w:vAlign w:val="center"/>
          </w:tcPr>
          <w:p w14:paraId="6E6CE79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0526</w:t>
            </w:r>
          </w:p>
        </w:tc>
      </w:tr>
    </w:tbl>
    <w:p w14:paraId="145FE162">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由表2.5-</w:t>
      </w:r>
      <w:r>
        <w:rPr>
          <w:rFonts w:hint="eastAsia" w:ascii="Times New Roman" w:hAnsi="Times New Roman" w:cs="Times New Roman"/>
          <w:sz w:val="24"/>
          <w:lang w:val="en-US" w:eastAsia="zh-CN"/>
        </w:rPr>
        <w:t>11</w:t>
      </w:r>
      <w:r>
        <w:rPr>
          <w:rFonts w:hint="default" w:ascii="Times New Roman" w:hAnsi="Times New Roman" w:cs="Times New Roman" w:eastAsiaTheme="minorEastAsia"/>
          <w:sz w:val="24"/>
          <w:lang w:val="en-US" w:eastAsia="zh-CN"/>
        </w:rPr>
        <w:t>可知，本项目Q＜1，确定本项目环境风险潜势为</w:t>
      </w:r>
      <w:r>
        <w:rPr>
          <w:rFonts w:hint="default" w:ascii="Times New Roman" w:hAnsi="Times New Roman" w:cs="Times New Roman" w:eastAsiaTheme="minorEastAsia"/>
          <w:sz w:val="24"/>
          <w:lang w:val="en-US" w:eastAsia="zh-CN"/>
        </w:rPr>
        <w:fldChar w:fldCharType="begin"/>
      </w:r>
      <w:r>
        <w:rPr>
          <w:rFonts w:hint="default" w:ascii="Times New Roman" w:hAnsi="Times New Roman" w:cs="Times New Roman" w:eastAsiaTheme="minorEastAsia"/>
          <w:sz w:val="24"/>
          <w:lang w:val="en-US" w:eastAsia="zh-CN"/>
        </w:rPr>
        <w:instrText xml:space="preserve"> = 1 \* ROMAN </w:instrText>
      </w:r>
      <w:r>
        <w:rPr>
          <w:rFonts w:hint="default" w:ascii="Times New Roman" w:hAnsi="Times New Roman" w:cs="Times New Roman" w:eastAsiaTheme="minorEastAsia"/>
          <w:sz w:val="24"/>
          <w:lang w:val="en-US" w:eastAsia="zh-CN"/>
        </w:rPr>
        <w:fldChar w:fldCharType="separate"/>
      </w:r>
      <w:r>
        <w:rPr>
          <w:rFonts w:hint="default" w:ascii="Times New Roman" w:hAnsi="Times New Roman" w:cs="Times New Roman" w:eastAsiaTheme="minorEastAsia"/>
          <w:sz w:val="24"/>
          <w:lang w:val="en-US" w:eastAsia="zh-CN"/>
        </w:rPr>
        <w:t>I</w:t>
      </w:r>
      <w:r>
        <w:rPr>
          <w:rFonts w:hint="default" w:ascii="Times New Roman" w:hAnsi="Times New Roman" w:cs="Times New Roman" w:eastAsiaTheme="minorEastAsia"/>
          <w:sz w:val="24"/>
          <w:lang w:val="en-US" w:eastAsia="zh-CN"/>
        </w:rPr>
        <w:fldChar w:fldCharType="end"/>
      </w:r>
      <w:r>
        <w:rPr>
          <w:rFonts w:hint="default" w:ascii="Times New Roman" w:hAnsi="Times New Roman" w:cs="Times New Roman" w:eastAsiaTheme="minorEastAsia"/>
          <w:sz w:val="24"/>
          <w:lang w:val="en-US" w:eastAsia="zh-CN"/>
        </w:rPr>
        <w:t>。</w:t>
      </w:r>
    </w:p>
    <w:p w14:paraId="7630C72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（3）评价等级确定</w:t>
      </w:r>
    </w:p>
    <w:p w14:paraId="4E00579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本项目环境风险评价工作等级判定依据见表2.5-</w:t>
      </w:r>
      <w:r>
        <w:rPr>
          <w:rFonts w:hint="eastAsia" w:ascii="Times New Roman" w:hAnsi="Times New Roman" w:cs="Times New Roman" w:eastAsiaTheme="minorEastAsia"/>
          <w:sz w:val="24"/>
          <w:lang w:val="en-US" w:eastAsia="zh-CN"/>
        </w:rPr>
        <w:t>1</w:t>
      </w:r>
      <w:r>
        <w:rPr>
          <w:rFonts w:hint="eastAsia" w:ascii="Times New Roman" w:hAnsi="Times New Roman" w:cs="Times New Roman"/>
          <w:sz w:val="24"/>
          <w:lang w:val="en-US" w:eastAsia="zh-CN"/>
        </w:rPr>
        <w:t>2</w:t>
      </w:r>
      <w:r>
        <w:rPr>
          <w:rFonts w:hint="default" w:ascii="Times New Roman" w:hAnsi="Times New Roman" w:cs="Times New Roman" w:eastAsiaTheme="minorEastAsia"/>
          <w:sz w:val="24"/>
          <w:lang w:val="en-US" w:eastAsia="zh-CN"/>
        </w:rPr>
        <w:t>。</w:t>
      </w:r>
    </w:p>
    <w:p w14:paraId="1FD0BAE6">
      <w:pPr>
        <w:adjustRightInd w:val="0"/>
        <w:snapToGrid w:val="0"/>
        <w:spacing w:before="250" w:beforeLines="50"/>
        <w:ind w:firstLine="422" w:firstLineChars="200"/>
        <w:jc w:val="center"/>
        <w:rPr>
          <w:rFonts w:hint="default" w:ascii="Times New Roman" w:hAnsi="Times New Roman" w:cs="Times New Roman" w:eastAsiaTheme="minorEastAsia"/>
          <w:b/>
          <w:szCs w:val="21"/>
          <w:highlight w:val="none"/>
          <w:lang w:val="en-US" w:eastAsia="zh-CN"/>
        </w:rPr>
      </w:pPr>
      <w:r>
        <w:rPr>
          <w:rFonts w:hint="default" w:ascii="Times New Roman" w:hAnsi="Times New Roman" w:cs="Times New Roman" w:eastAsiaTheme="minorEastAsia"/>
          <w:b/>
          <w:szCs w:val="21"/>
          <w:highlight w:val="none"/>
          <w:lang w:val="en-US" w:eastAsia="zh-CN"/>
        </w:rPr>
        <w:t>表2.5-</w:t>
      </w:r>
      <w:r>
        <w:rPr>
          <w:rFonts w:hint="eastAsia" w:ascii="Times New Roman" w:hAnsi="Times New Roman" w:cs="Times New Roman"/>
          <w:b/>
          <w:szCs w:val="21"/>
          <w:highlight w:val="none"/>
          <w:lang w:val="en-US" w:eastAsia="zh-CN"/>
        </w:rPr>
        <w:t>11</w:t>
      </w:r>
      <w:r>
        <w:rPr>
          <w:rFonts w:hint="default" w:ascii="Times New Roman" w:hAnsi="Times New Roman" w:cs="Times New Roman" w:eastAsiaTheme="minorEastAsia"/>
          <w:b/>
          <w:szCs w:val="21"/>
          <w:highlight w:val="none"/>
          <w:lang w:val="en-US" w:eastAsia="zh-CN"/>
        </w:rPr>
        <w:t xml:space="preserve">  环境风险评价工作级别划分</w:t>
      </w:r>
    </w:p>
    <w:tbl>
      <w:tblPr>
        <w:tblStyle w:val="1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6"/>
        <w:gridCol w:w="1525"/>
        <w:gridCol w:w="1645"/>
        <w:gridCol w:w="1928"/>
        <w:gridCol w:w="1653"/>
      </w:tblGrid>
      <w:tr w14:paraId="398C6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37" w:type="pct"/>
            <w:tcBorders>
              <w:tl2br w:val="nil"/>
              <w:tr2bl w:val="nil"/>
            </w:tcBorders>
            <w:noWrap w:val="0"/>
            <w:vAlign w:val="center"/>
          </w:tcPr>
          <w:p w14:paraId="6243EC46">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环境风险潜势</w:t>
            </w:r>
          </w:p>
        </w:tc>
        <w:tc>
          <w:tcPr>
            <w:tcW w:w="895" w:type="pct"/>
            <w:tcBorders>
              <w:tl2br w:val="nil"/>
              <w:tr2bl w:val="nil"/>
            </w:tcBorders>
            <w:noWrap w:val="0"/>
            <w:vAlign w:val="center"/>
          </w:tcPr>
          <w:p w14:paraId="6C9E131B">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fldChar w:fldCharType="begin"/>
            </w:r>
            <w:r>
              <w:rPr>
                <w:rFonts w:hint="default" w:ascii="Times New Roman" w:hAnsi="Times New Roman" w:cs="Times New Roman" w:eastAsiaTheme="minorEastAsia"/>
                <w:szCs w:val="21"/>
                <w:highlight w:val="none"/>
                <w:lang w:val="en-US" w:eastAsia="zh-CN"/>
              </w:rPr>
              <w:instrText xml:space="preserve"> = 4 \* ROMAN </w:instrText>
            </w:r>
            <w:r>
              <w:rPr>
                <w:rFonts w:hint="default" w:ascii="Times New Roman" w:hAnsi="Times New Roman" w:cs="Times New Roman" w:eastAsiaTheme="minorEastAsia"/>
                <w:szCs w:val="21"/>
                <w:highlight w:val="none"/>
                <w:lang w:val="en-US" w:eastAsia="zh-CN"/>
              </w:rPr>
              <w:fldChar w:fldCharType="separate"/>
            </w:r>
            <w:r>
              <w:rPr>
                <w:rFonts w:hint="default" w:ascii="Times New Roman" w:hAnsi="Times New Roman" w:cs="Times New Roman" w:eastAsiaTheme="minorEastAsia"/>
                <w:szCs w:val="21"/>
                <w:highlight w:val="none"/>
                <w:lang w:val="en-US" w:eastAsia="zh-CN"/>
              </w:rPr>
              <w:t>IV</w:t>
            </w:r>
            <w:r>
              <w:rPr>
                <w:rFonts w:hint="default" w:ascii="Times New Roman" w:hAnsi="Times New Roman" w:cs="Times New Roman" w:eastAsiaTheme="minorEastAsia"/>
                <w:szCs w:val="21"/>
                <w:highlight w:val="none"/>
                <w:lang w:val="en-US" w:eastAsia="zh-CN"/>
              </w:rPr>
              <w:fldChar w:fldCharType="end"/>
            </w:r>
            <w:r>
              <w:rPr>
                <w:rFonts w:hint="default" w:ascii="Times New Roman" w:hAnsi="Times New Roman" w:cs="Times New Roman" w:eastAsiaTheme="minorEastAsia"/>
                <w:szCs w:val="21"/>
                <w:highlight w:val="none"/>
                <w:lang w:val="en-US" w:eastAsia="zh-CN"/>
              </w:rPr>
              <w:t>、</w:t>
            </w:r>
            <w:r>
              <w:rPr>
                <w:rFonts w:hint="default" w:ascii="Times New Roman" w:hAnsi="Times New Roman" w:cs="Times New Roman" w:eastAsiaTheme="minorEastAsia"/>
                <w:szCs w:val="21"/>
                <w:highlight w:val="none"/>
                <w:lang w:val="en-US" w:eastAsia="zh-CN"/>
              </w:rPr>
              <w:fldChar w:fldCharType="begin"/>
            </w:r>
            <w:r>
              <w:rPr>
                <w:rFonts w:hint="default" w:ascii="Times New Roman" w:hAnsi="Times New Roman" w:cs="Times New Roman" w:eastAsiaTheme="minorEastAsia"/>
                <w:szCs w:val="21"/>
                <w:highlight w:val="none"/>
                <w:lang w:val="en-US" w:eastAsia="zh-CN"/>
              </w:rPr>
              <w:instrText xml:space="preserve"> = 4 \* ROMAN </w:instrText>
            </w:r>
            <w:r>
              <w:rPr>
                <w:rFonts w:hint="default" w:ascii="Times New Roman" w:hAnsi="Times New Roman" w:cs="Times New Roman" w:eastAsiaTheme="minorEastAsia"/>
                <w:szCs w:val="21"/>
                <w:highlight w:val="none"/>
                <w:lang w:val="en-US" w:eastAsia="zh-CN"/>
              </w:rPr>
              <w:fldChar w:fldCharType="separate"/>
            </w:r>
            <w:r>
              <w:rPr>
                <w:rFonts w:hint="default" w:ascii="Times New Roman" w:hAnsi="Times New Roman" w:cs="Times New Roman" w:eastAsiaTheme="minorEastAsia"/>
                <w:szCs w:val="21"/>
                <w:highlight w:val="none"/>
                <w:lang w:val="en-US" w:eastAsia="zh-CN"/>
              </w:rPr>
              <w:t>IV</w:t>
            </w:r>
            <w:r>
              <w:rPr>
                <w:rFonts w:hint="default" w:ascii="Times New Roman" w:hAnsi="Times New Roman" w:cs="Times New Roman" w:eastAsiaTheme="minorEastAsia"/>
                <w:szCs w:val="21"/>
                <w:highlight w:val="none"/>
                <w:lang w:val="en-US" w:eastAsia="zh-CN"/>
              </w:rPr>
              <w:fldChar w:fldCharType="end"/>
            </w:r>
            <w:r>
              <w:rPr>
                <w:rFonts w:hint="default" w:ascii="Times New Roman" w:hAnsi="Times New Roman" w:cs="Times New Roman" w:eastAsiaTheme="minorEastAsia"/>
                <w:szCs w:val="21"/>
                <w:highlight w:val="none"/>
                <w:lang w:val="en-US" w:eastAsia="zh-CN"/>
              </w:rPr>
              <w:t>+</w:t>
            </w:r>
          </w:p>
        </w:tc>
        <w:tc>
          <w:tcPr>
            <w:tcW w:w="966" w:type="pct"/>
            <w:tcBorders>
              <w:tl2br w:val="nil"/>
              <w:tr2bl w:val="nil"/>
            </w:tcBorders>
            <w:noWrap w:val="0"/>
            <w:vAlign w:val="center"/>
          </w:tcPr>
          <w:p w14:paraId="0AAFDD25">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fldChar w:fldCharType="begin"/>
            </w:r>
            <w:r>
              <w:rPr>
                <w:rFonts w:hint="default" w:ascii="Times New Roman" w:hAnsi="Times New Roman" w:cs="Times New Roman" w:eastAsiaTheme="minorEastAsia"/>
                <w:szCs w:val="21"/>
                <w:highlight w:val="none"/>
                <w:lang w:val="en-US" w:eastAsia="zh-CN"/>
              </w:rPr>
              <w:instrText xml:space="preserve"> = 3 \* ROMAN </w:instrText>
            </w:r>
            <w:r>
              <w:rPr>
                <w:rFonts w:hint="default" w:ascii="Times New Roman" w:hAnsi="Times New Roman" w:cs="Times New Roman" w:eastAsiaTheme="minorEastAsia"/>
                <w:szCs w:val="21"/>
                <w:highlight w:val="none"/>
                <w:lang w:val="en-US" w:eastAsia="zh-CN"/>
              </w:rPr>
              <w:fldChar w:fldCharType="separate"/>
            </w:r>
            <w:r>
              <w:rPr>
                <w:rFonts w:hint="default" w:ascii="Times New Roman" w:hAnsi="Times New Roman" w:cs="Times New Roman" w:eastAsiaTheme="minorEastAsia"/>
                <w:szCs w:val="21"/>
                <w:highlight w:val="none"/>
                <w:lang w:val="en-US" w:eastAsia="zh-CN"/>
              </w:rPr>
              <w:t>Ⅲ</w:t>
            </w:r>
            <w:r>
              <w:rPr>
                <w:rFonts w:hint="default" w:ascii="Times New Roman" w:hAnsi="Times New Roman" w:cs="Times New Roman" w:eastAsiaTheme="minorEastAsia"/>
                <w:szCs w:val="21"/>
                <w:highlight w:val="none"/>
                <w:lang w:val="en-US" w:eastAsia="zh-CN"/>
              </w:rPr>
              <w:fldChar w:fldCharType="end"/>
            </w:r>
          </w:p>
        </w:tc>
        <w:tc>
          <w:tcPr>
            <w:tcW w:w="1132" w:type="pct"/>
            <w:tcBorders>
              <w:tl2br w:val="nil"/>
              <w:tr2bl w:val="nil"/>
            </w:tcBorders>
            <w:noWrap w:val="0"/>
            <w:vAlign w:val="center"/>
          </w:tcPr>
          <w:p w14:paraId="155640CF">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fldChar w:fldCharType="begin"/>
            </w:r>
            <w:r>
              <w:rPr>
                <w:rFonts w:hint="default" w:ascii="Times New Roman" w:hAnsi="Times New Roman" w:cs="Times New Roman" w:eastAsiaTheme="minorEastAsia"/>
                <w:szCs w:val="21"/>
                <w:highlight w:val="none"/>
                <w:lang w:val="en-US" w:eastAsia="zh-CN"/>
              </w:rPr>
              <w:instrText xml:space="preserve"> = 2 \* ROMAN </w:instrText>
            </w:r>
            <w:r>
              <w:rPr>
                <w:rFonts w:hint="default" w:ascii="Times New Roman" w:hAnsi="Times New Roman" w:cs="Times New Roman" w:eastAsiaTheme="minorEastAsia"/>
                <w:szCs w:val="21"/>
                <w:highlight w:val="none"/>
                <w:lang w:val="en-US" w:eastAsia="zh-CN"/>
              </w:rPr>
              <w:fldChar w:fldCharType="separate"/>
            </w:r>
            <w:r>
              <w:rPr>
                <w:rFonts w:hint="default" w:ascii="Times New Roman" w:hAnsi="Times New Roman" w:cs="Times New Roman" w:eastAsiaTheme="minorEastAsia"/>
                <w:szCs w:val="21"/>
                <w:highlight w:val="none"/>
                <w:lang w:val="en-US" w:eastAsia="zh-CN"/>
              </w:rPr>
              <w:t>II</w:t>
            </w:r>
            <w:r>
              <w:rPr>
                <w:rFonts w:hint="default" w:ascii="Times New Roman" w:hAnsi="Times New Roman" w:cs="Times New Roman" w:eastAsiaTheme="minorEastAsia"/>
                <w:szCs w:val="21"/>
                <w:highlight w:val="none"/>
                <w:lang w:val="en-US" w:eastAsia="zh-CN"/>
              </w:rPr>
              <w:fldChar w:fldCharType="end"/>
            </w:r>
          </w:p>
        </w:tc>
        <w:tc>
          <w:tcPr>
            <w:tcW w:w="968" w:type="pct"/>
            <w:tcBorders>
              <w:tl2br w:val="nil"/>
              <w:tr2bl w:val="nil"/>
            </w:tcBorders>
            <w:noWrap w:val="0"/>
            <w:vAlign w:val="center"/>
          </w:tcPr>
          <w:p w14:paraId="10421D86">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fldChar w:fldCharType="begin"/>
            </w:r>
            <w:r>
              <w:rPr>
                <w:rFonts w:hint="default" w:ascii="Times New Roman" w:hAnsi="Times New Roman" w:cs="Times New Roman" w:eastAsiaTheme="minorEastAsia"/>
                <w:szCs w:val="21"/>
                <w:highlight w:val="none"/>
                <w:lang w:val="en-US" w:eastAsia="zh-CN"/>
              </w:rPr>
              <w:instrText xml:space="preserve"> = 1 \* ROMAN </w:instrText>
            </w:r>
            <w:r>
              <w:rPr>
                <w:rFonts w:hint="default" w:ascii="Times New Roman" w:hAnsi="Times New Roman" w:cs="Times New Roman" w:eastAsiaTheme="minorEastAsia"/>
                <w:szCs w:val="21"/>
                <w:highlight w:val="none"/>
                <w:lang w:val="en-US" w:eastAsia="zh-CN"/>
              </w:rPr>
              <w:fldChar w:fldCharType="separate"/>
            </w:r>
            <w:r>
              <w:rPr>
                <w:rFonts w:hint="default" w:ascii="Times New Roman" w:hAnsi="Times New Roman" w:cs="Times New Roman" w:eastAsiaTheme="minorEastAsia"/>
                <w:szCs w:val="21"/>
                <w:highlight w:val="none"/>
                <w:lang w:val="en-US" w:eastAsia="zh-CN"/>
              </w:rPr>
              <w:t>I</w:t>
            </w:r>
            <w:r>
              <w:rPr>
                <w:rFonts w:hint="default" w:ascii="Times New Roman" w:hAnsi="Times New Roman" w:cs="Times New Roman" w:eastAsiaTheme="minorEastAsia"/>
                <w:szCs w:val="21"/>
                <w:highlight w:val="none"/>
                <w:lang w:val="en-US" w:eastAsia="zh-CN"/>
              </w:rPr>
              <w:fldChar w:fldCharType="end"/>
            </w:r>
          </w:p>
        </w:tc>
      </w:tr>
      <w:tr w14:paraId="70336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37" w:type="pct"/>
            <w:tcBorders>
              <w:tl2br w:val="nil"/>
              <w:tr2bl w:val="nil"/>
            </w:tcBorders>
            <w:noWrap w:val="0"/>
            <w:vAlign w:val="center"/>
          </w:tcPr>
          <w:p w14:paraId="465F1213">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评价工作等级</w:t>
            </w:r>
          </w:p>
        </w:tc>
        <w:tc>
          <w:tcPr>
            <w:tcW w:w="895" w:type="pct"/>
            <w:tcBorders>
              <w:tl2br w:val="nil"/>
              <w:tr2bl w:val="nil"/>
            </w:tcBorders>
            <w:noWrap w:val="0"/>
            <w:vAlign w:val="center"/>
          </w:tcPr>
          <w:p w14:paraId="21938E15">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一</w:t>
            </w:r>
          </w:p>
        </w:tc>
        <w:tc>
          <w:tcPr>
            <w:tcW w:w="966" w:type="pct"/>
            <w:tcBorders>
              <w:tl2br w:val="nil"/>
              <w:tr2bl w:val="nil"/>
            </w:tcBorders>
            <w:noWrap w:val="0"/>
            <w:vAlign w:val="center"/>
          </w:tcPr>
          <w:p w14:paraId="77B03F51">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二</w:t>
            </w:r>
          </w:p>
        </w:tc>
        <w:tc>
          <w:tcPr>
            <w:tcW w:w="1132" w:type="pct"/>
            <w:tcBorders>
              <w:tl2br w:val="nil"/>
              <w:tr2bl w:val="nil"/>
            </w:tcBorders>
            <w:noWrap w:val="0"/>
            <w:vAlign w:val="center"/>
          </w:tcPr>
          <w:p w14:paraId="2EDBFCBC">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三</w:t>
            </w:r>
          </w:p>
        </w:tc>
        <w:tc>
          <w:tcPr>
            <w:tcW w:w="968" w:type="pct"/>
            <w:tcBorders>
              <w:tl2br w:val="nil"/>
              <w:tr2bl w:val="nil"/>
            </w:tcBorders>
            <w:noWrap w:val="0"/>
            <w:vAlign w:val="center"/>
          </w:tcPr>
          <w:p w14:paraId="42A4CDD3">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简单分析a</w:t>
            </w:r>
          </w:p>
        </w:tc>
      </w:tr>
      <w:tr w14:paraId="51826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5"/>
            <w:tcBorders>
              <w:tl2br w:val="nil"/>
              <w:tr2bl w:val="nil"/>
            </w:tcBorders>
            <w:noWrap w:val="0"/>
            <w:vAlign w:val="center"/>
          </w:tcPr>
          <w:p w14:paraId="4F384580">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a是相对于详细评价工作内容而言，在描述危险物质、环境影响途径、环境危害后果、风险防范措施等方面给出定性的说明。见附录A。</w:t>
            </w:r>
          </w:p>
        </w:tc>
      </w:tr>
    </w:tbl>
    <w:p w14:paraId="075495E2">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由表2.5-</w:t>
      </w:r>
      <w:r>
        <w:rPr>
          <w:rFonts w:hint="eastAsia" w:ascii="Times New Roman" w:hAnsi="Times New Roman" w:cs="Times New Roman"/>
          <w:sz w:val="24"/>
          <w:highlight w:val="none"/>
          <w:lang w:val="en-US" w:eastAsia="zh-CN"/>
        </w:rPr>
        <w:t>10</w:t>
      </w:r>
      <w:r>
        <w:rPr>
          <w:rFonts w:hint="default" w:ascii="Times New Roman" w:hAnsi="Times New Roman" w:cs="Times New Roman" w:eastAsiaTheme="minorEastAsia"/>
          <w:sz w:val="24"/>
          <w:highlight w:val="none"/>
          <w:lang w:val="en-US" w:eastAsia="zh-CN"/>
        </w:rPr>
        <w:t>可知，本项目环境风险评价只需进行简单分析。</w:t>
      </w:r>
    </w:p>
    <w:p w14:paraId="08167D60">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（2）评价范围</w:t>
      </w:r>
    </w:p>
    <w:p w14:paraId="51BC58D2">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根据《建设项目环境风险评价技术导则》（HJ169-2018），本项目评价工作等级为简单分析，不设评价范围。</w:t>
      </w:r>
    </w:p>
    <w:p w14:paraId="5779EF90">
      <w:pPr>
        <w:pStyle w:val="3"/>
        <w:spacing w:before="120" w:after="120" w:line="500" w:lineRule="exact"/>
        <w:ind w:left="375" w:hanging="375" w:firstLineChars="0"/>
        <w:contextualSpacing/>
        <w:rPr>
          <w:rFonts w:hint="default" w:ascii="Times New Roman" w:hAnsi="Times New Roman" w:cs="Times New Roman" w:eastAsiaTheme="minorEastAsia"/>
          <w:snapToGrid w:val="0"/>
          <w:kern w:val="0"/>
          <w:sz w:val="28"/>
          <w:szCs w:val="28"/>
          <w:lang w:val="en-US" w:eastAsia="zh-CN"/>
        </w:rPr>
      </w:pPr>
      <w:bookmarkStart w:id="111" w:name="_Toc17666"/>
      <w:bookmarkStart w:id="112" w:name="_Toc6200"/>
      <w:bookmarkStart w:id="113" w:name="_Toc28512"/>
      <w:r>
        <w:rPr>
          <w:rFonts w:hint="default" w:ascii="Times New Roman" w:hAnsi="Times New Roman" w:cs="Times New Roman" w:eastAsiaTheme="minorEastAsia"/>
          <w:snapToGrid w:val="0"/>
          <w:kern w:val="0"/>
          <w:sz w:val="28"/>
          <w:szCs w:val="28"/>
          <w:lang w:val="en-US" w:eastAsia="zh-CN"/>
        </w:rPr>
        <w:t>2.6环境功能区划</w:t>
      </w:r>
      <w:bookmarkEnd w:id="111"/>
      <w:bookmarkEnd w:id="112"/>
      <w:bookmarkEnd w:id="113"/>
    </w:p>
    <w:p w14:paraId="00639588">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（1）环境空气</w:t>
      </w:r>
    </w:p>
    <w:p w14:paraId="64481EB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拟建项目所在地区环境空气质量执行二类区，执行《环境空气质量标准》（GB3095-20</w:t>
      </w:r>
      <w:r>
        <w:rPr>
          <w:rFonts w:hint="eastAsia" w:ascii="Times New Roman" w:hAnsi="Times New Roman" w:cs="Times New Roman" w:eastAsiaTheme="minorEastAsia"/>
          <w:sz w:val="24"/>
          <w:lang w:val="en-US" w:eastAsia="zh-CN"/>
        </w:rPr>
        <w:t>26</w:t>
      </w:r>
      <w:r>
        <w:rPr>
          <w:rFonts w:hint="default" w:ascii="Times New Roman" w:hAnsi="Times New Roman" w:cs="Times New Roman" w:eastAsiaTheme="minorEastAsia"/>
          <w:sz w:val="24"/>
          <w:lang w:val="en-US" w:eastAsia="zh-CN"/>
        </w:rPr>
        <w:t>）二级标准。</w:t>
      </w:r>
    </w:p>
    <w:p w14:paraId="26B8177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（2）地下水</w:t>
      </w:r>
    </w:p>
    <w:p w14:paraId="1CBBAD6F">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区域地下水功能为居民生活与工农业生产用水，水质应符合《地下水质量标准》 （GB/T14848-2017）Ⅲ类标准。</w:t>
      </w:r>
    </w:p>
    <w:p w14:paraId="2302A525">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（3）声环境</w:t>
      </w:r>
    </w:p>
    <w:p w14:paraId="2875C159">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本区域声环境质量应符合《声环境质量标准》（GB3096-2008）</w:t>
      </w:r>
      <w:r>
        <w:rPr>
          <w:rFonts w:hint="eastAsia" w:ascii="Times New Roman" w:hAnsi="Times New Roman" w:cs="Times New Roman" w:eastAsiaTheme="minorEastAsia"/>
          <w:sz w:val="24"/>
          <w:lang w:val="en-US" w:eastAsia="zh-CN"/>
        </w:rPr>
        <w:t>3</w:t>
      </w:r>
      <w:r>
        <w:rPr>
          <w:rFonts w:hint="default" w:ascii="Times New Roman" w:hAnsi="Times New Roman" w:cs="Times New Roman" w:eastAsiaTheme="minorEastAsia"/>
          <w:sz w:val="24"/>
          <w:lang w:val="en-US" w:eastAsia="zh-CN"/>
        </w:rPr>
        <w:t>类标准。</w:t>
      </w:r>
    </w:p>
    <w:p w14:paraId="7062ABD9">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（4）地表水</w:t>
      </w:r>
    </w:p>
    <w:p w14:paraId="59AD2DC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项目区最近地表水为</w:t>
      </w:r>
      <w:r>
        <w:rPr>
          <w:rFonts w:hint="eastAsia" w:ascii="Times New Roman" w:hAnsi="Times New Roman" w:cs="Times New Roman" w:eastAsiaTheme="minorEastAsia"/>
          <w:sz w:val="24"/>
          <w:lang w:val="en-US" w:eastAsia="zh-CN"/>
        </w:rPr>
        <w:t>叶尔羌河</w:t>
      </w:r>
      <w:r>
        <w:rPr>
          <w:rFonts w:hint="default" w:ascii="Times New Roman" w:hAnsi="Times New Roman" w:cs="Times New Roman" w:eastAsiaTheme="minorEastAsia"/>
          <w:sz w:val="24"/>
          <w:lang w:val="en-US" w:eastAsia="zh-CN"/>
        </w:rPr>
        <w:t>，位于本项目区</w:t>
      </w:r>
      <w:r>
        <w:rPr>
          <w:rFonts w:hint="eastAsia" w:ascii="Times New Roman" w:hAnsi="Times New Roman" w:cs="Times New Roman" w:eastAsiaTheme="minorEastAsia"/>
          <w:sz w:val="24"/>
          <w:lang w:val="en-US" w:eastAsia="zh-CN"/>
        </w:rPr>
        <w:t>东</w:t>
      </w:r>
      <w:r>
        <w:rPr>
          <w:rFonts w:hint="default" w:ascii="Times New Roman" w:hAnsi="Times New Roman" w:cs="Times New Roman" w:eastAsiaTheme="minorEastAsia"/>
          <w:sz w:val="24"/>
          <w:lang w:val="en-US" w:eastAsia="zh-CN"/>
        </w:rPr>
        <w:t>南侧</w:t>
      </w:r>
      <w:r>
        <w:rPr>
          <w:rFonts w:hint="eastAsia" w:ascii="Times New Roman" w:hAnsi="Times New Roman" w:cs="Times New Roman" w:eastAsiaTheme="minorEastAsia"/>
          <w:sz w:val="24"/>
          <w:lang w:val="en-US" w:eastAsia="zh-CN"/>
        </w:rPr>
        <w:t>3.6</w:t>
      </w:r>
      <w:r>
        <w:rPr>
          <w:rFonts w:hint="default" w:ascii="Times New Roman" w:hAnsi="Times New Roman" w:cs="Times New Roman" w:eastAsiaTheme="minorEastAsia"/>
          <w:sz w:val="24"/>
          <w:lang w:val="en-US" w:eastAsia="zh-CN"/>
        </w:rPr>
        <w:t>km，地表水质量执行《</w:t>
      </w:r>
      <w:r>
        <w:rPr>
          <w:rFonts w:hint="eastAsia" w:ascii="Times New Roman" w:hAnsi="Times New Roman" w:cs="Times New Roman" w:eastAsiaTheme="minorEastAsia"/>
          <w:sz w:val="24"/>
          <w:lang w:val="en-US" w:eastAsia="zh-CN"/>
        </w:rPr>
        <w:t>地表水环境质量标准</w:t>
      </w:r>
      <w:r>
        <w:rPr>
          <w:rFonts w:hint="default" w:ascii="Times New Roman" w:hAnsi="Times New Roman" w:cs="Times New Roman" w:eastAsiaTheme="minorEastAsia"/>
          <w:sz w:val="24"/>
          <w:lang w:val="en-US" w:eastAsia="zh-CN"/>
        </w:rPr>
        <w:t>》（GB3838-2002）Ⅲ类限值要求。</w:t>
      </w:r>
    </w:p>
    <w:p w14:paraId="61CFA8DF">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（5）生态环境功能区划</w:t>
      </w:r>
    </w:p>
    <w:p w14:paraId="5A5E495B">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根据《新疆生态功能区划》，评价区属于“</w:t>
      </w:r>
      <w:r>
        <w:rPr>
          <w:rFonts w:hint="eastAsia" w:ascii="Times New Roman" w:hAnsi="Times New Roman" w:cs="Times New Roman" w:eastAsiaTheme="minorEastAsia"/>
          <w:sz w:val="24"/>
          <w:lang w:val="en-US" w:eastAsia="zh-CN"/>
        </w:rPr>
        <w:t>Ⅳ塔里木盆地暖温荒漠及绿洲农业生态区</w:t>
      </w: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Ⅳ1塔里木盆地西部、北部荒漠及绿洲农业生态亚区</w:t>
      </w: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58.叶尔羌河平原绿洲农业及荒漠河岸林保护生态功能区</w:t>
      </w:r>
      <w:r>
        <w:rPr>
          <w:rFonts w:hint="default" w:ascii="Times New Roman" w:hAnsi="Times New Roman" w:cs="Times New Roman" w:eastAsiaTheme="minorEastAsia"/>
          <w:sz w:val="24"/>
          <w:lang w:val="en-US" w:eastAsia="zh-CN"/>
        </w:rPr>
        <w:t>”该功能区主要的特征，见表2.6-1。</w:t>
      </w:r>
    </w:p>
    <w:p w14:paraId="556F1849">
      <w:pPr>
        <w:adjustRightInd w:val="0"/>
        <w:snapToGrid w:val="0"/>
        <w:spacing w:before="250" w:beforeLines="50"/>
        <w:ind w:firstLine="422" w:firstLineChars="20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表2.6-1  生态功能区主要特征</w:t>
      </w:r>
    </w:p>
    <w:tbl>
      <w:tblPr>
        <w:tblStyle w:val="13"/>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7"/>
        <w:gridCol w:w="845"/>
        <w:gridCol w:w="850"/>
        <w:gridCol w:w="847"/>
        <w:gridCol w:w="721"/>
        <w:gridCol w:w="971"/>
        <w:gridCol w:w="947"/>
        <w:gridCol w:w="673"/>
        <w:gridCol w:w="1066"/>
        <w:gridCol w:w="755"/>
      </w:tblGrid>
      <w:tr w14:paraId="6C5C9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7" w:type="pct"/>
            <w:gridSpan w:val="3"/>
            <w:vAlign w:val="center"/>
          </w:tcPr>
          <w:p w14:paraId="44A4B769">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生态功能分区单元</w:t>
            </w:r>
          </w:p>
        </w:tc>
        <w:tc>
          <w:tcPr>
            <w:tcW w:w="497" w:type="pct"/>
            <w:vMerge w:val="restart"/>
            <w:vAlign w:val="center"/>
          </w:tcPr>
          <w:p w14:paraId="34D3C0ED">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隶属行政区</w:t>
            </w:r>
          </w:p>
        </w:tc>
        <w:tc>
          <w:tcPr>
            <w:tcW w:w="423" w:type="pct"/>
            <w:vMerge w:val="restart"/>
            <w:vAlign w:val="center"/>
          </w:tcPr>
          <w:p w14:paraId="487BA325">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主要生态服务区</w:t>
            </w:r>
          </w:p>
        </w:tc>
        <w:tc>
          <w:tcPr>
            <w:tcW w:w="570" w:type="pct"/>
            <w:vMerge w:val="restart"/>
            <w:vAlign w:val="center"/>
          </w:tcPr>
          <w:p w14:paraId="05D9815B">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主要环境问题</w:t>
            </w:r>
          </w:p>
        </w:tc>
        <w:tc>
          <w:tcPr>
            <w:tcW w:w="556" w:type="pct"/>
            <w:vMerge w:val="restart"/>
            <w:vAlign w:val="center"/>
          </w:tcPr>
          <w:p w14:paraId="5AEDD996">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主要生态敏感因子敏感程度</w:t>
            </w:r>
          </w:p>
        </w:tc>
        <w:tc>
          <w:tcPr>
            <w:tcW w:w="395" w:type="pct"/>
            <w:vMerge w:val="restart"/>
            <w:vAlign w:val="center"/>
          </w:tcPr>
          <w:p w14:paraId="059B148A">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主要保护目标</w:t>
            </w:r>
          </w:p>
        </w:tc>
        <w:tc>
          <w:tcPr>
            <w:tcW w:w="626" w:type="pct"/>
            <w:vMerge w:val="restart"/>
            <w:vAlign w:val="center"/>
          </w:tcPr>
          <w:p w14:paraId="79BE500F">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保护措施</w:t>
            </w:r>
          </w:p>
        </w:tc>
        <w:tc>
          <w:tcPr>
            <w:tcW w:w="443" w:type="pct"/>
            <w:vMerge w:val="restart"/>
            <w:vAlign w:val="center"/>
          </w:tcPr>
          <w:p w14:paraId="6103C2D6">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发展方向</w:t>
            </w:r>
          </w:p>
        </w:tc>
      </w:tr>
      <w:tr w14:paraId="2704A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 w:type="pct"/>
            <w:vAlign w:val="center"/>
          </w:tcPr>
          <w:p w14:paraId="044AD4ED">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生态区</w:t>
            </w:r>
          </w:p>
        </w:tc>
        <w:tc>
          <w:tcPr>
            <w:tcW w:w="496" w:type="pct"/>
            <w:vAlign w:val="center"/>
          </w:tcPr>
          <w:p w14:paraId="6D52EC22">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生态亚区</w:t>
            </w:r>
          </w:p>
        </w:tc>
        <w:tc>
          <w:tcPr>
            <w:tcW w:w="498" w:type="pct"/>
            <w:vAlign w:val="center"/>
          </w:tcPr>
          <w:p w14:paraId="2738A43D">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生态功能区</w:t>
            </w:r>
          </w:p>
        </w:tc>
        <w:tc>
          <w:tcPr>
            <w:tcW w:w="497" w:type="pct"/>
            <w:vMerge w:val="continue"/>
            <w:vAlign w:val="center"/>
          </w:tcPr>
          <w:p w14:paraId="6F0FA1EC">
            <w:pPr>
              <w:spacing w:line="300" w:lineRule="exact"/>
              <w:jc w:val="center"/>
              <w:rPr>
                <w:rFonts w:hint="default" w:ascii="Times New Roman" w:hAnsi="Times New Roman" w:cs="Times New Roman" w:eastAsiaTheme="minorEastAsia"/>
                <w:szCs w:val="21"/>
                <w:highlight w:val="none"/>
                <w:lang w:val="en-US" w:eastAsia="zh-CN"/>
              </w:rPr>
            </w:pPr>
          </w:p>
        </w:tc>
        <w:tc>
          <w:tcPr>
            <w:tcW w:w="423" w:type="pct"/>
            <w:vMerge w:val="continue"/>
            <w:vAlign w:val="center"/>
          </w:tcPr>
          <w:p w14:paraId="33689D1A">
            <w:pPr>
              <w:spacing w:line="300" w:lineRule="exact"/>
              <w:jc w:val="center"/>
              <w:rPr>
                <w:rFonts w:hint="default" w:ascii="Times New Roman" w:hAnsi="Times New Roman" w:cs="Times New Roman" w:eastAsiaTheme="minorEastAsia"/>
                <w:szCs w:val="21"/>
                <w:highlight w:val="none"/>
                <w:lang w:val="en-US" w:eastAsia="zh-CN"/>
              </w:rPr>
            </w:pPr>
          </w:p>
        </w:tc>
        <w:tc>
          <w:tcPr>
            <w:tcW w:w="570" w:type="pct"/>
            <w:vMerge w:val="continue"/>
            <w:vAlign w:val="center"/>
          </w:tcPr>
          <w:p w14:paraId="147BFF16">
            <w:pPr>
              <w:spacing w:line="300" w:lineRule="exact"/>
              <w:jc w:val="center"/>
              <w:rPr>
                <w:rFonts w:hint="default" w:ascii="Times New Roman" w:hAnsi="Times New Roman" w:cs="Times New Roman" w:eastAsiaTheme="minorEastAsia"/>
                <w:szCs w:val="21"/>
                <w:highlight w:val="none"/>
                <w:lang w:val="en-US" w:eastAsia="zh-CN"/>
              </w:rPr>
            </w:pPr>
          </w:p>
        </w:tc>
        <w:tc>
          <w:tcPr>
            <w:tcW w:w="556" w:type="pct"/>
            <w:vMerge w:val="continue"/>
            <w:vAlign w:val="center"/>
          </w:tcPr>
          <w:p w14:paraId="4B24CD7A">
            <w:pPr>
              <w:spacing w:line="300" w:lineRule="exact"/>
              <w:jc w:val="center"/>
              <w:rPr>
                <w:rFonts w:hint="default" w:ascii="Times New Roman" w:hAnsi="Times New Roman" w:cs="Times New Roman" w:eastAsiaTheme="minorEastAsia"/>
                <w:szCs w:val="21"/>
                <w:highlight w:val="none"/>
                <w:lang w:val="en-US" w:eastAsia="zh-CN"/>
              </w:rPr>
            </w:pPr>
          </w:p>
        </w:tc>
        <w:tc>
          <w:tcPr>
            <w:tcW w:w="395" w:type="pct"/>
            <w:vMerge w:val="continue"/>
            <w:vAlign w:val="center"/>
          </w:tcPr>
          <w:p w14:paraId="5B9F02D1">
            <w:pPr>
              <w:spacing w:line="300" w:lineRule="exact"/>
              <w:jc w:val="center"/>
              <w:rPr>
                <w:rFonts w:hint="default" w:ascii="Times New Roman" w:hAnsi="Times New Roman" w:cs="Times New Roman" w:eastAsiaTheme="minorEastAsia"/>
                <w:szCs w:val="21"/>
                <w:highlight w:val="none"/>
                <w:lang w:val="en-US" w:eastAsia="zh-CN"/>
              </w:rPr>
            </w:pPr>
          </w:p>
        </w:tc>
        <w:tc>
          <w:tcPr>
            <w:tcW w:w="626" w:type="pct"/>
            <w:vMerge w:val="continue"/>
            <w:vAlign w:val="center"/>
          </w:tcPr>
          <w:p w14:paraId="161D8BA9">
            <w:pPr>
              <w:spacing w:line="300" w:lineRule="exact"/>
              <w:jc w:val="center"/>
              <w:rPr>
                <w:rFonts w:hint="default" w:ascii="Times New Roman" w:hAnsi="Times New Roman" w:cs="Times New Roman" w:eastAsiaTheme="minorEastAsia"/>
                <w:szCs w:val="21"/>
                <w:highlight w:val="none"/>
                <w:lang w:val="en-US" w:eastAsia="zh-CN"/>
              </w:rPr>
            </w:pPr>
          </w:p>
        </w:tc>
        <w:tc>
          <w:tcPr>
            <w:tcW w:w="443" w:type="pct"/>
            <w:vMerge w:val="continue"/>
            <w:vAlign w:val="center"/>
          </w:tcPr>
          <w:p w14:paraId="53AF899A">
            <w:pPr>
              <w:spacing w:line="300" w:lineRule="exact"/>
              <w:jc w:val="center"/>
              <w:rPr>
                <w:rFonts w:hint="default" w:ascii="Times New Roman" w:hAnsi="Times New Roman" w:cs="Times New Roman" w:eastAsiaTheme="minorEastAsia"/>
                <w:szCs w:val="21"/>
                <w:highlight w:val="none"/>
                <w:lang w:val="en-US" w:eastAsia="zh-CN"/>
              </w:rPr>
            </w:pPr>
          </w:p>
        </w:tc>
      </w:tr>
      <w:tr w14:paraId="0424C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 w:type="pct"/>
            <w:vAlign w:val="center"/>
          </w:tcPr>
          <w:p w14:paraId="53D7FBEA">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Ⅳ塔里木盆地暖温荒漠及绿洲农业生态区</w:t>
            </w:r>
          </w:p>
        </w:tc>
        <w:tc>
          <w:tcPr>
            <w:tcW w:w="496" w:type="pct"/>
            <w:vAlign w:val="center"/>
          </w:tcPr>
          <w:p w14:paraId="1C587AA0">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Ⅳ1塔里木盆地西部、北部荒漠及绿洲农业生态亚区</w:t>
            </w:r>
          </w:p>
        </w:tc>
        <w:tc>
          <w:tcPr>
            <w:tcW w:w="498" w:type="pct"/>
            <w:vAlign w:val="center"/>
          </w:tcPr>
          <w:p w14:paraId="16C06AF1">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58.叶尔羌河平原绿洲农业及荒漠河岸林保护生态功能区</w:t>
            </w:r>
          </w:p>
        </w:tc>
        <w:tc>
          <w:tcPr>
            <w:tcW w:w="497" w:type="pct"/>
            <w:vAlign w:val="center"/>
          </w:tcPr>
          <w:p w14:paraId="4CF6F401">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叶城县、泽普县、莎车县、麦盖提县、巴楚县、柯坪县、阿瓦提县</w:t>
            </w:r>
          </w:p>
        </w:tc>
        <w:tc>
          <w:tcPr>
            <w:tcW w:w="423" w:type="pct"/>
            <w:vAlign w:val="center"/>
          </w:tcPr>
          <w:p w14:paraId="1618623E">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农畜产品生产、荒漠化控制、油气资源开发、塔里木河水源补给</w:t>
            </w:r>
          </w:p>
        </w:tc>
        <w:tc>
          <w:tcPr>
            <w:tcW w:w="570" w:type="pct"/>
            <w:vAlign w:val="center"/>
          </w:tcPr>
          <w:p w14:paraId="3113B46C">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土壤盐渍化、风沙危害、荒漠植被及胡杨林破坏、乱挖甘草、平原水库蒸发渗漏严重、油气开发污染环境、土壤环境质量下降</w:t>
            </w:r>
          </w:p>
        </w:tc>
        <w:tc>
          <w:tcPr>
            <w:tcW w:w="556" w:type="pct"/>
            <w:vAlign w:val="center"/>
          </w:tcPr>
          <w:p w14:paraId="34736195">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生物多样性及其生境中度敏感，土地沙漠化中度敏感，土壤盐渍化轻度敏感</w:t>
            </w:r>
          </w:p>
        </w:tc>
        <w:tc>
          <w:tcPr>
            <w:tcW w:w="395" w:type="pct"/>
            <w:vAlign w:val="center"/>
          </w:tcPr>
          <w:p w14:paraId="7B0A3F99">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保护荒漠植被、保护荒漠河岸林、保护农田土壤环境质量</w:t>
            </w:r>
          </w:p>
        </w:tc>
        <w:tc>
          <w:tcPr>
            <w:tcW w:w="626" w:type="pct"/>
            <w:vAlign w:val="center"/>
          </w:tcPr>
          <w:p w14:paraId="265F0A5E">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过度开发地下水、增加向塔河输水量、退耕还林还草、废除部分平原水库、节水灌溉、加强农田投入品的使用管理</w:t>
            </w:r>
          </w:p>
        </w:tc>
        <w:tc>
          <w:tcPr>
            <w:tcW w:w="443" w:type="pct"/>
            <w:vAlign w:val="center"/>
          </w:tcPr>
          <w:p w14:paraId="5B2DB68B">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建成粮食、经济作物、林果业基地，发展农区畜牧业</w:t>
            </w:r>
          </w:p>
        </w:tc>
      </w:tr>
    </w:tbl>
    <w:p w14:paraId="3D85CE53">
      <w:pPr>
        <w:pStyle w:val="3"/>
        <w:spacing w:before="120" w:after="120" w:line="500" w:lineRule="exact"/>
        <w:ind w:left="375" w:hanging="375" w:firstLineChars="0"/>
        <w:contextualSpacing/>
        <w:rPr>
          <w:rFonts w:hint="default" w:ascii="Times New Roman" w:hAnsi="Times New Roman" w:cs="Times New Roman" w:eastAsiaTheme="minorEastAsia"/>
          <w:snapToGrid w:val="0"/>
          <w:kern w:val="0"/>
          <w:sz w:val="28"/>
          <w:szCs w:val="28"/>
          <w:lang w:val="en-US" w:eastAsia="zh-CN"/>
        </w:rPr>
      </w:pPr>
      <w:bookmarkStart w:id="114" w:name="_Toc12223"/>
      <w:bookmarkStart w:id="115" w:name="_Toc32596"/>
      <w:bookmarkStart w:id="116" w:name="_Toc26282"/>
      <w:bookmarkStart w:id="117" w:name="_Toc12105"/>
      <w:bookmarkStart w:id="118" w:name="_Toc21388"/>
      <w:r>
        <w:rPr>
          <w:rFonts w:hint="default" w:ascii="Times New Roman" w:hAnsi="Times New Roman" w:cs="Times New Roman" w:eastAsiaTheme="minorEastAsia"/>
          <w:snapToGrid w:val="0"/>
          <w:kern w:val="0"/>
          <w:sz w:val="28"/>
          <w:szCs w:val="28"/>
          <w:lang w:val="en-US" w:eastAsia="zh-CN"/>
        </w:rPr>
        <w:t>2.</w:t>
      </w:r>
      <w:bookmarkEnd w:id="114"/>
      <w:bookmarkEnd w:id="115"/>
      <w:r>
        <w:rPr>
          <w:rFonts w:hint="default" w:ascii="Times New Roman" w:hAnsi="Times New Roman" w:cs="Times New Roman" w:eastAsiaTheme="minorEastAsia"/>
          <w:snapToGrid w:val="0"/>
          <w:kern w:val="0"/>
          <w:sz w:val="28"/>
          <w:szCs w:val="28"/>
          <w:lang w:val="en-US" w:eastAsia="zh-CN"/>
        </w:rPr>
        <w:t>7环境保护目标</w:t>
      </w:r>
      <w:bookmarkEnd w:id="116"/>
      <w:bookmarkEnd w:id="117"/>
      <w:bookmarkEnd w:id="118"/>
    </w:p>
    <w:p w14:paraId="7BBDC880">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119" w:name="_Toc7395"/>
      <w:bookmarkStart w:id="120" w:name="_Toc11935"/>
      <w:r>
        <w:rPr>
          <w:rFonts w:hint="default" w:ascii="Times New Roman" w:hAnsi="Times New Roman" w:cs="Times New Roman" w:eastAsiaTheme="minorEastAsia"/>
          <w:kern w:val="0"/>
          <w:sz w:val="24"/>
          <w:szCs w:val="24"/>
          <w:lang w:val="en-US" w:eastAsia="zh-CN"/>
        </w:rPr>
        <w:t>2.7.1污染物控制目标</w:t>
      </w:r>
      <w:bookmarkEnd w:id="119"/>
      <w:bookmarkEnd w:id="120"/>
    </w:p>
    <w:p w14:paraId="4B3F310F">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（1）环境空气污染控制目标</w:t>
      </w:r>
    </w:p>
    <w:p w14:paraId="1746EB7A">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运营期控制SO</w:t>
      </w:r>
      <w:r>
        <w:rPr>
          <w:rFonts w:hint="default" w:ascii="Times New Roman" w:hAnsi="Times New Roman" w:cs="Times New Roman" w:eastAsiaTheme="minorEastAsia"/>
          <w:sz w:val="24"/>
          <w:highlight w:val="none"/>
          <w:vertAlign w:val="subscript"/>
          <w:lang w:val="en-US" w:eastAsia="zh-CN"/>
        </w:rPr>
        <w:t>2</w:t>
      </w:r>
      <w:r>
        <w:rPr>
          <w:rFonts w:hint="default" w:ascii="Times New Roman" w:hAnsi="Times New Roman" w:cs="Times New Roman" w:eastAsiaTheme="minorEastAsia"/>
          <w:sz w:val="24"/>
          <w:highlight w:val="none"/>
          <w:lang w:val="en-US" w:eastAsia="zh-CN"/>
        </w:rPr>
        <w:t>、NO</w:t>
      </w:r>
      <w:r>
        <w:rPr>
          <w:rFonts w:hint="eastAsia" w:ascii="Times New Roman" w:hAnsi="Times New Roman" w:cs="Times New Roman"/>
          <w:sz w:val="24"/>
          <w:highlight w:val="none"/>
          <w:lang w:val="en-US" w:eastAsia="zh-CN"/>
        </w:rPr>
        <w:t>x</w:t>
      </w:r>
      <w:r>
        <w:rPr>
          <w:rFonts w:hint="default" w:ascii="Times New Roman" w:hAnsi="Times New Roman" w:cs="Times New Roman" w:eastAsiaTheme="minorEastAsia"/>
          <w:sz w:val="24"/>
          <w:highlight w:val="none"/>
          <w:lang w:val="en-US" w:eastAsia="zh-CN"/>
        </w:rPr>
        <w:t>、颗粒物、</w:t>
      </w:r>
      <w:r>
        <w:rPr>
          <w:rFonts w:hint="eastAsia" w:ascii="Times New Roman" w:hAnsi="Times New Roman" w:cs="Times New Roman"/>
          <w:sz w:val="24"/>
          <w:highlight w:val="none"/>
          <w:lang w:val="en-US" w:eastAsia="zh-CN"/>
        </w:rPr>
        <w:t>重金属、氟化氢、氯化氢、氨、硫化氢、二噁英类</w:t>
      </w:r>
      <w:r>
        <w:rPr>
          <w:rFonts w:hint="default" w:ascii="Times New Roman" w:hAnsi="Times New Roman" w:cs="Times New Roman" w:eastAsiaTheme="minorEastAsia"/>
          <w:sz w:val="24"/>
          <w:highlight w:val="none"/>
          <w:lang w:val="en-US" w:eastAsia="zh-CN"/>
        </w:rPr>
        <w:t>的排放，确保项目区域环境空气质量不因本项目建设而降低，环境空气质量标准执行《环境空气质量标准》（GB3095-20</w:t>
      </w:r>
      <w:r>
        <w:rPr>
          <w:rFonts w:hint="eastAsia" w:ascii="Times New Roman" w:hAnsi="Times New Roman" w:cs="Times New Roman"/>
          <w:sz w:val="24"/>
          <w:highlight w:val="none"/>
          <w:lang w:val="en-US" w:eastAsia="zh-CN"/>
        </w:rPr>
        <w:t>26</w:t>
      </w:r>
      <w:r>
        <w:rPr>
          <w:rFonts w:hint="default" w:ascii="Times New Roman" w:hAnsi="Times New Roman" w:cs="Times New Roman" w:eastAsiaTheme="minorEastAsia"/>
          <w:sz w:val="24"/>
          <w:highlight w:val="none"/>
          <w:lang w:val="en-US" w:eastAsia="zh-CN"/>
        </w:rPr>
        <w:t>）中二级标准。</w:t>
      </w:r>
    </w:p>
    <w:p w14:paraId="5F87F0A2">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（2）水污染控制目标</w:t>
      </w:r>
    </w:p>
    <w:p w14:paraId="20E93B7A">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保护项目所在区域水环境不因本项目的建设而降低功能，地下水环境执行《地下水质量标准》（GB/T14848-2017）中Ⅲ类标准。</w:t>
      </w:r>
    </w:p>
    <w:p w14:paraId="728688B9">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（3）噪声污染控制目标</w:t>
      </w:r>
    </w:p>
    <w:p w14:paraId="5D3805E6">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控制项目施工期和运营期的噪声排放，保护项目所在区域声环境，保证其达到《声环境质量标准》（GB3096-2008）中的</w:t>
      </w:r>
      <w:r>
        <w:rPr>
          <w:rFonts w:hint="eastAsia" w:ascii="Times New Roman" w:hAnsi="Times New Roman" w:cs="Times New Roman" w:eastAsiaTheme="minorEastAsia"/>
          <w:sz w:val="24"/>
          <w:highlight w:val="none"/>
          <w:lang w:val="en-US" w:eastAsia="zh-CN"/>
        </w:rPr>
        <w:t>3</w:t>
      </w:r>
      <w:r>
        <w:rPr>
          <w:rFonts w:hint="default" w:ascii="Times New Roman" w:hAnsi="Times New Roman" w:cs="Times New Roman" w:eastAsiaTheme="minorEastAsia"/>
          <w:sz w:val="24"/>
          <w:highlight w:val="none"/>
          <w:lang w:val="en-US" w:eastAsia="zh-CN"/>
        </w:rPr>
        <w:t>类区标准。</w:t>
      </w:r>
    </w:p>
    <w:p w14:paraId="47D77982">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（4）固体废物污染控制目标</w:t>
      </w:r>
    </w:p>
    <w:p w14:paraId="6BF43C4B">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确保项目施工期及运营期产生的固体废弃物均得到妥善处置，不对项目区域环境产生不利影响。</w:t>
      </w:r>
    </w:p>
    <w:p w14:paraId="069CA828">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121" w:name="_Toc32462"/>
      <w:bookmarkStart w:id="122" w:name="_Toc1176"/>
      <w:r>
        <w:rPr>
          <w:rFonts w:hint="default" w:ascii="Times New Roman" w:hAnsi="Times New Roman" w:cs="Times New Roman" w:eastAsiaTheme="minorEastAsia"/>
          <w:kern w:val="0"/>
          <w:sz w:val="24"/>
          <w:szCs w:val="24"/>
          <w:lang w:val="en-US" w:eastAsia="zh-CN"/>
        </w:rPr>
        <w:t>2.7.2环境保护目标</w:t>
      </w:r>
      <w:bookmarkEnd w:id="121"/>
      <w:bookmarkEnd w:id="122"/>
    </w:p>
    <w:p w14:paraId="2AA97F6D">
      <w:pPr>
        <w:adjustRightInd w:val="0"/>
        <w:snapToGrid w:val="0"/>
        <w:spacing w:line="500" w:lineRule="exact"/>
        <w:ind w:firstLine="480" w:firstLineChars="200"/>
        <w:jc w:val="left"/>
        <w:rPr>
          <w:rFonts w:hint="default" w:ascii="Times New Roman" w:hAnsi="Times New Roman" w:cs="Times New Roman" w:eastAsiaTheme="minorEastAsia"/>
          <w:color w:val="000000" w:themeColor="text1"/>
          <w:sz w:val="24"/>
          <w:highlight w:val="none"/>
          <w:lang w:val="en-US" w:eastAsia="zh-CN"/>
          <w14:textFill>
            <w14:solidFill>
              <w14:schemeClr w14:val="tx1"/>
            </w14:solidFill>
          </w14:textFill>
        </w:rPr>
      </w:pPr>
      <w:r>
        <w:rPr>
          <w:rFonts w:hint="default" w:ascii="Times New Roman" w:hAnsi="Times New Roman" w:cs="Times New Roman" w:eastAsiaTheme="minorEastAsia"/>
          <w:sz w:val="24"/>
          <w:highlight w:val="none"/>
          <w:lang w:val="en-US" w:eastAsia="zh-CN"/>
        </w:rPr>
        <w:t>本项目位</w:t>
      </w:r>
      <w:r>
        <w:rPr>
          <w:rFonts w:hint="eastAsia" w:ascii="Times New Roman" w:hAnsi="Times New Roman" w:cs="Times New Roman" w:eastAsiaTheme="minorEastAsia"/>
          <w:sz w:val="24"/>
          <w:highlight w:val="none"/>
          <w:lang w:val="en-US" w:eastAsia="zh-CN"/>
        </w:rPr>
        <w:t>于喀什地区莎车县阿斯兰巴格工业园区西南侧莎车县海纳环保科技开发有限公司厂区内，</w:t>
      </w:r>
      <w:r>
        <w:rPr>
          <w:rFonts w:hint="default" w:ascii="Times New Roman" w:hAnsi="Times New Roman" w:cs="Times New Roman" w:eastAsiaTheme="minorEastAsia"/>
          <w:sz w:val="24"/>
          <w:highlight w:val="none"/>
          <w:lang w:val="en-US" w:eastAsia="zh-CN"/>
        </w:rPr>
        <w:t>本项目环境敏感点分布见表2.7-1</w:t>
      </w:r>
      <w:r>
        <w:rPr>
          <w:rFonts w:hint="eastAsia" w:ascii="Times New Roman" w:hAnsi="Times New Roman" w:cs="Times New Roman"/>
          <w:sz w:val="24"/>
          <w:highlight w:val="none"/>
          <w:lang w:val="en-US" w:eastAsia="zh-CN"/>
        </w:rPr>
        <w:t>，</w:t>
      </w:r>
      <w:r>
        <w:rPr>
          <w:rFonts w:hint="eastAsia" w:ascii="Times New Roman" w:hAnsi="Times New Roman" w:cs="Times New Roman"/>
          <w:color w:val="000000" w:themeColor="text1"/>
          <w:sz w:val="24"/>
          <w:highlight w:val="none"/>
          <w:lang w:val="en-US" w:eastAsia="zh-CN"/>
          <w14:textFill>
            <w14:solidFill>
              <w14:schemeClr w14:val="tx1"/>
            </w14:solidFill>
          </w14:textFill>
        </w:rPr>
        <w:t>项目敏感目标分布图见附图2.7-1</w:t>
      </w:r>
      <w:r>
        <w:rPr>
          <w:rFonts w:hint="default" w:ascii="Times New Roman" w:hAnsi="Times New Roman" w:cs="Times New Roman" w:eastAsiaTheme="minorEastAsia"/>
          <w:color w:val="000000" w:themeColor="text1"/>
          <w:sz w:val="24"/>
          <w:highlight w:val="none"/>
          <w:lang w:val="en-US" w:eastAsia="zh-CN"/>
          <w14:textFill>
            <w14:solidFill>
              <w14:schemeClr w14:val="tx1"/>
            </w14:solidFill>
          </w14:textFill>
        </w:rPr>
        <w:t>。</w:t>
      </w:r>
    </w:p>
    <w:p w14:paraId="35904B30">
      <w:pPr>
        <w:adjustRightInd w:val="0"/>
        <w:snapToGrid w:val="0"/>
        <w:spacing w:before="250" w:beforeLines="50"/>
        <w:ind w:firstLine="422" w:firstLineChars="200"/>
        <w:jc w:val="center"/>
        <w:rPr>
          <w:rFonts w:hint="default" w:ascii="Times New Roman" w:hAnsi="Times New Roman" w:eastAsia="华文中宋" w:cs="Times New Roman"/>
          <w:b/>
          <w:szCs w:val="21"/>
          <w:lang w:val="en-US" w:eastAsia="zh-CN"/>
        </w:rPr>
      </w:pPr>
      <w:r>
        <w:rPr>
          <w:rFonts w:hint="default" w:ascii="Times New Roman" w:hAnsi="Times New Roman" w:eastAsia="华文中宋" w:cs="Times New Roman"/>
          <w:b/>
          <w:szCs w:val="21"/>
          <w:lang w:val="en-US" w:eastAsia="zh-CN"/>
        </w:rPr>
        <w:t>表2.7-1  环境保护目标一览表</w:t>
      </w:r>
    </w:p>
    <w:tbl>
      <w:tblPr>
        <w:tblStyle w:val="1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5"/>
        <w:gridCol w:w="395"/>
        <w:gridCol w:w="1098"/>
        <w:gridCol w:w="1377"/>
        <w:gridCol w:w="1514"/>
        <w:gridCol w:w="723"/>
        <w:gridCol w:w="681"/>
        <w:gridCol w:w="751"/>
        <w:gridCol w:w="681"/>
        <w:gridCol w:w="901"/>
      </w:tblGrid>
      <w:tr w14:paraId="5C82B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231" w:type="pct"/>
            <w:vMerge w:val="restart"/>
            <w:tcBorders>
              <w:tl2br w:val="nil"/>
              <w:tr2bl w:val="nil"/>
            </w:tcBorders>
            <w:vAlign w:val="center"/>
          </w:tcPr>
          <w:p w14:paraId="4B6F052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类别</w:t>
            </w:r>
          </w:p>
        </w:tc>
        <w:tc>
          <w:tcPr>
            <w:tcW w:w="231" w:type="pct"/>
            <w:vMerge w:val="restart"/>
            <w:tcBorders>
              <w:tl2br w:val="nil"/>
              <w:tr2bl w:val="nil"/>
            </w:tcBorders>
            <w:vAlign w:val="center"/>
          </w:tcPr>
          <w:p w14:paraId="7DA3456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序号</w:t>
            </w:r>
          </w:p>
        </w:tc>
        <w:tc>
          <w:tcPr>
            <w:tcW w:w="644" w:type="pct"/>
            <w:vMerge w:val="restart"/>
            <w:tcBorders>
              <w:tl2br w:val="nil"/>
              <w:tr2bl w:val="nil"/>
            </w:tcBorders>
            <w:vAlign w:val="center"/>
          </w:tcPr>
          <w:p w14:paraId="25762DD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名称</w:t>
            </w:r>
          </w:p>
        </w:tc>
        <w:tc>
          <w:tcPr>
            <w:tcW w:w="1697" w:type="pct"/>
            <w:gridSpan w:val="2"/>
            <w:tcBorders>
              <w:tl2br w:val="nil"/>
              <w:tr2bl w:val="nil"/>
            </w:tcBorders>
            <w:vAlign w:val="center"/>
          </w:tcPr>
          <w:p w14:paraId="640CBE6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坐标</w:t>
            </w:r>
          </w:p>
        </w:tc>
        <w:tc>
          <w:tcPr>
            <w:tcW w:w="424" w:type="pct"/>
            <w:vMerge w:val="restart"/>
            <w:tcBorders>
              <w:tl2br w:val="nil"/>
              <w:tr2bl w:val="nil"/>
            </w:tcBorders>
            <w:vAlign w:val="center"/>
          </w:tcPr>
          <w:p w14:paraId="31F19E1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保护对象</w:t>
            </w:r>
          </w:p>
        </w:tc>
        <w:tc>
          <w:tcPr>
            <w:tcW w:w="399" w:type="pct"/>
            <w:vMerge w:val="restart"/>
            <w:tcBorders>
              <w:tl2br w:val="nil"/>
              <w:tr2bl w:val="nil"/>
            </w:tcBorders>
            <w:vAlign w:val="center"/>
          </w:tcPr>
          <w:p w14:paraId="4DF8BE4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保护内容</w:t>
            </w:r>
          </w:p>
        </w:tc>
        <w:tc>
          <w:tcPr>
            <w:tcW w:w="440" w:type="pct"/>
            <w:vMerge w:val="restart"/>
            <w:tcBorders>
              <w:tl2br w:val="nil"/>
              <w:tr2bl w:val="nil"/>
            </w:tcBorders>
            <w:vAlign w:val="center"/>
          </w:tcPr>
          <w:p w14:paraId="08ADF5E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环境功能区</w:t>
            </w:r>
          </w:p>
        </w:tc>
        <w:tc>
          <w:tcPr>
            <w:tcW w:w="399" w:type="pct"/>
            <w:vMerge w:val="restart"/>
            <w:tcBorders>
              <w:tl2br w:val="nil"/>
              <w:tr2bl w:val="nil"/>
            </w:tcBorders>
            <w:vAlign w:val="center"/>
          </w:tcPr>
          <w:p w14:paraId="571E31C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相对厂址方位</w:t>
            </w:r>
          </w:p>
        </w:tc>
        <w:tc>
          <w:tcPr>
            <w:tcW w:w="529" w:type="pct"/>
            <w:vMerge w:val="restart"/>
            <w:tcBorders>
              <w:tl2br w:val="nil"/>
              <w:tr2bl w:val="nil"/>
            </w:tcBorders>
            <w:vAlign w:val="center"/>
          </w:tcPr>
          <w:p w14:paraId="4DC5E12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相对厂界距离/m</w:t>
            </w:r>
          </w:p>
        </w:tc>
      </w:tr>
      <w:tr w14:paraId="00210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31" w:type="pct"/>
            <w:vMerge w:val="continue"/>
            <w:tcBorders>
              <w:tl2br w:val="nil"/>
              <w:tr2bl w:val="nil"/>
            </w:tcBorders>
            <w:vAlign w:val="center"/>
          </w:tcPr>
          <w:p w14:paraId="508B6D3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31" w:type="pct"/>
            <w:vMerge w:val="continue"/>
            <w:tcBorders>
              <w:tl2br w:val="nil"/>
              <w:tr2bl w:val="nil"/>
            </w:tcBorders>
            <w:vAlign w:val="center"/>
          </w:tcPr>
          <w:p w14:paraId="3D830F2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44" w:type="pct"/>
            <w:vMerge w:val="continue"/>
            <w:tcBorders>
              <w:tl2br w:val="nil"/>
              <w:tr2bl w:val="nil"/>
            </w:tcBorders>
            <w:vAlign w:val="center"/>
          </w:tcPr>
          <w:p w14:paraId="78EAA1C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808" w:type="pct"/>
            <w:tcBorders>
              <w:tl2br w:val="nil"/>
              <w:tr2bl w:val="nil"/>
            </w:tcBorders>
            <w:vAlign w:val="center"/>
          </w:tcPr>
          <w:p w14:paraId="00F4BBC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经度</w:t>
            </w:r>
          </w:p>
        </w:tc>
        <w:tc>
          <w:tcPr>
            <w:tcW w:w="888" w:type="pct"/>
            <w:tcBorders>
              <w:tl2br w:val="nil"/>
              <w:tr2bl w:val="nil"/>
            </w:tcBorders>
            <w:vAlign w:val="center"/>
          </w:tcPr>
          <w:p w14:paraId="568EDC3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纬度</w:t>
            </w:r>
          </w:p>
        </w:tc>
        <w:tc>
          <w:tcPr>
            <w:tcW w:w="424" w:type="pct"/>
            <w:vMerge w:val="continue"/>
            <w:tcBorders>
              <w:tl2br w:val="nil"/>
              <w:tr2bl w:val="nil"/>
            </w:tcBorders>
            <w:vAlign w:val="center"/>
          </w:tcPr>
          <w:p w14:paraId="765D8A1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99" w:type="pct"/>
            <w:vMerge w:val="continue"/>
            <w:tcBorders>
              <w:tl2br w:val="nil"/>
              <w:tr2bl w:val="nil"/>
            </w:tcBorders>
            <w:vAlign w:val="center"/>
          </w:tcPr>
          <w:p w14:paraId="557D7E1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440" w:type="pct"/>
            <w:vMerge w:val="continue"/>
            <w:tcBorders>
              <w:tl2br w:val="nil"/>
              <w:tr2bl w:val="nil"/>
            </w:tcBorders>
            <w:vAlign w:val="center"/>
          </w:tcPr>
          <w:p w14:paraId="7D60FE2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99" w:type="pct"/>
            <w:vMerge w:val="continue"/>
            <w:tcBorders>
              <w:tl2br w:val="nil"/>
              <w:tr2bl w:val="nil"/>
            </w:tcBorders>
            <w:vAlign w:val="center"/>
          </w:tcPr>
          <w:p w14:paraId="1C1F9B0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29" w:type="pct"/>
            <w:vMerge w:val="continue"/>
            <w:tcBorders>
              <w:tl2br w:val="nil"/>
              <w:tr2bl w:val="nil"/>
            </w:tcBorders>
            <w:vAlign w:val="center"/>
          </w:tcPr>
          <w:p w14:paraId="7B96CBDA">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610C8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31" w:type="pct"/>
            <w:vMerge w:val="restart"/>
            <w:tcBorders>
              <w:tl2br w:val="nil"/>
              <w:tr2bl w:val="nil"/>
            </w:tcBorders>
            <w:vAlign w:val="center"/>
          </w:tcPr>
          <w:p w14:paraId="0E74F63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环境空气</w:t>
            </w:r>
          </w:p>
        </w:tc>
        <w:tc>
          <w:tcPr>
            <w:tcW w:w="231" w:type="pct"/>
            <w:tcBorders>
              <w:tl2br w:val="nil"/>
              <w:tr2bl w:val="nil"/>
            </w:tcBorders>
            <w:vAlign w:val="center"/>
          </w:tcPr>
          <w:p w14:paraId="5502EF1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p>
        </w:tc>
        <w:tc>
          <w:tcPr>
            <w:tcW w:w="644" w:type="pct"/>
            <w:tcBorders>
              <w:tl2br w:val="nil"/>
              <w:tr2bl w:val="nil"/>
            </w:tcBorders>
            <w:vAlign w:val="center"/>
          </w:tcPr>
          <w:p w14:paraId="1DC195E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兰干村居民区</w:t>
            </w:r>
          </w:p>
        </w:tc>
        <w:tc>
          <w:tcPr>
            <w:tcW w:w="808" w:type="pct"/>
            <w:tcBorders>
              <w:tl2br w:val="nil"/>
              <w:tr2bl w:val="nil"/>
            </w:tcBorders>
            <w:vAlign w:val="center"/>
          </w:tcPr>
          <w:p w14:paraId="43086AE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888" w:type="pct"/>
            <w:tcBorders>
              <w:tl2br w:val="nil"/>
              <w:tr2bl w:val="nil"/>
            </w:tcBorders>
            <w:vAlign w:val="center"/>
          </w:tcPr>
          <w:p w14:paraId="4AC9D19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424" w:type="pct"/>
            <w:tcBorders>
              <w:tl2br w:val="nil"/>
              <w:tr2bl w:val="nil"/>
            </w:tcBorders>
            <w:vAlign w:val="center"/>
          </w:tcPr>
          <w:p w14:paraId="095809C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居住区</w:t>
            </w:r>
          </w:p>
        </w:tc>
        <w:tc>
          <w:tcPr>
            <w:tcW w:w="399" w:type="pct"/>
            <w:tcBorders>
              <w:tl2br w:val="nil"/>
              <w:tr2bl w:val="nil"/>
            </w:tcBorders>
            <w:vAlign w:val="center"/>
          </w:tcPr>
          <w:p w14:paraId="2AB87DC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人群</w:t>
            </w:r>
          </w:p>
        </w:tc>
        <w:tc>
          <w:tcPr>
            <w:tcW w:w="440" w:type="pct"/>
            <w:vMerge w:val="restart"/>
            <w:tcBorders>
              <w:tl2br w:val="nil"/>
              <w:tr2bl w:val="nil"/>
            </w:tcBorders>
            <w:vAlign w:val="center"/>
          </w:tcPr>
          <w:p w14:paraId="2C53529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二类环境功能区</w:t>
            </w:r>
          </w:p>
        </w:tc>
        <w:tc>
          <w:tcPr>
            <w:tcW w:w="399" w:type="pct"/>
            <w:tcBorders>
              <w:tl2br w:val="nil"/>
              <w:tr2bl w:val="nil"/>
            </w:tcBorders>
            <w:vAlign w:val="center"/>
          </w:tcPr>
          <w:p w14:paraId="2409E72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西北</w:t>
            </w:r>
          </w:p>
        </w:tc>
        <w:tc>
          <w:tcPr>
            <w:tcW w:w="529" w:type="pct"/>
            <w:tcBorders>
              <w:tl2br w:val="nil"/>
              <w:tr2bl w:val="nil"/>
            </w:tcBorders>
            <w:vAlign w:val="center"/>
          </w:tcPr>
          <w:p w14:paraId="72BAD5D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1695</w:t>
            </w:r>
          </w:p>
        </w:tc>
      </w:tr>
      <w:tr w14:paraId="5563E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31" w:type="pct"/>
            <w:vMerge w:val="continue"/>
            <w:tcBorders>
              <w:tl2br w:val="nil"/>
              <w:tr2bl w:val="nil"/>
            </w:tcBorders>
            <w:vAlign w:val="center"/>
          </w:tcPr>
          <w:p w14:paraId="4020226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31" w:type="pct"/>
            <w:tcBorders>
              <w:tl2br w:val="nil"/>
              <w:tr2bl w:val="nil"/>
            </w:tcBorders>
            <w:vAlign w:val="center"/>
          </w:tcPr>
          <w:p w14:paraId="78CE211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w:t>
            </w:r>
          </w:p>
        </w:tc>
        <w:tc>
          <w:tcPr>
            <w:tcW w:w="644" w:type="pct"/>
            <w:tcBorders>
              <w:tl2br w:val="nil"/>
              <w:tr2bl w:val="nil"/>
            </w:tcBorders>
            <w:vAlign w:val="center"/>
          </w:tcPr>
          <w:p w14:paraId="3274C0E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萨依巴格村居民区</w:t>
            </w:r>
          </w:p>
        </w:tc>
        <w:tc>
          <w:tcPr>
            <w:tcW w:w="808" w:type="pct"/>
            <w:tcBorders>
              <w:tl2br w:val="nil"/>
              <w:tr2bl w:val="nil"/>
            </w:tcBorders>
            <w:vAlign w:val="center"/>
          </w:tcPr>
          <w:p w14:paraId="64FADEE3">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888" w:type="pct"/>
            <w:tcBorders>
              <w:tl2br w:val="nil"/>
              <w:tr2bl w:val="nil"/>
            </w:tcBorders>
            <w:vAlign w:val="center"/>
          </w:tcPr>
          <w:p w14:paraId="04487CB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424" w:type="pct"/>
            <w:tcBorders>
              <w:tl2br w:val="nil"/>
              <w:tr2bl w:val="nil"/>
            </w:tcBorders>
            <w:shd w:val="clear" w:color="auto" w:fill="auto"/>
            <w:vAlign w:val="center"/>
          </w:tcPr>
          <w:p w14:paraId="6116D1B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居住区</w:t>
            </w:r>
          </w:p>
        </w:tc>
        <w:tc>
          <w:tcPr>
            <w:tcW w:w="399" w:type="pct"/>
            <w:tcBorders>
              <w:tl2br w:val="nil"/>
              <w:tr2bl w:val="nil"/>
            </w:tcBorders>
            <w:shd w:val="clear" w:color="auto" w:fill="auto"/>
            <w:vAlign w:val="center"/>
          </w:tcPr>
          <w:p w14:paraId="18DAB13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人群</w:t>
            </w:r>
          </w:p>
        </w:tc>
        <w:tc>
          <w:tcPr>
            <w:tcW w:w="440" w:type="pct"/>
            <w:vMerge w:val="continue"/>
            <w:tcBorders>
              <w:tl2br w:val="nil"/>
              <w:tr2bl w:val="nil"/>
            </w:tcBorders>
            <w:vAlign w:val="center"/>
          </w:tcPr>
          <w:p w14:paraId="2A27286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99" w:type="pct"/>
            <w:tcBorders>
              <w:tl2br w:val="nil"/>
              <w:tr2bl w:val="nil"/>
            </w:tcBorders>
            <w:vAlign w:val="center"/>
          </w:tcPr>
          <w:p w14:paraId="1B9EBE9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西</w:t>
            </w:r>
          </w:p>
        </w:tc>
        <w:tc>
          <w:tcPr>
            <w:tcW w:w="529" w:type="pct"/>
            <w:tcBorders>
              <w:tl2br w:val="nil"/>
              <w:tr2bl w:val="nil"/>
            </w:tcBorders>
            <w:vAlign w:val="center"/>
          </w:tcPr>
          <w:p w14:paraId="48083C5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1615</w:t>
            </w:r>
          </w:p>
        </w:tc>
      </w:tr>
      <w:tr w14:paraId="07774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31" w:type="pct"/>
            <w:vMerge w:val="continue"/>
            <w:tcBorders>
              <w:tl2br w:val="nil"/>
              <w:tr2bl w:val="nil"/>
            </w:tcBorders>
            <w:vAlign w:val="center"/>
          </w:tcPr>
          <w:p w14:paraId="38726CB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31" w:type="pct"/>
            <w:tcBorders>
              <w:tl2br w:val="nil"/>
              <w:tr2bl w:val="nil"/>
            </w:tcBorders>
            <w:vAlign w:val="center"/>
          </w:tcPr>
          <w:p w14:paraId="251DE23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w:t>
            </w:r>
          </w:p>
        </w:tc>
        <w:tc>
          <w:tcPr>
            <w:tcW w:w="644" w:type="pct"/>
            <w:tcBorders>
              <w:tl2br w:val="nil"/>
              <w:tr2bl w:val="nil"/>
            </w:tcBorders>
            <w:vAlign w:val="center"/>
          </w:tcPr>
          <w:p w14:paraId="5025FCC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帕</w:t>
            </w:r>
            <w:r>
              <w:rPr>
                <w:rFonts w:hint="eastAsia" w:ascii="Times New Roman" w:hAnsi="Times New Roman" w:cs="Times New Roman" w:eastAsiaTheme="minorEastAsia"/>
                <w:szCs w:val="21"/>
                <w:lang w:val="en-US" w:eastAsia="zh-CN"/>
              </w:rPr>
              <w:t>特曼喀什</w:t>
            </w:r>
            <w:r>
              <w:rPr>
                <w:rFonts w:hint="eastAsia" w:ascii="Times New Roman" w:hAnsi="Times New Roman" w:cs="Times New Roman"/>
                <w:szCs w:val="21"/>
                <w:lang w:val="en-US" w:eastAsia="zh-CN"/>
              </w:rPr>
              <w:t>村</w:t>
            </w:r>
            <w:r>
              <w:rPr>
                <w:rFonts w:hint="eastAsia" w:ascii="Times New Roman" w:hAnsi="Times New Roman" w:cs="Times New Roman" w:eastAsiaTheme="minorEastAsia"/>
                <w:szCs w:val="21"/>
                <w:lang w:val="en-US" w:eastAsia="zh-CN"/>
              </w:rPr>
              <w:t>居民区</w:t>
            </w:r>
          </w:p>
        </w:tc>
        <w:tc>
          <w:tcPr>
            <w:tcW w:w="808" w:type="pct"/>
            <w:tcBorders>
              <w:tl2br w:val="nil"/>
              <w:tr2bl w:val="nil"/>
            </w:tcBorders>
            <w:vAlign w:val="center"/>
          </w:tcPr>
          <w:p w14:paraId="046348C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888" w:type="pct"/>
            <w:tcBorders>
              <w:tl2br w:val="nil"/>
              <w:tr2bl w:val="nil"/>
            </w:tcBorders>
            <w:vAlign w:val="center"/>
          </w:tcPr>
          <w:p w14:paraId="7259539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424" w:type="pct"/>
            <w:tcBorders>
              <w:tl2br w:val="nil"/>
              <w:tr2bl w:val="nil"/>
            </w:tcBorders>
            <w:vAlign w:val="center"/>
          </w:tcPr>
          <w:p w14:paraId="71C84E7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居住区</w:t>
            </w:r>
          </w:p>
        </w:tc>
        <w:tc>
          <w:tcPr>
            <w:tcW w:w="399" w:type="pct"/>
            <w:tcBorders>
              <w:tl2br w:val="nil"/>
              <w:tr2bl w:val="nil"/>
            </w:tcBorders>
            <w:vAlign w:val="center"/>
          </w:tcPr>
          <w:p w14:paraId="6C728A2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人群</w:t>
            </w:r>
          </w:p>
        </w:tc>
        <w:tc>
          <w:tcPr>
            <w:tcW w:w="440" w:type="pct"/>
            <w:vMerge w:val="continue"/>
            <w:tcBorders>
              <w:tl2br w:val="nil"/>
              <w:tr2bl w:val="nil"/>
            </w:tcBorders>
            <w:vAlign w:val="center"/>
          </w:tcPr>
          <w:p w14:paraId="4A79217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99" w:type="pct"/>
            <w:tcBorders>
              <w:tl2br w:val="nil"/>
              <w:tr2bl w:val="nil"/>
            </w:tcBorders>
            <w:vAlign w:val="center"/>
          </w:tcPr>
          <w:p w14:paraId="314D939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东南</w:t>
            </w:r>
          </w:p>
        </w:tc>
        <w:tc>
          <w:tcPr>
            <w:tcW w:w="529" w:type="pct"/>
            <w:tcBorders>
              <w:tl2br w:val="nil"/>
              <w:tr2bl w:val="nil"/>
            </w:tcBorders>
            <w:vAlign w:val="center"/>
          </w:tcPr>
          <w:p w14:paraId="04117BB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2736</w:t>
            </w:r>
          </w:p>
        </w:tc>
      </w:tr>
      <w:tr w14:paraId="73127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2" w:hRule="atLeast"/>
        </w:trPr>
        <w:tc>
          <w:tcPr>
            <w:tcW w:w="231" w:type="pct"/>
            <w:tcBorders>
              <w:tl2br w:val="nil"/>
              <w:tr2bl w:val="nil"/>
            </w:tcBorders>
            <w:vAlign w:val="center"/>
          </w:tcPr>
          <w:p w14:paraId="3BB3F82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地下水环境</w:t>
            </w:r>
          </w:p>
        </w:tc>
        <w:tc>
          <w:tcPr>
            <w:tcW w:w="231" w:type="pct"/>
            <w:tcBorders>
              <w:tl2br w:val="nil"/>
              <w:tr2bl w:val="nil"/>
            </w:tcBorders>
            <w:shd w:val="clear" w:color="auto" w:fill="auto"/>
            <w:vAlign w:val="center"/>
          </w:tcPr>
          <w:p w14:paraId="5128FD2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p>
        </w:tc>
        <w:tc>
          <w:tcPr>
            <w:tcW w:w="644" w:type="pct"/>
            <w:tcBorders>
              <w:tl2br w:val="nil"/>
              <w:tr2bl w:val="nil"/>
            </w:tcBorders>
            <w:shd w:val="clear" w:color="auto" w:fill="auto"/>
            <w:vAlign w:val="center"/>
          </w:tcPr>
          <w:p w14:paraId="626D58B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项目区</w:t>
            </w:r>
          </w:p>
        </w:tc>
        <w:tc>
          <w:tcPr>
            <w:tcW w:w="808" w:type="pct"/>
            <w:tcBorders>
              <w:tl2br w:val="nil"/>
              <w:tr2bl w:val="nil"/>
            </w:tcBorders>
            <w:shd w:val="clear" w:color="auto" w:fill="auto"/>
            <w:vAlign w:val="center"/>
          </w:tcPr>
          <w:p w14:paraId="428F0EE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888" w:type="pct"/>
            <w:tcBorders>
              <w:tl2br w:val="nil"/>
              <w:tr2bl w:val="nil"/>
            </w:tcBorders>
            <w:shd w:val="clear" w:color="auto" w:fill="auto"/>
            <w:vAlign w:val="center"/>
          </w:tcPr>
          <w:p w14:paraId="62A82C5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424" w:type="pct"/>
            <w:tcBorders>
              <w:tl2br w:val="nil"/>
              <w:tr2bl w:val="nil"/>
            </w:tcBorders>
            <w:shd w:val="clear" w:color="auto" w:fill="auto"/>
            <w:vAlign w:val="center"/>
          </w:tcPr>
          <w:p w14:paraId="73C3E51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399" w:type="pct"/>
            <w:tcBorders>
              <w:tl2br w:val="nil"/>
              <w:tr2bl w:val="nil"/>
            </w:tcBorders>
            <w:shd w:val="clear" w:color="auto" w:fill="auto"/>
            <w:vAlign w:val="center"/>
          </w:tcPr>
          <w:p w14:paraId="19850EA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440" w:type="pct"/>
            <w:tcBorders>
              <w:tl2br w:val="nil"/>
              <w:tr2bl w:val="nil"/>
            </w:tcBorders>
            <w:vAlign w:val="center"/>
          </w:tcPr>
          <w:p w14:paraId="3527C52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《地下水质量标准》（GB/T14848-2017）Ⅲ类</w:t>
            </w:r>
          </w:p>
          <w:p w14:paraId="11CD6A8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标准</w:t>
            </w:r>
          </w:p>
        </w:tc>
        <w:tc>
          <w:tcPr>
            <w:tcW w:w="399" w:type="pct"/>
            <w:tcBorders>
              <w:tl2br w:val="nil"/>
              <w:tr2bl w:val="nil"/>
            </w:tcBorders>
            <w:shd w:val="clear" w:color="auto" w:fill="auto"/>
            <w:vAlign w:val="center"/>
          </w:tcPr>
          <w:p w14:paraId="3A5F92D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529" w:type="pct"/>
            <w:tcBorders>
              <w:tl2br w:val="nil"/>
              <w:tr2bl w:val="nil"/>
            </w:tcBorders>
            <w:shd w:val="clear" w:color="auto" w:fill="auto"/>
            <w:vAlign w:val="center"/>
          </w:tcPr>
          <w:p w14:paraId="5E2AE0E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r>
    </w:tbl>
    <w:p w14:paraId="47429F79">
      <w:pPr>
        <w:adjustRightInd w:val="0"/>
        <w:snapToGrid w:val="0"/>
        <w:spacing w:before="250" w:beforeLines="50"/>
        <w:jc w:val="both"/>
        <w:rPr>
          <w:rFonts w:hint="default" w:ascii="Times New Roman" w:hAnsi="Times New Roman" w:eastAsia="华文中宋" w:cs="Times New Roman"/>
          <w:b/>
          <w:szCs w:val="21"/>
          <w:lang w:val="en-US" w:eastAsia="zh-CN"/>
        </w:rPr>
      </w:pPr>
    </w:p>
    <w:p w14:paraId="354984A2">
      <w:pPr>
        <w:pStyle w:val="2"/>
        <w:keepNext/>
        <w:keepLines/>
        <w:pageBreakBefore/>
        <w:spacing w:before="241" w:beforeLines="50" w:after="241" w:afterLines="50" w:line="560" w:lineRule="exact"/>
        <w:ind w:left="554" w:hanging="555" w:hangingChars="152"/>
        <w:jc w:val="both"/>
        <w:rPr>
          <w:rFonts w:hint="eastAsia" w:ascii="Times New Roman" w:hAnsi="Times New Roman" w:cs="Times New Roman" w:eastAsiaTheme="minorEastAsia"/>
          <w:snapToGrid w:val="0"/>
          <w:spacing w:val="2"/>
          <w:kern w:val="44"/>
          <w:sz w:val="36"/>
          <w:szCs w:val="44"/>
          <w:lang w:val="en-US" w:eastAsia="zh-CN"/>
        </w:rPr>
      </w:pPr>
      <w:bookmarkStart w:id="123" w:name="_Toc8504"/>
      <w:r>
        <w:rPr>
          <w:rFonts w:hint="eastAsia" w:ascii="Times New Roman" w:hAnsi="Times New Roman" w:cs="Times New Roman" w:eastAsiaTheme="minorEastAsia"/>
          <w:snapToGrid w:val="0"/>
          <w:spacing w:val="2"/>
          <w:kern w:val="44"/>
          <w:sz w:val="36"/>
          <w:szCs w:val="44"/>
          <w:lang w:val="en-US" w:eastAsia="zh-CN"/>
        </w:rPr>
        <w:t>3建设项目工程分析</w:t>
      </w:r>
      <w:bookmarkEnd w:id="123"/>
    </w:p>
    <w:p w14:paraId="469A5F14">
      <w:pPr>
        <w:pStyle w:val="3"/>
        <w:spacing w:before="120" w:after="120" w:line="500" w:lineRule="exact"/>
        <w:ind w:left="375" w:hanging="375" w:firstLineChars="0"/>
        <w:contextualSpacing/>
        <w:rPr>
          <w:rFonts w:hint="default" w:ascii="Times New Roman" w:hAnsi="Times New Roman" w:cs="Times New Roman" w:eastAsiaTheme="minorEastAsia"/>
          <w:snapToGrid w:val="0"/>
          <w:kern w:val="0"/>
          <w:sz w:val="28"/>
          <w:szCs w:val="28"/>
          <w:lang w:val="en-US" w:eastAsia="zh-CN"/>
        </w:rPr>
      </w:pPr>
      <w:bookmarkStart w:id="124" w:name="_Toc13131"/>
      <w:r>
        <w:rPr>
          <w:rFonts w:hint="eastAsia" w:ascii="Times New Roman" w:hAnsi="Times New Roman" w:cs="Times New Roman" w:eastAsiaTheme="minorEastAsia"/>
          <w:snapToGrid w:val="0"/>
          <w:kern w:val="0"/>
          <w:sz w:val="28"/>
          <w:szCs w:val="28"/>
          <w:lang w:val="en-US" w:eastAsia="zh-CN"/>
        </w:rPr>
        <w:t>3.1现有工程回顾分析</w:t>
      </w:r>
      <w:bookmarkEnd w:id="124"/>
    </w:p>
    <w:p w14:paraId="08CE0C32">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25" w:name="_Toc23468"/>
      <w:r>
        <w:rPr>
          <w:rFonts w:hint="eastAsia" w:ascii="Times New Roman" w:hAnsi="Times New Roman" w:cs="Times New Roman" w:eastAsiaTheme="minorEastAsia"/>
          <w:kern w:val="0"/>
          <w:sz w:val="24"/>
          <w:szCs w:val="24"/>
          <w:lang w:val="en-US" w:eastAsia="zh-CN"/>
        </w:rPr>
        <w:t>3.1.1现有项目基本情况</w:t>
      </w:r>
      <w:bookmarkEnd w:id="125"/>
    </w:p>
    <w:p w14:paraId="2B164BB2">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莎车县海纳环保科技开发有限公司于</w:t>
      </w:r>
      <w:r>
        <w:rPr>
          <w:rFonts w:hint="default" w:ascii="Times New Roman" w:hAnsi="Times New Roman" w:cs="Times New Roman" w:eastAsiaTheme="minorEastAsia"/>
          <w:sz w:val="24"/>
          <w:lang w:val="en-US" w:eastAsia="zh-CN"/>
        </w:rPr>
        <w:t>2017</w:t>
      </w:r>
      <w:r>
        <w:rPr>
          <w:rFonts w:hint="eastAsia" w:ascii="Times New Roman" w:hAnsi="Times New Roman" w:cs="Times New Roman" w:eastAsiaTheme="minorEastAsia"/>
          <w:sz w:val="24"/>
          <w:lang w:val="en-US" w:eastAsia="zh-CN"/>
        </w:rPr>
        <w:t>年</w:t>
      </w:r>
      <w:r>
        <w:rPr>
          <w:rFonts w:hint="default" w:ascii="Times New Roman" w:hAnsi="Times New Roman" w:cs="Times New Roman" w:eastAsiaTheme="minorEastAsia"/>
          <w:sz w:val="24"/>
          <w:lang w:val="en-US" w:eastAsia="zh-CN"/>
        </w:rPr>
        <w:t>1</w:t>
      </w:r>
      <w:r>
        <w:rPr>
          <w:rFonts w:hint="eastAsia" w:ascii="Times New Roman" w:hAnsi="Times New Roman" w:cs="Times New Roman" w:eastAsiaTheme="minorEastAsia"/>
          <w:sz w:val="24"/>
          <w:lang w:val="en-US" w:eastAsia="zh-CN"/>
        </w:rPr>
        <w:t>月建设了莎车县医疗废物处置中心项目（以下简称现有项目）。现有项目于</w:t>
      </w:r>
      <w:r>
        <w:rPr>
          <w:rFonts w:hint="default" w:ascii="Times New Roman" w:hAnsi="Times New Roman" w:cs="Times New Roman" w:eastAsiaTheme="minorEastAsia"/>
          <w:sz w:val="24"/>
          <w:lang w:val="en-US" w:eastAsia="zh-CN"/>
        </w:rPr>
        <w:t>2017</w:t>
      </w:r>
      <w:r>
        <w:rPr>
          <w:rFonts w:hint="eastAsia" w:ascii="Times New Roman" w:hAnsi="Times New Roman" w:cs="Times New Roman" w:eastAsiaTheme="minorEastAsia"/>
          <w:sz w:val="24"/>
          <w:lang w:val="en-US" w:eastAsia="zh-CN"/>
        </w:rPr>
        <w:t>年</w:t>
      </w:r>
      <w:r>
        <w:rPr>
          <w:rFonts w:hint="default" w:ascii="Times New Roman" w:hAnsi="Times New Roman" w:cs="Times New Roman" w:eastAsiaTheme="minorEastAsia"/>
          <w:sz w:val="24"/>
          <w:lang w:val="en-US" w:eastAsia="zh-CN"/>
        </w:rPr>
        <w:t>4</w:t>
      </w:r>
      <w:r>
        <w:rPr>
          <w:rFonts w:hint="eastAsia" w:ascii="Times New Roman" w:hAnsi="Times New Roman" w:cs="Times New Roman" w:eastAsiaTheme="minorEastAsia"/>
          <w:sz w:val="24"/>
          <w:lang w:val="en-US" w:eastAsia="zh-CN"/>
        </w:rPr>
        <w:t>月建成，</w:t>
      </w:r>
      <w:r>
        <w:rPr>
          <w:rFonts w:hint="default" w:ascii="Times New Roman" w:hAnsi="Times New Roman" w:cs="Times New Roman" w:eastAsiaTheme="minorEastAsia"/>
          <w:sz w:val="24"/>
          <w:lang w:val="en-US" w:eastAsia="zh-CN"/>
        </w:rPr>
        <w:t>2017</w:t>
      </w:r>
      <w:r>
        <w:rPr>
          <w:rFonts w:hint="eastAsia" w:ascii="Times New Roman" w:hAnsi="Times New Roman" w:cs="Times New Roman" w:eastAsiaTheme="minorEastAsia"/>
          <w:sz w:val="24"/>
          <w:lang w:val="en-US" w:eastAsia="zh-CN"/>
        </w:rPr>
        <w:t>年</w:t>
      </w:r>
      <w:r>
        <w:rPr>
          <w:rFonts w:hint="default" w:ascii="Times New Roman" w:hAnsi="Times New Roman" w:cs="Times New Roman" w:eastAsiaTheme="minorEastAsia"/>
          <w:sz w:val="24"/>
          <w:lang w:val="en-US" w:eastAsia="zh-CN"/>
        </w:rPr>
        <w:t>4</w:t>
      </w:r>
      <w:r>
        <w:rPr>
          <w:rFonts w:hint="eastAsia" w:ascii="Times New Roman" w:hAnsi="Times New Roman" w:cs="Times New Roman" w:eastAsiaTheme="minorEastAsia"/>
          <w:sz w:val="24"/>
          <w:lang w:val="en-US" w:eastAsia="zh-CN"/>
        </w:rPr>
        <w:t>月开始试运行。现有项目总投资</w:t>
      </w:r>
      <w:r>
        <w:rPr>
          <w:rFonts w:hint="default" w:ascii="Times New Roman" w:hAnsi="Times New Roman" w:cs="Times New Roman" w:eastAsiaTheme="minorEastAsia"/>
          <w:sz w:val="24"/>
          <w:lang w:val="en-US" w:eastAsia="zh-CN"/>
        </w:rPr>
        <w:t>1800</w:t>
      </w:r>
      <w:r>
        <w:rPr>
          <w:rFonts w:hint="eastAsia" w:ascii="Times New Roman" w:hAnsi="Times New Roman" w:cs="Times New Roman" w:eastAsiaTheme="minorEastAsia"/>
          <w:sz w:val="24"/>
          <w:lang w:val="en-US" w:eastAsia="zh-CN"/>
        </w:rPr>
        <w:t>万元，其中环保投资</w:t>
      </w:r>
      <w:r>
        <w:rPr>
          <w:rFonts w:hint="default" w:ascii="Times New Roman" w:hAnsi="Times New Roman" w:cs="Times New Roman" w:eastAsiaTheme="minorEastAsia"/>
          <w:sz w:val="24"/>
          <w:lang w:val="en-US" w:eastAsia="zh-CN"/>
        </w:rPr>
        <w:t>100</w:t>
      </w:r>
      <w:r>
        <w:rPr>
          <w:rFonts w:hint="eastAsia" w:ascii="Times New Roman" w:hAnsi="Times New Roman" w:cs="Times New Roman" w:eastAsiaTheme="minorEastAsia"/>
          <w:sz w:val="24"/>
          <w:lang w:val="en-US" w:eastAsia="zh-CN"/>
        </w:rPr>
        <w:t>万元，占总投资的</w:t>
      </w:r>
      <w:r>
        <w:rPr>
          <w:rFonts w:hint="default" w:ascii="Times New Roman" w:hAnsi="Times New Roman" w:cs="Times New Roman" w:eastAsiaTheme="minorEastAsia"/>
          <w:sz w:val="24"/>
          <w:lang w:val="en-US" w:eastAsia="zh-CN"/>
        </w:rPr>
        <w:t>5.5%</w:t>
      </w:r>
      <w:r>
        <w:rPr>
          <w:rFonts w:hint="eastAsia" w:ascii="Times New Roman" w:hAnsi="Times New Roman" w:cs="Times New Roman" w:eastAsiaTheme="minorEastAsia"/>
          <w:sz w:val="24"/>
          <w:lang w:val="en-US" w:eastAsia="zh-CN"/>
        </w:rPr>
        <w:t>。</w:t>
      </w:r>
    </w:p>
    <w:p w14:paraId="40566AD3">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根据国家《建设项目环境保护管理条例》中有关规定和《中华人民共和国环境影响评价法》的要求，莎车县海纳环保科技开发有限公司于</w:t>
      </w:r>
      <w:r>
        <w:rPr>
          <w:rFonts w:hint="default" w:ascii="Times New Roman" w:hAnsi="Times New Roman" w:cs="Times New Roman" w:eastAsiaTheme="minorEastAsia"/>
          <w:sz w:val="24"/>
          <w:lang w:val="en-US" w:eastAsia="zh-CN"/>
        </w:rPr>
        <w:t>2016</w:t>
      </w:r>
      <w:r>
        <w:rPr>
          <w:rFonts w:hint="eastAsia" w:ascii="Times New Roman" w:hAnsi="Times New Roman" w:cs="Times New Roman" w:eastAsiaTheme="minorEastAsia"/>
          <w:sz w:val="24"/>
          <w:lang w:val="en-US" w:eastAsia="zh-CN"/>
        </w:rPr>
        <w:t>年</w:t>
      </w:r>
      <w:r>
        <w:rPr>
          <w:rFonts w:hint="default" w:ascii="Times New Roman" w:hAnsi="Times New Roman" w:cs="Times New Roman" w:eastAsiaTheme="minorEastAsia"/>
          <w:sz w:val="24"/>
          <w:lang w:val="en-US" w:eastAsia="zh-CN"/>
        </w:rPr>
        <w:t>6</w:t>
      </w:r>
      <w:r>
        <w:rPr>
          <w:rFonts w:hint="eastAsia" w:ascii="Times New Roman" w:hAnsi="Times New Roman" w:cs="Times New Roman" w:eastAsiaTheme="minorEastAsia"/>
          <w:sz w:val="24"/>
          <w:lang w:val="en-US" w:eastAsia="zh-CN"/>
        </w:rPr>
        <w:t>月委托深圳市市政设计研究院有限公司对现有项目进行了环境影响评价，编制了现有项目环境影响报告书。</w:t>
      </w:r>
      <w:r>
        <w:rPr>
          <w:rFonts w:hint="default" w:ascii="Times New Roman" w:hAnsi="Times New Roman" w:cs="Times New Roman" w:eastAsiaTheme="minorEastAsia"/>
          <w:sz w:val="24"/>
          <w:lang w:val="en-US" w:eastAsia="zh-CN"/>
        </w:rPr>
        <w:t>2017</w:t>
      </w:r>
      <w:r>
        <w:rPr>
          <w:rFonts w:hint="eastAsia" w:ascii="Times New Roman" w:hAnsi="Times New Roman" w:cs="Times New Roman" w:eastAsiaTheme="minorEastAsia"/>
          <w:sz w:val="24"/>
          <w:lang w:val="en-US" w:eastAsia="zh-CN"/>
        </w:rPr>
        <w:t>年</w:t>
      </w:r>
      <w:r>
        <w:rPr>
          <w:rFonts w:hint="default" w:ascii="Times New Roman" w:hAnsi="Times New Roman" w:cs="Times New Roman" w:eastAsiaTheme="minorEastAsia"/>
          <w:sz w:val="24"/>
          <w:lang w:val="en-US" w:eastAsia="zh-CN"/>
        </w:rPr>
        <w:t>1</w:t>
      </w:r>
      <w:r>
        <w:rPr>
          <w:rFonts w:hint="eastAsia" w:ascii="Times New Roman" w:hAnsi="Times New Roman" w:cs="Times New Roman" w:eastAsiaTheme="minorEastAsia"/>
          <w:sz w:val="24"/>
          <w:lang w:val="en-US" w:eastAsia="zh-CN"/>
        </w:rPr>
        <w:t>月，原新疆维吾尔自治区环境保护厅以《关于莎车县医疗废物处置中心项目环境影响报告书的批复》（新环函〔</w:t>
      </w:r>
      <w:r>
        <w:rPr>
          <w:rFonts w:hint="default" w:ascii="Times New Roman" w:hAnsi="Times New Roman" w:cs="Times New Roman" w:eastAsiaTheme="minorEastAsia"/>
          <w:sz w:val="24"/>
          <w:lang w:val="en-US" w:eastAsia="zh-CN"/>
        </w:rPr>
        <w:t>2017</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83</w:t>
      </w:r>
      <w:r>
        <w:rPr>
          <w:rFonts w:hint="eastAsia" w:ascii="Times New Roman" w:hAnsi="Times New Roman" w:cs="Times New Roman" w:eastAsiaTheme="minorEastAsia"/>
          <w:sz w:val="24"/>
          <w:lang w:val="en-US" w:eastAsia="zh-CN"/>
        </w:rPr>
        <w:t>号）对该报告书进行了批复。</w:t>
      </w:r>
    </w:p>
    <w:p w14:paraId="5AEF1253">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莎车县海纳环保科技有限公司</w:t>
      </w:r>
      <w:r>
        <w:rPr>
          <w:rFonts w:hint="eastAsia" w:ascii="Times New Roman" w:hAnsi="Times New Roman" w:cs="Times New Roman"/>
          <w:sz w:val="24"/>
          <w:lang w:val="en-US" w:eastAsia="zh-CN"/>
        </w:rPr>
        <w:t>现有工程</w:t>
      </w:r>
      <w:r>
        <w:rPr>
          <w:rFonts w:hint="default" w:ascii="Times New Roman" w:hAnsi="Times New Roman" w:cs="Times New Roman" w:eastAsiaTheme="minorEastAsia"/>
          <w:sz w:val="24"/>
          <w:lang w:val="en-US" w:eastAsia="zh-CN"/>
        </w:rPr>
        <w:t>已取得医疗废物经营许可证，编号：YF653126002；核准经营方式：收集、贮存、处置；主要处置工艺：高温蒸汽消毒；危险废物类别：医疗废物（HW01[841-001-01,841-002-01]）；核准经营规模：5吨/日；初次发证日期为2018年7月23日，现有有效期限：自2023年7月23日至2028年7月22日。</w:t>
      </w:r>
    </w:p>
    <w:p w14:paraId="35593FE5">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highlight w:val="none"/>
          <w:lang w:val="en-US" w:eastAsia="zh-CN"/>
        </w:rPr>
        <w:t>莎车县海纳环保科技开发有限公司于</w:t>
      </w:r>
      <w:r>
        <w:rPr>
          <w:rFonts w:hint="default" w:ascii="Times New Roman" w:hAnsi="Times New Roman" w:cs="Times New Roman" w:eastAsiaTheme="minorEastAsia"/>
          <w:sz w:val="24"/>
          <w:highlight w:val="none"/>
          <w:lang w:val="en-US" w:eastAsia="zh-CN"/>
        </w:rPr>
        <w:t>2020</w:t>
      </w:r>
      <w:r>
        <w:rPr>
          <w:rFonts w:hint="eastAsia" w:ascii="Times New Roman" w:hAnsi="Times New Roman" w:cs="Times New Roman" w:eastAsiaTheme="minorEastAsia"/>
          <w:sz w:val="24"/>
          <w:highlight w:val="none"/>
          <w:lang w:val="en-US" w:eastAsia="zh-CN"/>
        </w:rPr>
        <w:t>年</w:t>
      </w:r>
      <w:r>
        <w:rPr>
          <w:rFonts w:hint="default" w:ascii="Times New Roman" w:hAnsi="Times New Roman" w:cs="Times New Roman" w:eastAsiaTheme="minorEastAsia"/>
          <w:sz w:val="24"/>
          <w:highlight w:val="none"/>
          <w:lang w:val="en-US" w:eastAsia="zh-CN"/>
        </w:rPr>
        <w:t>4</w:t>
      </w:r>
      <w:r>
        <w:rPr>
          <w:rFonts w:hint="eastAsia" w:ascii="Times New Roman" w:hAnsi="Times New Roman" w:cs="Times New Roman" w:eastAsiaTheme="minorEastAsia"/>
          <w:sz w:val="24"/>
          <w:highlight w:val="none"/>
          <w:lang w:val="en-US" w:eastAsia="zh-CN"/>
        </w:rPr>
        <w:t>月办理了排污许可证，</w:t>
      </w:r>
      <w:r>
        <w:rPr>
          <w:rFonts w:hint="eastAsia" w:ascii="Times New Roman" w:hAnsi="Times New Roman" w:cs="Times New Roman"/>
          <w:sz w:val="24"/>
          <w:highlight w:val="none"/>
          <w:lang w:val="en-US" w:eastAsia="zh-CN"/>
        </w:rPr>
        <w:t>属于重点管理，</w:t>
      </w:r>
      <w:r>
        <w:rPr>
          <w:rFonts w:hint="eastAsia" w:ascii="Times New Roman" w:hAnsi="Times New Roman" w:cs="Times New Roman" w:eastAsiaTheme="minorEastAsia"/>
          <w:sz w:val="24"/>
          <w:highlight w:val="none"/>
          <w:lang w:val="en-US" w:eastAsia="zh-CN"/>
        </w:rPr>
        <w:t>证书编号：</w:t>
      </w:r>
      <w:r>
        <w:rPr>
          <w:rFonts w:hint="default" w:ascii="Times New Roman" w:hAnsi="Times New Roman" w:cs="Times New Roman" w:eastAsiaTheme="minorEastAsia"/>
          <w:sz w:val="24"/>
          <w:highlight w:val="none"/>
          <w:lang w:val="en-US" w:eastAsia="zh-CN"/>
        </w:rPr>
        <w:t>91653125MA7768RB2A001V</w:t>
      </w:r>
      <w:r>
        <w:rPr>
          <w:rFonts w:hint="eastAsia" w:ascii="Times New Roman" w:hAnsi="Times New Roman" w:cs="Times New Roman" w:eastAsiaTheme="minorEastAsia"/>
          <w:sz w:val="24"/>
          <w:highlight w:val="none"/>
          <w:lang w:val="en-US" w:eastAsia="zh-CN"/>
        </w:rPr>
        <w:t>；有效期限自</w:t>
      </w:r>
      <w:r>
        <w:rPr>
          <w:rFonts w:hint="default" w:ascii="Times New Roman" w:hAnsi="Times New Roman" w:cs="Times New Roman" w:eastAsiaTheme="minorEastAsia"/>
          <w:sz w:val="24"/>
          <w:highlight w:val="none"/>
          <w:lang w:val="en-US" w:eastAsia="zh-CN"/>
        </w:rPr>
        <w:t>2020</w:t>
      </w:r>
      <w:r>
        <w:rPr>
          <w:rFonts w:hint="eastAsia" w:ascii="Times New Roman" w:hAnsi="Times New Roman" w:cs="Times New Roman" w:eastAsiaTheme="minorEastAsia"/>
          <w:sz w:val="24"/>
          <w:highlight w:val="none"/>
          <w:lang w:val="en-US" w:eastAsia="zh-CN"/>
        </w:rPr>
        <w:t>年</w:t>
      </w:r>
      <w:r>
        <w:rPr>
          <w:rFonts w:hint="default" w:ascii="Times New Roman" w:hAnsi="Times New Roman" w:cs="Times New Roman" w:eastAsiaTheme="minorEastAsia"/>
          <w:sz w:val="24"/>
          <w:highlight w:val="none"/>
          <w:lang w:val="en-US" w:eastAsia="zh-CN"/>
        </w:rPr>
        <w:t>4</w:t>
      </w:r>
      <w:r>
        <w:rPr>
          <w:rFonts w:hint="eastAsia" w:ascii="Times New Roman" w:hAnsi="Times New Roman" w:cs="Times New Roman" w:eastAsiaTheme="minorEastAsia"/>
          <w:sz w:val="24"/>
          <w:highlight w:val="none"/>
          <w:lang w:val="en-US" w:eastAsia="zh-CN"/>
        </w:rPr>
        <w:t>月</w:t>
      </w:r>
      <w:r>
        <w:rPr>
          <w:rFonts w:hint="default" w:ascii="Times New Roman" w:hAnsi="Times New Roman" w:cs="Times New Roman" w:eastAsiaTheme="minorEastAsia"/>
          <w:sz w:val="24"/>
          <w:highlight w:val="none"/>
          <w:lang w:val="en-US" w:eastAsia="zh-CN"/>
        </w:rPr>
        <w:t>14</w:t>
      </w:r>
      <w:r>
        <w:rPr>
          <w:rFonts w:hint="eastAsia" w:ascii="Times New Roman" w:hAnsi="Times New Roman" w:cs="Times New Roman" w:eastAsiaTheme="minorEastAsia"/>
          <w:sz w:val="24"/>
          <w:highlight w:val="none"/>
          <w:lang w:val="en-US" w:eastAsia="zh-CN"/>
        </w:rPr>
        <w:t>日至</w:t>
      </w:r>
      <w:r>
        <w:rPr>
          <w:rFonts w:hint="default" w:ascii="Times New Roman" w:hAnsi="Times New Roman" w:cs="Times New Roman" w:eastAsiaTheme="minorEastAsia"/>
          <w:sz w:val="24"/>
          <w:highlight w:val="none"/>
          <w:lang w:val="en-US" w:eastAsia="zh-CN"/>
        </w:rPr>
        <w:t>2025</w:t>
      </w:r>
      <w:r>
        <w:rPr>
          <w:rFonts w:hint="eastAsia" w:ascii="Times New Roman" w:hAnsi="Times New Roman" w:cs="Times New Roman" w:eastAsiaTheme="minorEastAsia"/>
          <w:sz w:val="24"/>
          <w:highlight w:val="none"/>
          <w:lang w:val="en-US" w:eastAsia="zh-CN"/>
        </w:rPr>
        <w:t>年</w:t>
      </w:r>
      <w:r>
        <w:rPr>
          <w:rFonts w:hint="default" w:ascii="Times New Roman" w:hAnsi="Times New Roman" w:cs="Times New Roman" w:eastAsiaTheme="minorEastAsia"/>
          <w:sz w:val="24"/>
          <w:highlight w:val="none"/>
          <w:lang w:val="en-US" w:eastAsia="zh-CN"/>
        </w:rPr>
        <w:t>4</w:t>
      </w:r>
      <w:r>
        <w:rPr>
          <w:rFonts w:hint="eastAsia" w:ascii="Times New Roman" w:hAnsi="Times New Roman" w:cs="Times New Roman" w:eastAsiaTheme="minorEastAsia"/>
          <w:sz w:val="24"/>
          <w:highlight w:val="none"/>
          <w:lang w:val="en-US" w:eastAsia="zh-CN"/>
        </w:rPr>
        <w:t>月</w:t>
      </w:r>
      <w:r>
        <w:rPr>
          <w:rFonts w:hint="default" w:ascii="Times New Roman" w:hAnsi="Times New Roman" w:cs="Times New Roman" w:eastAsiaTheme="minorEastAsia"/>
          <w:sz w:val="24"/>
          <w:highlight w:val="none"/>
          <w:lang w:val="en-US" w:eastAsia="zh-CN"/>
        </w:rPr>
        <w:t>13</w:t>
      </w:r>
      <w:r>
        <w:rPr>
          <w:rFonts w:hint="eastAsia" w:ascii="Times New Roman" w:hAnsi="Times New Roman" w:cs="Times New Roman" w:eastAsiaTheme="minorEastAsia"/>
          <w:sz w:val="24"/>
          <w:highlight w:val="none"/>
          <w:lang w:val="en-US" w:eastAsia="zh-CN"/>
        </w:rPr>
        <w:t>日止。2025年4月11日，莎车县海纳环保科技开发有限公司对排污许可证进行了延续，有效期自2025年4月14日至2030年4月14日。</w:t>
      </w:r>
    </w:p>
    <w:p w14:paraId="0667C6AA">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该项目建成后，莎车县海纳环保科技开发有限公司委托新疆腾龙环境监测有限公司承担了该项目工程的竣工环境保护验收监测工作，编制了现有项目的验收监测报告。</w:t>
      </w:r>
      <w:r>
        <w:rPr>
          <w:rFonts w:hint="default" w:ascii="Times New Roman" w:hAnsi="Times New Roman" w:cs="Times New Roman" w:eastAsiaTheme="minorEastAsia"/>
          <w:sz w:val="24"/>
          <w:lang w:val="en-US" w:eastAsia="zh-CN"/>
        </w:rPr>
        <w:t>2017</w:t>
      </w:r>
      <w:r>
        <w:rPr>
          <w:rFonts w:hint="eastAsia" w:ascii="Times New Roman" w:hAnsi="Times New Roman" w:cs="Times New Roman" w:eastAsiaTheme="minorEastAsia"/>
          <w:sz w:val="24"/>
          <w:lang w:val="en-US" w:eastAsia="zh-CN"/>
        </w:rPr>
        <w:t>年</w:t>
      </w:r>
      <w:r>
        <w:rPr>
          <w:rFonts w:hint="default" w:ascii="Times New Roman" w:hAnsi="Times New Roman" w:cs="Times New Roman" w:eastAsiaTheme="minorEastAsia"/>
          <w:sz w:val="24"/>
          <w:lang w:val="en-US" w:eastAsia="zh-CN"/>
        </w:rPr>
        <w:t>10</w:t>
      </w:r>
      <w:r>
        <w:rPr>
          <w:rFonts w:hint="eastAsia" w:ascii="Times New Roman" w:hAnsi="Times New Roman" w:cs="Times New Roman" w:eastAsiaTheme="minorEastAsia"/>
          <w:sz w:val="24"/>
          <w:lang w:val="en-US" w:eastAsia="zh-CN"/>
        </w:rPr>
        <w:t>月，原新疆维吾尔自治区环境保护厅以《关于莎车县医疗废物处置中心建设项目竣工环境保护验收合格的函》（新环函〔</w:t>
      </w:r>
      <w:r>
        <w:rPr>
          <w:rFonts w:hint="default" w:ascii="Times New Roman" w:hAnsi="Times New Roman" w:cs="Times New Roman" w:eastAsiaTheme="minorEastAsia"/>
          <w:sz w:val="24"/>
          <w:lang w:val="en-US" w:eastAsia="zh-CN"/>
        </w:rPr>
        <w:t>2017</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1717</w:t>
      </w:r>
      <w:r>
        <w:rPr>
          <w:rFonts w:hint="eastAsia" w:ascii="Times New Roman" w:hAnsi="Times New Roman" w:cs="Times New Roman" w:eastAsiaTheme="minorEastAsia"/>
          <w:sz w:val="24"/>
          <w:lang w:val="en-US" w:eastAsia="zh-CN"/>
        </w:rPr>
        <w:t>号）同意现有项目通过竣工环境保护验收。</w:t>
      </w:r>
    </w:p>
    <w:p w14:paraId="71DDD1B7">
      <w:pPr>
        <w:adjustRightInd w:val="0"/>
        <w:snapToGrid w:val="0"/>
        <w:spacing w:line="500" w:lineRule="exact"/>
        <w:jc w:val="left"/>
        <w:rPr>
          <w:rFonts w:hint="eastAsia" w:ascii="Times New Roman" w:hAnsi="Times New Roman" w:cs="Times New Roman" w:eastAsiaTheme="minorEastAsia"/>
          <w:b/>
          <w:bCs/>
          <w:sz w:val="24"/>
          <w:highlight w:val="none"/>
          <w:lang w:val="en-US" w:eastAsia="zh-CN"/>
        </w:rPr>
      </w:pPr>
      <w:r>
        <w:rPr>
          <w:rFonts w:hint="eastAsia" w:ascii="Times New Roman" w:hAnsi="Times New Roman" w:cs="Times New Roman" w:eastAsiaTheme="minorEastAsia"/>
          <w:b/>
          <w:bCs/>
          <w:sz w:val="24"/>
          <w:highlight w:val="none"/>
          <w:lang w:val="en-US" w:eastAsia="zh-CN"/>
        </w:rPr>
        <w:t>3.1.1.1现有项目建设情况</w:t>
      </w:r>
    </w:p>
    <w:p w14:paraId="4123E40E">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现有项目的建设内容包括医疗废物收集、运输、贮存系统，高温蒸汽灭菌处理系统、破碎单元和压缩单元，废气、废水和固废处理单元、自动控制单元、蒸汽供给单元及其他公用配套设施。</w:t>
      </w:r>
    </w:p>
    <w:p w14:paraId="2EA8592B">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现有项目主要建设内容详见表</w:t>
      </w:r>
      <w:r>
        <w:rPr>
          <w:rFonts w:hint="default" w:ascii="Times New Roman" w:hAnsi="Times New Roman" w:cs="Times New Roman" w:eastAsiaTheme="minorEastAsia"/>
          <w:sz w:val="24"/>
          <w:lang w:val="en-US" w:eastAsia="zh-CN"/>
        </w:rPr>
        <w:t>3.1-1</w:t>
      </w:r>
      <w:r>
        <w:rPr>
          <w:rFonts w:hint="eastAsia" w:ascii="Times New Roman" w:hAnsi="Times New Roman" w:cs="Times New Roman" w:eastAsiaTheme="minorEastAsia"/>
          <w:sz w:val="24"/>
          <w:lang w:val="en-US" w:eastAsia="zh-CN"/>
        </w:rPr>
        <w:t>。</w:t>
      </w:r>
    </w:p>
    <w:p w14:paraId="4D2E6563">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表3.1-1  现有项目建设内容一览表</w:t>
      </w:r>
    </w:p>
    <w:tbl>
      <w:tblPr>
        <w:tblStyle w:val="1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1716"/>
        <w:gridCol w:w="6072"/>
      </w:tblGrid>
      <w:tr w14:paraId="385D1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Align w:val="center"/>
          </w:tcPr>
          <w:p w14:paraId="5AE218B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类别</w:t>
            </w:r>
          </w:p>
        </w:tc>
        <w:tc>
          <w:tcPr>
            <w:tcW w:w="1716" w:type="dxa"/>
            <w:vAlign w:val="center"/>
          </w:tcPr>
          <w:p w14:paraId="782DE59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项目名称</w:t>
            </w:r>
          </w:p>
        </w:tc>
        <w:tc>
          <w:tcPr>
            <w:tcW w:w="6072" w:type="dxa"/>
            <w:vAlign w:val="center"/>
          </w:tcPr>
          <w:p w14:paraId="61DE96D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建设内容</w:t>
            </w:r>
          </w:p>
        </w:tc>
      </w:tr>
      <w:tr w14:paraId="00B16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Align w:val="center"/>
          </w:tcPr>
          <w:p w14:paraId="3F21BAF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主体工程</w:t>
            </w:r>
          </w:p>
        </w:tc>
        <w:tc>
          <w:tcPr>
            <w:tcW w:w="1716" w:type="dxa"/>
            <w:vAlign w:val="center"/>
          </w:tcPr>
          <w:p w14:paraId="1FE14F8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处置车间</w:t>
            </w:r>
          </w:p>
        </w:tc>
        <w:tc>
          <w:tcPr>
            <w:tcW w:w="6072" w:type="dxa"/>
            <w:vAlign w:val="center"/>
          </w:tcPr>
          <w:p w14:paraId="7039FDE0">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建筑面积</w:t>
            </w:r>
            <w:r>
              <w:rPr>
                <w:rFonts w:hint="default" w:ascii="Times New Roman" w:hAnsi="Times New Roman" w:cs="Times New Roman" w:eastAsiaTheme="minorEastAsia"/>
                <w:szCs w:val="21"/>
                <w:lang w:val="en-US" w:eastAsia="zh-CN"/>
              </w:rPr>
              <w:t>560m</w:t>
            </w:r>
            <w:r>
              <w:rPr>
                <w:rFonts w:hint="eastAsia" w:ascii="Times New Roman" w:hAnsi="Times New Roman" w:cs="Times New Roman" w:eastAsiaTheme="minorEastAsia"/>
                <w:szCs w:val="21"/>
                <w:vertAlign w:val="superscript"/>
                <w:lang w:val="en-US" w:eastAsia="zh-CN"/>
              </w:rPr>
              <w:t>2</w:t>
            </w:r>
            <w:r>
              <w:rPr>
                <w:rFonts w:hint="eastAsia" w:ascii="Times New Roman" w:hAnsi="Times New Roman" w:cs="Times New Roman" w:eastAsiaTheme="minorEastAsia"/>
                <w:szCs w:val="21"/>
                <w:lang w:val="en-US" w:eastAsia="zh-CN"/>
              </w:rPr>
              <w:t>，为一层结构；包含高温灭菌消毒处置区和破碎加工区。配置有高温灭菌消毒一套，破碎加工设备一套。</w:t>
            </w:r>
          </w:p>
        </w:tc>
      </w:tr>
      <w:tr w14:paraId="680D2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Merge w:val="restart"/>
            <w:vAlign w:val="center"/>
          </w:tcPr>
          <w:p w14:paraId="676556D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储运工程</w:t>
            </w:r>
          </w:p>
        </w:tc>
        <w:tc>
          <w:tcPr>
            <w:tcW w:w="1716" w:type="dxa"/>
            <w:vAlign w:val="center"/>
          </w:tcPr>
          <w:p w14:paraId="04B4C2F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运输</w:t>
            </w:r>
          </w:p>
        </w:tc>
        <w:tc>
          <w:tcPr>
            <w:tcW w:w="6072" w:type="dxa"/>
            <w:vAlign w:val="center"/>
          </w:tcPr>
          <w:p w14:paraId="5D8FD14A">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已配置了</w:t>
            </w:r>
            <w:r>
              <w:rPr>
                <w:rFonts w:hint="default" w:ascii="Times New Roman" w:hAnsi="Times New Roman" w:cs="Times New Roman" w:eastAsiaTheme="minorEastAsia"/>
                <w:szCs w:val="21"/>
                <w:lang w:val="en-US" w:eastAsia="zh-CN"/>
              </w:rPr>
              <w:t>4</w:t>
            </w:r>
            <w:r>
              <w:rPr>
                <w:rFonts w:hint="eastAsia" w:ascii="Times New Roman" w:hAnsi="Times New Roman" w:cs="Times New Roman" w:eastAsiaTheme="minorEastAsia"/>
                <w:szCs w:val="21"/>
                <w:lang w:val="en-US" w:eastAsia="zh-CN"/>
              </w:rPr>
              <w:t>辆医疗废物运输车。</w:t>
            </w:r>
          </w:p>
        </w:tc>
      </w:tr>
      <w:tr w14:paraId="3E709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Merge w:val="continue"/>
            <w:vAlign w:val="center"/>
          </w:tcPr>
          <w:p w14:paraId="69A801B4">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716" w:type="dxa"/>
            <w:vAlign w:val="center"/>
          </w:tcPr>
          <w:p w14:paraId="67404AB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冷藏库</w:t>
            </w:r>
            <w:r>
              <w:rPr>
                <w:rFonts w:hint="eastAsia" w:ascii="Times New Roman" w:hAnsi="Times New Roman" w:cs="Times New Roman"/>
                <w:szCs w:val="21"/>
                <w:lang w:val="en-US" w:eastAsia="zh-CN"/>
              </w:rPr>
              <w:t>（医废暂存库）</w:t>
            </w:r>
          </w:p>
        </w:tc>
        <w:tc>
          <w:tcPr>
            <w:tcW w:w="6072" w:type="dxa"/>
            <w:vAlign w:val="center"/>
          </w:tcPr>
          <w:p w14:paraId="1016C82A">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已建有冷藏库</w:t>
            </w:r>
            <w:r>
              <w:rPr>
                <w:rFonts w:hint="eastAsia" w:ascii="Times New Roman" w:hAnsi="Times New Roman" w:cs="Times New Roman"/>
                <w:szCs w:val="21"/>
                <w:lang w:val="en-US" w:eastAsia="zh-CN"/>
              </w:rPr>
              <w:t>（医废暂存库）</w:t>
            </w:r>
            <w:r>
              <w:rPr>
                <w:rFonts w:hint="eastAsia" w:ascii="Times New Roman" w:hAnsi="Times New Roman" w:cs="Times New Roman" w:eastAsiaTheme="minorEastAsia"/>
                <w:szCs w:val="21"/>
                <w:lang w:val="en-US" w:eastAsia="zh-CN"/>
              </w:rPr>
              <w:t>一套，容积为</w:t>
            </w:r>
            <w:r>
              <w:rPr>
                <w:rFonts w:hint="default" w:ascii="Times New Roman" w:hAnsi="Times New Roman" w:cs="Times New Roman" w:eastAsiaTheme="minorEastAsia"/>
                <w:szCs w:val="21"/>
                <w:lang w:val="en-US" w:eastAsia="zh-CN"/>
              </w:rPr>
              <w:t>35m</w:t>
            </w:r>
            <w:r>
              <w:rPr>
                <w:rFonts w:hint="eastAsia" w:ascii="Times New Roman" w:hAnsi="Times New Roman" w:cs="Times New Roman" w:eastAsiaTheme="minorEastAsia"/>
                <w:szCs w:val="21"/>
                <w:vertAlign w:val="superscript"/>
                <w:lang w:val="en-US" w:eastAsia="zh-CN"/>
              </w:rPr>
              <w:t>3</w:t>
            </w:r>
            <w:r>
              <w:rPr>
                <w:rFonts w:hint="eastAsia" w:ascii="Times New Roman" w:hAnsi="Times New Roman" w:cs="Times New Roman" w:eastAsiaTheme="minorEastAsia"/>
                <w:szCs w:val="21"/>
                <w:lang w:val="en-US" w:eastAsia="zh-CN"/>
              </w:rPr>
              <w:t>。</w:t>
            </w:r>
          </w:p>
        </w:tc>
      </w:tr>
      <w:tr w14:paraId="29EE2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Merge w:val="restart"/>
            <w:vAlign w:val="center"/>
          </w:tcPr>
          <w:p w14:paraId="7D63CD1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辅助工程</w:t>
            </w:r>
          </w:p>
        </w:tc>
        <w:tc>
          <w:tcPr>
            <w:tcW w:w="1716" w:type="dxa"/>
            <w:shd w:val="clear" w:color="auto" w:fill="auto"/>
            <w:vAlign w:val="center"/>
          </w:tcPr>
          <w:p w14:paraId="0D5339A1">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周转箱自动清洗消毒系统</w:t>
            </w:r>
          </w:p>
        </w:tc>
        <w:tc>
          <w:tcPr>
            <w:tcW w:w="6072" w:type="dxa"/>
            <w:shd w:val="clear" w:color="auto" w:fill="auto"/>
            <w:vAlign w:val="center"/>
          </w:tcPr>
          <w:p w14:paraId="0EB993F4">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周转箱自动清洗消毒系统占地面积</w:t>
            </w:r>
            <w:r>
              <w:rPr>
                <w:rFonts w:hint="default" w:ascii="Times New Roman" w:hAnsi="Times New Roman" w:cs="Times New Roman" w:eastAsiaTheme="minorEastAsia"/>
                <w:szCs w:val="21"/>
                <w:lang w:val="en-US" w:eastAsia="zh-CN"/>
              </w:rPr>
              <w:t>10m</w:t>
            </w:r>
            <w:r>
              <w:rPr>
                <w:rFonts w:hint="eastAsia" w:ascii="Times New Roman" w:hAnsi="Times New Roman" w:cs="Times New Roman" w:eastAsiaTheme="minorEastAsia"/>
                <w:szCs w:val="21"/>
                <w:vertAlign w:val="superscript"/>
                <w:lang w:val="en-US" w:eastAsia="zh-CN"/>
              </w:rPr>
              <w:t>2</w:t>
            </w:r>
            <w:r>
              <w:rPr>
                <w:rFonts w:hint="eastAsia" w:ascii="Times New Roman" w:hAnsi="Times New Roman" w:cs="Times New Roman" w:eastAsiaTheme="minorEastAsia"/>
                <w:szCs w:val="21"/>
                <w:lang w:val="en-US" w:eastAsia="zh-CN"/>
              </w:rPr>
              <w:t>，每小时可以自动清洗消毒周转箱约</w:t>
            </w:r>
            <w:r>
              <w:rPr>
                <w:rFonts w:hint="default" w:ascii="Times New Roman" w:hAnsi="Times New Roman" w:cs="Times New Roman" w:eastAsiaTheme="minorEastAsia"/>
                <w:szCs w:val="21"/>
                <w:lang w:val="en-US" w:eastAsia="zh-CN"/>
              </w:rPr>
              <w:t>60</w:t>
            </w:r>
            <w:r>
              <w:rPr>
                <w:rFonts w:hint="eastAsia" w:ascii="Times New Roman" w:hAnsi="Times New Roman" w:cs="Times New Roman" w:eastAsiaTheme="minorEastAsia"/>
                <w:szCs w:val="21"/>
                <w:lang w:val="en-US" w:eastAsia="zh-CN"/>
              </w:rPr>
              <w:t>只。</w:t>
            </w:r>
          </w:p>
        </w:tc>
      </w:tr>
      <w:tr w14:paraId="78C48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Merge w:val="continue"/>
            <w:vAlign w:val="center"/>
          </w:tcPr>
          <w:p w14:paraId="0FD6765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716" w:type="dxa"/>
            <w:vAlign w:val="center"/>
          </w:tcPr>
          <w:p w14:paraId="269C876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车辆消毒间</w:t>
            </w:r>
          </w:p>
        </w:tc>
        <w:tc>
          <w:tcPr>
            <w:tcW w:w="6072" w:type="dxa"/>
            <w:vAlign w:val="center"/>
          </w:tcPr>
          <w:p w14:paraId="6384E07B">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建筑面积约</w:t>
            </w:r>
            <w:r>
              <w:rPr>
                <w:rFonts w:hint="default" w:ascii="Times New Roman" w:hAnsi="Times New Roman" w:cs="Times New Roman" w:eastAsiaTheme="minorEastAsia"/>
                <w:szCs w:val="21"/>
                <w:lang w:val="en-US" w:eastAsia="zh-CN"/>
              </w:rPr>
              <w:t>240m</w:t>
            </w:r>
            <w:r>
              <w:rPr>
                <w:rFonts w:hint="eastAsia" w:ascii="Times New Roman" w:hAnsi="Times New Roman" w:cs="Times New Roman" w:eastAsiaTheme="minorEastAsia"/>
                <w:szCs w:val="21"/>
                <w:vertAlign w:val="superscript"/>
                <w:lang w:val="en-US" w:eastAsia="zh-CN"/>
              </w:rPr>
              <w:t>2</w:t>
            </w:r>
            <w:r>
              <w:rPr>
                <w:rFonts w:hint="eastAsia" w:ascii="Times New Roman" w:hAnsi="Times New Roman" w:cs="Times New Roman" w:eastAsiaTheme="minorEastAsia"/>
                <w:szCs w:val="21"/>
                <w:lang w:val="en-US" w:eastAsia="zh-CN"/>
              </w:rPr>
              <w:t>，为一层结构。</w:t>
            </w:r>
          </w:p>
        </w:tc>
      </w:tr>
      <w:tr w14:paraId="62385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Merge w:val="continue"/>
            <w:vAlign w:val="center"/>
          </w:tcPr>
          <w:p w14:paraId="56CA08E9">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716" w:type="dxa"/>
            <w:vAlign w:val="center"/>
          </w:tcPr>
          <w:p w14:paraId="326A38B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自动称量地磅</w:t>
            </w:r>
          </w:p>
        </w:tc>
        <w:tc>
          <w:tcPr>
            <w:tcW w:w="6072" w:type="dxa"/>
            <w:vAlign w:val="center"/>
          </w:tcPr>
          <w:p w14:paraId="6864D67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已建有自动称量地磅一套。</w:t>
            </w:r>
          </w:p>
        </w:tc>
      </w:tr>
      <w:tr w14:paraId="1C0F9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Merge w:val="continue"/>
            <w:vAlign w:val="center"/>
          </w:tcPr>
          <w:p w14:paraId="462D2548">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716" w:type="dxa"/>
            <w:vAlign w:val="center"/>
          </w:tcPr>
          <w:p w14:paraId="4400536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办公室</w:t>
            </w:r>
          </w:p>
        </w:tc>
        <w:tc>
          <w:tcPr>
            <w:tcW w:w="6072" w:type="dxa"/>
            <w:vAlign w:val="center"/>
          </w:tcPr>
          <w:p w14:paraId="7420576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办公室位于厂区东南侧，建筑面积约</w:t>
            </w:r>
            <w:r>
              <w:rPr>
                <w:rFonts w:hint="default" w:ascii="Times New Roman" w:hAnsi="Times New Roman" w:cs="Times New Roman" w:eastAsiaTheme="minorEastAsia"/>
                <w:szCs w:val="21"/>
                <w:lang w:val="en-US" w:eastAsia="zh-CN"/>
              </w:rPr>
              <w:t>330m</w:t>
            </w:r>
            <w:r>
              <w:rPr>
                <w:rFonts w:hint="eastAsia" w:ascii="Times New Roman" w:hAnsi="Times New Roman" w:cs="Times New Roman" w:eastAsiaTheme="minorEastAsia"/>
                <w:szCs w:val="21"/>
                <w:vertAlign w:val="superscript"/>
                <w:lang w:val="en-US" w:eastAsia="zh-CN"/>
              </w:rPr>
              <w:t>2</w:t>
            </w:r>
            <w:r>
              <w:rPr>
                <w:rFonts w:hint="eastAsia" w:ascii="Times New Roman" w:hAnsi="Times New Roman" w:cs="Times New Roman" w:eastAsiaTheme="minorEastAsia"/>
                <w:szCs w:val="21"/>
                <w:lang w:val="en-US" w:eastAsia="zh-CN"/>
              </w:rPr>
              <w:t>。</w:t>
            </w:r>
          </w:p>
        </w:tc>
      </w:tr>
      <w:tr w14:paraId="2FF99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Merge w:val="continue"/>
            <w:vAlign w:val="center"/>
          </w:tcPr>
          <w:p w14:paraId="0DC3D9A4">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716" w:type="dxa"/>
            <w:vAlign w:val="center"/>
          </w:tcPr>
          <w:p w14:paraId="0723BF2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门卫室</w:t>
            </w:r>
          </w:p>
        </w:tc>
        <w:tc>
          <w:tcPr>
            <w:tcW w:w="6072" w:type="dxa"/>
            <w:vAlign w:val="center"/>
          </w:tcPr>
          <w:p w14:paraId="230CFF4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门卫室位于</w:t>
            </w:r>
            <w:r>
              <w:rPr>
                <w:rFonts w:hint="eastAsia" w:ascii="Times New Roman" w:hAnsi="Times New Roman" w:cs="Times New Roman"/>
                <w:szCs w:val="21"/>
                <w:lang w:val="en-US" w:eastAsia="zh-CN"/>
              </w:rPr>
              <w:t>临近</w:t>
            </w:r>
            <w:r>
              <w:rPr>
                <w:rFonts w:hint="eastAsia" w:ascii="Times New Roman" w:hAnsi="Times New Roman" w:cs="Times New Roman" w:eastAsiaTheme="minorEastAsia"/>
                <w:szCs w:val="21"/>
                <w:lang w:val="en-US" w:eastAsia="zh-CN"/>
              </w:rPr>
              <w:t>东侧恒昌路的一侧，门卫室的建筑面积约</w:t>
            </w:r>
            <w:r>
              <w:rPr>
                <w:rFonts w:hint="default" w:ascii="Times New Roman" w:hAnsi="Times New Roman" w:cs="Times New Roman" w:eastAsiaTheme="minorEastAsia"/>
                <w:szCs w:val="21"/>
                <w:lang w:val="en-US" w:eastAsia="zh-CN"/>
              </w:rPr>
              <w:t>45m</w:t>
            </w:r>
            <w:r>
              <w:rPr>
                <w:rFonts w:hint="eastAsia" w:ascii="Times New Roman" w:hAnsi="Times New Roman" w:cs="Times New Roman" w:eastAsiaTheme="minorEastAsia"/>
                <w:szCs w:val="21"/>
                <w:vertAlign w:val="superscript"/>
                <w:lang w:val="en-US" w:eastAsia="zh-CN"/>
              </w:rPr>
              <w:t>2</w:t>
            </w:r>
            <w:r>
              <w:rPr>
                <w:rFonts w:hint="eastAsia" w:ascii="Times New Roman" w:hAnsi="Times New Roman" w:cs="Times New Roman" w:eastAsiaTheme="minorEastAsia"/>
                <w:szCs w:val="21"/>
                <w:lang w:val="en-US" w:eastAsia="zh-CN"/>
              </w:rPr>
              <w:t>。</w:t>
            </w:r>
          </w:p>
        </w:tc>
      </w:tr>
      <w:tr w14:paraId="74A98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Merge w:val="continue"/>
            <w:vAlign w:val="center"/>
          </w:tcPr>
          <w:p w14:paraId="19229337">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716" w:type="dxa"/>
            <w:vAlign w:val="center"/>
          </w:tcPr>
          <w:p w14:paraId="01BC2A3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卫生间</w:t>
            </w:r>
          </w:p>
        </w:tc>
        <w:tc>
          <w:tcPr>
            <w:tcW w:w="6072" w:type="dxa"/>
            <w:vAlign w:val="center"/>
          </w:tcPr>
          <w:p w14:paraId="109BDF3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卫生间位于厂区东南侧，建筑面积约</w:t>
            </w:r>
            <w:r>
              <w:rPr>
                <w:rFonts w:hint="default" w:ascii="Times New Roman" w:hAnsi="Times New Roman" w:cs="Times New Roman" w:eastAsiaTheme="minorEastAsia"/>
                <w:szCs w:val="21"/>
                <w:lang w:val="en-US" w:eastAsia="zh-CN"/>
              </w:rPr>
              <w:t>12m</w:t>
            </w:r>
            <w:r>
              <w:rPr>
                <w:rFonts w:hint="eastAsia" w:ascii="Times New Roman" w:hAnsi="Times New Roman" w:cs="Times New Roman" w:eastAsiaTheme="minorEastAsia"/>
                <w:szCs w:val="21"/>
                <w:vertAlign w:val="superscript"/>
                <w:lang w:val="en-US" w:eastAsia="zh-CN"/>
              </w:rPr>
              <w:t>2</w:t>
            </w:r>
            <w:r>
              <w:rPr>
                <w:rFonts w:hint="eastAsia" w:ascii="Times New Roman" w:hAnsi="Times New Roman" w:cs="Times New Roman" w:eastAsiaTheme="minorEastAsia"/>
                <w:szCs w:val="21"/>
                <w:lang w:val="en-US" w:eastAsia="zh-CN"/>
              </w:rPr>
              <w:t>。</w:t>
            </w:r>
          </w:p>
        </w:tc>
      </w:tr>
      <w:tr w14:paraId="2E8FD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Merge w:val="restart"/>
            <w:vAlign w:val="center"/>
          </w:tcPr>
          <w:p w14:paraId="0F0826A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公用工程</w:t>
            </w:r>
          </w:p>
        </w:tc>
        <w:tc>
          <w:tcPr>
            <w:tcW w:w="1716" w:type="dxa"/>
            <w:vAlign w:val="center"/>
          </w:tcPr>
          <w:p w14:paraId="197CD75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给水</w:t>
            </w:r>
          </w:p>
        </w:tc>
        <w:tc>
          <w:tcPr>
            <w:tcW w:w="6072" w:type="dxa"/>
            <w:vAlign w:val="center"/>
          </w:tcPr>
          <w:p w14:paraId="2CE5AA2E">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现有项目用水采用市政管网供水。</w:t>
            </w:r>
          </w:p>
        </w:tc>
      </w:tr>
      <w:tr w14:paraId="1C96A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Merge w:val="continue"/>
            <w:vAlign w:val="center"/>
          </w:tcPr>
          <w:p w14:paraId="34918117">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716" w:type="dxa"/>
            <w:vAlign w:val="center"/>
          </w:tcPr>
          <w:p w14:paraId="2B7E134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排水</w:t>
            </w:r>
          </w:p>
        </w:tc>
        <w:tc>
          <w:tcPr>
            <w:tcW w:w="6072" w:type="dxa"/>
            <w:vAlign w:val="center"/>
          </w:tcPr>
          <w:p w14:paraId="74621629">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现有项目初期雨水依托事故应急池进行收集。</w:t>
            </w:r>
          </w:p>
        </w:tc>
      </w:tr>
      <w:tr w14:paraId="70F99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Merge w:val="continue"/>
            <w:vAlign w:val="center"/>
          </w:tcPr>
          <w:p w14:paraId="68AA3480">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716" w:type="dxa"/>
            <w:vAlign w:val="center"/>
          </w:tcPr>
          <w:p w14:paraId="711399D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供电</w:t>
            </w:r>
          </w:p>
        </w:tc>
        <w:tc>
          <w:tcPr>
            <w:tcW w:w="6072" w:type="dxa"/>
            <w:vAlign w:val="center"/>
          </w:tcPr>
          <w:p w14:paraId="1D8449C2">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现有项目用电由国家电网提供电能。</w:t>
            </w:r>
          </w:p>
        </w:tc>
      </w:tr>
      <w:tr w14:paraId="67065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Merge w:val="continue"/>
            <w:vAlign w:val="center"/>
          </w:tcPr>
          <w:p w14:paraId="5CF9C363">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716" w:type="dxa"/>
            <w:vAlign w:val="center"/>
          </w:tcPr>
          <w:p w14:paraId="4BBD126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供汽</w:t>
            </w:r>
          </w:p>
        </w:tc>
        <w:tc>
          <w:tcPr>
            <w:tcW w:w="6072" w:type="dxa"/>
            <w:vAlign w:val="center"/>
          </w:tcPr>
          <w:p w14:paraId="64395283">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已建有锅炉房一座，建筑面积</w:t>
            </w:r>
            <w:r>
              <w:rPr>
                <w:rFonts w:hint="default" w:ascii="Times New Roman" w:hAnsi="Times New Roman" w:cs="Times New Roman" w:eastAsiaTheme="minorEastAsia"/>
                <w:szCs w:val="21"/>
                <w:lang w:val="en-US" w:eastAsia="zh-CN"/>
              </w:rPr>
              <w:t>30m</w:t>
            </w:r>
            <w:r>
              <w:rPr>
                <w:rFonts w:hint="eastAsia" w:ascii="Times New Roman" w:hAnsi="Times New Roman" w:cs="Times New Roman" w:eastAsiaTheme="minorEastAsia"/>
                <w:szCs w:val="21"/>
                <w:vertAlign w:val="superscript"/>
                <w:lang w:val="en-US" w:eastAsia="zh-CN"/>
              </w:rPr>
              <w:t>2</w:t>
            </w:r>
            <w:r>
              <w:rPr>
                <w:rFonts w:hint="eastAsia" w:ascii="Times New Roman" w:hAnsi="Times New Roman" w:cs="Times New Roman" w:eastAsiaTheme="minorEastAsia"/>
                <w:szCs w:val="21"/>
                <w:lang w:val="en-US" w:eastAsia="zh-CN"/>
              </w:rPr>
              <w:t>，为一层结构。配置有</w:t>
            </w:r>
            <w:r>
              <w:rPr>
                <w:rFonts w:hint="default" w:ascii="Times New Roman" w:hAnsi="Times New Roman" w:cs="Times New Roman" w:eastAsiaTheme="minorEastAsia"/>
                <w:szCs w:val="21"/>
                <w:lang w:val="en-US" w:eastAsia="zh-CN"/>
              </w:rPr>
              <w:t>1t/h</w:t>
            </w:r>
            <w:r>
              <w:rPr>
                <w:rFonts w:hint="eastAsia" w:ascii="Times New Roman" w:hAnsi="Times New Roman" w:cs="Times New Roman" w:eastAsiaTheme="minorEastAsia"/>
                <w:szCs w:val="21"/>
                <w:lang w:val="en-US" w:eastAsia="zh-CN"/>
              </w:rPr>
              <w:t>的燃油锅炉一套。</w:t>
            </w:r>
          </w:p>
        </w:tc>
      </w:tr>
      <w:tr w14:paraId="6D563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Merge w:val="restart"/>
            <w:vAlign w:val="center"/>
          </w:tcPr>
          <w:p w14:paraId="1DC6ABC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环保工程</w:t>
            </w:r>
          </w:p>
        </w:tc>
        <w:tc>
          <w:tcPr>
            <w:tcW w:w="1716" w:type="dxa"/>
            <w:vAlign w:val="center"/>
          </w:tcPr>
          <w:p w14:paraId="3A06DD01">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污水处理站</w:t>
            </w:r>
          </w:p>
        </w:tc>
        <w:tc>
          <w:tcPr>
            <w:tcW w:w="6072" w:type="dxa"/>
            <w:vAlign w:val="center"/>
          </w:tcPr>
          <w:p w14:paraId="3A8D5709">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已建有一套污水处理设施，处理工艺采用“调节池+预处理（沉淀）</w:t>
            </w:r>
            <w:r>
              <w:rPr>
                <w:rFonts w:hint="default" w:ascii="Times New Roman" w:hAnsi="Times New Roman" w:cs="Times New Roman" w:eastAsiaTheme="minorEastAsia"/>
                <w:szCs w:val="21"/>
                <w:lang w:val="en-US" w:eastAsia="zh-CN"/>
              </w:rPr>
              <w:t>+MBR+DTRO</w:t>
            </w:r>
            <w:r>
              <w:rPr>
                <w:rFonts w:hint="eastAsia" w:ascii="Times New Roman" w:hAnsi="Times New Roman" w:cs="Times New Roman" w:eastAsiaTheme="minorEastAsia"/>
                <w:szCs w:val="21"/>
                <w:lang w:val="en-US" w:eastAsia="zh-CN"/>
              </w:rPr>
              <w:t>+接触池（次氯酸钠消毒）”，污水处理能力为</w:t>
            </w:r>
            <w:r>
              <w:rPr>
                <w:rFonts w:hint="default" w:ascii="Times New Roman" w:hAnsi="Times New Roman" w:cs="Times New Roman" w:eastAsiaTheme="minorEastAsia"/>
                <w:szCs w:val="21"/>
                <w:lang w:val="en-US" w:eastAsia="zh-CN"/>
              </w:rPr>
              <w:t>15m</w:t>
            </w:r>
            <w:r>
              <w:rPr>
                <w:rFonts w:hint="eastAsia" w:ascii="Times New Roman" w:hAnsi="Times New Roman" w:cs="Times New Roman" w:eastAsiaTheme="minorEastAsia"/>
                <w:szCs w:val="21"/>
                <w:vertAlign w:val="superscript"/>
                <w:lang w:val="en-US" w:eastAsia="zh-CN"/>
              </w:rPr>
              <w:t>3</w:t>
            </w:r>
            <w:r>
              <w:rPr>
                <w:rFonts w:hint="default" w:ascii="Times New Roman" w:hAnsi="Times New Roman" w:cs="Times New Roman" w:eastAsiaTheme="minorEastAsia"/>
                <w:szCs w:val="21"/>
                <w:lang w:val="en-US" w:eastAsia="zh-CN"/>
              </w:rPr>
              <w:t>/d</w:t>
            </w:r>
            <w:r>
              <w:rPr>
                <w:rFonts w:hint="eastAsia" w:ascii="Times New Roman" w:hAnsi="Times New Roman" w:cs="Times New Roman" w:eastAsiaTheme="minorEastAsia"/>
                <w:szCs w:val="21"/>
                <w:lang w:val="en-US" w:eastAsia="zh-CN"/>
              </w:rPr>
              <w:t>。废水经厂内污水处理站处理后可以达到《医疗机构</w:t>
            </w:r>
            <w:r>
              <w:rPr>
                <w:rFonts w:hint="eastAsia" w:ascii="Times New Roman" w:hAnsi="Times New Roman" w:cs="Times New Roman"/>
                <w:szCs w:val="21"/>
                <w:lang w:val="en-US" w:eastAsia="zh-CN"/>
              </w:rPr>
              <w:t>水污染物排放</w:t>
            </w:r>
            <w:r>
              <w:rPr>
                <w:rFonts w:hint="eastAsia" w:ascii="Times New Roman" w:hAnsi="Times New Roman" w:cs="Times New Roman" w:eastAsiaTheme="minorEastAsia"/>
                <w:szCs w:val="21"/>
                <w:lang w:val="en-US" w:eastAsia="zh-CN"/>
              </w:rPr>
              <w:t>标准》（</w:t>
            </w:r>
            <w:r>
              <w:rPr>
                <w:rFonts w:hint="default" w:ascii="Times New Roman" w:hAnsi="Times New Roman" w:cs="Times New Roman" w:eastAsiaTheme="minorEastAsia"/>
                <w:szCs w:val="21"/>
                <w:lang w:val="en-US" w:eastAsia="zh-CN"/>
              </w:rPr>
              <w:t>GB18466-2005</w:t>
            </w:r>
            <w:r>
              <w:rPr>
                <w:rFonts w:hint="eastAsia" w:ascii="Times New Roman" w:hAnsi="Times New Roman" w:cs="Times New Roman" w:eastAsiaTheme="minorEastAsia"/>
                <w:szCs w:val="21"/>
                <w:lang w:val="en-US" w:eastAsia="zh-CN"/>
              </w:rPr>
              <w:t>）和</w:t>
            </w:r>
            <w:r>
              <w:rPr>
                <w:rFonts w:hint="eastAsia" w:ascii="Times New Roman" w:hAnsi="Times New Roman" w:cs="Times New Roman"/>
                <w:szCs w:val="21"/>
                <w:lang w:val="en-US" w:eastAsia="zh-CN"/>
              </w:rPr>
              <w:t>《污水综合排放标准》（GB8978-1996）二级标准限值</w:t>
            </w:r>
            <w:r>
              <w:rPr>
                <w:rFonts w:hint="eastAsia" w:ascii="Times New Roman" w:hAnsi="Times New Roman" w:cs="Times New Roman" w:eastAsiaTheme="minorEastAsia"/>
                <w:szCs w:val="21"/>
                <w:lang w:val="en-US" w:eastAsia="zh-CN"/>
              </w:rPr>
              <w:t>，处理后的废水进入回用水池，回用于清洗消毒，不外排。</w:t>
            </w:r>
          </w:p>
        </w:tc>
      </w:tr>
      <w:tr w14:paraId="283EB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Merge w:val="continue"/>
            <w:vAlign w:val="center"/>
          </w:tcPr>
          <w:p w14:paraId="29174FF2">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716" w:type="dxa"/>
            <w:vAlign w:val="center"/>
          </w:tcPr>
          <w:p w14:paraId="4848811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化粪池</w:t>
            </w:r>
          </w:p>
        </w:tc>
        <w:tc>
          <w:tcPr>
            <w:tcW w:w="6072" w:type="dxa"/>
            <w:vAlign w:val="center"/>
          </w:tcPr>
          <w:p w14:paraId="5ED9581C">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已建有一个容积为</w:t>
            </w:r>
            <w:r>
              <w:rPr>
                <w:rFonts w:hint="default" w:ascii="Times New Roman" w:hAnsi="Times New Roman" w:cs="Times New Roman" w:eastAsiaTheme="minorEastAsia"/>
                <w:szCs w:val="21"/>
                <w:lang w:val="en-US" w:eastAsia="zh-CN"/>
              </w:rPr>
              <w:t>1.5m</w:t>
            </w:r>
            <w:r>
              <w:rPr>
                <w:rFonts w:hint="eastAsia" w:ascii="Times New Roman" w:hAnsi="Times New Roman" w:cs="Times New Roman" w:eastAsiaTheme="minorEastAsia"/>
                <w:szCs w:val="21"/>
                <w:vertAlign w:val="superscript"/>
                <w:lang w:val="en-US" w:eastAsia="zh-CN"/>
              </w:rPr>
              <w:t>3</w:t>
            </w:r>
            <w:r>
              <w:rPr>
                <w:rFonts w:hint="eastAsia" w:ascii="Times New Roman" w:hAnsi="Times New Roman" w:cs="Times New Roman" w:eastAsiaTheme="minorEastAsia"/>
                <w:szCs w:val="21"/>
                <w:lang w:val="en-US" w:eastAsia="zh-CN"/>
              </w:rPr>
              <w:t>的化粪池，员工生活污水通过化粪池收集后，</w:t>
            </w:r>
            <w:r>
              <w:rPr>
                <w:rFonts w:hint="eastAsia" w:ascii="Times New Roman" w:hAnsi="Times New Roman" w:cs="Times New Roman"/>
                <w:szCs w:val="21"/>
                <w:lang w:val="en-US" w:eastAsia="zh-CN"/>
              </w:rPr>
              <w:t>通过下水管网排入园区污水处理厂</w:t>
            </w:r>
            <w:r>
              <w:rPr>
                <w:rFonts w:hint="eastAsia" w:ascii="Times New Roman" w:hAnsi="Times New Roman" w:cs="Times New Roman" w:eastAsiaTheme="minorEastAsia"/>
                <w:szCs w:val="21"/>
                <w:lang w:val="en-US" w:eastAsia="zh-CN"/>
              </w:rPr>
              <w:t>。</w:t>
            </w:r>
          </w:p>
        </w:tc>
      </w:tr>
      <w:tr w14:paraId="36040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Merge w:val="continue"/>
            <w:vAlign w:val="center"/>
          </w:tcPr>
          <w:p w14:paraId="1AEACE2C">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716" w:type="dxa"/>
            <w:vAlign w:val="center"/>
          </w:tcPr>
          <w:p w14:paraId="1D41E61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事故池</w:t>
            </w:r>
          </w:p>
        </w:tc>
        <w:tc>
          <w:tcPr>
            <w:tcW w:w="6072" w:type="dxa"/>
            <w:vAlign w:val="center"/>
          </w:tcPr>
          <w:p w14:paraId="7D048F1E">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lang w:val="en-US" w:eastAsia="zh-CN"/>
              </w:rPr>
              <w:t>现有</w:t>
            </w:r>
            <w:r>
              <w:rPr>
                <w:rFonts w:hint="eastAsia" w:ascii="Times New Roman" w:hAnsi="Times New Roman" w:cs="Times New Roman" w:eastAsiaTheme="minorEastAsia"/>
                <w:szCs w:val="21"/>
                <w:lang w:val="en-US" w:eastAsia="zh-CN"/>
              </w:rPr>
              <w:t>一个容积为</w:t>
            </w:r>
            <w:r>
              <w:rPr>
                <w:rFonts w:hint="default" w:ascii="Times New Roman" w:hAnsi="Times New Roman" w:cs="Times New Roman" w:eastAsiaTheme="minorEastAsia"/>
                <w:szCs w:val="21"/>
                <w:lang w:val="en-US" w:eastAsia="zh-CN"/>
              </w:rPr>
              <w:t>60m</w:t>
            </w:r>
            <w:r>
              <w:rPr>
                <w:rFonts w:hint="eastAsia" w:ascii="Times New Roman" w:hAnsi="Times New Roman" w:cs="Times New Roman" w:eastAsiaTheme="minorEastAsia"/>
                <w:szCs w:val="21"/>
                <w:vertAlign w:val="superscript"/>
                <w:lang w:val="en-US" w:eastAsia="zh-CN"/>
              </w:rPr>
              <w:t>3</w:t>
            </w:r>
            <w:r>
              <w:rPr>
                <w:rFonts w:hint="eastAsia" w:ascii="Times New Roman" w:hAnsi="Times New Roman" w:cs="Times New Roman" w:eastAsiaTheme="minorEastAsia"/>
                <w:szCs w:val="21"/>
                <w:lang w:val="en-US" w:eastAsia="zh-CN"/>
              </w:rPr>
              <w:t>的事故池。</w:t>
            </w:r>
          </w:p>
        </w:tc>
      </w:tr>
      <w:tr w14:paraId="398B1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Merge w:val="continue"/>
            <w:vAlign w:val="center"/>
          </w:tcPr>
          <w:p w14:paraId="1BFF59FA">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716" w:type="dxa"/>
            <w:vAlign w:val="center"/>
          </w:tcPr>
          <w:p w14:paraId="713D3560">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初期雨水收集池</w:t>
            </w:r>
          </w:p>
        </w:tc>
        <w:tc>
          <w:tcPr>
            <w:tcW w:w="6072" w:type="dxa"/>
            <w:vAlign w:val="center"/>
          </w:tcPr>
          <w:p w14:paraId="3792C062">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初期雨水依托容积为</w:t>
            </w:r>
            <w:r>
              <w:rPr>
                <w:rFonts w:hint="default" w:ascii="Times New Roman" w:hAnsi="Times New Roman" w:cs="Times New Roman" w:eastAsiaTheme="minorEastAsia"/>
                <w:szCs w:val="21"/>
                <w:lang w:val="en-US" w:eastAsia="zh-CN"/>
              </w:rPr>
              <w:t>60m</w:t>
            </w:r>
            <w:r>
              <w:rPr>
                <w:rFonts w:hint="eastAsia" w:ascii="Times New Roman" w:hAnsi="Times New Roman" w:cs="Times New Roman" w:eastAsiaTheme="minorEastAsia"/>
                <w:szCs w:val="21"/>
                <w:vertAlign w:val="superscript"/>
                <w:lang w:val="en-US" w:eastAsia="zh-CN"/>
              </w:rPr>
              <w:t>3</w:t>
            </w:r>
            <w:r>
              <w:rPr>
                <w:rFonts w:hint="eastAsia" w:ascii="Times New Roman" w:hAnsi="Times New Roman" w:cs="Times New Roman" w:eastAsiaTheme="minorEastAsia"/>
                <w:szCs w:val="21"/>
                <w:lang w:val="en-US" w:eastAsia="zh-CN"/>
              </w:rPr>
              <w:t>的事故池进行收集。</w:t>
            </w:r>
          </w:p>
        </w:tc>
      </w:tr>
      <w:tr w14:paraId="35147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Merge w:val="continue"/>
            <w:vAlign w:val="center"/>
          </w:tcPr>
          <w:p w14:paraId="51885569">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716" w:type="dxa"/>
            <w:vAlign w:val="center"/>
          </w:tcPr>
          <w:p w14:paraId="42ABFAD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废气治理</w:t>
            </w:r>
          </w:p>
        </w:tc>
        <w:tc>
          <w:tcPr>
            <w:tcW w:w="6072" w:type="dxa"/>
            <w:vAlign w:val="center"/>
          </w:tcPr>
          <w:p w14:paraId="5077EC53">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高温灭菌消毒产生的尾气和贮存间废气采用“冷却喷淋塔</w:t>
            </w:r>
            <w:r>
              <w:rPr>
                <w:rFonts w:hint="default" w:ascii="Times New Roman" w:hAnsi="Times New Roman" w:cs="Times New Roman" w:eastAsiaTheme="minorEastAsia"/>
                <w:szCs w:val="21"/>
                <w:lang w:val="en-US" w:eastAsia="zh-CN"/>
              </w:rPr>
              <w:t>+</w:t>
            </w:r>
            <w:r>
              <w:rPr>
                <w:rFonts w:hint="eastAsia" w:ascii="Times New Roman" w:hAnsi="Times New Roman" w:cs="Times New Roman" w:eastAsiaTheme="minorEastAsia"/>
                <w:szCs w:val="21"/>
                <w:lang w:val="en-US" w:eastAsia="zh-CN"/>
              </w:rPr>
              <w:t>生物过滤器（滤膜）</w:t>
            </w:r>
            <w:r>
              <w:rPr>
                <w:rFonts w:hint="default" w:ascii="Times New Roman" w:hAnsi="Times New Roman" w:cs="Times New Roman" w:eastAsiaTheme="minorEastAsia"/>
                <w:szCs w:val="21"/>
                <w:lang w:val="en-US" w:eastAsia="zh-CN"/>
              </w:rPr>
              <w:t>+</w:t>
            </w:r>
            <w:r>
              <w:rPr>
                <w:rFonts w:hint="eastAsia" w:ascii="Times New Roman" w:hAnsi="Times New Roman" w:cs="Times New Roman"/>
                <w:szCs w:val="21"/>
                <w:lang w:val="en-US" w:eastAsia="zh-CN"/>
              </w:rPr>
              <w:t>活性炭</w:t>
            </w:r>
            <w:r>
              <w:rPr>
                <w:rFonts w:hint="eastAsia" w:ascii="Times New Roman" w:hAnsi="Times New Roman" w:cs="Times New Roman" w:eastAsiaTheme="minorEastAsia"/>
                <w:szCs w:val="21"/>
                <w:lang w:val="en-US" w:eastAsia="zh-CN"/>
              </w:rPr>
              <w:t>吸附装置”的处理工艺进行处理。</w:t>
            </w:r>
          </w:p>
        </w:tc>
      </w:tr>
      <w:tr w14:paraId="4258F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Merge w:val="continue"/>
            <w:vAlign w:val="center"/>
          </w:tcPr>
          <w:p w14:paraId="6D0938C8">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716" w:type="dxa"/>
            <w:vAlign w:val="center"/>
          </w:tcPr>
          <w:p w14:paraId="392D8C8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噪声</w:t>
            </w:r>
          </w:p>
        </w:tc>
        <w:tc>
          <w:tcPr>
            <w:tcW w:w="6072" w:type="dxa"/>
            <w:vAlign w:val="center"/>
          </w:tcPr>
          <w:p w14:paraId="475B8893">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采取选用低噪声设备，采取基础减振、建筑隔声、距离衰减等措施处理。</w:t>
            </w:r>
          </w:p>
        </w:tc>
      </w:tr>
      <w:tr w14:paraId="4984C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Merge w:val="continue"/>
            <w:vAlign w:val="center"/>
          </w:tcPr>
          <w:p w14:paraId="02737C1E">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716" w:type="dxa"/>
            <w:vAlign w:val="center"/>
          </w:tcPr>
          <w:p w14:paraId="222A48E4">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一般工业固废</w:t>
            </w:r>
          </w:p>
        </w:tc>
        <w:tc>
          <w:tcPr>
            <w:tcW w:w="6072" w:type="dxa"/>
            <w:vAlign w:val="center"/>
          </w:tcPr>
          <w:p w14:paraId="06543F2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已建有</w:t>
            </w:r>
            <w:r>
              <w:rPr>
                <w:rFonts w:hint="default" w:ascii="Times New Roman" w:hAnsi="Times New Roman" w:cs="Times New Roman" w:eastAsiaTheme="minorEastAsia"/>
                <w:szCs w:val="21"/>
                <w:lang w:val="en-US" w:eastAsia="zh-CN"/>
              </w:rPr>
              <w:t>1</w:t>
            </w:r>
            <w:r>
              <w:rPr>
                <w:rFonts w:hint="eastAsia" w:ascii="Times New Roman" w:hAnsi="Times New Roman" w:cs="Times New Roman" w:eastAsiaTheme="minorEastAsia"/>
                <w:szCs w:val="21"/>
                <w:lang w:val="en-US" w:eastAsia="zh-CN"/>
              </w:rPr>
              <w:t>个</w:t>
            </w:r>
            <w:r>
              <w:rPr>
                <w:rFonts w:hint="default" w:ascii="Times New Roman" w:hAnsi="Times New Roman" w:cs="Times New Roman" w:eastAsiaTheme="minorEastAsia"/>
                <w:szCs w:val="21"/>
                <w:lang w:val="en-US" w:eastAsia="zh-CN"/>
              </w:rPr>
              <w:t>15m</w:t>
            </w:r>
            <w:r>
              <w:rPr>
                <w:rFonts w:hint="eastAsia" w:ascii="Times New Roman" w:hAnsi="Times New Roman" w:cs="Times New Roman" w:eastAsiaTheme="minorEastAsia"/>
                <w:szCs w:val="21"/>
                <w:vertAlign w:val="superscript"/>
                <w:lang w:val="en-US" w:eastAsia="zh-CN"/>
              </w:rPr>
              <w:t>2</w:t>
            </w:r>
            <w:r>
              <w:rPr>
                <w:rFonts w:hint="eastAsia" w:ascii="Times New Roman" w:hAnsi="Times New Roman" w:cs="Times New Roman" w:eastAsiaTheme="minorEastAsia"/>
                <w:szCs w:val="21"/>
                <w:lang w:val="en-US" w:eastAsia="zh-CN"/>
              </w:rPr>
              <w:t>的一般固废暂存间；高温消毒处理后的医废残渣在一般固废暂存间暂存，每日送到莎车县生活垃圾焚烧厂进行焚烧处理。</w:t>
            </w:r>
          </w:p>
        </w:tc>
      </w:tr>
      <w:tr w14:paraId="71455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Merge w:val="continue"/>
            <w:vAlign w:val="center"/>
          </w:tcPr>
          <w:p w14:paraId="5E27CE1F">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716" w:type="dxa"/>
            <w:vAlign w:val="center"/>
          </w:tcPr>
          <w:p w14:paraId="67B8DCD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危废</w:t>
            </w:r>
            <w:r>
              <w:rPr>
                <w:rFonts w:hint="eastAsia" w:ascii="Times New Roman" w:hAnsi="Times New Roman" w:cs="Times New Roman"/>
                <w:szCs w:val="21"/>
                <w:lang w:val="en-US" w:eastAsia="zh-CN"/>
              </w:rPr>
              <w:t>贮存点</w:t>
            </w:r>
          </w:p>
        </w:tc>
        <w:tc>
          <w:tcPr>
            <w:tcW w:w="6072" w:type="dxa"/>
            <w:vAlign w:val="center"/>
          </w:tcPr>
          <w:p w14:paraId="60572A5B">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已建有</w:t>
            </w:r>
            <w:r>
              <w:rPr>
                <w:rFonts w:hint="default" w:ascii="Times New Roman" w:hAnsi="Times New Roman" w:cs="Times New Roman" w:eastAsiaTheme="minorEastAsia"/>
                <w:szCs w:val="21"/>
                <w:lang w:val="en-US" w:eastAsia="zh-CN"/>
              </w:rPr>
              <w:t>1</w:t>
            </w:r>
            <w:r>
              <w:rPr>
                <w:rFonts w:hint="eastAsia" w:ascii="Times New Roman" w:hAnsi="Times New Roman" w:cs="Times New Roman" w:eastAsiaTheme="minorEastAsia"/>
                <w:szCs w:val="21"/>
                <w:lang w:val="en-US" w:eastAsia="zh-CN"/>
              </w:rPr>
              <w:t>个</w:t>
            </w:r>
            <w:r>
              <w:rPr>
                <w:rFonts w:hint="default" w:ascii="Times New Roman" w:hAnsi="Times New Roman" w:cs="Times New Roman" w:eastAsiaTheme="minorEastAsia"/>
                <w:szCs w:val="21"/>
                <w:lang w:val="en-US" w:eastAsia="zh-CN"/>
              </w:rPr>
              <w:t>15m</w:t>
            </w:r>
            <w:r>
              <w:rPr>
                <w:rFonts w:hint="eastAsia" w:ascii="Times New Roman" w:hAnsi="Times New Roman" w:cs="Times New Roman" w:eastAsiaTheme="minorEastAsia"/>
                <w:szCs w:val="21"/>
                <w:vertAlign w:val="superscript"/>
                <w:lang w:val="en-US" w:eastAsia="zh-CN"/>
              </w:rPr>
              <w:t>2</w:t>
            </w:r>
            <w:r>
              <w:rPr>
                <w:rFonts w:hint="eastAsia" w:ascii="Times New Roman" w:hAnsi="Times New Roman" w:cs="Times New Roman" w:eastAsiaTheme="minorEastAsia"/>
                <w:szCs w:val="21"/>
                <w:lang w:val="en-US" w:eastAsia="zh-CN"/>
              </w:rPr>
              <w:t>的危废</w:t>
            </w:r>
            <w:r>
              <w:rPr>
                <w:rFonts w:hint="eastAsia" w:ascii="Times New Roman" w:hAnsi="Times New Roman" w:cs="Times New Roman"/>
                <w:szCs w:val="21"/>
                <w:lang w:val="en-US" w:eastAsia="zh-CN"/>
              </w:rPr>
              <w:t>贮存点</w:t>
            </w:r>
            <w:r>
              <w:rPr>
                <w:rFonts w:hint="eastAsia" w:ascii="Times New Roman" w:hAnsi="Times New Roman" w:cs="Times New Roman" w:eastAsiaTheme="minorEastAsia"/>
                <w:szCs w:val="21"/>
                <w:lang w:val="en-US" w:eastAsia="zh-CN"/>
              </w:rPr>
              <w:t>；废周转箱、废活性炭、废滤芯、干化后的污泥经消毒后在危废</w:t>
            </w:r>
            <w:r>
              <w:rPr>
                <w:rFonts w:hint="eastAsia" w:ascii="Times New Roman" w:hAnsi="Times New Roman" w:cs="Times New Roman"/>
                <w:szCs w:val="21"/>
                <w:lang w:val="en-US" w:eastAsia="zh-CN"/>
              </w:rPr>
              <w:t>贮存点</w:t>
            </w:r>
            <w:r>
              <w:rPr>
                <w:rFonts w:hint="eastAsia" w:ascii="Times New Roman" w:hAnsi="Times New Roman" w:cs="Times New Roman" w:eastAsiaTheme="minorEastAsia"/>
                <w:szCs w:val="21"/>
                <w:lang w:val="en-US" w:eastAsia="zh-CN"/>
              </w:rPr>
              <w:t>内暂存，定期委托有资质的单位进行处置。</w:t>
            </w:r>
          </w:p>
        </w:tc>
      </w:tr>
      <w:tr w14:paraId="6325A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Merge w:val="continue"/>
            <w:vAlign w:val="center"/>
          </w:tcPr>
          <w:p w14:paraId="4942D95D">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716" w:type="dxa"/>
            <w:vAlign w:val="center"/>
          </w:tcPr>
          <w:p w14:paraId="72415F7E">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生活垃圾</w:t>
            </w:r>
          </w:p>
        </w:tc>
        <w:tc>
          <w:tcPr>
            <w:tcW w:w="6072" w:type="dxa"/>
            <w:vAlign w:val="center"/>
          </w:tcPr>
          <w:p w14:paraId="26BED1C1">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生活垃圾统一分类收集后交由环卫部门处理。</w:t>
            </w:r>
          </w:p>
        </w:tc>
      </w:tr>
    </w:tbl>
    <w:p w14:paraId="6058441E">
      <w:pPr>
        <w:adjustRightInd w:val="0"/>
        <w:snapToGrid w:val="0"/>
        <w:spacing w:line="500" w:lineRule="exact"/>
        <w:jc w:val="left"/>
        <w:rPr>
          <w:rFonts w:hint="eastAsia" w:ascii="Times New Roman" w:hAnsi="Times New Roman" w:cs="Times New Roman" w:eastAsiaTheme="minorEastAsia"/>
          <w:b/>
          <w:bCs/>
          <w:sz w:val="24"/>
          <w:highlight w:val="none"/>
          <w:lang w:val="en-US" w:eastAsia="zh-CN"/>
        </w:rPr>
      </w:pPr>
      <w:r>
        <w:rPr>
          <w:rFonts w:hint="eastAsia" w:ascii="Times New Roman" w:hAnsi="Times New Roman" w:cs="Times New Roman" w:eastAsiaTheme="minorEastAsia"/>
          <w:b/>
          <w:bCs/>
          <w:sz w:val="24"/>
          <w:highlight w:val="none"/>
          <w:lang w:val="en-US" w:eastAsia="zh-CN"/>
        </w:rPr>
        <w:t>3.1.1.2现有项目主要设备一览表</w:t>
      </w:r>
    </w:p>
    <w:p w14:paraId="5FD183AF">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表3.1-2  现有项目主要设备一览表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5"/>
        <w:gridCol w:w="1200"/>
        <w:gridCol w:w="777"/>
        <w:gridCol w:w="709"/>
        <w:gridCol w:w="5061"/>
      </w:tblGrid>
      <w:tr w14:paraId="5908A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5" w:type="dxa"/>
            <w:vAlign w:val="center"/>
          </w:tcPr>
          <w:p w14:paraId="07BE9C7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序号</w:t>
            </w:r>
          </w:p>
        </w:tc>
        <w:tc>
          <w:tcPr>
            <w:tcW w:w="1200" w:type="dxa"/>
            <w:vAlign w:val="center"/>
          </w:tcPr>
          <w:p w14:paraId="1A72D01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设备名称</w:t>
            </w:r>
          </w:p>
        </w:tc>
        <w:tc>
          <w:tcPr>
            <w:tcW w:w="777" w:type="dxa"/>
            <w:vAlign w:val="center"/>
          </w:tcPr>
          <w:p w14:paraId="5D692C6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单位</w:t>
            </w:r>
          </w:p>
        </w:tc>
        <w:tc>
          <w:tcPr>
            <w:tcW w:w="709" w:type="dxa"/>
            <w:vAlign w:val="center"/>
          </w:tcPr>
          <w:p w14:paraId="7B3F96A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数量</w:t>
            </w:r>
          </w:p>
        </w:tc>
        <w:tc>
          <w:tcPr>
            <w:tcW w:w="5061" w:type="dxa"/>
            <w:vAlign w:val="center"/>
          </w:tcPr>
          <w:p w14:paraId="5D4462E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主要技术参数及说明</w:t>
            </w:r>
          </w:p>
        </w:tc>
      </w:tr>
      <w:tr w14:paraId="2E829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vAlign w:val="center"/>
          </w:tcPr>
          <w:p w14:paraId="45AFB9E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w:t>
            </w:r>
          </w:p>
        </w:tc>
        <w:tc>
          <w:tcPr>
            <w:tcW w:w="1200" w:type="dxa"/>
            <w:vAlign w:val="center"/>
          </w:tcPr>
          <w:p w14:paraId="41600FF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上料机</w:t>
            </w:r>
          </w:p>
        </w:tc>
        <w:tc>
          <w:tcPr>
            <w:tcW w:w="777" w:type="dxa"/>
            <w:vAlign w:val="center"/>
          </w:tcPr>
          <w:p w14:paraId="63B3A86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台</w:t>
            </w:r>
          </w:p>
        </w:tc>
        <w:tc>
          <w:tcPr>
            <w:tcW w:w="709" w:type="dxa"/>
            <w:vAlign w:val="center"/>
          </w:tcPr>
          <w:p w14:paraId="42FE79A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w:t>
            </w:r>
          </w:p>
        </w:tc>
        <w:tc>
          <w:tcPr>
            <w:tcW w:w="5061" w:type="dxa"/>
            <w:vAlign w:val="center"/>
          </w:tcPr>
          <w:p w14:paraId="5E2A51EC">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与灭菌车配套，意大利原装液压系统全自动操作，实现医疗废物自动上料（配套</w:t>
            </w:r>
            <w:r>
              <w:rPr>
                <w:rFonts w:hint="default" w:ascii="Times New Roman" w:hAnsi="Times New Roman" w:cs="Times New Roman" w:eastAsiaTheme="minorEastAsia"/>
                <w:szCs w:val="21"/>
                <w:lang w:val="en-US" w:eastAsia="zh-CN"/>
              </w:rPr>
              <w:t>600mm×500mm×400mm</w:t>
            </w:r>
            <w:r>
              <w:rPr>
                <w:rFonts w:hint="eastAsia" w:ascii="Times New Roman" w:hAnsi="Times New Roman" w:cs="Times New Roman" w:eastAsiaTheme="minorEastAsia"/>
                <w:szCs w:val="21"/>
                <w:lang w:val="en-US" w:eastAsia="zh-CN"/>
              </w:rPr>
              <w:t>周转箱使用）</w:t>
            </w:r>
          </w:p>
        </w:tc>
      </w:tr>
      <w:tr w14:paraId="516C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vAlign w:val="center"/>
          </w:tcPr>
          <w:p w14:paraId="334AA16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w:t>
            </w:r>
          </w:p>
        </w:tc>
        <w:tc>
          <w:tcPr>
            <w:tcW w:w="1200" w:type="dxa"/>
            <w:vAlign w:val="center"/>
          </w:tcPr>
          <w:p w14:paraId="4833497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灭菌车</w:t>
            </w:r>
          </w:p>
        </w:tc>
        <w:tc>
          <w:tcPr>
            <w:tcW w:w="777" w:type="dxa"/>
            <w:vAlign w:val="center"/>
          </w:tcPr>
          <w:p w14:paraId="0359F89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台</w:t>
            </w:r>
          </w:p>
        </w:tc>
        <w:tc>
          <w:tcPr>
            <w:tcW w:w="709" w:type="dxa"/>
            <w:vAlign w:val="center"/>
          </w:tcPr>
          <w:p w14:paraId="078B290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8</w:t>
            </w:r>
          </w:p>
        </w:tc>
        <w:tc>
          <w:tcPr>
            <w:tcW w:w="5061" w:type="dxa"/>
            <w:vAlign w:val="center"/>
          </w:tcPr>
          <w:p w14:paraId="3CA78CB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采用</w:t>
            </w:r>
            <w:r>
              <w:rPr>
                <w:rFonts w:hint="default" w:ascii="Times New Roman" w:hAnsi="Times New Roman" w:cs="Times New Roman" w:eastAsiaTheme="minorEastAsia"/>
                <w:szCs w:val="21"/>
                <w:lang w:val="en-US" w:eastAsia="zh-CN"/>
              </w:rPr>
              <w:t>MLT-5-CSUS304</w:t>
            </w:r>
            <w:r>
              <w:rPr>
                <w:rFonts w:hint="eastAsia" w:ascii="Times New Roman" w:hAnsi="Times New Roman" w:cs="Times New Roman" w:eastAsiaTheme="minorEastAsia"/>
                <w:szCs w:val="21"/>
                <w:lang w:val="en-US" w:eastAsia="zh-CN"/>
              </w:rPr>
              <w:t>不锈钢材质，与高温蒸汽灭菌器配套，尺寸</w:t>
            </w:r>
            <w:r>
              <w:rPr>
                <w:rFonts w:hint="default" w:ascii="Times New Roman" w:hAnsi="Times New Roman" w:cs="Times New Roman" w:eastAsiaTheme="minorEastAsia"/>
                <w:szCs w:val="21"/>
                <w:lang w:val="en-US" w:eastAsia="zh-CN"/>
              </w:rPr>
              <w:t>1080mm×1000mm×923mm</w:t>
            </w:r>
            <w:r>
              <w:rPr>
                <w:rFonts w:hint="eastAsia" w:ascii="Times New Roman" w:hAnsi="Times New Roman" w:cs="Times New Roman" w:eastAsiaTheme="minorEastAsia"/>
                <w:szCs w:val="21"/>
                <w:lang w:val="en-US" w:eastAsia="zh-CN"/>
              </w:rPr>
              <w:t>，每批次进舱</w:t>
            </w:r>
            <w:r>
              <w:rPr>
                <w:rFonts w:hint="default" w:ascii="Times New Roman" w:hAnsi="Times New Roman" w:cs="Times New Roman" w:eastAsiaTheme="minorEastAsia"/>
                <w:szCs w:val="21"/>
                <w:lang w:val="en-US" w:eastAsia="zh-CN"/>
              </w:rPr>
              <w:t>4</w:t>
            </w:r>
            <w:r>
              <w:rPr>
                <w:rFonts w:hint="eastAsia" w:ascii="Times New Roman" w:hAnsi="Times New Roman" w:cs="Times New Roman" w:eastAsiaTheme="minorEastAsia"/>
                <w:szCs w:val="21"/>
                <w:lang w:val="en-US" w:eastAsia="zh-CN"/>
              </w:rPr>
              <w:t>台灭菌车，</w:t>
            </w:r>
            <w:r>
              <w:rPr>
                <w:rFonts w:hint="default" w:ascii="Times New Roman" w:hAnsi="Times New Roman" w:cs="Times New Roman" w:eastAsiaTheme="minorEastAsia"/>
                <w:szCs w:val="21"/>
                <w:lang w:val="en-US" w:eastAsia="zh-CN"/>
              </w:rPr>
              <w:t>4</w:t>
            </w:r>
            <w:r>
              <w:rPr>
                <w:rFonts w:hint="eastAsia" w:ascii="Times New Roman" w:hAnsi="Times New Roman" w:cs="Times New Roman" w:eastAsiaTheme="minorEastAsia"/>
                <w:szCs w:val="21"/>
                <w:lang w:val="en-US" w:eastAsia="zh-CN"/>
              </w:rPr>
              <w:t>用</w:t>
            </w:r>
            <w:r>
              <w:rPr>
                <w:rFonts w:hint="default" w:ascii="Times New Roman" w:hAnsi="Times New Roman" w:cs="Times New Roman" w:eastAsiaTheme="minorEastAsia"/>
                <w:szCs w:val="21"/>
                <w:lang w:val="en-US" w:eastAsia="zh-CN"/>
              </w:rPr>
              <w:t>4</w:t>
            </w:r>
            <w:r>
              <w:rPr>
                <w:rFonts w:hint="eastAsia" w:ascii="Times New Roman" w:hAnsi="Times New Roman" w:cs="Times New Roman" w:eastAsiaTheme="minorEastAsia"/>
                <w:szCs w:val="21"/>
                <w:lang w:val="en-US" w:eastAsia="zh-CN"/>
              </w:rPr>
              <w:t>备，每车装载医疗废物</w:t>
            </w:r>
            <w:r>
              <w:rPr>
                <w:rFonts w:hint="default" w:ascii="Times New Roman" w:hAnsi="Times New Roman" w:cs="Times New Roman" w:eastAsiaTheme="minorEastAsia"/>
                <w:szCs w:val="21"/>
                <w:lang w:val="en-US" w:eastAsia="zh-CN"/>
              </w:rPr>
              <w:t>≥100KG</w:t>
            </w:r>
            <w:r>
              <w:rPr>
                <w:rFonts w:hint="eastAsia" w:ascii="Times New Roman" w:hAnsi="Times New Roman" w:cs="Times New Roman" w:eastAsiaTheme="minorEastAsia"/>
                <w:szCs w:val="21"/>
                <w:lang w:val="en-US" w:eastAsia="zh-CN"/>
              </w:rPr>
              <w:t>；万向轮设置，内壁设有防粘连的不锈钢内网、自锁装置保证灭菌车出舱自由。</w:t>
            </w:r>
          </w:p>
        </w:tc>
      </w:tr>
      <w:tr w14:paraId="35232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vAlign w:val="center"/>
          </w:tcPr>
          <w:p w14:paraId="64B4A38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w:t>
            </w:r>
          </w:p>
        </w:tc>
        <w:tc>
          <w:tcPr>
            <w:tcW w:w="1200" w:type="dxa"/>
            <w:vAlign w:val="center"/>
          </w:tcPr>
          <w:p w14:paraId="0C75F51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电动旋转运送叉车</w:t>
            </w:r>
          </w:p>
        </w:tc>
        <w:tc>
          <w:tcPr>
            <w:tcW w:w="777" w:type="dxa"/>
            <w:vAlign w:val="center"/>
          </w:tcPr>
          <w:p w14:paraId="5BAEAB5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台</w:t>
            </w:r>
          </w:p>
        </w:tc>
        <w:tc>
          <w:tcPr>
            <w:tcW w:w="709" w:type="dxa"/>
            <w:vAlign w:val="center"/>
          </w:tcPr>
          <w:p w14:paraId="5AE4417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w:t>
            </w:r>
          </w:p>
        </w:tc>
        <w:tc>
          <w:tcPr>
            <w:tcW w:w="5061" w:type="dxa"/>
            <w:vAlign w:val="center"/>
          </w:tcPr>
          <w:p w14:paraId="775320A3">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与灭菌车配套，实现灭菌舱进出料、破碎机上料、灭菌车清洗一体操作。</w:t>
            </w:r>
          </w:p>
        </w:tc>
      </w:tr>
      <w:tr w14:paraId="3BEE6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vAlign w:val="center"/>
          </w:tcPr>
          <w:p w14:paraId="7E2AB17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w:t>
            </w:r>
          </w:p>
        </w:tc>
        <w:tc>
          <w:tcPr>
            <w:tcW w:w="1200" w:type="dxa"/>
            <w:vAlign w:val="center"/>
          </w:tcPr>
          <w:p w14:paraId="6772423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高温蒸汽灭菌机</w:t>
            </w:r>
          </w:p>
        </w:tc>
        <w:tc>
          <w:tcPr>
            <w:tcW w:w="777" w:type="dxa"/>
            <w:vAlign w:val="center"/>
          </w:tcPr>
          <w:p w14:paraId="58842E9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台</w:t>
            </w:r>
          </w:p>
        </w:tc>
        <w:tc>
          <w:tcPr>
            <w:tcW w:w="709" w:type="dxa"/>
            <w:vAlign w:val="center"/>
          </w:tcPr>
          <w:p w14:paraId="11CBE34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w:t>
            </w:r>
          </w:p>
        </w:tc>
        <w:tc>
          <w:tcPr>
            <w:tcW w:w="5061" w:type="dxa"/>
            <w:vAlign w:val="center"/>
          </w:tcPr>
          <w:p w14:paraId="209679DD">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MLT-5-S</w:t>
            </w:r>
            <w:r>
              <w:rPr>
                <w:rFonts w:hint="eastAsia" w:ascii="Times New Roman" w:hAnsi="Times New Roman" w:cs="Times New Roman" w:eastAsiaTheme="minorEastAsia"/>
                <w:szCs w:val="21"/>
                <w:lang w:val="en-US" w:eastAsia="zh-CN"/>
              </w:rPr>
              <w:t>日处理量</w:t>
            </w:r>
            <w:r>
              <w:rPr>
                <w:rFonts w:hint="default" w:ascii="Times New Roman" w:hAnsi="Times New Roman" w:cs="Times New Roman" w:eastAsiaTheme="minorEastAsia"/>
                <w:szCs w:val="21"/>
                <w:lang w:val="en-US" w:eastAsia="zh-CN"/>
              </w:rPr>
              <w:t>6400Kg/D</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16</w:t>
            </w:r>
            <w:r>
              <w:rPr>
                <w:rFonts w:hint="eastAsia" w:ascii="Times New Roman" w:hAnsi="Times New Roman" w:cs="Times New Roman" w:eastAsiaTheme="minorEastAsia"/>
                <w:szCs w:val="21"/>
                <w:lang w:val="en-US" w:eastAsia="zh-CN"/>
              </w:rPr>
              <w:t>小时）</w:t>
            </w:r>
            <w:r>
              <w:rPr>
                <w:rFonts w:hint="default" w:ascii="Times New Roman" w:hAnsi="Times New Roman" w:cs="Times New Roman" w:eastAsiaTheme="minorEastAsia"/>
                <w:szCs w:val="21"/>
                <w:lang w:val="en-US" w:eastAsia="zh-CN"/>
              </w:rPr>
              <w:t>SUS304</w:t>
            </w:r>
            <w:r>
              <w:rPr>
                <w:rFonts w:hint="eastAsia" w:ascii="Times New Roman" w:hAnsi="Times New Roman" w:cs="Times New Roman" w:eastAsiaTheme="minorEastAsia"/>
                <w:szCs w:val="21"/>
                <w:lang w:val="en-US" w:eastAsia="zh-CN"/>
              </w:rPr>
              <w:t>不锈钢材质，</w:t>
            </w:r>
            <w:r>
              <w:rPr>
                <w:rFonts w:hint="eastAsia" w:ascii="Times New Roman" w:hAnsi="Times New Roman" w:cs="Times New Roman"/>
                <w:szCs w:val="21"/>
                <w:lang w:val="en-US" w:eastAsia="zh-CN"/>
              </w:rPr>
              <w:t>外形尺寸</w:t>
            </w:r>
            <w:r>
              <w:rPr>
                <w:rFonts w:hint="default" w:ascii="Times New Roman" w:hAnsi="Times New Roman" w:cs="Times New Roman" w:eastAsiaTheme="minorEastAsia"/>
                <w:szCs w:val="21"/>
                <w:lang w:val="en-US" w:eastAsia="zh-CN"/>
              </w:rPr>
              <w:t>1400mm×5300mm×2100mm</w:t>
            </w:r>
            <w:r>
              <w:rPr>
                <w:rFonts w:hint="eastAsia" w:ascii="Times New Roman" w:hAnsi="Times New Roman" w:cs="Times New Roman" w:eastAsiaTheme="minorEastAsia"/>
                <w:szCs w:val="21"/>
                <w:lang w:val="en-US" w:eastAsia="zh-CN"/>
              </w:rPr>
              <w:t>（不含保温层），外表面有</w:t>
            </w:r>
            <w:r>
              <w:rPr>
                <w:rFonts w:hint="default" w:ascii="Times New Roman" w:hAnsi="Times New Roman" w:cs="Times New Roman" w:eastAsiaTheme="minorEastAsia"/>
                <w:szCs w:val="21"/>
                <w:lang w:val="en-US" w:eastAsia="zh-CN"/>
              </w:rPr>
              <w:t>100mm</w:t>
            </w:r>
            <w:r>
              <w:rPr>
                <w:rFonts w:hint="eastAsia" w:ascii="Times New Roman" w:hAnsi="Times New Roman" w:cs="Times New Roman" w:eastAsiaTheme="minorEastAsia"/>
                <w:szCs w:val="21"/>
                <w:lang w:val="en-US" w:eastAsia="zh-CN"/>
              </w:rPr>
              <w:t>厚玻璃棉保温隔热，单边旋转单开门设计。每批次处理量</w:t>
            </w:r>
            <w:r>
              <w:rPr>
                <w:rFonts w:hint="default" w:ascii="Times New Roman" w:hAnsi="Times New Roman" w:cs="Times New Roman" w:eastAsiaTheme="minorEastAsia"/>
                <w:szCs w:val="21"/>
                <w:lang w:val="en-US" w:eastAsia="zh-CN"/>
              </w:rPr>
              <w:t>≥400KG</w:t>
            </w:r>
            <w:r>
              <w:rPr>
                <w:rFonts w:hint="eastAsia" w:ascii="Times New Roman" w:hAnsi="Times New Roman" w:cs="Times New Roman" w:eastAsiaTheme="minorEastAsia"/>
                <w:szCs w:val="21"/>
                <w:lang w:val="en-US" w:eastAsia="zh-CN"/>
              </w:rPr>
              <w:t>，真空度</w:t>
            </w:r>
            <w:r>
              <w:rPr>
                <w:rFonts w:hint="default" w:ascii="Times New Roman" w:hAnsi="Times New Roman" w:cs="Times New Roman" w:eastAsiaTheme="minorEastAsia"/>
                <w:szCs w:val="21"/>
                <w:lang w:val="en-US" w:eastAsia="zh-CN"/>
              </w:rPr>
              <w:t>-0.09Mpa</w:t>
            </w:r>
            <w:r>
              <w:rPr>
                <w:rFonts w:hint="eastAsia" w:ascii="Times New Roman" w:hAnsi="Times New Roman" w:cs="Times New Roman" w:eastAsiaTheme="minorEastAsia"/>
                <w:szCs w:val="21"/>
                <w:lang w:val="en-US" w:eastAsia="zh-CN"/>
              </w:rPr>
              <w:t>，设计压力</w:t>
            </w:r>
            <w:r>
              <w:rPr>
                <w:rFonts w:hint="default" w:ascii="Times New Roman" w:hAnsi="Times New Roman" w:cs="Times New Roman" w:eastAsiaTheme="minorEastAsia"/>
                <w:szCs w:val="21"/>
                <w:lang w:val="en-US" w:eastAsia="zh-CN"/>
              </w:rPr>
              <w:t>0.8Mpa</w:t>
            </w:r>
            <w:r>
              <w:rPr>
                <w:rFonts w:hint="eastAsia" w:ascii="Times New Roman" w:hAnsi="Times New Roman" w:cs="Times New Roman" w:eastAsiaTheme="minorEastAsia"/>
                <w:szCs w:val="21"/>
                <w:lang w:val="en-US" w:eastAsia="zh-CN"/>
              </w:rPr>
              <w:t>，设计温度</w:t>
            </w:r>
            <w:r>
              <w:rPr>
                <w:rFonts w:hint="default" w:ascii="Times New Roman" w:hAnsi="Times New Roman" w:cs="Times New Roman" w:eastAsiaTheme="minorEastAsia"/>
                <w:szCs w:val="21"/>
                <w:lang w:val="en-US" w:eastAsia="zh-CN"/>
              </w:rPr>
              <w:t>160</w:t>
            </w:r>
            <w:r>
              <w:rPr>
                <w:rFonts w:hint="eastAsia" w:ascii="Times New Roman" w:hAnsi="Times New Roman" w:cs="Times New Roman" w:eastAsiaTheme="minorEastAsia"/>
                <w:szCs w:val="21"/>
                <w:lang w:val="en-US" w:eastAsia="zh-CN"/>
              </w:rPr>
              <w:t>℃，工作压力</w:t>
            </w:r>
            <w:r>
              <w:rPr>
                <w:rFonts w:hint="default" w:ascii="Times New Roman" w:hAnsi="Times New Roman" w:cs="Times New Roman" w:eastAsiaTheme="minorEastAsia"/>
                <w:szCs w:val="21"/>
                <w:lang w:val="en-US" w:eastAsia="zh-CN"/>
              </w:rPr>
              <w:t>0.23Mpa</w:t>
            </w:r>
            <w:r>
              <w:rPr>
                <w:rFonts w:hint="eastAsia" w:ascii="Times New Roman" w:hAnsi="Times New Roman" w:cs="Times New Roman" w:eastAsiaTheme="minorEastAsia"/>
                <w:szCs w:val="21"/>
                <w:lang w:val="en-US" w:eastAsia="zh-CN"/>
              </w:rPr>
              <w:t>（表压），工作温度</w:t>
            </w:r>
            <w:r>
              <w:rPr>
                <w:rFonts w:hint="default" w:ascii="Times New Roman" w:hAnsi="Times New Roman" w:cs="Times New Roman" w:eastAsiaTheme="minorEastAsia"/>
                <w:szCs w:val="21"/>
                <w:lang w:val="en-US" w:eastAsia="zh-CN"/>
              </w:rPr>
              <w:t>135</w:t>
            </w:r>
            <w:r>
              <w:rPr>
                <w:rFonts w:hint="eastAsia" w:ascii="Times New Roman" w:hAnsi="Times New Roman" w:cs="Times New Roman" w:eastAsiaTheme="minorEastAsia"/>
                <w:szCs w:val="21"/>
                <w:lang w:val="en-US" w:eastAsia="zh-CN"/>
              </w:rPr>
              <w:t>℃，功率</w:t>
            </w:r>
            <w:r>
              <w:rPr>
                <w:rFonts w:hint="default" w:ascii="Times New Roman" w:hAnsi="Times New Roman" w:cs="Times New Roman" w:eastAsiaTheme="minorEastAsia"/>
                <w:szCs w:val="21"/>
                <w:lang w:val="en-US" w:eastAsia="zh-CN"/>
              </w:rPr>
              <w:t>2.5KW</w:t>
            </w:r>
            <w:r>
              <w:rPr>
                <w:rFonts w:hint="eastAsia" w:ascii="Times New Roman" w:hAnsi="Times New Roman" w:cs="Times New Roman" w:eastAsiaTheme="minorEastAsia"/>
                <w:szCs w:val="21"/>
                <w:lang w:val="en-US" w:eastAsia="zh-CN"/>
              </w:rPr>
              <w:t>，每个灭菌过程处理时间</w:t>
            </w:r>
            <w:r>
              <w:rPr>
                <w:rFonts w:hint="default" w:ascii="Times New Roman" w:hAnsi="Times New Roman" w:cs="Times New Roman" w:eastAsiaTheme="minorEastAsia"/>
                <w:szCs w:val="21"/>
                <w:lang w:val="en-US" w:eastAsia="zh-CN"/>
              </w:rPr>
              <w:t>≥45</w:t>
            </w:r>
            <w:r>
              <w:rPr>
                <w:rFonts w:hint="eastAsia" w:ascii="Times New Roman" w:hAnsi="Times New Roman" w:cs="Times New Roman" w:eastAsiaTheme="minorEastAsia"/>
                <w:szCs w:val="21"/>
                <w:lang w:val="en-US" w:eastAsia="zh-CN"/>
              </w:rPr>
              <w:t>分钟（可调）。灭菌舱做内部抛光处理，安装意大利原产液压系统控制舱门开启及联锁装置。</w:t>
            </w:r>
          </w:p>
        </w:tc>
      </w:tr>
      <w:tr w14:paraId="0B023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vAlign w:val="center"/>
          </w:tcPr>
          <w:p w14:paraId="5937E86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w:t>
            </w:r>
          </w:p>
        </w:tc>
        <w:tc>
          <w:tcPr>
            <w:tcW w:w="1200" w:type="dxa"/>
            <w:vAlign w:val="center"/>
          </w:tcPr>
          <w:p w14:paraId="1B53104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自动控制系统</w:t>
            </w:r>
          </w:p>
        </w:tc>
        <w:tc>
          <w:tcPr>
            <w:tcW w:w="777" w:type="dxa"/>
            <w:vAlign w:val="center"/>
          </w:tcPr>
          <w:p w14:paraId="71805ED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套</w:t>
            </w:r>
          </w:p>
        </w:tc>
        <w:tc>
          <w:tcPr>
            <w:tcW w:w="709" w:type="dxa"/>
            <w:vAlign w:val="center"/>
          </w:tcPr>
          <w:p w14:paraId="0034C13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w:t>
            </w:r>
          </w:p>
        </w:tc>
        <w:tc>
          <w:tcPr>
            <w:tcW w:w="5061" w:type="dxa"/>
            <w:vAlign w:val="center"/>
          </w:tcPr>
          <w:p w14:paraId="0492A903">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配备远程在线监控端子；自动记录及数据存储系统；自动报警。温度控制精度在</w:t>
            </w:r>
            <w:r>
              <w:rPr>
                <w:rFonts w:hint="default" w:ascii="Times New Roman" w:hAnsi="Times New Roman" w:cs="Times New Roman" w:eastAsiaTheme="minorEastAsia"/>
                <w:szCs w:val="21"/>
                <w:lang w:val="en-US" w:eastAsia="zh-CN"/>
              </w:rPr>
              <w:t>±1</w:t>
            </w:r>
            <w:r>
              <w:rPr>
                <w:rFonts w:hint="eastAsia" w:ascii="Times New Roman" w:hAnsi="Times New Roman" w:cs="Times New Roman" w:eastAsiaTheme="minorEastAsia"/>
                <w:szCs w:val="21"/>
                <w:lang w:val="en-US" w:eastAsia="zh-CN"/>
              </w:rPr>
              <w:t>℃，屏幕显示工作流程。</w:t>
            </w:r>
          </w:p>
        </w:tc>
      </w:tr>
      <w:tr w14:paraId="0E2EA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vAlign w:val="center"/>
          </w:tcPr>
          <w:p w14:paraId="6379128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w:t>
            </w:r>
          </w:p>
        </w:tc>
        <w:tc>
          <w:tcPr>
            <w:tcW w:w="1200" w:type="dxa"/>
            <w:vAlign w:val="center"/>
          </w:tcPr>
          <w:p w14:paraId="2EE4CC3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空气压缩机</w:t>
            </w:r>
          </w:p>
        </w:tc>
        <w:tc>
          <w:tcPr>
            <w:tcW w:w="777" w:type="dxa"/>
            <w:vAlign w:val="center"/>
          </w:tcPr>
          <w:p w14:paraId="0E1B7BF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台</w:t>
            </w:r>
          </w:p>
        </w:tc>
        <w:tc>
          <w:tcPr>
            <w:tcW w:w="709" w:type="dxa"/>
            <w:vAlign w:val="center"/>
          </w:tcPr>
          <w:p w14:paraId="770D53E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w:t>
            </w:r>
          </w:p>
        </w:tc>
        <w:tc>
          <w:tcPr>
            <w:tcW w:w="5061" w:type="dxa"/>
            <w:vAlign w:val="center"/>
          </w:tcPr>
          <w:p w14:paraId="0456A0A6">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排气流量</w:t>
            </w:r>
            <w:r>
              <w:rPr>
                <w:rFonts w:hint="default" w:ascii="Times New Roman" w:hAnsi="Times New Roman" w:cs="Times New Roman" w:eastAsiaTheme="minorEastAsia"/>
                <w:szCs w:val="21"/>
                <w:lang w:val="en-US" w:eastAsia="zh-CN"/>
              </w:rPr>
              <w:t>0.36m</w:t>
            </w:r>
            <w:r>
              <w:rPr>
                <w:rFonts w:hint="eastAsia" w:ascii="Times New Roman" w:hAnsi="Times New Roman" w:cs="Times New Roman" w:eastAsiaTheme="minorEastAsia"/>
                <w:szCs w:val="21"/>
                <w:vertAlign w:val="superscript"/>
                <w:lang w:val="en-US" w:eastAsia="zh-CN"/>
              </w:rPr>
              <w:t>3</w:t>
            </w:r>
            <w:r>
              <w:rPr>
                <w:rFonts w:hint="default" w:ascii="Times New Roman" w:hAnsi="Times New Roman" w:cs="Times New Roman" w:eastAsiaTheme="minorEastAsia"/>
                <w:szCs w:val="21"/>
                <w:lang w:val="en-US" w:eastAsia="zh-CN"/>
              </w:rPr>
              <w:t>/min</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0.8Mpa</w:t>
            </w:r>
            <w:r>
              <w:rPr>
                <w:rFonts w:hint="eastAsia" w:ascii="Times New Roman" w:hAnsi="Times New Roman" w:cs="Times New Roman" w:eastAsiaTheme="minorEastAsia"/>
                <w:szCs w:val="21"/>
                <w:lang w:val="en-US" w:eastAsia="zh-CN"/>
              </w:rPr>
              <w:t>。</w:t>
            </w:r>
          </w:p>
        </w:tc>
      </w:tr>
      <w:tr w14:paraId="2EE58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vAlign w:val="center"/>
          </w:tcPr>
          <w:p w14:paraId="1E3D772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w:t>
            </w:r>
          </w:p>
        </w:tc>
        <w:tc>
          <w:tcPr>
            <w:tcW w:w="1200" w:type="dxa"/>
            <w:vAlign w:val="center"/>
          </w:tcPr>
          <w:p w14:paraId="6A15A7D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高压清洗机</w:t>
            </w:r>
          </w:p>
        </w:tc>
        <w:tc>
          <w:tcPr>
            <w:tcW w:w="777" w:type="dxa"/>
            <w:vAlign w:val="center"/>
          </w:tcPr>
          <w:p w14:paraId="096D5AA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套</w:t>
            </w:r>
          </w:p>
        </w:tc>
        <w:tc>
          <w:tcPr>
            <w:tcW w:w="709" w:type="dxa"/>
            <w:vAlign w:val="center"/>
          </w:tcPr>
          <w:p w14:paraId="68A203F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w:t>
            </w:r>
          </w:p>
        </w:tc>
        <w:tc>
          <w:tcPr>
            <w:tcW w:w="5061" w:type="dxa"/>
            <w:vAlign w:val="center"/>
          </w:tcPr>
          <w:p w14:paraId="18BEBB47">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出水量</w:t>
            </w:r>
            <w:r>
              <w:rPr>
                <w:rFonts w:hint="default" w:ascii="Times New Roman" w:hAnsi="Times New Roman" w:cs="Times New Roman" w:eastAsiaTheme="minorEastAsia"/>
                <w:szCs w:val="21"/>
                <w:lang w:val="en-US" w:eastAsia="zh-CN"/>
              </w:rPr>
              <w:t>40L/min</w:t>
            </w:r>
            <w:r>
              <w:rPr>
                <w:rFonts w:hint="eastAsia" w:ascii="Times New Roman" w:hAnsi="Times New Roman" w:cs="Times New Roman" w:eastAsiaTheme="minorEastAsia"/>
                <w:szCs w:val="21"/>
                <w:lang w:val="en-US" w:eastAsia="zh-CN"/>
              </w:rPr>
              <w:t>，压力</w:t>
            </w:r>
            <w:r>
              <w:rPr>
                <w:rFonts w:hint="default" w:ascii="Times New Roman" w:hAnsi="Times New Roman" w:cs="Times New Roman" w:eastAsiaTheme="minorEastAsia"/>
                <w:szCs w:val="21"/>
                <w:lang w:val="en-US" w:eastAsia="zh-CN"/>
              </w:rPr>
              <w:t>55kg/cm</w:t>
            </w:r>
            <w:r>
              <w:rPr>
                <w:rFonts w:hint="eastAsia" w:ascii="Times New Roman" w:hAnsi="Times New Roman" w:cs="Times New Roman" w:eastAsiaTheme="minorEastAsia"/>
                <w:szCs w:val="21"/>
                <w:vertAlign w:val="superscript"/>
                <w:lang w:val="en-US" w:eastAsia="zh-CN"/>
              </w:rPr>
              <w:t>2</w:t>
            </w:r>
            <w:r>
              <w:rPr>
                <w:rFonts w:hint="eastAsia" w:ascii="Times New Roman" w:hAnsi="Times New Roman" w:cs="Times New Roman" w:eastAsiaTheme="minorEastAsia"/>
                <w:szCs w:val="21"/>
                <w:lang w:val="en-US" w:eastAsia="zh-CN"/>
              </w:rPr>
              <w:t>。</w:t>
            </w:r>
          </w:p>
        </w:tc>
      </w:tr>
      <w:tr w14:paraId="5AF61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vAlign w:val="center"/>
          </w:tcPr>
          <w:p w14:paraId="01DB899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8</w:t>
            </w:r>
          </w:p>
        </w:tc>
        <w:tc>
          <w:tcPr>
            <w:tcW w:w="1200" w:type="dxa"/>
            <w:vAlign w:val="center"/>
          </w:tcPr>
          <w:p w14:paraId="4388069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破碎机</w:t>
            </w:r>
          </w:p>
        </w:tc>
        <w:tc>
          <w:tcPr>
            <w:tcW w:w="777" w:type="dxa"/>
            <w:vAlign w:val="center"/>
          </w:tcPr>
          <w:p w14:paraId="02D8ECF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台</w:t>
            </w:r>
          </w:p>
        </w:tc>
        <w:tc>
          <w:tcPr>
            <w:tcW w:w="709" w:type="dxa"/>
            <w:vAlign w:val="center"/>
          </w:tcPr>
          <w:p w14:paraId="0533CD4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w:t>
            </w:r>
          </w:p>
        </w:tc>
        <w:tc>
          <w:tcPr>
            <w:tcW w:w="5061" w:type="dxa"/>
            <w:vAlign w:val="center"/>
          </w:tcPr>
          <w:p w14:paraId="6F5D330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r>
      <w:tr w14:paraId="21968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vAlign w:val="center"/>
          </w:tcPr>
          <w:p w14:paraId="2DB28D3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9</w:t>
            </w:r>
          </w:p>
        </w:tc>
        <w:tc>
          <w:tcPr>
            <w:tcW w:w="1200" w:type="dxa"/>
            <w:vAlign w:val="center"/>
          </w:tcPr>
          <w:p w14:paraId="0951797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密闭螺旋输送机</w:t>
            </w:r>
          </w:p>
        </w:tc>
        <w:tc>
          <w:tcPr>
            <w:tcW w:w="777" w:type="dxa"/>
            <w:vAlign w:val="center"/>
          </w:tcPr>
          <w:p w14:paraId="7304EC1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台</w:t>
            </w:r>
          </w:p>
        </w:tc>
        <w:tc>
          <w:tcPr>
            <w:tcW w:w="709" w:type="dxa"/>
            <w:vAlign w:val="center"/>
          </w:tcPr>
          <w:p w14:paraId="26CBCB4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w:t>
            </w:r>
          </w:p>
        </w:tc>
        <w:tc>
          <w:tcPr>
            <w:tcW w:w="5061" w:type="dxa"/>
            <w:vAlign w:val="center"/>
          </w:tcPr>
          <w:p w14:paraId="4BD7AF3C">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与破碎机配套，密闭式螺旋传输，不锈钢材质。</w:t>
            </w:r>
          </w:p>
        </w:tc>
      </w:tr>
      <w:tr w14:paraId="0E0FA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vAlign w:val="center"/>
          </w:tcPr>
          <w:p w14:paraId="7D1DE98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w:t>
            </w:r>
          </w:p>
        </w:tc>
        <w:tc>
          <w:tcPr>
            <w:tcW w:w="1200" w:type="dxa"/>
            <w:vAlign w:val="center"/>
          </w:tcPr>
          <w:p w14:paraId="68420EF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冷藏库</w:t>
            </w:r>
          </w:p>
        </w:tc>
        <w:tc>
          <w:tcPr>
            <w:tcW w:w="777" w:type="dxa"/>
            <w:vAlign w:val="center"/>
          </w:tcPr>
          <w:p w14:paraId="02B2A95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套</w:t>
            </w:r>
          </w:p>
        </w:tc>
        <w:tc>
          <w:tcPr>
            <w:tcW w:w="709" w:type="dxa"/>
            <w:vAlign w:val="center"/>
          </w:tcPr>
          <w:p w14:paraId="7639552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w:t>
            </w:r>
          </w:p>
        </w:tc>
        <w:tc>
          <w:tcPr>
            <w:tcW w:w="5061" w:type="dxa"/>
            <w:vAlign w:val="center"/>
          </w:tcPr>
          <w:p w14:paraId="52F7812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r>
      <w:tr w14:paraId="462F2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vAlign w:val="center"/>
          </w:tcPr>
          <w:p w14:paraId="770FFD3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11</w:t>
            </w:r>
          </w:p>
        </w:tc>
        <w:tc>
          <w:tcPr>
            <w:tcW w:w="1200" w:type="dxa"/>
            <w:vAlign w:val="center"/>
          </w:tcPr>
          <w:p w14:paraId="5F65513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燃油蒸汽锅炉</w:t>
            </w:r>
          </w:p>
        </w:tc>
        <w:tc>
          <w:tcPr>
            <w:tcW w:w="777" w:type="dxa"/>
            <w:vAlign w:val="center"/>
          </w:tcPr>
          <w:p w14:paraId="14124BF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台</w:t>
            </w:r>
          </w:p>
        </w:tc>
        <w:tc>
          <w:tcPr>
            <w:tcW w:w="709" w:type="dxa"/>
            <w:vAlign w:val="center"/>
          </w:tcPr>
          <w:p w14:paraId="0953518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w:t>
            </w:r>
          </w:p>
        </w:tc>
        <w:tc>
          <w:tcPr>
            <w:tcW w:w="5061" w:type="dxa"/>
            <w:vAlign w:val="center"/>
          </w:tcPr>
          <w:p w14:paraId="1761EE9A">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规格</w:t>
            </w:r>
            <w:r>
              <w:rPr>
                <w:rFonts w:hint="default" w:ascii="Times New Roman" w:hAnsi="Times New Roman" w:cs="Times New Roman" w:eastAsiaTheme="minorEastAsia"/>
                <w:szCs w:val="21"/>
                <w:lang w:val="en-US" w:eastAsia="zh-CN"/>
              </w:rPr>
              <w:t>1t/h</w:t>
            </w:r>
            <w:r>
              <w:rPr>
                <w:rFonts w:hint="eastAsia" w:ascii="Times New Roman" w:hAnsi="Times New Roman" w:cs="Times New Roman" w:eastAsiaTheme="minorEastAsia"/>
                <w:szCs w:val="21"/>
                <w:lang w:val="en-US" w:eastAsia="zh-CN"/>
              </w:rPr>
              <w:t>，工作压力</w:t>
            </w:r>
            <w:r>
              <w:rPr>
                <w:rFonts w:hint="default" w:ascii="Times New Roman" w:hAnsi="Times New Roman" w:cs="Times New Roman" w:eastAsiaTheme="minorEastAsia"/>
                <w:szCs w:val="21"/>
                <w:lang w:val="en-US" w:eastAsia="zh-CN"/>
              </w:rPr>
              <w:t>0.7Mpa</w:t>
            </w:r>
            <w:r>
              <w:rPr>
                <w:rFonts w:hint="eastAsia" w:ascii="Times New Roman" w:hAnsi="Times New Roman" w:cs="Times New Roman" w:eastAsiaTheme="minorEastAsia"/>
                <w:szCs w:val="21"/>
                <w:lang w:val="en-US" w:eastAsia="zh-CN"/>
              </w:rPr>
              <w:t>，蒸汽温度</w:t>
            </w:r>
            <w:r>
              <w:rPr>
                <w:rFonts w:hint="default" w:ascii="Times New Roman" w:hAnsi="Times New Roman" w:cs="Times New Roman" w:eastAsiaTheme="minorEastAsia"/>
                <w:szCs w:val="21"/>
                <w:lang w:val="en-US" w:eastAsia="zh-CN"/>
              </w:rPr>
              <w:t>170</w:t>
            </w:r>
            <w:r>
              <w:rPr>
                <w:rFonts w:hint="eastAsia" w:ascii="Times New Roman" w:hAnsi="Times New Roman" w:cs="Times New Roman" w:eastAsiaTheme="minorEastAsia"/>
                <w:szCs w:val="21"/>
                <w:lang w:val="en-US" w:eastAsia="zh-CN"/>
              </w:rPr>
              <w:t>℃。具备手动及全自动运行功能，全自动微电脑操作设置有启停、高、低水位、超压、超温、熄火等多种保护功能。</w:t>
            </w:r>
          </w:p>
        </w:tc>
      </w:tr>
      <w:tr w14:paraId="55672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vAlign w:val="center"/>
          </w:tcPr>
          <w:p w14:paraId="1325CB6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12</w:t>
            </w:r>
          </w:p>
        </w:tc>
        <w:tc>
          <w:tcPr>
            <w:tcW w:w="1200" w:type="dxa"/>
            <w:vAlign w:val="center"/>
          </w:tcPr>
          <w:p w14:paraId="61FD437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软水处理装置</w:t>
            </w:r>
          </w:p>
        </w:tc>
        <w:tc>
          <w:tcPr>
            <w:tcW w:w="777" w:type="dxa"/>
            <w:vAlign w:val="center"/>
          </w:tcPr>
          <w:p w14:paraId="58BD656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套</w:t>
            </w:r>
          </w:p>
        </w:tc>
        <w:tc>
          <w:tcPr>
            <w:tcW w:w="709" w:type="dxa"/>
            <w:vAlign w:val="center"/>
          </w:tcPr>
          <w:p w14:paraId="0C7AB83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w:t>
            </w:r>
          </w:p>
        </w:tc>
        <w:tc>
          <w:tcPr>
            <w:tcW w:w="5061" w:type="dxa"/>
            <w:vAlign w:val="center"/>
          </w:tcPr>
          <w:p w14:paraId="2AF1F29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r>
      <w:tr w14:paraId="1A0B6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vAlign w:val="center"/>
          </w:tcPr>
          <w:p w14:paraId="7B0B17B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13</w:t>
            </w:r>
          </w:p>
        </w:tc>
        <w:tc>
          <w:tcPr>
            <w:tcW w:w="1200" w:type="dxa"/>
            <w:vAlign w:val="center"/>
          </w:tcPr>
          <w:p w14:paraId="3D926DE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柴油储罐</w:t>
            </w:r>
          </w:p>
        </w:tc>
        <w:tc>
          <w:tcPr>
            <w:tcW w:w="777" w:type="dxa"/>
            <w:vAlign w:val="center"/>
          </w:tcPr>
          <w:p w14:paraId="4EDB49E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台</w:t>
            </w:r>
          </w:p>
        </w:tc>
        <w:tc>
          <w:tcPr>
            <w:tcW w:w="709" w:type="dxa"/>
            <w:vAlign w:val="center"/>
          </w:tcPr>
          <w:p w14:paraId="4EFE408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w:t>
            </w:r>
          </w:p>
        </w:tc>
        <w:tc>
          <w:tcPr>
            <w:tcW w:w="5061" w:type="dxa"/>
            <w:vAlign w:val="center"/>
          </w:tcPr>
          <w:p w14:paraId="35F1A70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容积3m</w:t>
            </w:r>
            <w:r>
              <w:rPr>
                <w:rFonts w:hint="eastAsia" w:ascii="Times New Roman" w:hAnsi="Times New Roman" w:cs="Times New Roman" w:eastAsiaTheme="minorEastAsia"/>
                <w:szCs w:val="21"/>
                <w:vertAlign w:val="superscript"/>
                <w:lang w:val="en-US" w:eastAsia="zh-CN"/>
              </w:rPr>
              <w:t>3</w:t>
            </w:r>
            <w:r>
              <w:rPr>
                <w:rFonts w:hint="eastAsia" w:ascii="Times New Roman" w:hAnsi="Times New Roman" w:cs="Times New Roman" w:eastAsiaTheme="minorEastAsia"/>
                <w:szCs w:val="21"/>
                <w:lang w:val="en-US" w:eastAsia="zh-CN"/>
              </w:rPr>
              <w:t>。</w:t>
            </w:r>
          </w:p>
        </w:tc>
      </w:tr>
      <w:tr w14:paraId="02FA4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vAlign w:val="center"/>
          </w:tcPr>
          <w:p w14:paraId="0222108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14</w:t>
            </w:r>
          </w:p>
        </w:tc>
        <w:tc>
          <w:tcPr>
            <w:tcW w:w="1200" w:type="dxa"/>
            <w:vAlign w:val="center"/>
          </w:tcPr>
          <w:p w14:paraId="3A22638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车间污水处理系统</w:t>
            </w:r>
          </w:p>
        </w:tc>
        <w:tc>
          <w:tcPr>
            <w:tcW w:w="777" w:type="dxa"/>
            <w:vAlign w:val="center"/>
          </w:tcPr>
          <w:p w14:paraId="4CD92DC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套</w:t>
            </w:r>
          </w:p>
        </w:tc>
        <w:tc>
          <w:tcPr>
            <w:tcW w:w="709" w:type="dxa"/>
            <w:vAlign w:val="center"/>
          </w:tcPr>
          <w:p w14:paraId="6DC1CB2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w:t>
            </w:r>
          </w:p>
        </w:tc>
        <w:tc>
          <w:tcPr>
            <w:tcW w:w="5061" w:type="dxa"/>
            <w:vAlign w:val="center"/>
          </w:tcPr>
          <w:p w14:paraId="3AF99F50">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含潜水泵、曝气机、二氧化氯协同发生器等（每小时产氯量为</w:t>
            </w:r>
            <w:r>
              <w:rPr>
                <w:rFonts w:hint="default" w:ascii="Times New Roman" w:hAnsi="Times New Roman" w:cs="Times New Roman" w:eastAsiaTheme="minorEastAsia"/>
                <w:szCs w:val="21"/>
                <w:lang w:val="en-US" w:eastAsia="zh-CN"/>
              </w:rPr>
              <w:t>100g</w:t>
            </w:r>
            <w:r>
              <w:rPr>
                <w:rFonts w:hint="eastAsia" w:ascii="Times New Roman" w:hAnsi="Times New Roman" w:cs="Times New Roman" w:eastAsiaTheme="minorEastAsia"/>
                <w:szCs w:val="21"/>
                <w:lang w:val="en-US" w:eastAsia="zh-CN"/>
              </w:rPr>
              <w:t>）</w:t>
            </w:r>
          </w:p>
        </w:tc>
      </w:tr>
      <w:tr w14:paraId="15D9E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vAlign w:val="center"/>
          </w:tcPr>
          <w:p w14:paraId="4933CD4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15</w:t>
            </w:r>
          </w:p>
        </w:tc>
        <w:tc>
          <w:tcPr>
            <w:tcW w:w="1200" w:type="dxa"/>
            <w:vAlign w:val="center"/>
          </w:tcPr>
          <w:p w14:paraId="711EBA3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废气处理设备</w:t>
            </w:r>
          </w:p>
        </w:tc>
        <w:tc>
          <w:tcPr>
            <w:tcW w:w="777" w:type="dxa"/>
            <w:vAlign w:val="center"/>
          </w:tcPr>
          <w:p w14:paraId="01007C0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套</w:t>
            </w:r>
          </w:p>
        </w:tc>
        <w:tc>
          <w:tcPr>
            <w:tcW w:w="709" w:type="dxa"/>
            <w:vAlign w:val="center"/>
          </w:tcPr>
          <w:p w14:paraId="554D1D4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w:t>
            </w:r>
          </w:p>
        </w:tc>
        <w:tc>
          <w:tcPr>
            <w:tcW w:w="5061" w:type="dxa"/>
            <w:vAlign w:val="center"/>
          </w:tcPr>
          <w:p w14:paraId="0E30B2C2">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安装有真空泵，</w:t>
            </w:r>
            <w:r>
              <w:rPr>
                <w:rFonts w:hint="eastAsia" w:ascii="Times New Roman" w:hAnsi="Times New Roman" w:cs="Times New Roman"/>
                <w:szCs w:val="21"/>
                <w:lang w:val="en-US" w:eastAsia="zh-CN"/>
              </w:rPr>
              <w:t>配备</w:t>
            </w:r>
            <w:r>
              <w:rPr>
                <w:rFonts w:hint="eastAsia" w:ascii="Times New Roman" w:hAnsi="Times New Roman" w:cs="Times New Roman" w:eastAsiaTheme="minorEastAsia"/>
                <w:szCs w:val="21"/>
                <w:lang w:val="en-US" w:eastAsia="zh-CN"/>
              </w:rPr>
              <w:t>美国原装</w:t>
            </w:r>
            <w:r>
              <w:rPr>
                <w:rFonts w:hint="default" w:ascii="Times New Roman" w:hAnsi="Times New Roman" w:cs="Times New Roman" w:eastAsiaTheme="minorEastAsia"/>
                <w:szCs w:val="21"/>
                <w:lang w:val="en-US" w:eastAsia="zh-CN"/>
              </w:rPr>
              <w:t>PALL</w:t>
            </w:r>
            <w:r>
              <w:rPr>
                <w:rFonts w:hint="eastAsia" w:ascii="Times New Roman" w:hAnsi="Times New Roman" w:cs="Times New Roman" w:eastAsiaTheme="minorEastAsia"/>
                <w:szCs w:val="21"/>
                <w:lang w:val="en-US" w:eastAsia="zh-CN"/>
              </w:rPr>
              <w:t>高效生物过滤器及活性炭吸附器装置。</w:t>
            </w:r>
          </w:p>
        </w:tc>
      </w:tr>
      <w:tr w14:paraId="61128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vAlign w:val="center"/>
          </w:tcPr>
          <w:p w14:paraId="2F05C9F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16</w:t>
            </w:r>
          </w:p>
        </w:tc>
        <w:tc>
          <w:tcPr>
            <w:tcW w:w="1200" w:type="dxa"/>
            <w:vAlign w:val="center"/>
          </w:tcPr>
          <w:p w14:paraId="17C206F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医疗废物转运车</w:t>
            </w:r>
          </w:p>
        </w:tc>
        <w:tc>
          <w:tcPr>
            <w:tcW w:w="777" w:type="dxa"/>
            <w:vAlign w:val="center"/>
          </w:tcPr>
          <w:p w14:paraId="5FC0D49C">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辆</w:t>
            </w:r>
          </w:p>
        </w:tc>
        <w:tc>
          <w:tcPr>
            <w:tcW w:w="709" w:type="dxa"/>
            <w:vAlign w:val="center"/>
          </w:tcPr>
          <w:p w14:paraId="0AD6022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w:t>
            </w:r>
          </w:p>
        </w:tc>
        <w:tc>
          <w:tcPr>
            <w:tcW w:w="5061" w:type="dxa"/>
            <w:vAlign w:val="center"/>
          </w:tcPr>
          <w:p w14:paraId="6AD4D13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r>
      <w:tr w14:paraId="28D57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vAlign w:val="center"/>
          </w:tcPr>
          <w:p w14:paraId="2A987B3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17</w:t>
            </w:r>
          </w:p>
        </w:tc>
        <w:tc>
          <w:tcPr>
            <w:tcW w:w="1200" w:type="dxa"/>
            <w:vAlign w:val="center"/>
          </w:tcPr>
          <w:p w14:paraId="6BA3E6E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自动称量地磅</w:t>
            </w:r>
          </w:p>
        </w:tc>
        <w:tc>
          <w:tcPr>
            <w:tcW w:w="777" w:type="dxa"/>
            <w:vAlign w:val="center"/>
          </w:tcPr>
          <w:p w14:paraId="6B1AD79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套</w:t>
            </w:r>
          </w:p>
        </w:tc>
        <w:tc>
          <w:tcPr>
            <w:tcW w:w="709" w:type="dxa"/>
            <w:vAlign w:val="center"/>
          </w:tcPr>
          <w:p w14:paraId="215A9A1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w:t>
            </w:r>
          </w:p>
        </w:tc>
        <w:tc>
          <w:tcPr>
            <w:tcW w:w="5061" w:type="dxa"/>
            <w:vAlign w:val="center"/>
          </w:tcPr>
          <w:p w14:paraId="1D03175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r>
    </w:tbl>
    <w:p w14:paraId="31105A54">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26" w:name="_Toc17266"/>
      <w:r>
        <w:rPr>
          <w:rFonts w:hint="eastAsia" w:ascii="Times New Roman" w:hAnsi="Times New Roman" w:cs="Times New Roman" w:eastAsiaTheme="minorEastAsia"/>
          <w:kern w:val="0"/>
          <w:sz w:val="24"/>
          <w:szCs w:val="24"/>
          <w:lang w:val="en-US" w:eastAsia="zh-CN"/>
        </w:rPr>
        <w:t>3.1.2现有项目的医疗废物处置能力及类型</w:t>
      </w:r>
      <w:bookmarkEnd w:id="126"/>
    </w:p>
    <w:p w14:paraId="3507570E">
      <w:pPr>
        <w:adjustRightInd w:val="0"/>
        <w:snapToGrid w:val="0"/>
        <w:spacing w:line="500" w:lineRule="exact"/>
        <w:jc w:val="left"/>
        <w:rPr>
          <w:rFonts w:hint="eastAsia" w:ascii="Times New Roman" w:hAnsi="Times New Roman" w:cs="Times New Roman" w:eastAsiaTheme="minorEastAsia"/>
          <w:b/>
          <w:bCs/>
          <w:sz w:val="24"/>
          <w:highlight w:val="none"/>
          <w:lang w:val="en-US" w:eastAsia="zh-CN"/>
        </w:rPr>
      </w:pPr>
      <w:r>
        <w:rPr>
          <w:rFonts w:hint="eastAsia" w:ascii="Times New Roman" w:hAnsi="Times New Roman" w:cs="Times New Roman" w:eastAsiaTheme="minorEastAsia"/>
          <w:b/>
          <w:bCs/>
          <w:sz w:val="24"/>
          <w:highlight w:val="none"/>
          <w:lang w:val="en-US" w:eastAsia="zh-CN"/>
        </w:rPr>
        <w:t>3.1.2.1现有项目的处置能力</w:t>
      </w:r>
    </w:p>
    <w:p w14:paraId="16737D45">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现有项目主要建设了</w:t>
      </w:r>
      <w:r>
        <w:rPr>
          <w:rFonts w:hint="default" w:ascii="Times New Roman" w:hAnsi="Times New Roman" w:cs="Times New Roman" w:eastAsiaTheme="minorEastAsia"/>
          <w:sz w:val="24"/>
          <w:lang w:val="en-US" w:eastAsia="zh-CN"/>
        </w:rPr>
        <w:t>1</w:t>
      </w:r>
      <w:r>
        <w:rPr>
          <w:rFonts w:hint="eastAsia" w:ascii="Times New Roman" w:hAnsi="Times New Roman" w:cs="Times New Roman" w:eastAsiaTheme="minorEastAsia"/>
          <w:sz w:val="24"/>
          <w:lang w:val="en-US" w:eastAsia="zh-CN"/>
        </w:rPr>
        <w:t>套医疗废物高温蒸煮设备和破碎设备，并配套建设了燃油锅炉、破碎机、冷藏库、自动称量地磅、废气处理设备、污水处理系统等设施；对医疗废物的处置能力为</w:t>
      </w:r>
      <w:r>
        <w:rPr>
          <w:rFonts w:hint="default" w:ascii="Times New Roman" w:hAnsi="Times New Roman" w:cs="Times New Roman" w:eastAsiaTheme="minorEastAsia"/>
          <w:sz w:val="24"/>
          <w:lang w:val="en-US" w:eastAsia="zh-CN"/>
        </w:rPr>
        <w:t>5t/d</w:t>
      </w:r>
      <w:r>
        <w:rPr>
          <w:rFonts w:hint="eastAsia" w:ascii="Times New Roman" w:hAnsi="Times New Roman" w:cs="Times New Roman" w:eastAsiaTheme="minorEastAsia"/>
          <w:sz w:val="24"/>
          <w:lang w:val="en-US" w:eastAsia="zh-CN"/>
        </w:rPr>
        <w:t>。</w:t>
      </w:r>
    </w:p>
    <w:p w14:paraId="7F65B7C8">
      <w:pPr>
        <w:adjustRightInd w:val="0"/>
        <w:snapToGrid w:val="0"/>
        <w:spacing w:line="500" w:lineRule="exact"/>
        <w:jc w:val="left"/>
        <w:rPr>
          <w:rFonts w:hint="eastAsia" w:ascii="Times New Roman" w:hAnsi="Times New Roman" w:cs="Times New Roman" w:eastAsiaTheme="minorEastAsia"/>
          <w:b/>
          <w:bCs/>
          <w:sz w:val="24"/>
          <w:highlight w:val="none"/>
          <w:lang w:val="en-US" w:eastAsia="zh-CN"/>
        </w:rPr>
      </w:pPr>
      <w:r>
        <w:rPr>
          <w:rFonts w:hint="eastAsia" w:ascii="Times New Roman" w:hAnsi="Times New Roman" w:cs="Times New Roman" w:eastAsiaTheme="minorEastAsia"/>
          <w:b/>
          <w:bCs/>
          <w:sz w:val="24"/>
          <w:highlight w:val="none"/>
          <w:lang w:val="en-US" w:eastAsia="zh-CN"/>
        </w:rPr>
        <w:t>3.1.2.2现有项目的处置对象</w:t>
      </w:r>
    </w:p>
    <w:p w14:paraId="06ACC3BF">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现有项目采用高温蒸汽灭菌处理技术，该技术适用于处置《医疗废物分类目录》和《国家危险废物名录》中的感染性废物、损伤性废物及病理切片后废弃的人体组织、病理蜡块等不可辨识的病理性废物；不适用于处理药物性废物、化学性废物。</w:t>
      </w:r>
    </w:p>
    <w:p w14:paraId="35997126">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现有项目的可处置医疗废物的类型要求如下表</w:t>
      </w:r>
      <w:r>
        <w:rPr>
          <w:rFonts w:hint="default" w:ascii="Times New Roman" w:hAnsi="Times New Roman" w:cs="Times New Roman" w:eastAsiaTheme="minorEastAsia"/>
          <w:sz w:val="24"/>
          <w:lang w:val="en-US" w:eastAsia="zh-CN"/>
        </w:rPr>
        <w:t>3.1-3</w:t>
      </w:r>
      <w:r>
        <w:rPr>
          <w:rFonts w:hint="eastAsia" w:ascii="Times New Roman" w:hAnsi="Times New Roman" w:cs="Times New Roman" w:eastAsiaTheme="minorEastAsia"/>
          <w:sz w:val="24"/>
          <w:lang w:val="en-US" w:eastAsia="zh-CN"/>
        </w:rPr>
        <w:t>。</w:t>
      </w:r>
    </w:p>
    <w:p w14:paraId="04098379">
      <w:pPr>
        <w:adjustRightInd w:val="0"/>
        <w:snapToGrid w:val="0"/>
        <w:spacing w:before="250"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表3.1-3  现有项目可处置医疗废物类型一览表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7815"/>
      </w:tblGrid>
      <w:tr w14:paraId="04E55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07" w:type="dxa"/>
            <w:vAlign w:val="center"/>
          </w:tcPr>
          <w:p w14:paraId="48BE3E9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类别</w:t>
            </w:r>
          </w:p>
        </w:tc>
        <w:tc>
          <w:tcPr>
            <w:tcW w:w="7815" w:type="dxa"/>
          </w:tcPr>
          <w:p w14:paraId="76FAEB0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常见组分或者废物名称</w:t>
            </w:r>
          </w:p>
        </w:tc>
      </w:tr>
      <w:tr w14:paraId="53DD0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Merge w:val="restart"/>
            <w:vAlign w:val="center"/>
          </w:tcPr>
          <w:p w14:paraId="3A5D1FA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感染性废物</w:t>
            </w:r>
          </w:p>
        </w:tc>
        <w:tc>
          <w:tcPr>
            <w:tcW w:w="7815" w:type="dxa"/>
          </w:tcPr>
          <w:p w14:paraId="66ACC605">
            <w:pPr>
              <w:autoSpaceDE w:val="0"/>
              <w:autoSpaceDN w:val="0"/>
              <w:spacing w:line="300" w:lineRule="exact"/>
              <w:jc w:val="left"/>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1、被病人血液、体液、排泄物污染的物品，包括：</w:t>
            </w:r>
          </w:p>
          <w:p w14:paraId="1F785741">
            <w:pPr>
              <w:autoSpaceDE w:val="0"/>
              <w:autoSpaceDN w:val="0"/>
              <w:spacing w:line="300" w:lineRule="exact"/>
              <w:jc w:val="left"/>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-－棉球、棉签、引流棉条、纱布及其他各种敷料；</w:t>
            </w:r>
          </w:p>
          <w:p w14:paraId="45296E4D">
            <w:pPr>
              <w:autoSpaceDE w:val="0"/>
              <w:autoSpaceDN w:val="0"/>
              <w:spacing w:line="300" w:lineRule="exact"/>
              <w:jc w:val="left"/>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-－一次性使用卫生用品、一次性使用医疗用品及一次性医疗器械；</w:t>
            </w:r>
          </w:p>
          <w:p w14:paraId="6DBB84A4">
            <w:pPr>
              <w:autoSpaceDE w:val="0"/>
              <w:autoSpaceDN w:val="0"/>
              <w:spacing w:line="300" w:lineRule="exact"/>
              <w:jc w:val="left"/>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-－废气的披服；</w:t>
            </w:r>
          </w:p>
          <w:p w14:paraId="2B228DC4">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-－其他被病人血液、体液、排泄物污染的物品。</w:t>
            </w:r>
          </w:p>
        </w:tc>
      </w:tr>
      <w:tr w14:paraId="5C98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Merge w:val="continue"/>
            <w:vAlign w:val="center"/>
          </w:tcPr>
          <w:p w14:paraId="2D0CDC5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815" w:type="dxa"/>
          </w:tcPr>
          <w:p w14:paraId="7A62706B">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2、医疗机构收治的隔离传染病人或者疑似传染病病人产生的生活垃圾。</w:t>
            </w:r>
          </w:p>
        </w:tc>
      </w:tr>
      <w:tr w14:paraId="11A03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Merge w:val="continue"/>
            <w:vAlign w:val="center"/>
          </w:tcPr>
          <w:p w14:paraId="42C1792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815" w:type="dxa"/>
          </w:tcPr>
          <w:p w14:paraId="4858823F">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3、病原体的培养基、标本和菌种、毒种保存液。</w:t>
            </w:r>
          </w:p>
        </w:tc>
      </w:tr>
      <w:tr w14:paraId="16CA2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Merge w:val="continue"/>
            <w:vAlign w:val="center"/>
          </w:tcPr>
          <w:p w14:paraId="4396215A">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815" w:type="dxa"/>
          </w:tcPr>
          <w:p w14:paraId="14E70952">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w:t>
            </w:r>
            <w:r>
              <w:rPr>
                <w:rFonts w:hint="eastAsia" w:ascii="Times New Roman" w:hAnsi="Times New Roman" w:cs="Times New Roman" w:eastAsiaTheme="minorEastAsia"/>
                <w:szCs w:val="21"/>
                <w:lang w:val="en-US" w:eastAsia="zh-CN"/>
              </w:rPr>
              <w:t>、各种废弃的医学标本。</w:t>
            </w:r>
          </w:p>
        </w:tc>
      </w:tr>
      <w:tr w14:paraId="36461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Merge w:val="continue"/>
            <w:vAlign w:val="center"/>
          </w:tcPr>
          <w:p w14:paraId="7399E42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815" w:type="dxa"/>
          </w:tcPr>
          <w:p w14:paraId="69302F2E">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w:t>
            </w:r>
            <w:r>
              <w:rPr>
                <w:rFonts w:hint="eastAsia" w:ascii="Times New Roman" w:hAnsi="Times New Roman" w:cs="Times New Roman" w:eastAsiaTheme="minorEastAsia"/>
                <w:szCs w:val="21"/>
                <w:lang w:val="en-US" w:eastAsia="zh-CN"/>
              </w:rPr>
              <w:t>、废弃的血液、血清。</w:t>
            </w:r>
          </w:p>
        </w:tc>
      </w:tr>
      <w:tr w14:paraId="2D37F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Merge w:val="continue"/>
            <w:vAlign w:val="center"/>
          </w:tcPr>
          <w:p w14:paraId="6863C1B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815" w:type="dxa"/>
          </w:tcPr>
          <w:p w14:paraId="751E7D93">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w:t>
            </w:r>
            <w:r>
              <w:rPr>
                <w:rFonts w:hint="eastAsia" w:ascii="Times New Roman" w:hAnsi="Times New Roman" w:cs="Times New Roman" w:eastAsiaTheme="minorEastAsia"/>
                <w:szCs w:val="21"/>
                <w:lang w:val="en-US" w:eastAsia="zh-CN"/>
              </w:rPr>
              <w:t>、使用后的一次性使用医疗用品及一次性医疗器械视为感染性废物。</w:t>
            </w:r>
          </w:p>
        </w:tc>
      </w:tr>
      <w:tr w14:paraId="4A409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Merge w:val="restart"/>
            <w:vAlign w:val="center"/>
          </w:tcPr>
          <w:p w14:paraId="69E7C4A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损伤性废物</w:t>
            </w:r>
          </w:p>
        </w:tc>
        <w:tc>
          <w:tcPr>
            <w:tcW w:w="7815" w:type="dxa"/>
          </w:tcPr>
          <w:p w14:paraId="2B152640">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r>
              <w:rPr>
                <w:rFonts w:hint="eastAsia" w:ascii="Times New Roman" w:hAnsi="Times New Roman" w:cs="Times New Roman" w:eastAsiaTheme="minorEastAsia"/>
                <w:szCs w:val="21"/>
                <w:lang w:val="en-US" w:eastAsia="zh-CN"/>
              </w:rPr>
              <w:t>、医用针头、缝合针。</w:t>
            </w:r>
          </w:p>
        </w:tc>
      </w:tr>
      <w:tr w14:paraId="7401F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Merge w:val="continue"/>
            <w:vAlign w:val="center"/>
          </w:tcPr>
          <w:p w14:paraId="60CE1A2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815" w:type="dxa"/>
          </w:tcPr>
          <w:p w14:paraId="3C63E74A">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w:t>
            </w:r>
            <w:r>
              <w:rPr>
                <w:rFonts w:hint="eastAsia" w:ascii="Times New Roman" w:hAnsi="Times New Roman" w:cs="Times New Roman" w:eastAsiaTheme="minorEastAsia"/>
                <w:szCs w:val="21"/>
                <w:lang w:val="en-US" w:eastAsia="zh-CN"/>
              </w:rPr>
              <w:t>、各类医用锐器，包括：解剖刀、手术刀、备皮刀、手术锯等。</w:t>
            </w:r>
          </w:p>
        </w:tc>
      </w:tr>
      <w:tr w14:paraId="5E87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Merge w:val="continue"/>
            <w:vAlign w:val="center"/>
          </w:tcPr>
          <w:p w14:paraId="562E6DC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815" w:type="dxa"/>
          </w:tcPr>
          <w:p w14:paraId="116B09E9">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w:t>
            </w:r>
            <w:r>
              <w:rPr>
                <w:rFonts w:hint="eastAsia" w:ascii="Times New Roman" w:hAnsi="Times New Roman" w:cs="Times New Roman" w:eastAsiaTheme="minorEastAsia"/>
                <w:szCs w:val="21"/>
                <w:lang w:val="en-US" w:eastAsia="zh-CN"/>
              </w:rPr>
              <w:t>、载玻片、玻璃试管、玻璃安瓿等</w:t>
            </w:r>
          </w:p>
        </w:tc>
      </w:tr>
      <w:tr w14:paraId="6EBD1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Merge w:val="restart"/>
            <w:vAlign w:val="center"/>
          </w:tcPr>
          <w:p w14:paraId="76A2BE2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病理性废物</w:t>
            </w:r>
          </w:p>
        </w:tc>
        <w:tc>
          <w:tcPr>
            <w:tcW w:w="7815" w:type="dxa"/>
          </w:tcPr>
          <w:p w14:paraId="2D32638B">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r>
              <w:rPr>
                <w:rFonts w:hint="eastAsia" w:ascii="Times New Roman" w:hAnsi="Times New Roman" w:cs="Times New Roman" w:eastAsiaTheme="minorEastAsia"/>
                <w:szCs w:val="21"/>
                <w:lang w:val="en-US" w:eastAsia="zh-CN"/>
              </w:rPr>
              <w:t>、手术及其他医学服务过程中产生的废弃的人体组织、器官；</w:t>
            </w:r>
          </w:p>
        </w:tc>
      </w:tr>
      <w:tr w14:paraId="7B48B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Merge w:val="continue"/>
          </w:tcPr>
          <w:p w14:paraId="49EB53D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815" w:type="dxa"/>
          </w:tcPr>
          <w:p w14:paraId="6C8F2123">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w:t>
            </w:r>
            <w:r>
              <w:rPr>
                <w:rFonts w:hint="eastAsia" w:ascii="Times New Roman" w:hAnsi="Times New Roman" w:cs="Times New Roman" w:eastAsiaTheme="minorEastAsia"/>
                <w:szCs w:val="21"/>
                <w:lang w:val="en-US" w:eastAsia="zh-CN"/>
              </w:rPr>
              <w:t>、病理切片后废弃的人体组织、病理蜡块；</w:t>
            </w:r>
          </w:p>
        </w:tc>
      </w:tr>
      <w:tr w14:paraId="32265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Merge w:val="continue"/>
          </w:tcPr>
          <w:p w14:paraId="24CEBFE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815" w:type="dxa"/>
          </w:tcPr>
          <w:p w14:paraId="536D2ED5">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w:t>
            </w:r>
            <w:r>
              <w:rPr>
                <w:rFonts w:hint="eastAsia" w:ascii="Times New Roman" w:hAnsi="Times New Roman" w:cs="Times New Roman" w:eastAsiaTheme="minorEastAsia"/>
                <w:szCs w:val="21"/>
                <w:lang w:val="en-US" w:eastAsia="zh-CN"/>
              </w:rPr>
              <w:t>、废弃的医学实验动物的组织和尸体；</w:t>
            </w:r>
          </w:p>
        </w:tc>
      </w:tr>
      <w:tr w14:paraId="6E388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Merge w:val="continue"/>
          </w:tcPr>
          <w:p w14:paraId="5BB6136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815" w:type="dxa"/>
          </w:tcPr>
          <w:p w14:paraId="0F761330">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16</w:t>
            </w:r>
            <w:r>
              <w:rPr>
                <w:rFonts w:hint="eastAsia" w:ascii="Times New Roman" w:hAnsi="Times New Roman" w:cs="Times New Roman" w:eastAsiaTheme="minorEastAsia"/>
                <w:szCs w:val="21"/>
                <w:lang w:val="en-US" w:eastAsia="zh-CN"/>
              </w:rPr>
              <w:t>周胎龄以下或重量不足</w:t>
            </w:r>
            <w:r>
              <w:rPr>
                <w:rFonts w:hint="default" w:ascii="Times New Roman" w:hAnsi="Times New Roman" w:cs="Times New Roman" w:eastAsiaTheme="minorEastAsia"/>
                <w:szCs w:val="21"/>
                <w:lang w:val="en-US" w:eastAsia="zh-CN"/>
              </w:rPr>
              <w:t>500</w:t>
            </w:r>
            <w:r>
              <w:rPr>
                <w:rFonts w:hint="eastAsia" w:ascii="Times New Roman" w:hAnsi="Times New Roman" w:cs="Times New Roman" w:eastAsiaTheme="minorEastAsia"/>
                <w:szCs w:val="21"/>
                <w:lang w:val="en-US" w:eastAsia="zh-CN"/>
              </w:rPr>
              <w:t>克的胚胎组织等；</w:t>
            </w:r>
          </w:p>
        </w:tc>
      </w:tr>
      <w:tr w14:paraId="7F56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Merge w:val="continue"/>
          </w:tcPr>
          <w:p w14:paraId="768A0FB3">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815" w:type="dxa"/>
          </w:tcPr>
          <w:p w14:paraId="44FD595E">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w:t>
            </w:r>
            <w:r>
              <w:rPr>
                <w:rFonts w:hint="eastAsia" w:ascii="Times New Roman" w:hAnsi="Times New Roman" w:cs="Times New Roman" w:eastAsiaTheme="minorEastAsia"/>
                <w:szCs w:val="21"/>
                <w:lang w:val="en-US" w:eastAsia="zh-CN"/>
              </w:rPr>
              <w:t>、确诊、疑似传染病或携带传染病病原体的产妇的胎盘。</w:t>
            </w:r>
          </w:p>
        </w:tc>
      </w:tr>
    </w:tbl>
    <w:p w14:paraId="4395C08A">
      <w:pPr>
        <w:adjustRightInd w:val="0"/>
        <w:snapToGrid w:val="0"/>
        <w:spacing w:line="500" w:lineRule="exact"/>
        <w:jc w:val="left"/>
        <w:rPr>
          <w:rFonts w:hint="eastAsia" w:ascii="Times New Roman" w:hAnsi="Times New Roman" w:cs="Times New Roman" w:eastAsiaTheme="minorEastAsia"/>
          <w:b/>
          <w:bCs/>
          <w:sz w:val="24"/>
          <w:highlight w:val="none"/>
          <w:lang w:val="en-US" w:eastAsia="zh-CN"/>
        </w:rPr>
      </w:pPr>
      <w:r>
        <w:rPr>
          <w:rFonts w:hint="eastAsia" w:ascii="Times New Roman" w:hAnsi="Times New Roman" w:cs="Times New Roman" w:eastAsiaTheme="minorEastAsia"/>
          <w:b/>
          <w:bCs/>
          <w:sz w:val="24"/>
          <w:highlight w:val="none"/>
          <w:lang w:val="en-US" w:eastAsia="zh-CN"/>
        </w:rPr>
        <w:t>3.1.2.3现有项目医疗废物的主要来源和收集情况</w:t>
      </w:r>
    </w:p>
    <w:p w14:paraId="765103A1">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1</w:t>
      </w:r>
      <w:r>
        <w:rPr>
          <w:rFonts w:hint="eastAsia" w:ascii="Times New Roman" w:hAnsi="Times New Roman" w:cs="Times New Roman" w:eastAsiaTheme="minorEastAsia"/>
          <w:sz w:val="24"/>
          <w:highlight w:val="none"/>
          <w:lang w:val="en-US" w:eastAsia="zh-CN"/>
        </w:rPr>
        <w:t>）现有项目处置的医疗废物为《医疗废物分类目录》和《国家危险废物名录》中的感染性废物和损伤性废物，医疗废物的主要来源为莎车县人民医院和莎车县维吾尔医医院等莎车县各医疗机构产生的感染性废物和损伤性废物。</w:t>
      </w:r>
    </w:p>
    <w:p w14:paraId="54CE9291">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目前莎车县产生医疗废物较多的大型医疗机构是莎车县人民医院和莎车县维吾尔医医院，这两家医院产生的感染性废物和损伤性废物的数量约为</w:t>
      </w:r>
      <w:r>
        <w:rPr>
          <w:rFonts w:hint="default" w:ascii="Times New Roman" w:hAnsi="Times New Roman" w:cs="Times New Roman" w:eastAsiaTheme="minorEastAsia"/>
          <w:sz w:val="24"/>
          <w:highlight w:val="none"/>
          <w:lang w:val="en-US" w:eastAsia="zh-CN"/>
        </w:rPr>
        <w:t>6.5t/d</w:t>
      </w:r>
      <w:r>
        <w:rPr>
          <w:rFonts w:hint="eastAsia" w:ascii="Times New Roman" w:hAnsi="Times New Roman" w:cs="Times New Roman" w:eastAsiaTheme="minorEastAsia"/>
          <w:sz w:val="24"/>
          <w:highlight w:val="none"/>
          <w:lang w:val="en-US" w:eastAsia="zh-CN"/>
        </w:rPr>
        <w:t>，产生的病理性废物的数量约为</w:t>
      </w:r>
      <w:r>
        <w:rPr>
          <w:rFonts w:hint="default" w:ascii="Times New Roman" w:hAnsi="Times New Roman" w:cs="Times New Roman" w:eastAsiaTheme="minorEastAsia"/>
          <w:sz w:val="24"/>
          <w:highlight w:val="none"/>
          <w:lang w:val="en-US" w:eastAsia="zh-CN"/>
        </w:rPr>
        <w:t>0.25t/d</w:t>
      </w:r>
      <w:r>
        <w:rPr>
          <w:rFonts w:hint="eastAsia" w:ascii="Times New Roman" w:hAnsi="Times New Roman" w:cs="Times New Roman" w:eastAsiaTheme="minorEastAsia"/>
          <w:sz w:val="24"/>
          <w:highlight w:val="none"/>
          <w:lang w:val="en-US" w:eastAsia="zh-CN"/>
        </w:rPr>
        <w:t>；其他小型医疗机构和乡镇卫生院等医疗机构产生的感染性废物和损伤性废物的数量约为</w:t>
      </w:r>
      <w:r>
        <w:rPr>
          <w:rFonts w:hint="default" w:ascii="Times New Roman" w:hAnsi="Times New Roman" w:cs="Times New Roman" w:eastAsiaTheme="minorEastAsia"/>
          <w:sz w:val="24"/>
          <w:highlight w:val="none"/>
          <w:lang w:val="en-US" w:eastAsia="zh-CN"/>
        </w:rPr>
        <w:t>1.4t/d</w:t>
      </w:r>
      <w:r>
        <w:rPr>
          <w:rFonts w:hint="eastAsia" w:ascii="Times New Roman" w:hAnsi="Times New Roman" w:cs="Times New Roman" w:eastAsiaTheme="minorEastAsia"/>
          <w:sz w:val="24"/>
          <w:highlight w:val="none"/>
          <w:lang w:val="en-US" w:eastAsia="zh-CN"/>
        </w:rPr>
        <w:t>，产生的病理性废物的数量约为</w:t>
      </w:r>
      <w:r>
        <w:rPr>
          <w:rFonts w:hint="default" w:ascii="Times New Roman" w:hAnsi="Times New Roman" w:cs="Times New Roman" w:eastAsiaTheme="minorEastAsia"/>
          <w:sz w:val="24"/>
          <w:highlight w:val="none"/>
          <w:lang w:val="en-US" w:eastAsia="zh-CN"/>
        </w:rPr>
        <w:t>0.05t/d</w:t>
      </w:r>
      <w:r>
        <w:rPr>
          <w:rFonts w:hint="eastAsia" w:ascii="Times New Roman" w:hAnsi="Times New Roman" w:cs="Times New Roman" w:eastAsiaTheme="minorEastAsia"/>
          <w:sz w:val="24"/>
          <w:highlight w:val="none"/>
          <w:lang w:val="en-US" w:eastAsia="zh-CN"/>
        </w:rPr>
        <w:t>。</w:t>
      </w:r>
    </w:p>
    <w:p w14:paraId="7A01E9AC">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目前，莎车县具备处置医疗废物资质的单位有莎车县海纳环保科技开发有限公司和莎车县医疗废弃物处理中心。莎车县海纳环保科技开发有限公司主要承担莎车县人民医院和莎车县维吾尔医医院等莎车县各医疗机构的感染性废物和损伤性医疗废物的处置；根据喀什地区生态环境局核发的医疗废物经营许可证，核准莎车县海纳环保科技开发有限公司的医疗废物经营规模为</w:t>
      </w:r>
      <w:r>
        <w:rPr>
          <w:rFonts w:hint="default" w:ascii="Times New Roman" w:hAnsi="Times New Roman" w:cs="Times New Roman" w:eastAsiaTheme="minorEastAsia"/>
          <w:sz w:val="24"/>
          <w:highlight w:val="none"/>
          <w:lang w:val="en-US" w:eastAsia="zh-CN"/>
        </w:rPr>
        <w:t>5t/d</w:t>
      </w:r>
      <w:r>
        <w:rPr>
          <w:rFonts w:hint="eastAsia" w:ascii="Times New Roman" w:hAnsi="Times New Roman" w:cs="Times New Roman" w:eastAsiaTheme="minorEastAsia"/>
          <w:sz w:val="24"/>
          <w:highlight w:val="none"/>
          <w:lang w:val="en-US" w:eastAsia="zh-CN"/>
        </w:rPr>
        <w:t>。莎车县医疗废弃物处理中心主要承担莎车县各医疗机构以及叶城县、泽普县、麦盖提县的部分医疗机构的感染性废物和损伤性废物的处置。根据喀什地区生态环境局核发的医疗废物经营许可证，核准莎车县医疗废弃物处理中心的医疗废物经营规模为</w:t>
      </w:r>
      <w:r>
        <w:rPr>
          <w:rFonts w:hint="default" w:ascii="Times New Roman" w:hAnsi="Times New Roman" w:cs="Times New Roman" w:eastAsiaTheme="minorEastAsia"/>
          <w:sz w:val="24"/>
          <w:highlight w:val="none"/>
          <w:lang w:val="en-US" w:eastAsia="zh-CN"/>
        </w:rPr>
        <w:t>6t/d</w:t>
      </w:r>
      <w:r>
        <w:rPr>
          <w:rFonts w:hint="eastAsia" w:ascii="Times New Roman" w:hAnsi="Times New Roman" w:cs="Times New Roman" w:eastAsiaTheme="minorEastAsia"/>
          <w:sz w:val="24"/>
          <w:highlight w:val="none"/>
          <w:lang w:val="en-US" w:eastAsia="zh-CN"/>
        </w:rPr>
        <w:t>。</w:t>
      </w:r>
    </w:p>
    <w:p w14:paraId="1364A4A1">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2</w:t>
      </w:r>
      <w:r>
        <w:rPr>
          <w:rFonts w:hint="eastAsia" w:ascii="Times New Roman" w:hAnsi="Times New Roman" w:cs="Times New Roman" w:eastAsiaTheme="minorEastAsia"/>
          <w:sz w:val="24"/>
          <w:highlight w:val="none"/>
          <w:lang w:val="en-US" w:eastAsia="zh-CN"/>
        </w:rPr>
        <w:t>）现有项目收集的医疗废物由专用医疗废物转运车从莎车县人民医院和莎车县维吾尔医医院收集，对各医疗机构产生的医疗废物每天清运一次。</w:t>
      </w:r>
    </w:p>
    <w:p w14:paraId="72ECDFD5">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医疗废物运输车辆为特制的医疗废物封闭运输车，现有项目运输医疗废物的专用车辆有四辆，全部为载重量</w:t>
      </w:r>
      <w:r>
        <w:rPr>
          <w:rFonts w:hint="default" w:ascii="Times New Roman" w:hAnsi="Times New Roman" w:cs="Times New Roman" w:eastAsiaTheme="minorEastAsia"/>
          <w:sz w:val="24"/>
          <w:highlight w:val="none"/>
          <w:lang w:val="en-US" w:eastAsia="zh-CN"/>
        </w:rPr>
        <w:t>1.5</w:t>
      </w:r>
      <w:r>
        <w:rPr>
          <w:rFonts w:hint="eastAsia" w:ascii="Times New Roman" w:hAnsi="Times New Roman" w:cs="Times New Roman" w:eastAsiaTheme="minorEastAsia"/>
          <w:sz w:val="24"/>
          <w:highlight w:val="none"/>
          <w:lang w:val="en-US" w:eastAsia="zh-CN"/>
        </w:rPr>
        <w:t>吨的专用车辆。</w:t>
      </w:r>
    </w:p>
    <w:p w14:paraId="01FCCA48">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医疗废物在各医疗机构已进行了分类，将不适用于高温蒸汽灭菌处理的药物性和化学性废物分出来，用红色袋盛装，药物性和化学性废物在各医疗机构定期收集后送</w:t>
      </w:r>
      <w:r>
        <w:rPr>
          <w:rFonts w:hint="eastAsia" w:ascii="Times New Roman" w:hAnsi="Times New Roman" w:cs="Times New Roman"/>
          <w:sz w:val="24"/>
          <w:highlight w:val="none"/>
          <w:lang w:val="en-US" w:eastAsia="zh-CN"/>
        </w:rPr>
        <w:t>其他</w:t>
      </w:r>
      <w:r>
        <w:rPr>
          <w:rFonts w:hint="eastAsia" w:ascii="Times New Roman" w:hAnsi="Times New Roman" w:cs="Times New Roman" w:eastAsiaTheme="minorEastAsia"/>
          <w:sz w:val="24"/>
          <w:highlight w:val="none"/>
          <w:lang w:val="en-US" w:eastAsia="zh-CN"/>
        </w:rPr>
        <w:t>处置中心进行处置。</w:t>
      </w:r>
    </w:p>
    <w:p w14:paraId="184E9254">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各医疗机构将感染性废物和损伤性废物全部采用专用包装袋、利器盒等包装，包装袋采用黄色。各医疗机构封好的专用包装袋、利器盒装入医疗废物周转箱内，由建设单位的专用医疗废物转运车定时定点收集。</w:t>
      </w:r>
    </w:p>
    <w:p w14:paraId="45A67D24">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建设单位的医疗废物运送人员在接收医疗废物时，先</w:t>
      </w:r>
      <w:r>
        <w:rPr>
          <w:rFonts w:hint="eastAsia" w:ascii="Times New Roman" w:hAnsi="Times New Roman" w:cs="Times New Roman"/>
          <w:sz w:val="24"/>
          <w:highlight w:val="none"/>
          <w:lang w:val="en-US" w:eastAsia="zh-CN"/>
        </w:rPr>
        <w:t>检查</w:t>
      </w:r>
      <w:r>
        <w:rPr>
          <w:rFonts w:hint="eastAsia" w:ascii="Times New Roman" w:hAnsi="Times New Roman" w:cs="Times New Roman" w:eastAsiaTheme="minorEastAsia"/>
          <w:sz w:val="24"/>
          <w:highlight w:val="none"/>
          <w:lang w:val="en-US" w:eastAsia="zh-CN"/>
        </w:rPr>
        <w:t>医疗卫生机构是否按规定进行包装、标识，并盛装于周转箱内，接收过程中不得打开包装袋取出医疗废物。对检查出包装破损、包装外表污染或未盛装于周转箱内的医疗废物，医疗废物运送人员会立即要求医疗机构重新进行包装、标识，并盛装于周转箱内。对于拒不按相关规定对医疗废物进行包装的，医疗废物运送人员有权拒绝运送，并向当地监管部门报告。</w:t>
      </w:r>
    </w:p>
    <w:p w14:paraId="54807790">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3</w:t>
      </w:r>
      <w:r>
        <w:rPr>
          <w:rFonts w:hint="eastAsia" w:ascii="Times New Roman" w:hAnsi="Times New Roman" w:cs="Times New Roman" w:eastAsiaTheme="minorEastAsia"/>
          <w:sz w:val="24"/>
          <w:highlight w:val="none"/>
          <w:lang w:val="en-US" w:eastAsia="zh-CN"/>
        </w:rPr>
        <w:t>）现有项目的医疗废物专用转运车每天将从莎车县人民医院和莎车县维吾尔医医院收集的医疗废物运至厂区内，并将清洗消毒后的医疗废物周转箱再送至各医疗机构。在医疗废物的运输过程中已尽量避开人群密集区（如主要街道或商业区附近）和人群出没频繁时段（如上下班高峰时间），并尽量选择最短的预定运输路线，最大限度</w:t>
      </w:r>
      <w:r>
        <w:rPr>
          <w:rFonts w:hint="eastAsia" w:ascii="Times New Roman" w:hAnsi="Times New Roman" w:cs="Times New Roman"/>
          <w:sz w:val="24"/>
          <w:highlight w:val="none"/>
          <w:lang w:val="en-US" w:eastAsia="zh-CN"/>
        </w:rPr>
        <w:t>地</w:t>
      </w:r>
      <w:r>
        <w:rPr>
          <w:rFonts w:hint="eastAsia" w:ascii="Times New Roman" w:hAnsi="Times New Roman" w:cs="Times New Roman" w:eastAsiaTheme="minorEastAsia"/>
          <w:sz w:val="24"/>
          <w:highlight w:val="none"/>
          <w:lang w:val="en-US" w:eastAsia="zh-CN"/>
        </w:rPr>
        <w:t>避免意外事故带来的环境污染和病毒感染。现有项目处置医疗废物的运输采取公路运输，运输车辆全部当天往返。</w:t>
      </w:r>
    </w:p>
    <w:p w14:paraId="24193796">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现有项目的医疗废物收集的主要运输路线为：莎车县人民医院－老城路－新城路－工业路－机场快速路－恒昌路－建设单位；莎车县维吾尔医医院－</w:t>
      </w:r>
      <w:r>
        <w:rPr>
          <w:rFonts w:hint="default" w:ascii="Times New Roman" w:hAnsi="Times New Roman" w:cs="Times New Roman" w:eastAsiaTheme="minorEastAsia"/>
          <w:sz w:val="24"/>
          <w:highlight w:val="none"/>
          <w:lang w:val="en-US" w:eastAsia="zh-CN"/>
        </w:rPr>
        <w:t>G315</w:t>
      </w:r>
      <w:r>
        <w:rPr>
          <w:rFonts w:hint="eastAsia" w:ascii="Times New Roman" w:hAnsi="Times New Roman" w:cs="Times New Roman" w:eastAsiaTheme="minorEastAsia"/>
          <w:sz w:val="24"/>
          <w:highlight w:val="none"/>
          <w:lang w:val="en-US" w:eastAsia="zh-CN"/>
        </w:rPr>
        <w:t>国道－工业路－机场快速路－恒昌路－建设单位。</w:t>
      </w:r>
    </w:p>
    <w:p w14:paraId="62AFF12C">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医疗废物专用转运车是严格按照《医疗废物转运车技术要求（试行）》（</w:t>
      </w:r>
      <w:r>
        <w:rPr>
          <w:rFonts w:hint="default" w:ascii="Times New Roman" w:hAnsi="Times New Roman" w:cs="Times New Roman" w:eastAsiaTheme="minorEastAsia"/>
          <w:sz w:val="24"/>
          <w:highlight w:val="none"/>
          <w:lang w:val="en-US" w:eastAsia="zh-CN"/>
        </w:rPr>
        <w:t>GB19217-2003</w:t>
      </w:r>
      <w:r>
        <w:rPr>
          <w:rFonts w:hint="eastAsia" w:ascii="Times New Roman" w:hAnsi="Times New Roman" w:cs="Times New Roman" w:eastAsiaTheme="minorEastAsia"/>
          <w:sz w:val="24"/>
          <w:highlight w:val="none"/>
          <w:lang w:val="en-US" w:eastAsia="zh-CN"/>
        </w:rPr>
        <w:t>）规范进行制造；按照《</w:t>
      </w:r>
      <w:r>
        <w:rPr>
          <w:rFonts w:hint="eastAsia" w:ascii="Times New Roman" w:hAnsi="Times New Roman" w:cs="Times New Roman"/>
          <w:sz w:val="24"/>
          <w:highlight w:val="none"/>
          <w:lang w:val="en-US" w:eastAsia="zh-CN"/>
        </w:rPr>
        <w:t>保温车、冷藏车技术条件及试验方法</w:t>
      </w:r>
      <w:r>
        <w:rPr>
          <w:rFonts w:hint="eastAsia"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QC/T 449-2010</w:t>
      </w:r>
      <w:r>
        <w:rPr>
          <w:rFonts w:hint="eastAsia" w:ascii="Times New Roman" w:hAnsi="Times New Roman" w:cs="Times New Roman" w:eastAsiaTheme="minorEastAsia"/>
          <w:sz w:val="24"/>
          <w:highlight w:val="none"/>
          <w:lang w:val="en-US" w:eastAsia="zh-CN"/>
        </w:rPr>
        <w:t>）的规定进行出厂检验，包括气密性、隔热性、防渗性、排水性能等。检验合格后，方可用于现有项目。医疗废物专用转运车车厢外部颜色为白色或银灰色，车厢的前部、后部和两侧壁已喷涂了警示性标志，驾驶室两侧注明了运送单位名称和运送车编号。在驾驶室醒目位置标注了车辆运输医疗废弃物的警示说明：“本车仅适用于采用专用周转箱盛装专用塑料袋密封包装的医疗废弃物运输；本车不适用于其他方式的医疗废弃物运输；本车未经国家认可部门检验批准，禁止用于医疗废弃物以外的其他货物运输”。</w:t>
      </w:r>
    </w:p>
    <w:p w14:paraId="1B340E69">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现有项目的医疗废物专用转运车在每次装载医疗废物周转箱时，保证车厢内留有</w:t>
      </w:r>
      <w:r>
        <w:rPr>
          <w:rFonts w:hint="default" w:ascii="Times New Roman" w:hAnsi="Times New Roman" w:cs="Times New Roman" w:eastAsiaTheme="minorEastAsia"/>
          <w:sz w:val="24"/>
          <w:highlight w:val="none"/>
          <w:lang w:val="en-US" w:eastAsia="zh-CN"/>
        </w:rPr>
        <w:t>1/4</w:t>
      </w:r>
      <w:r>
        <w:rPr>
          <w:rFonts w:hint="eastAsia" w:ascii="Times New Roman" w:hAnsi="Times New Roman" w:cs="Times New Roman" w:eastAsiaTheme="minorEastAsia"/>
          <w:sz w:val="24"/>
          <w:highlight w:val="none"/>
          <w:lang w:val="en-US" w:eastAsia="zh-CN"/>
        </w:rPr>
        <w:t>的空间，以保证车厢内部空气的循环流动，便于消毒和冷藏降温。车厢内设置了周转箱固定装置，以保证在非满载车辆紧急启动、停车或事故情况下，周转箱不会倾翻。医疗废弃物转运人员在每次收集医疗废物时，均严格按收集人员的相关要求穿戴相应的防护衣具。</w:t>
      </w:r>
    </w:p>
    <w:p w14:paraId="6D5642E1">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据调查，现有项目在医疗废物收集过程中未发生过环境污染事故。</w:t>
      </w:r>
    </w:p>
    <w:p w14:paraId="1CFADA86">
      <w:pPr>
        <w:adjustRightInd w:val="0"/>
        <w:snapToGrid w:val="0"/>
        <w:spacing w:line="500" w:lineRule="exact"/>
        <w:jc w:val="left"/>
        <w:rPr>
          <w:rFonts w:hint="eastAsia" w:ascii="Times New Roman" w:hAnsi="Times New Roman" w:cs="Times New Roman" w:eastAsiaTheme="minorEastAsia"/>
          <w:b/>
          <w:bCs/>
          <w:sz w:val="24"/>
          <w:highlight w:val="none"/>
          <w:lang w:val="en-US" w:eastAsia="zh-CN"/>
        </w:rPr>
      </w:pPr>
      <w:r>
        <w:rPr>
          <w:rFonts w:hint="eastAsia" w:ascii="Times New Roman" w:hAnsi="Times New Roman" w:cs="Times New Roman" w:eastAsiaTheme="minorEastAsia"/>
          <w:b/>
          <w:bCs/>
          <w:sz w:val="24"/>
          <w:highlight w:val="none"/>
          <w:lang w:val="en-US" w:eastAsia="zh-CN"/>
        </w:rPr>
        <w:t>3.1.2.4现有项目的处置效果</w:t>
      </w:r>
    </w:p>
    <w:p w14:paraId="694ED585">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现有项目对医疗废物的处置效果可以满足《消毒器械灭菌效果评价方法》（GB/T 15981-2021）和《医疗废物高温蒸汽消毒集中处理工程技术规范》（HJ 276-2021）规定的灭菌要求。高温蒸汽灭菌处理系统的灭菌效果可以达到细菌存活概率小于</w:t>
      </w:r>
      <w:r>
        <w:rPr>
          <w:rFonts w:hint="default" w:ascii="Times New Roman" w:hAnsi="Times New Roman" w:cs="Times New Roman" w:eastAsiaTheme="minorEastAsia"/>
          <w:sz w:val="24"/>
          <w:lang w:val="en-US" w:eastAsia="zh-CN"/>
        </w:rPr>
        <w:t>10</w:t>
      </w:r>
      <w:r>
        <w:rPr>
          <w:rFonts w:hint="default" w:ascii="Times New Roman" w:hAnsi="Times New Roman" w:cs="Times New Roman" w:eastAsiaTheme="minorEastAsia"/>
          <w:sz w:val="24"/>
          <w:vertAlign w:val="superscript"/>
          <w:lang w:val="en-US" w:eastAsia="zh-CN"/>
        </w:rPr>
        <w:t>-6</w:t>
      </w:r>
      <w:r>
        <w:rPr>
          <w:rFonts w:hint="eastAsia" w:ascii="Times New Roman" w:hAnsi="Times New Roman" w:cs="Times New Roman" w:eastAsiaTheme="minorEastAsia"/>
          <w:sz w:val="24"/>
          <w:lang w:val="en-US" w:eastAsia="zh-CN"/>
        </w:rPr>
        <w:t>灭菌率评定标准。</w:t>
      </w:r>
    </w:p>
    <w:p w14:paraId="5E48DA4B">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27" w:name="_Toc13139"/>
      <w:r>
        <w:rPr>
          <w:rFonts w:hint="eastAsia" w:ascii="Times New Roman" w:hAnsi="Times New Roman" w:cs="Times New Roman" w:eastAsiaTheme="minorEastAsia"/>
          <w:kern w:val="0"/>
          <w:sz w:val="24"/>
          <w:szCs w:val="24"/>
          <w:lang w:val="en-US" w:eastAsia="zh-CN"/>
        </w:rPr>
        <w:t>3.1.3现有工程原辅材料消耗</w:t>
      </w:r>
      <w:bookmarkEnd w:id="127"/>
    </w:p>
    <w:p w14:paraId="50CC4527">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现有工程运行所用的主要原料为水和医疗废物，水来源于市政自来水，医疗废物直接从莎车县医疗机构收集。</w:t>
      </w:r>
    </w:p>
    <w:p w14:paraId="0D02C246">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现有工程所需的原辅材料主要见下表。</w:t>
      </w:r>
    </w:p>
    <w:p w14:paraId="1FC79384">
      <w:pPr>
        <w:adjustRightInd w:val="0"/>
        <w:snapToGrid w:val="0"/>
        <w:spacing w:before="250"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表3.1-4现有项目主要原辅材料一览表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38"/>
        <w:gridCol w:w="1279"/>
        <w:gridCol w:w="1047"/>
        <w:gridCol w:w="1047"/>
        <w:gridCol w:w="3659"/>
      </w:tblGrid>
      <w:tr w14:paraId="741F981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71" w:hRule="atLeast"/>
          <w:tblHeader/>
          <w:jc w:val="center"/>
        </w:trPr>
        <w:tc>
          <w:tcPr>
            <w:tcW w:w="738" w:type="dxa"/>
            <w:tcBorders>
              <w:tl2br w:val="nil"/>
              <w:tr2bl w:val="nil"/>
            </w:tcBorders>
            <w:noWrap w:val="0"/>
            <w:vAlign w:val="center"/>
          </w:tcPr>
          <w:p w14:paraId="386E7A77">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序号</w:t>
            </w:r>
          </w:p>
        </w:tc>
        <w:tc>
          <w:tcPr>
            <w:tcW w:w="1279" w:type="dxa"/>
            <w:tcBorders>
              <w:tl2br w:val="nil"/>
              <w:tr2bl w:val="nil"/>
            </w:tcBorders>
            <w:noWrap w:val="0"/>
            <w:vAlign w:val="center"/>
          </w:tcPr>
          <w:p w14:paraId="16B71F1D">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名称</w:t>
            </w:r>
          </w:p>
        </w:tc>
        <w:tc>
          <w:tcPr>
            <w:tcW w:w="1047" w:type="dxa"/>
            <w:tcBorders>
              <w:tl2br w:val="nil"/>
              <w:tr2bl w:val="nil"/>
            </w:tcBorders>
            <w:noWrap w:val="0"/>
            <w:vAlign w:val="center"/>
          </w:tcPr>
          <w:p w14:paraId="55C08FCF">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数量</w:t>
            </w:r>
          </w:p>
        </w:tc>
        <w:tc>
          <w:tcPr>
            <w:tcW w:w="1047" w:type="dxa"/>
            <w:tcBorders>
              <w:tl2br w:val="nil"/>
              <w:tr2bl w:val="nil"/>
            </w:tcBorders>
            <w:noWrap w:val="0"/>
            <w:vAlign w:val="center"/>
          </w:tcPr>
          <w:p w14:paraId="33D108DF">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单位</w:t>
            </w:r>
          </w:p>
        </w:tc>
        <w:tc>
          <w:tcPr>
            <w:tcW w:w="3659" w:type="dxa"/>
            <w:tcBorders>
              <w:tl2br w:val="nil"/>
              <w:tr2bl w:val="nil"/>
            </w:tcBorders>
            <w:noWrap w:val="0"/>
            <w:vAlign w:val="center"/>
          </w:tcPr>
          <w:p w14:paraId="1B1B00A1">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主要规格</w:t>
            </w:r>
          </w:p>
        </w:tc>
      </w:tr>
      <w:tr w14:paraId="2D379ED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2" w:hRule="atLeast"/>
          <w:jc w:val="center"/>
        </w:trPr>
        <w:tc>
          <w:tcPr>
            <w:tcW w:w="738" w:type="dxa"/>
            <w:tcBorders>
              <w:tl2br w:val="nil"/>
              <w:tr2bl w:val="nil"/>
            </w:tcBorders>
            <w:noWrap w:val="0"/>
            <w:vAlign w:val="center"/>
          </w:tcPr>
          <w:p w14:paraId="0968036C">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w:t>
            </w:r>
          </w:p>
        </w:tc>
        <w:tc>
          <w:tcPr>
            <w:tcW w:w="1279" w:type="dxa"/>
            <w:tcBorders>
              <w:tl2br w:val="nil"/>
              <w:tr2bl w:val="nil"/>
            </w:tcBorders>
            <w:noWrap w:val="0"/>
            <w:vAlign w:val="center"/>
          </w:tcPr>
          <w:p w14:paraId="5AF2B25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医疗废物</w:t>
            </w:r>
          </w:p>
        </w:tc>
        <w:tc>
          <w:tcPr>
            <w:tcW w:w="1047" w:type="dxa"/>
            <w:tcBorders>
              <w:tl2br w:val="nil"/>
              <w:tr2bl w:val="nil"/>
            </w:tcBorders>
            <w:noWrap w:val="0"/>
            <w:vAlign w:val="center"/>
          </w:tcPr>
          <w:p w14:paraId="04C44CF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1825</w:t>
            </w:r>
          </w:p>
        </w:tc>
        <w:tc>
          <w:tcPr>
            <w:tcW w:w="1047" w:type="dxa"/>
            <w:tcBorders>
              <w:tl2br w:val="nil"/>
              <w:tr2bl w:val="nil"/>
            </w:tcBorders>
            <w:noWrap w:val="0"/>
            <w:vAlign w:val="center"/>
          </w:tcPr>
          <w:p w14:paraId="38A4179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t/a</w:t>
            </w:r>
          </w:p>
        </w:tc>
        <w:tc>
          <w:tcPr>
            <w:tcW w:w="3659" w:type="dxa"/>
            <w:tcBorders>
              <w:tl2br w:val="nil"/>
              <w:tr2bl w:val="nil"/>
            </w:tcBorders>
            <w:noWrap w:val="0"/>
            <w:vAlign w:val="top"/>
          </w:tcPr>
          <w:p w14:paraId="394C693B">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医疗机构产生的感染性废物和损伤性废物</w:t>
            </w:r>
          </w:p>
        </w:tc>
      </w:tr>
      <w:tr w14:paraId="0E64CEB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2" w:hRule="atLeast"/>
          <w:jc w:val="center"/>
        </w:trPr>
        <w:tc>
          <w:tcPr>
            <w:tcW w:w="738" w:type="dxa"/>
            <w:tcBorders>
              <w:tl2br w:val="nil"/>
              <w:tr2bl w:val="nil"/>
            </w:tcBorders>
            <w:noWrap w:val="0"/>
            <w:vAlign w:val="center"/>
          </w:tcPr>
          <w:p w14:paraId="693D2199">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w:t>
            </w:r>
          </w:p>
        </w:tc>
        <w:tc>
          <w:tcPr>
            <w:tcW w:w="1279" w:type="dxa"/>
            <w:tcBorders>
              <w:tl2br w:val="nil"/>
              <w:tr2bl w:val="nil"/>
            </w:tcBorders>
            <w:noWrap w:val="0"/>
            <w:vAlign w:val="center"/>
          </w:tcPr>
          <w:p w14:paraId="1C859082">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周转箱</w:t>
            </w:r>
          </w:p>
        </w:tc>
        <w:tc>
          <w:tcPr>
            <w:tcW w:w="1047" w:type="dxa"/>
            <w:tcBorders>
              <w:tl2br w:val="nil"/>
              <w:tr2bl w:val="nil"/>
            </w:tcBorders>
            <w:noWrap w:val="0"/>
            <w:vAlign w:val="center"/>
          </w:tcPr>
          <w:p w14:paraId="60D79A99">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3000</w:t>
            </w:r>
          </w:p>
        </w:tc>
        <w:tc>
          <w:tcPr>
            <w:tcW w:w="1047" w:type="dxa"/>
            <w:tcBorders>
              <w:tl2br w:val="nil"/>
              <w:tr2bl w:val="nil"/>
            </w:tcBorders>
            <w:noWrap w:val="0"/>
            <w:vAlign w:val="center"/>
          </w:tcPr>
          <w:p w14:paraId="44FF7B31">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个/a</w:t>
            </w:r>
          </w:p>
        </w:tc>
        <w:tc>
          <w:tcPr>
            <w:tcW w:w="3659" w:type="dxa"/>
            <w:tcBorders>
              <w:tl2br w:val="nil"/>
              <w:tr2bl w:val="nil"/>
            </w:tcBorders>
            <w:noWrap w:val="0"/>
            <w:vAlign w:val="top"/>
          </w:tcPr>
          <w:p w14:paraId="0A55A080">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600×400×400mm(HDPE)</w:t>
            </w:r>
          </w:p>
        </w:tc>
      </w:tr>
      <w:tr w14:paraId="7A409E9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3" w:hRule="atLeast"/>
          <w:jc w:val="center"/>
        </w:trPr>
        <w:tc>
          <w:tcPr>
            <w:tcW w:w="738" w:type="dxa"/>
            <w:tcBorders>
              <w:tl2br w:val="nil"/>
              <w:tr2bl w:val="nil"/>
            </w:tcBorders>
            <w:noWrap w:val="0"/>
            <w:vAlign w:val="center"/>
          </w:tcPr>
          <w:p w14:paraId="0F63F38D">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w:t>
            </w:r>
          </w:p>
        </w:tc>
        <w:tc>
          <w:tcPr>
            <w:tcW w:w="1279" w:type="dxa"/>
            <w:tcBorders>
              <w:tl2br w:val="nil"/>
              <w:tr2bl w:val="nil"/>
            </w:tcBorders>
            <w:noWrap w:val="0"/>
            <w:vAlign w:val="center"/>
          </w:tcPr>
          <w:p w14:paraId="084E2419">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包装袋</w:t>
            </w:r>
          </w:p>
        </w:tc>
        <w:tc>
          <w:tcPr>
            <w:tcW w:w="1047" w:type="dxa"/>
            <w:tcBorders>
              <w:tl2br w:val="nil"/>
              <w:tr2bl w:val="nil"/>
            </w:tcBorders>
            <w:noWrap w:val="0"/>
            <w:vAlign w:val="center"/>
          </w:tcPr>
          <w:p w14:paraId="4129C4DE">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16.5</w:t>
            </w:r>
          </w:p>
        </w:tc>
        <w:tc>
          <w:tcPr>
            <w:tcW w:w="1047" w:type="dxa"/>
            <w:tcBorders>
              <w:tl2br w:val="nil"/>
              <w:tr2bl w:val="nil"/>
            </w:tcBorders>
            <w:noWrap w:val="0"/>
            <w:vAlign w:val="center"/>
          </w:tcPr>
          <w:p w14:paraId="57B05E54">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万只/a</w:t>
            </w:r>
          </w:p>
        </w:tc>
        <w:tc>
          <w:tcPr>
            <w:tcW w:w="3659" w:type="dxa"/>
            <w:tcBorders>
              <w:tl2br w:val="nil"/>
              <w:tr2bl w:val="nil"/>
            </w:tcBorders>
            <w:noWrap w:val="0"/>
            <w:vAlign w:val="top"/>
          </w:tcPr>
          <w:p w14:paraId="48792BA4">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一次性使用。450×500×0.15mm（LDPE）和450×500×0.08mm(HDPE)</w:t>
            </w:r>
          </w:p>
        </w:tc>
      </w:tr>
      <w:tr w14:paraId="0AEF609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3" w:hRule="atLeast"/>
          <w:jc w:val="center"/>
        </w:trPr>
        <w:tc>
          <w:tcPr>
            <w:tcW w:w="738" w:type="dxa"/>
            <w:tcBorders>
              <w:tl2br w:val="nil"/>
              <w:tr2bl w:val="nil"/>
            </w:tcBorders>
            <w:noWrap w:val="0"/>
            <w:vAlign w:val="center"/>
          </w:tcPr>
          <w:p w14:paraId="0AC6CCEB">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w:t>
            </w:r>
          </w:p>
        </w:tc>
        <w:tc>
          <w:tcPr>
            <w:tcW w:w="1279" w:type="dxa"/>
            <w:tcBorders>
              <w:tl2br w:val="nil"/>
              <w:tr2bl w:val="nil"/>
            </w:tcBorders>
            <w:noWrap w:val="0"/>
            <w:vAlign w:val="center"/>
          </w:tcPr>
          <w:p w14:paraId="78E38015">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利器盒</w:t>
            </w:r>
          </w:p>
        </w:tc>
        <w:tc>
          <w:tcPr>
            <w:tcW w:w="1047" w:type="dxa"/>
            <w:tcBorders>
              <w:tl2br w:val="nil"/>
              <w:tr2bl w:val="nil"/>
            </w:tcBorders>
            <w:noWrap w:val="0"/>
            <w:vAlign w:val="center"/>
          </w:tcPr>
          <w:p w14:paraId="1FEFCCAD">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2.4</w:t>
            </w:r>
          </w:p>
        </w:tc>
        <w:tc>
          <w:tcPr>
            <w:tcW w:w="1047" w:type="dxa"/>
            <w:tcBorders>
              <w:tl2br w:val="nil"/>
              <w:tr2bl w:val="nil"/>
            </w:tcBorders>
            <w:noWrap w:val="0"/>
            <w:vAlign w:val="center"/>
          </w:tcPr>
          <w:p w14:paraId="6921463C">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万个/a</w:t>
            </w:r>
          </w:p>
        </w:tc>
        <w:tc>
          <w:tcPr>
            <w:tcW w:w="3659" w:type="dxa"/>
            <w:tcBorders>
              <w:tl2br w:val="nil"/>
              <w:tr2bl w:val="nil"/>
            </w:tcBorders>
            <w:noWrap w:val="0"/>
            <w:vAlign w:val="top"/>
          </w:tcPr>
          <w:p w14:paraId="2C102CFF">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一次性使用。80×100×200mm，厚3mm，硬质聚乙烯材质</w:t>
            </w:r>
          </w:p>
        </w:tc>
      </w:tr>
      <w:tr w14:paraId="41F93AE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2" w:hRule="atLeast"/>
          <w:jc w:val="center"/>
        </w:trPr>
        <w:tc>
          <w:tcPr>
            <w:tcW w:w="738" w:type="dxa"/>
            <w:tcBorders>
              <w:tl2br w:val="nil"/>
              <w:tr2bl w:val="nil"/>
            </w:tcBorders>
            <w:noWrap w:val="0"/>
            <w:vAlign w:val="center"/>
          </w:tcPr>
          <w:p w14:paraId="0EC4AA10">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w:t>
            </w:r>
          </w:p>
        </w:tc>
        <w:tc>
          <w:tcPr>
            <w:tcW w:w="1279" w:type="dxa"/>
            <w:tcBorders>
              <w:tl2br w:val="nil"/>
              <w:tr2bl w:val="nil"/>
            </w:tcBorders>
            <w:noWrap w:val="0"/>
            <w:vAlign w:val="center"/>
          </w:tcPr>
          <w:p w14:paraId="0DCCEBA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活性炭</w:t>
            </w:r>
          </w:p>
        </w:tc>
        <w:tc>
          <w:tcPr>
            <w:tcW w:w="1047" w:type="dxa"/>
            <w:tcBorders>
              <w:tl2br w:val="nil"/>
              <w:tr2bl w:val="nil"/>
            </w:tcBorders>
            <w:noWrap w:val="0"/>
            <w:vAlign w:val="center"/>
          </w:tcPr>
          <w:p w14:paraId="57D18F34">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3.5</w:t>
            </w:r>
          </w:p>
        </w:tc>
        <w:tc>
          <w:tcPr>
            <w:tcW w:w="1047" w:type="dxa"/>
            <w:tcBorders>
              <w:tl2br w:val="nil"/>
              <w:tr2bl w:val="nil"/>
            </w:tcBorders>
            <w:noWrap w:val="0"/>
            <w:vAlign w:val="center"/>
          </w:tcPr>
          <w:p w14:paraId="5FAE61DB">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t/a</w:t>
            </w:r>
          </w:p>
        </w:tc>
        <w:tc>
          <w:tcPr>
            <w:tcW w:w="3659" w:type="dxa"/>
            <w:tcBorders>
              <w:tl2br w:val="nil"/>
              <w:tr2bl w:val="nil"/>
            </w:tcBorders>
            <w:noWrap w:val="0"/>
            <w:vAlign w:val="top"/>
          </w:tcPr>
          <w:p w14:paraId="6287C4CC">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尾气处理</w:t>
            </w:r>
          </w:p>
        </w:tc>
      </w:tr>
      <w:tr w14:paraId="2CD1C9A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2" w:hRule="atLeast"/>
          <w:jc w:val="center"/>
        </w:trPr>
        <w:tc>
          <w:tcPr>
            <w:tcW w:w="738" w:type="dxa"/>
            <w:tcBorders>
              <w:tl2br w:val="nil"/>
              <w:tr2bl w:val="nil"/>
            </w:tcBorders>
            <w:noWrap w:val="0"/>
            <w:vAlign w:val="center"/>
          </w:tcPr>
          <w:p w14:paraId="2F854529">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w:t>
            </w:r>
          </w:p>
        </w:tc>
        <w:tc>
          <w:tcPr>
            <w:tcW w:w="1279" w:type="dxa"/>
            <w:tcBorders>
              <w:tl2br w:val="nil"/>
              <w:tr2bl w:val="nil"/>
            </w:tcBorders>
            <w:noWrap w:val="0"/>
            <w:vAlign w:val="center"/>
          </w:tcPr>
          <w:p w14:paraId="165D7DE7">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漂白粉</w:t>
            </w:r>
          </w:p>
        </w:tc>
        <w:tc>
          <w:tcPr>
            <w:tcW w:w="1047" w:type="dxa"/>
            <w:tcBorders>
              <w:tl2br w:val="nil"/>
              <w:tr2bl w:val="nil"/>
            </w:tcBorders>
            <w:noWrap w:val="0"/>
            <w:vAlign w:val="center"/>
          </w:tcPr>
          <w:p w14:paraId="7D2D290B">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31.7</w:t>
            </w:r>
          </w:p>
        </w:tc>
        <w:tc>
          <w:tcPr>
            <w:tcW w:w="1047" w:type="dxa"/>
            <w:tcBorders>
              <w:tl2br w:val="nil"/>
              <w:tr2bl w:val="nil"/>
            </w:tcBorders>
            <w:noWrap w:val="0"/>
            <w:vAlign w:val="center"/>
          </w:tcPr>
          <w:p w14:paraId="59AB18EE">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t/a</w:t>
            </w:r>
          </w:p>
        </w:tc>
        <w:tc>
          <w:tcPr>
            <w:tcW w:w="3659" w:type="dxa"/>
            <w:tcBorders>
              <w:tl2br w:val="nil"/>
              <w:tr2bl w:val="nil"/>
            </w:tcBorders>
            <w:noWrap w:val="0"/>
            <w:vAlign w:val="top"/>
          </w:tcPr>
          <w:p w14:paraId="3F104ED9">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1000mg/L-2000mg/L</w:t>
            </w:r>
          </w:p>
        </w:tc>
      </w:tr>
      <w:tr w14:paraId="2571FF5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2" w:hRule="atLeast"/>
          <w:jc w:val="center"/>
        </w:trPr>
        <w:tc>
          <w:tcPr>
            <w:tcW w:w="738" w:type="dxa"/>
            <w:tcBorders>
              <w:tl2br w:val="nil"/>
              <w:tr2bl w:val="nil"/>
            </w:tcBorders>
            <w:noWrap w:val="0"/>
            <w:vAlign w:val="center"/>
          </w:tcPr>
          <w:p w14:paraId="52F2174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w:t>
            </w:r>
          </w:p>
        </w:tc>
        <w:tc>
          <w:tcPr>
            <w:tcW w:w="1279" w:type="dxa"/>
            <w:tcBorders>
              <w:tl2br w:val="nil"/>
              <w:tr2bl w:val="nil"/>
            </w:tcBorders>
            <w:noWrap w:val="0"/>
            <w:vAlign w:val="center"/>
          </w:tcPr>
          <w:p w14:paraId="3185DA4E">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过氧乙酸</w:t>
            </w:r>
          </w:p>
        </w:tc>
        <w:tc>
          <w:tcPr>
            <w:tcW w:w="1047" w:type="dxa"/>
            <w:tcBorders>
              <w:tl2br w:val="nil"/>
              <w:tr2bl w:val="nil"/>
            </w:tcBorders>
            <w:noWrap w:val="0"/>
            <w:vAlign w:val="center"/>
          </w:tcPr>
          <w:p w14:paraId="4D7C10E2">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1.08</w:t>
            </w:r>
          </w:p>
        </w:tc>
        <w:tc>
          <w:tcPr>
            <w:tcW w:w="1047" w:type="dxa"/>
            <w:tcBorders>
              <w:tl2br w:val="nil"/>
              <w:tr2bl w:val="nil"/>
            </w:tcBorders>
            <w:noWrap w:val="0"/>
            <w:vAlign w:val="center"/>
          </w:tcPr>
          <w:p w14:paraId="29A5C217">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t/a</w:t>
            </w:r>
          </w:p>
        </w:tc>
        <w:tc>
          <w:tcPr>
            <w:tcW w:w="3659" w:type="dxa"/>
            <w:tcBorders>
              <w:tl2br w:val="nil"/>
              <w:tr2bl w:val="nil"/>
            </w:tcBorders>
            <w:noWrap w:val="0"/>
            <w:vAlign w:val="top"/>
          </w:tcPr>
          <w:p w14:paraId="66D0821B">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0.2%-0.5%</w:t>
            </w:r>
          </w:p>
        </w:tc>
      </w:tr>
    </w:tbl>
    <w:p w14:paraId="2D0FBC8E">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28" w:name="_Toc20550"/>
      <w:r>
        <w:rPr>
          <w:rFonts w:hint="eastAsia" w:ascii="Times New Roman" w:hAnsi="Times New Roman" w:cs="Times New Roman" w:eastAsiaTheme="minorEastAsia"/>
          <w:kern w:val="0"/>
          <w:sz w:val="24"/>
          <w:szCs w:val="24"/>
          <w:lang w:val="en-US" w:eastAsia="zh-CN"/>
        </w:rPr>
        <w:t>3.1.4现有工程生产工艺流程</w:t>
      </w:r>
      <w:bookmarkEnd w:id="128"/>
    </w:p>
    <w:p w14:paraId="3F382DB7">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采用高温蒸汽灭菌方式对医疗废物进行处置，该工艺是利用高温蒸汽对医疗废物中所含的病原微生物进行灭活的湿热处理过程。主要包括三个阶段：消毒灭菌阶段、破碎阶段、输送压缩阶段。主要设备为高温蒸汽灭菌舱、破碎机和螺旋输送机。处理工艺流程具体见下：</w:t>
      </w:r>
    </w:p>
    <w:p w14:paraId="32D1E2D7">
      <w:pPr>
        <w:jc w:val="center"/>
      </w:pPr>
      <w:r>
        <w:drawing>
          <wp:inline distT="0" distB="0" distL="114300" distR="114300">
            <wp:extent cx="4112895" cy="4388485"/>
            <wp:effectExtent l="0" t="0" r="1905" b="12065"/>
            <wp:docPr id="3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
                    <pic:cNvPicPr>
                      <a:picLocks noChangeAspect="1"/>
                    </pic:cNvPicPr>
                  </pic:nvPicPr>
                  <pic:blipFill>
                    <a:blip r:embed="rId12"/>
                    <a:stretch>
                      <a:fillRect/>
                    </a:stretch>
                  </pic:blipFill>
                  <pic:spPr>
                    <a:xfrm>
                      <a:off x="0" y="0"/>
                      <a:ext cx="4112895" cy="4388485"/>
                    </a:xfrm>
                    <a:prstGeom prst="rect">
                      <a:avLst/>
                    </a:prstGeom>
                    <a:noFill/>
                    <a:ln>
                      <a:noFill/>
                    </a:ln>
                  </pic:spPr>
                </pic:pic>
              </a:graphicData>
            </a:graphic>
          </wp:inline>
        </w:drawing>
      </w:r>
    </w:p>
    <w:p w14:paraId="4E4277F6">
      <w:pPr>
        <w:adjustRightInd w:val="0"/>
        <w:snapToGrid w:val="0"/>
        <w:spacing w:before="250"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图3.1-1  现有工程工艺流程及产污环节图</w:t>
      </w:r>
    </w:p>
    <w:p w14:paraId="52E34EF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（1）上料</w:t>
      </w:r>
    </w:p>
    <w:p w14:paraId="6F88681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人工将周转箱内的医疗废物倒入专用的灭菌车，采用专用叉车将盛满医疗废物的灭菌车输送至灭菌舱内轨道，待6辆灭菌车全部进入灭菌舱内后，将舱门关闭等待灭菌处理。同时等候区6辆空灭菌车进入指定工位开始装料。</w:t>
      </w:r>
    </w:p>
    <w:p w14:paraId="283F82D5">
      <w:pPr>
        <w:adjustRightInd w:val="0"/>
        <w:snapToGrid w:val="0"/>
        <w:spacing w:line="500" w:lineRule="exact"/>
        <w:ind w:firstLine="480" w:firstLineChars="200"/>
        <w:jc w:val="left"/>
        <w:rPr>
          <w:rFonts w:hint="default" w:ascii="Times New Roman" w:hAnsi="Times New Roman" w:cs="Times New Roman" w:eastAsiaTheme="minorEastAsia"/>
          <w:sz w:val="24"/>
          <w:lang w:val="zh-CN" w:eastAsia="zh-CN"/>
        </w:rPr>
      </w:pPr>
      <w:r>
        <w:rPr>
          <w:rFonts w:hint="default" w:ascii="Times New Roman" w:hAnsi="Times New Roman" w:cs="Times New Roman" w:eastAsiaTheme="minorEastAsia"/>
          <w:sz w:val="24"/>
          <w:lang w:val="en-US" w:eastAsia="zh-CN"/>
        </w:rPr>
        <w:t>灭菌车采用耐酸碱腐蚀的轻型SUS304不锈钢材料，采用防粘连的聚四氟板内衬，灭菌车材质和结构均能承受高温蒸汽处理过程中温度和压力的变化，经高温后不变形。底部四个轮子采用两方向轮两固定轮设计，轻便灵活。</w:t>
      </w:r>
      <w:r>
        <w:rPr>
          <w:rFonts w:hint="default" w:ascii="Times New Roman" w:hAnsi="Times New Roman" w:cs="Times New Roman" w:eastAsiaTheme="minorEastAsia"/>
          <w:sz w:val="24"/>
          <w:lang w:val="zh-CN" w:eastAsia="zh-CN"/>
        </w:rPr>
        <w:t>蒸汽易于穿透，并在子车底部设置冷凝液排除导管，使冷凝液易于排除在子车底部无积存。</w:t>
      </w:r>
      <w:r>
        <w:rPr>
          <w:rFonts w:hint="default" w:ascii="Times New Roman" w:hAnsi="Times New Roman" w:cs="Times New Roman" w:eastAsiaTheme="minorEastAsia"/>
          <w:sz w:val="24"/>
          <w:lang w:val="en-US" w:eastAsia="zh-CN"/>
        </w:rPr>
        <w:t>万向轮轴承为满足高温的要求，采用无油轴承。可不注油仍转动自如。灭菌车底部有弹性持钩，两个车以上可实现自锁，便于灭菌车出灭菌舱。几何尺寸为1000</w:t>
      </w:r>
      <w:r>
        <w:rPr>
          <w:rFonts w:hint="eastAsia" w:ascii="Times New Roman" w:hAnsi="Times New Roman" w:cs="Times New Roman"/>
          <w:sz w:val="24"/>
          <w:lang w:val="en-US" w:eastAsia="zh-CN"/>
        </w:rPr>
        <w:t>mm</w:t>
      </w:r>
      <w:r>
        <w:rPr>
          <w:rFonts w:hint="default" w:ascii="Times New Roman" w:hAnsi="Times New Roman" w:cs="Times New Roman" w:eastAsiaTheme="minorEastAsia"/>
          <w:sz w:val="24"/>
          <w:lang w:val="en-US" w:eastAsia="zh-CN"/>
        </w:rPr>
        <w:t>（长）×1300</w:t>
      </w:r>
      <w:r>
        <w:rPr>
          <w:rFonts w:hint="eastAsia" w:ascii="Times New Roman" w:hAnsi="Times New Roman" w:cs="Times New Roman"/>
          <w:sz w:val="24"/>
          <w:lang w:val="en-US" w:eastAsia="zh-CN"/>
        </w:rPr>
        <w:t>mm</w:t>
      </w:r>
      <w:r>
        <w:rPr>
          <w:rFonts w:hint="default" w:ascii="Times New Roman" w:hAnsi="Times New Roman" w:cs="Times New Roman" w:eastAsiaTheme="minorEastAsia"/>
          <w:sz w:val="24"/>
          <w:lang w:val="en-US" w:eastAsia="zh-CN"/>
        </w:rPr>
        <w:t>（宽）×900</w:t>
      </w:r>
      <w:r>
        <w:rPr>
          <w:rFonts w:hint="eastAsia" w:ascii="Times New Roman" w:hAnsi="Times New Roman" w:cs="Times New Roman"/>
          <w:sz w:val="24"/>
          <w:lang w:val="en-US" w:eastAsia="zh-CN"/>
        </w:rPr>
        <w:t>mm</w:t>
      </w:r>
      <w:r>
        <w:rPr>
          <w:rFonts w:hint="default" w:ascii="Times New Roman" w:hAnsi="Times New Roman" w:cs="Times New Roman" w:eastAsiaTheme="minorEastAsia"/>
          <w:sz w:val="24"/>
          <w:lang w:val="en-US" w:eastAsia="zh-CN"/>
        </w:rPr>
        <w:t>（高）。</w:t>
      </w:r>
      <w:r>
        <w:rPr>
          <w:rFonts w:hint="default" w:ascii="Times New Roman" w:hAnsi="Times New Roman" w:cs="Times New Roman" w:eastAsiaTheme="minorEastAsia"/>
          <w:sz w:val="24"/>
          <w:lang w:val="zh-CN" w:eastAsia="zh-CN"/>
        </w:rPr>
        <w:t>子车底部有滑轮，设置控制手柄，使操作人员在进料时方便控制进料子车由字母式进料设备与灭菌器内轨道对接，实现进料。</w:t>
      </w:r>
    </w:p>
    <w:p w14:paraId="61933687">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容器中废物装填应松散适度，不宜过满过紧，最大装载量不宜超过杀菌室容积的70%，进料容器中的医疗废物顶部与杀菌室内上壁留有适当距离。</w:t>
      </w:r>
    </w:p>
    <w:p w14:paraId="02F7F016">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（2）灭菌处理</w:t>
      </w:r>
    </w:p>
    <w:p w14:paraId="18399D7A">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高温蒸汽灭菌舱（双开门设计）同时配备预真空和脉动真空两种灭菌处理操作模式。根据实际处理量和处理要求，任意选择一种操作模式。若处理量少可以采用脉动真空，否则相反。脉动真空需四次抽真空，一个周期处理时间约为</w:t>
      </w:r>
      <w:r>
        <w:rPr>
          <w:rFonts w:hint="default" w:ascii="Times New Roman" w:hAnsi="Times New Roman" w:cs="Times New Roman" w:eastAsiaTheme="minorEastAsia"/>
          <w:sz w:val="24"/>
          <w:lang w:val="en-US" w:eastAsia="zh-CN"/>
        </w:rPr>
        <w:t>90</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100min；预真空需二次抽真空，一个周期处理时间约为75</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80min</w:t>
      </w:r>
      <w:r>
        <w:rPr>
          <w:rFonts w:hint="eastAsia" w:ascii="Times New Roman" w:hAnsi="Times New Roman" w:cs="Times New Roman" w:eastAsiaTheme="minorEastAsia"/>
          <w:sz w:val="24"/>
          <w:lang w:val="en-US" w:eastAsia="zh-CN"/>
        </w:rPr>
        <w:t>。通常选取脉动真空模式操作。</w:t>
      </w:r>
    </w:p>
    <w:p w14:paraId="4D286AE5">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bookmarkStart w:id="129" w:name="OLE_LINK44"/>
      <w:r>
        <w:rPr>
          <w:rFonts w:hint="eastAsia" w:ascii="Times New Roman" w:hAnsi="Times New Roman" w:cs="Times New Roman" w:eastAsiaTheme="minorEastAsia"/>
          <w:sz w:val="24"/>
          <w:lang w:val="en-US" w:eastAsia="zh-CN"/>
        </w:rPr>
        <w:t>A.准备</w:t>
      </w:r>
    </w:p>
    <w:p w14:paraId="7D2FF434">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灭菌车装入高温蒸汽灭菌舱后，开动液压装置关闭并锁紧舱门，控制手柄启动（中控室操作），此时油路、电路断开，舱门自锁，灭菌器进入电脑设定程序。</w:t>
      </w:r>
    </w:p>
    <w:p w14:paraId="0CFD6143">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B.抽真空</w:t>
      </w:r>
    </w:p>
    <w:p w14:paraId="25C4F1B6">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采用脉动抽真空操作方式，经三次脉动抽真空后抽除灭菌舱内的空气。此时舱内的空气排出率达99.6%以上。</w:t>
      </w:r>
    </w:p>
    <w:p w14:paraId="73F13AEE">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1）首次抽真空（排除舱内空气，真空度-0.09Mpa）-升温-排气-排水；</w:t>
      </w:r>
    </w:p>
    <w:p w14:paraId="387F0A13">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2）二次抽真空（再次排除舱内残余空气，真空度-0.08Mpa）-升温-排气-排水；</w:t>
      </w:r>
    </w:p>
    <w:p w14:paraId="45AB7011">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3）三次抽真空（再次排除舱内残余空气，真空度-0.07Mpa）-升温至134℃，压力0.22Mpa，保温45分钟-排气-排水。</w:t>
      </w:r>
    </w:p>
    <w:p w14:paraId="5B6FB4D9">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C.升温灭菌</w:t>
      </w:r>
    </w:p>
    <w:p w14:paraId="192F10C3">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脉动抽真空后电脑控制程序转入升温状态，进气阀打开，蒸汽进入灭菌舱对医疗废物进行加热，温度设定在134℃—135℃，当灭菌舱温度达到设定值后程序转入灭菌阶段。在此期间，灭菌舱内进气阀受舱内温度和压力的共同控制，确保舱内保持在134℃以上对废物进行灭菌，当舱内温度低于灭菌温度下限时，进气阀打开，当舱内压力达到上限时，进气阀关闭，比舱内压力设置值低20KPA时进气阀打开。在此温度下，保持45分钟。</w:t>
      </w:r>
    </w:p>
    <w:p w14:paraId="155B28DD">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D.第四次脉动抽真空</w:t>
      </w:r>
    </w:p>
    <w:p w14:paraId="4D8D5E88">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抽真空前仍是放气阀先打开，排气结束后打开排水阀，待排水完毕后开始第四次抽真空（排出舱内热气，干燥，真空度-0.06Mpa），此过程需2分钟。此次抽真空目的是将舱内热量和余气排出，并降低垃圾的含水率，物料干燥后含水量不大于总重的20%。抽真空后空气进气阀打开，外部空气进入舱门，使舱内温度下降，并使灭菌舱内外压力平衡，具备开启舱门的条件。</w:t>
      </w:r>
    </w:p>
    <w:p w14:paraId="3E928810">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E.排冷凝水</w:t>
      </w:r>
    </w:p>
    <w:p w14:paraId="0DEFD6AC">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灭菌舱内由于温度的变化和蒸汽的作用在灭菌过程中不断产生冷凝水并存在灭菌舱的底部。在整个升温过程中，由电脑控制的排水阀门间歇性开启，当灭菌过程和排汽过程结束后，排污阀按程序打开将残留的冷凝水排出，当整个处理过程结束后，进气阀门打开，使舱体内外压平衡。蒸汽管道内产生的冷凝水通过疏水阀随时将冷凝水排出。</w:t>
      </w:r>
    </w:p>
    <w:p w14:paraId="57413E2D">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F.灭菌结束</w:t>
      </w:r>
    </w:p>
    <w:p w14:paraId="5A3497AD">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当全部程序结束后蜂鸣器呼叫，此时舱门自动打开，自动输送线上的推料杆将灭菌车逐一推出舱外，6辆装载好未灭菌的医废灭菌车进入灭菌舱准备下一个灭菌流程。灭菌完毕的医废通过自动输送线运至提升破碎工位，进行破碎毁形处理。</w:t>
      </w:r>
    </w:p>
    <w:p w14:paraId="48AB07B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（3）破碎</w:t>
      </w:r>
      <w:bookmarkEnd w:id="129"/>
    </w:p>
    <w:p w14:paraId="182AD83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经过高温消毒灭菌后的医疗废物经进料机被连续均匀地输送至废物破碎机入料口内，进入破碎腔内进行破碎毁形。破碎机是在医疗废物经过灭菌处理后将医废中的棉花、纱布、塑料或玻璃瓶、针头、手术刀等进行破碎切割成小于50mm×50mm的颗粒。本项目采用回转式破碎机，本机通过两个刀轴相向旋转破碎物料，每个刀轴上都装有交错刀片，破碎时转速较低，相应扭矩较高且无噪声。刀具为进口高合金钢材质制造，筛网孔径小于50mm。</w:t>
      </w:r>
    </w:p>
    <w:p w14:paraId="16A9C7B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（4）压缩</w:t>
      </w:r>
    </w:p>
    <w:p w14:paraId="013E1CC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经破碎系统破碎后的物料，经过封闭式的螺旋输送机送至密闭式压缩机，压缩比为1/3。压缩处理便于运输，同时可以避免中间的非法回收利用的可能。挤压成型后装入经消毒处理后的进料车，汽车运输至莎车县生活垃圾焚烧厂。</w:t>
      </w:r>
    </w:p>
    <w:p w14:paraId="16DA9927">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预真空模式只需抽2次真空，第一次抽真空至-0.09Mpa，空气排除率达到90%，而后升温至134℃，压力0.22Mpa，保温45分钟；第二次抽真空至-0.06Mpa，抽出蒸汽及干燥。其余工序与脉动真空模式一致。</w:t>
      </w:r>
    </w:p>
    <w:p w14:paraId="3CF0FBAF">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整个处理工艺循环过程，全部由电脑控制自动完成，并具备自动、手动控制功能和提供互联网在线监控、数据自动记录打印功能，各阀门保证开启自如，运行良好。</w:t>
      </w:r>
    </w:p>
    <w:p w14:paraId="1B8346A7">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（5）冷凝液及废气的收集处理</w:t>
      </w:r>
    </w:p>
    <w:p w14:paraId="4DB78BC8">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①冷凝液处理</w:t>
      </w:r>
    </w:p>
    <w:p w14:paraId="44982C7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从灭菌设备内腔排出的冷凝液采用与上述灭菌效果生物检测同样的方法。其处理则采用加热处理方式对废液进行消毒，消毒温度不宜低于125℃，相应消毒时间不宜少于30min，整个消毒过程由与设备成套的冷凝液处理系统进行，消毒后进入调节池。灭菌设备外腔的冷凝液不与医疗废物接触，可通过回收系统回用。</w:t>
      </w:r>
    </w:p>
    <w:p w14:paraId="3E6EAE0C">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②废气处理</w:t>
      </w:r>
    </w:p>
    <w:p w14:paraId="169A9E41">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废气中引起臭味的物质主要为氨气和硫化氢，该类物质在随蒸汽外溢时气味明显。本项目采用吸收法、过滤法和吸附法处理工艺对废气进行处理，废气处理工艺如下：</w:t>
      </w:r>
    </w:p>
    <w:p w14:paraId="71F5447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1）首先，从灭菌设备内腔排出的高温废气进入冷却喷淋塔，冷却水蒸气，减少外排废气体积，利用液体与废气中的可溶性物质发生结合，使废气中有机物进入水箱，有效截留恶臭物质。喷淋塔采用填料塔形式，气体从下部进入，液体从顶部喷下与逆向而上的气体充分接触，然后气体从吸收塔顶部排出。塔下部设集液槽，冷却液循环使用，定期排放至污水站处理。</w:t>
      </w:r>
    </w:p>
    <w:p w14:paraId="1597597F">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2）然后，废气进入生物过滤消毒器（滤膜），过滤未灭活的致病微生物，彻底处理致病微生物。过滤膜的过滤孔径为0.2μm，过滤效率达到99.999%以上。</w:t>
      </w:r>
    </w:p>
    <w:p w14:paraId="1AAF8353">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3）最后，过滤后的蒸汽由引风机送入活性炭吸附装置，经过活性炭的吸附截留废气中的H</w:t>
      </w:r>
      <w:r>
        <w:rPr>
          <w:rFonts w:hint="default" w:ascii="Times New Roman" w:hAnsi="Times New Roman" w:cs="Times New Roman" w:eastAsiaTheme="minorEastAsia"/>
          <w:sz w:val="24"/>
          <w:vertAlign w:val="subscript"/>
          <w:lang w:val="en-US" w:eastAsia="zh-CN"/>
        </w:rPr>
        <w:t>2</w:t>
      </w:r>
      <w:r>
        <w:rPr>
          <w:rFonts w:hint="default" w:ascii="Times New Roman" w:hAnsi="Times New Roman" w:cs="Times New Roman" w:eastAsiaTheme="minorEastAsia"/>
          <w:sz w:val="24"/>
          <w:lang w:val="en-US" w:eastAsia="zh-CN"/>
        </w:rPr>
        <w:t>S、NH</w:t>
      </w:r>
      <w:r>
        <w:rPr>
          <w:rFonts w:hint="default" w:ascii="Times New Roman" w:hAnsi="Times New Roman" w:cs="Times New Roman" w:eastAsiaTheme="minorEastAsia"/>
          <w:sz w:val="24"/>
          <w:vertAlign w:val="subscript"/>
          <w:lang w:val="en-US" w:eastAsia="zh-CN"/>
        </w:rPr>
        <w:t>3</w:t>
      </w:r>
      <w:r>
        <w:rPr>
          <w:rFonts w:hint="default" w:ascii="Times New Roman" w:hAnsi="Times New Roman" w:cs="Times New Roman" w:eastAsiaTheme="minorEastAsia"/>
          <w:sz w:val="24"/>
          <w:lang w:val="en-US" w:eastAsia="zh-CN"/>
        </w:rPr>
        <w:t>，达标排放。</w:t>
      </w:r>
    </w:p>
    <w:p w14:paraId="218EEBA8">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消毒灭菌过程结束后，灭菌室（处理主机内腔）排气口打开，废气处理装置引风机打开，腔内蒸汽在内腔压力作用下排出。废气处理装置冷却泵启动向冷却塔喷洒冷水，经废气处理装置处理后排空。当灭菌内腔压力降至大气压时，引风机继续工作，对灭菌内腔残留气体进行抽除，此过程是负压操作，利于灭菌后物料的进一步干燥。</w:t>
      </w:r>
    </w:p>
    <w:p w14:paraId="2B2EBF38">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本工艺高温蒸煮阶段为全密闭式生产，集气罩与废气处理系统连接，将医疗废物挥发出来的蒸汽收集后经废气处理系统处理。</w:t>
      </w:r>
    </w:p>
    <w:p w14:paraId="2B4DEBF4">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采用气相色谱仪定期检测尾气，测定其中的H</w:t>
      </w:r>
      <w:r>
        <w:rPr>
          <w:rFonts w:hint="default" w:ascii="Times New Roman" w:hAnsi="Times New Roman" w:cs="Times New Roman" w:eastAsiaTheme="minorEastAsia"/>
          <w:sz w:val="24"/>
          <w:vertAlign w:val="subscript"/>
          <w:lang w:val="en-US" w:eastAsia="zh-CN"/>
        </w:rPr>
        <w:t>2</w:t>
      </w:r>
      <w:r>
        <w:rPr>
          <w:rFonts w:hint="default" w:ascii="Times New Roman" w:hAnsi="Times New Roman" w:cs="Times New Roman" w:eastAsiaTheme="minorEastAsia"/>
          <w:sz w:val="24"/>
          <w:lang w:val="en-US" w:eastAsia="zh-CN"/>
        </w:rPr>
        <w:t>S、NH</w:t>
      </w:r>
      <w:r>
        <w:rPr>
          <w:rFonts w:hint="default" w:ascii="Times New Roman" w:hAnsi="Times New Roman" w:cs="Times New Roman" w:eastAsiaTheme="minorEastAsia"/>
          <w:sz w:val="24"/>
          <w:vertAlign w:val="subscript"/>
          <w:lang w:val="en-US" w:eastAsia="zh-CN"/>
        </w:rPr>
        <w:t>3</w:t>
      </w:r>
      <w:r>
        <w:rPr>
          <w:rFonts w:hint="default" w:ascii="Times New Roman" w:hAnsi="Times New Roman" w:cs="Times New Roman" w:eastAsiaTheme="minorEastAsia"/>
          <w:sz w:val="24"/>
          <w:lang w:val="en-US" w:eastAsia="zh-CN"/>
        </w:rPr>
        <w:t>含量，检测由医疗废物处理中心进行。试运行期间一旦发现尾气中含有高浓度的H</w:t>
      </w:r>
      <w:r>
        <w:rPr>
          <w:rFonts w:hint="default" w:ascii="Times New Roman" w:hAnsi="Times New Roman" w:cs="Times New Roman" w:eastAsiaTheme="minorEastAsia"/>
          <w:sz w:val="24"/>
          <w:vertAlign w:val="subscript"/>
          <w:lang w:val="en-US" w:eastAsia="zh-CN"/>
        </w:rPr>
        <w:t>2</w:t>
      </w:r>
      <w:r>
        <w:rPr>
          <w:rFonts w:hint="default" w:ascii="Times New Roman" w:hAnsi="Times New Roman" w:cs="Times New Roman" w:eastAsiaTheme="minorEastAsia"/>
          <w:sz w:val="24"/>
          <w:lang w:val="en-US" w:eastAsia="zh-CN"/>
        </w:rPr>
        <w:t>S、NH</w:t>
      </w:r>
      <w:r>
        <w:rPr>
          <w:rFonts w:hint="default" w:ascii="Times New Roman" w:hAnsi="Times New Roman" w:cs="Times New Roman" w:eastAsiaTheme="minorEastAsia"/>
          <w:sz w:val="24"/>
          <w:vertAlign w:val="subscript"/>
          <w:lang w:val="en-US" w:eastAsia="zh-CN"/>
        </w:rPr>
        <w:t>3</w:t>
      </w:r>
      <w:r>
        <w:rPr>
          <w:rFonts w:hint="default" w:ascii="Times New Roman" w:hAnsi="Times New Roman" w:cs="Times New Roman" w:eastAsiaTheme="minorEastAsia"/>
          <w:sz w:val="24"/>
          <w:lang w:val="en-US" w:eastAsia="zh-CN"/>
        </w:rPr>
        <w:t>，则立即更换活性炭吸附装置和过滤装置。正式运营期应根据试运行期的监测结果建立规范的吸附过滤装置定期更新制度。</w:t>
      </w:r>
    </w:p>
    <w:p w14:paraId="036D192A">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30" w:name="_Toc19735"/>
      <w:r>
        <w:rPr>
          <w:rFonts w:hint="eastAsia" w:ascii="Times New Roman" w:hAnsi="Times New Roman" w:cs="Times New Roman" w:eastAsiaTheme="minorEastAsia"/>
          <w:kern w:val="0"/>
          <w:sz w:val="24"/>
          <w:szCs w:val="24"/>
          <w:lang w:val="en-US" w:eastAsia="zh-CN"/>
        </w:rPr>
        <w:t>3.1.5现有工程平面布置</w:t>
      </w:r>
      <w:bookmarkEnd w:id="130"/>
    </w:p>
    <w:p w14:paraId="5DF85E92">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现有工程总体布置由高温蒸汽灭菌车间、冲洗消毒车间、污水处理站、冷库房（暂存）、锅炉房和事故池等组成。灭菌车间和冷库房布置在厂区西北侧，冲洗消毒车间布置于厂区西南侧，门卫室布置于厂区东侧。灭菌车间西南侧为锅炉房和污水处理站，其东北侧为事故池。</w:t>
      </w:r>
    </w:p>
    <w:p w14:paraId="72250203">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31" w:name="_Toc20312"/>
      <w:r>
        <w:rPr>
          <w:rFonts w:hint="eastAsia" w:ascii="Times New Roman" w:hAnsi="Times New Roman" w:cs="Times New Roman" w:eastAsiaTheme="minorEastAsia"/>
          <w:kern w:val="0"/>
          <w:sz w:val="24"/>
          <w:szCs w:val="24"/>
          <w:lang w:val="en-US" w:eastAsia="zh-CN"/>
        </w:rPr>
        <w:t>3.1.6现有项目的环保手续履行情况</w:t>
      </w:r>
      <w:bookmarkEnd w:id="131"/>
    </w:p>
    <w:p w14:paraId="6F88BFAA">
      <w:pPr>
        <w:adjustRightInd w:val="0"/>
        <w:snapToGrid w:val="0"/>
        <w:spacing w:line="500" w:lineRule="exact"/>
        <w:jc w:val="left"/>
        <w:rPr>
          <w:rFonts w:hint="eastAsia" w:ascii="Times New Roman" w:hAnsi="Times New Roman" w:cs="Times New Roman" w:eastAsiaTheme="minorEastAsia"/>
          <w:b/>
          <w:bCs/>
          <w:sz w:val="24"/>
          <w:highlight w:val="none"/>
          <w:lang w:val="en-US" w:eastAsia="zh-CN"/>
        </w:rPr>
      </w:pPr>
      <w:r>
        <w:rPr>
          <w:rFonts w:hint="eastAsia" w:ascii="Times New Roman" w:hAnsi="Times New Roman" w:cs="Times New Roman" w:eastAsiaTheme="minorEastAsia"/>
          <w:b/>
          <w:bCs/>
          <w:sz w:val="24"/>
          <w:highlight w:val="none"/>
          <w:lang w:val="en-US" w:eastAsia="zh-CN"/>
        </w:rPr>
        <w:t>3.1.6.1环评</w:t>
      </w:r>
    </w:p>
    <w:p w14:paraId="1F191713">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莎车县海纳环保科技开发有限公司于</w:t>
      </w:r>
      <w:r>
        <w:rPr>
          <w:rFonts w:hint="default" w:ascii="Times New Roman" w:hAnsi="Times New Roman" w:cs="Times New Roman" w:eastAsiaTheme="minorEastAsia"/>
          <w:sz w:val="24"/>
          <w:lang w:val="en-US" w:eastAsia="zh-CN"/>
        </w:rPr>
        <w:t>2016</w:t>
      </w:r>
      <w:r>
        <w:rPr>
          <w:rFonts w:hint="eastAsia" w:ascii="Times New Roman" w:hAnsi="Times New Roman" w:cs="Times New Roman" w:eastAsiaTheme="minorEastAsia"/>
          <w:sz w:val="24"/>
          <w:lang w:val="en-US" w:eastAsia="zh-CN"/>
        </w:rPr>
        <w:t>年</w:t>
      </w:r>
      <w:r>
        <w:rPr>
          <w:rFonts w:hint="default" w:ascii="Times New Roman" w:hAnsi="Times New Roman" w:cs="Times New Roman" w:eastAsiaTheme="minorEastAsia"/>
          <w:sz w:val="24"/>
          <w:lang w:val="en-US" w:eastAsia="zh-CN"/>
        </w:rPr>
        <w:t>6</w:t>
      </w:r>
      <w:r>
        <w:rPr>
          <w:rFonts w:hint="eastAsia" w:ascii="Times New Roman" w:hAnsi="Times New Roman" w:cs="Times New Roman" w:eastAsiaTheme="minorEastAsia"/>
          <w:sz w:val="24"/>
          <w:lang w:val="en-US" w:eastAsia="zh-CN"/>
        </w:rPr>
        <w:t>月委托深圳市市政设计研究院有限公司对现有项目进行了环境影响评价，编制了现有项目环境影响报告书。</w:t>
      </w:r>
      <w:r>
        <w:rPr>
          <w:rFonts w:hint="default" w:ascii="Times New Roman" w:hAnsi="Times New Roman" w:cs="Times New Roman" w:eastAsiaTheme="minorEastAsia"/>
          <w:sz w:val="24"/>
          <w:lang w:val="en-US" w:eastAsia="zh-CN"/>
        </w:rPr>
        <w:t>2017</w:t>
      </w:r>
      <w:r>
        <w:rPr>
          <w:rFonts w:hint="eastAsia" w:ascii="Times New Roman" w:hAnsi="Times New Roman" w:cs="Times New Roman" w:eastAsiaTheme="minorEastAsia"/>
          <w:sz w:val="24"/>
          <w:lang w:val="en-US" w:eastAsia="zh-CN"/>
        </w:rPr>
        <w:t>年</w:t>
      </w:r>
      <w:r>
        <w:rPr>
          <w:rFonts w:hint="default" w:ascii="Times New Roman" w:hAnsi="Times New Roman" w:cs="Times New Roman" w:eastAsiaTheme="minorEastAsia"/>
          <w:sz w:val="24"/>
          <w:lang w:val="en-US" w:eastAsia="zh-CN"/>
        </w:rPr>
        <w:t>1</w:t>
      </w:r>
      <w:r>
        <w:rPr>
          <w:rFonts w:hint="eastAsia" w:ascii="Times New Roman" w:hAnsi="Times New Roman" w:cs="Times New Roman" w:eastAsiaTheme="minorEastAsia"/>
          <w:sz w:val="24"/>
          <w:lang w:val="en-US" w:eastAsia="zh-CN"/>
        </w:rPr>
        <w:t>月，原新疆维吾尔自治区环境保护厅以《关于莎车县医疗废物处置中心项目环境影响报告书的批复》（新环函〔</w:t>
      </w:r>
      <w:r>
        <w:rPr>
          <w:rFonts w:hint="default" w:ascii="Times New Roman" w:hAnsi="Times New Roman" w:cs="Times New Roman" w:eastAsiaTheme="minorEastAsia"/>
          <w:sz w:val="24"/>
          <w:lang w:val="en-US" w:eastAsia="zh-CN"/>
        </w:rPr>
        <w:t>2017</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83</w:t>
      </w:r>
      <w:r>
        <w:rPr>
          <w:rFonts w:hint="eastAsia" w:ascii="Times New Roman" w:hAnsi="Times New Roman" w:cs="Times New Roman" w:eastAsiaTheme="minorEastAsia"/>
          <w:sz w:val="24"/>
          <w:lang w:val="en-US" w:eastAsia="zh-CN"/>
        </w:rPr>
        <w:t>号）对该报告书进行了批复。</w:t>
      </w:r>
    </w:p>
    <w:p w14:paraId="4C15DFDD">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2023年9月，莎车县海纳环保科技开发有限公司委托新疆鑫旺盛土地环境工程有限公司编制完成了《莎车县医疗废物处置中心微波消毒处置装置扩建项目环境影响报告书》。2024年3月11日取得了《关于〈莎车县医疗废物处置中心微波消毒处置装置扩建项目环境影响报告书〉的批复》（喀地环评字〔2024〕82号）。取得批复后项目根据企业实际情况，未进行建设投产。</w:t>
      </w:r>
    </w:p>
    <w:p w14:paraId="73A6E630">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b/>
          <w:bCs/>
          <w:sz w:val="24"/>
          <w:lang w:val="en-US" w:eastAsia="zh-CN"/>
        </w:rPr>
        <w:t>3.1.6.2</w:t>
      </w:r>
      <w:r>
        <w:rPr>
          <w:rFonts w:hint="eastAsia" w:ascii="Times New Roman" w:hAnsi="Times New Roman" w:cs="Times New Roman" w:eastAsiaTheme="minorEastAsia"/>
          <w:b/>
          <w:bCs/>
          <w:sz w:val="24"/>
          <w:lang w:val="en-US" w:eastAsia="zh-CN"/>
        </w:rPr>
        <w:t>排污许可</w:t>
      </w:r>
    </w:p>
    <w:p w14:paraId="6B243DE8">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莎车县海纳环保科技开发有限公司于</w:t>
      </w:r>
      <w:r>
        <w:rPr>
          <w:rFonts w:hint="default" w:ascii="Times New Roman" w:hAnsi="Times New Roman" w:cs="Times New Roman" w:eastAsiaTheme="minorEastAsia"/>
          <w:sz w:val="24"/>
          <w:highlight w:val="none"/>
          <w:lang w:val="en-US" w:eastAsia="zh-CN"/>
        </w:rPr>
        <w:t>2020</w:t>
      </w:r>
      <w:r>
        <w:rPr>
          <w:rFonts w:hint="eastAsia" w:ascii="Times New Roman" w:hAnsi="Times New Roman" w:cs="Times New Roman" w:eastAsiaTheme="minorEastAsia"/>
          <w:sz w:val="24"/>
          <w:highlight w:val="none"/>
          <w:lang w:val="en-US" w:eastAsia="zh-CN"/>
        </w:rPr>
        <w:t>年</w:t>
      </w:r>
      <w:r>
        <w:rPr>
          <w:rFonts w:hint="default" w:ascii="Times New Roman" w:hAnsi="Times New Roman" w:cs="Times New Roman" w:eastAsiaTheme="minorEastAsia"/>
          <w:sz w:val="24"/>
          <w:highlight w:val="none"/>
          <w:lang w:val="en-US" w:eastAsia="zh-CN"/>
        </w:rPr>
        <w:t>4</w:t>
      </w:r>
      <w:r>
        <w:rPr>
          <w:rFonts w:hint="eastAsia" w:ascii="Times New Roman" w:hAnsi="Times New Roman" w:cs="Times New Roman" w:eastAsiaTheme="minorEastAsia"/>
          <w:sz w:val="24"/>
          <w:highlight w:val="none"/>
          <w:lang w:val="en-US" w:eastAsia="zh-CN"/>
        </w:rPr>
        <w:t>月办理了排污许可证，</w:t>
      </w:r>
      <w:r>
        <w:rPr>
          <w:rFonts w:hint="eastAsia" w:ascii="Times New Roman" w:hAnsi="Times New Roman" w:cs="Times New Roman"/>
          <w:sz w:val="24"/>
          <w:highlight w:val="none"/>
          <w:lang w:val="en-US" w:eastAsia="zh-CN"/>
        </w:rPr>
        <w:t>属于重点管理，</w:t>
      </w:r>
      <w:r>
        <w:rPr>
          <w:rFonts w:hint="eastAsia" w:ascii="Times New Roman" w:hAnsi="Times New Roman" w:cs="Times New Roman" w:eastAsiaTheme="minorEastAsia"/>
          <w:sz w:val="24"/>
          <w:highlight w:val="none"/>
          <w:lang w:val="en-US" w:eastAsia="zh-CN"/>
        </w:rPr>
        <w:t>证书编号：</w:t>
      </w:r>
      <w:r>
        <w:rPr>
          <w:rFonts w:hint="default" w:ascii="Times New Roman" w:hAnsi="Times New Roman" w:cs="Times New Roman" w:eastAsiaTheme="minorEastAsia"/>
          <w:sz w:val="24"/>
          <w:highlight w:val="none"/>
          <w:lang w:val="en-US" w:eastAsia="zh-CN"/>
        </w:rPr>
        <w:t>91653125MA7768RB2A001V</w:t>
      </w:r>
      <w:r>
        <w:rPr>
          <w:rFonts w:hint="eastAsia" w:ascii="Times New Roman" w:hAnsi="Times New Roman" w:cs="Times New Roman" w:eastAsiaTheme="minorEastAsia"/>
          <w:sz w:val="24"/>
          <w:highlight w:val="none"/>
          <w:lang w:val="en-US" w:eastAsia="zh-CN"/>
        </w:rPr>
        <w:t>；有效期限自</w:t>
      </w:r>
      <w:r>
        <w:rPr>
          <w:rFonts w:hint="default" w:ascii="Times New Roman" w:hAnsi="Times New Roman" w:cs="Times New Roman" w:eastAsiaTheme="minorEastAsia"/>
          <w:sz w:val="24"/>
          <w:highlight w:val="none"/>
          <w:lang w:val="en-US" w:eastAsia="zh-CN"/>
        </w:rPr>
        <w:t>2020</w:t>
      </w:r>
      <w:r>
        <w:rPr>
          <w:rFonts w:hint="eastAsia" w:ascii="Times New Roman" w:hAnsi="Times New Roman" w:cs="Times New Roman" w:eastAsiaTheme="minorEastAsia"/>
          <w:sz w:val="24"/>
          <w:highlight w:val="none"/>
          <w:lang w:val="en-US" w:eastAsia="zh-CN"/>
        </w:rPr>
        <w:t>年</w:t>
      </w:r>
      <w:r>
        <w:rPr>
          <w:rFonts w:hint="default" w:ascii="Times New Roman" w:hAnsi="Times New Roman" w:cs="Times New Roman" w:eastAsiaTheme="minorEastAsia"/>
          <w:sz w:val="24"/>
          <w:highlight w:val="none"/>
          <w:lang w:val="en-US" w:eastAsia="zh-CN"/>
        </w:rPr>
        <w:t>4</w:t>
      </w:r>
      <w:r>
        <w:rPr>
          <w:rFonts w:hint="eastAsia" w:ascii="Times New Roman" w:hAnsi="Times New Roman" w:cs="Times New Roman" w:eastAsiaTheme="minorEastAsia"/>
          <w:sz w:val="24"/>
          <w:highlight w:val="none"/>
          <w:lang w:val="en-US" w:eastAsia="zh-CN"/>
        </w:rPr>
        <w:t>月</w:t>
      </w:r>
      <w:r>
        <w:rPr>
          <w:rFonts w:hint="default" w:ascii="Times New Roman" w:hAnsi="Times New Roman" w:cs="Times New Roman" w:eastAsiaTheme="minorEastAsia"/>
          <w:sz w:val="24"/>
          <w:highlight w:val="none"/>
          <w:lang w:val="en-US" w:eastAsia="zh-CN"/>
        </w:rPr>
        <w:t>14</w:t>
      </w:r>
      <w:r>
        <w:rPr>
          <w:rFonts w:hint="eastAsia" w:ascii="Times New Roman" w:hAnsi="Times New Roman" w:cs="Times New Roman" w:eastAsiaTheme="minorEastAsia"/>
          <w:sz w:val="24"/>
          <w:highlight w:val="none"/>
          <w:lang w:val="en-US" w:eastAsia="zh-CN"/>
        </w:rPr>
        <w:t>日至</w:t>
      </w:r>
      <w:r>
        <w:rPr>
          <w:rFonts w:hint="default" w:ascii="Times New Roman" w:hAnsi="Times New Roman" w:cs="Times New Roman" w:eastAsiaTheme="minorEastAsia"/>
          <w:sz w:val="24"/>
          <w:highlight w:val="none"/>
          <w:lang w:val="en-US" w:eastAsia="zh-CN"/>
        </w:rPr>
        <w:t>2025</w:t>
      </w:r>
      <w:r>
        <w:rPr>
          <w:rFonts w:hint="eastAsia" w:ascii="Times New Roman" w:hAnsi="Times New Roman" w:cs="Times New Roman" w:eastAsiaTheme="minorEastAsia"/>
          <w:sz w:val="24"/>
          <w:highlight w:val="none"/>
          <w:lang w:val="en-US" w:eastAsia="zh-CN"/>
        </w:rPr>
        <w:t>年</w:t>
      </w:r>
      <w:r>
        <w:rPr>
          <w:rFonts w:hint="default" w:ascii="Times New Roman" w:hAnsi="Times New Roman" w:cs="Times New Roman" w:eastAsiaTheme="minorEastAsia"/>
          <w:sz w:val="24"/>
          <w:highlight w:val="none"/>
          <w:lang w:val="en-US" w:eastAsia="zh-CN"/>
        </w:rPr>
        <w:t>4</w:t>
      </w:r>
      <w:r>
        <w:rPr>
          <w:rFonts w:hint="eastAsia" w:ascii="Times New Roman" w:hAnsi="Times New Roman" w:cs="Times New Roman" w:eastAsiaTheme="minorEastAsia"/>
          <w:sz w:val="24"/>
          <w:highlight w:val="none"/>
          <w:lang w:val="en-US" w:eastAsia="zh-CN"/>
        </w:rPr>
        <w:t>月</w:t>
      </w:r>
      <w:r>
        <w:rPr>
          <w:rFonts w:hint="default" w:ascii="Times New Roman" w:hAnsi="Times New Roman" w:cs="Times New Roman" w:eastAsiaTheme="minorEastAsia"/>
          <w:sz w:val="24"/>
          <w:highlight w:val="none"/>
          <w:lang w:val="en-US" w:eastAsia="zh-CN"/>
        </w:rPr>
        <w:t>13</w:t>
      </w:r>
      <w:r>
        <w:rPr>
          <w:rFonts w:hint="eastAsia" w:ascii="Times New Roman" w:hAnsi="Times New Roman" w:cs="Times New Roman" w:eastAsiaTheme="minorEastAsia"/>
          <w:sz w:val="24"/>
          <w:highlight w:val="none"/>
          <w:lang w:val="en-US" w:eastAsia="zh-CN"/>
        </w:rPr>
        <w:t>日止。2025年4月11日，莎车县海纳环保科技开发有限公司对排污许可证进行了延续，有效期自2025年4月14日至2030年4月14日。</w:t>
      </w:r>
    </w:p>
    <w:p w14:paraId="7F7B64B1">
      <w:pPr>
        <w:adjustRightInd w:val="0"/>
        <w:snapToGrid w:val="0"/>
        <w:spacing w:line="500" w:lineRule="exact"/>
        <w:jc w:val="left"/>
        <w:rPr>
          <w:rFonts w:hint="eastAsia" w:ascii="Times New Roman" w:hAnsi="Times New Roman" w:cs="Times New Roman" w:eastAsiaTheme="minorEastAsia"/>
          <w:b/>
          <w:bCs/>
          <w:sz w:val="24"/>
          <w:highlight w:val="none"/>
          <w:lang w:val="en-US" w:eastAsia="zh-CN"/>
        </w:rPr>
      </w:pPr>
      <w:r>
        <w:rPr>
          <w:rFonts w:hint="eastAsia" w:ascii="Times New Roman" w:hAnsi="Times New Roman" w:cs="Times New Roman"/>
          <w:b/>
          <w:bCs/>
          <w:sz w:val="24"/>
          <w:highlight w:val="none"/>
          <w:lang w:val="en-US" w:eastAsia="zh-CN"/>
        </w:rPr>
        <w:t>3.1.6.3</w:t>
      </w:r>
      <w:r>
        <w:rPr>
          <w:rFonts w:hint="eastAsia" w:ascii="Times New Roman" w:hAnsi="Times New Roman" w:cs="Times New Roman" w:eastAsiaTheme="minorEastAsia"/>
          <w:b/>
          <w:bCs/>
          <w:sz w:val="24"/>
          <w:highlight w:val="none"/>
          <w:lang w:val="en-US" w:eastAsia="zh-CN"/>
        </w:rPr>
        <w:t>应急预案</w:t>
      </w:r>
    </w:p>
    <w:p w14:paraId="76312266">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莎车县海纳环保科技开发有限公司于2025年12月编制了突发环境事件应急预案，并在喀什地区生态环境局莎车县分局进行了备案。</w:t>
      </w:r>
    </w:p>
    <w:p w14:paraId="2F561011">
      <w:pPr>
        <w:adjustRightInd w:val="0"/>
        <w:snapToGrid w:val="0"/>
        <w:spacing w:line="500" w:lineRule="exact"/>
        <w:jc w:val="left"/>
        <w:rPr>
          <w:rFonts w:hint="eastAsia" w:ascii="Times New Roman" w:hAnsi="Times New Roman" w:cs="Times New Roman" w:eastAsiaTheme="minorEastAsia"/>
          <w:b/>
          <w:bCs/>
          <w:sz w:val="24"/>
          <w:highlight w:val="none"/>
          <w:lang w:val="en-US" w:eastAsia="zh-CN"/>
        </w:rPr>
      </w:pPr>
      <w:r>
        <w:rPr>
          <w:rFonts w:hint="eastAsia" w:ascii="Times New Roman" w:hAnsi="Times New Roman" w:cs="Times New Roman" w:eastAsiaTheme="minorEastAsia"/>
          <w:b/>
          <w:bCs/>
          <w:sz w:val="24"/>
          <w:highlight w:val="none"/>
          <w:lang w:val="en-US" w:eastAsia="zh-CN"/>
        </w:rPr>
        <w:t>3.1.6.3验收</w:t>
      </w:r>
    </w:p>
    <w:p w14:paraId="279C577B">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莎车县海纳环保科技开发有限公司于2017年10月21日取得原新疆维吾尔自治区环境保护厅《关于莎车县医疗废物处置中心建设项目竣工环境保护验收合格的函》（新环函〔2017〕1717号）。根据验收结论，莎车县医疗废物处置中心建设项目基本落实了环评及批复的要求，环保设施运行正常，污染物排放达标，经验收合格，同意该项目正式投入运行。</w:t>
      </w:r>
    </w:p>
    <w:p w14:paraId="42AC7493">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32" w:name="_Toc17256"/>
      <w:r>
        <w:rPr>
          <w:rFonts w:hint="eastAsia" w:ascii="Times New Roman" w:hAnsi="Times New Roman" w:cs="Times New Roman" w:eastAsiaTheme="minorEastAsia"/>
          <w:kern w:val="0"/>
          <w:sz w:val="24"/>
          <w:szCs w:val="24"/>
          <w:lang w:val="en-US" w:eastAsia="zh-CN"/>
        </w:rPr>
        <w:t>3.1.</w:t>
      </w:r>
      <w:r>
        <w:rPr>
          <w:rFonts w:hint="eastAsia" w:ascii="Times New Roman" w:hAnsi="Times New Roman" w:cs="Times New Roman"/>
          <w:kern w:val="0"/>
          <w:sz w:val="24"/>
          <w:szCs w:val="24"/>
          <w:lang w:val="en-US" w:eastAsia="zh-CN"/>
        </w:rPr>
        <w:t>7</w:t>
      </w:r>
      <w:r>
        <w:rPr>
          <w:rFonts w:hint="eastAsia" w:ascii="Times New Roman" w:hAnsi="Times New Roman" w:cs="Times New Roman" w:eastAsiaTheme="minorEastAsia"/>
          <w:kern w:val="0"/>
          <w:sz w:val="24"/>
          <w:szCs w:val="24"/>
          <w:lang w:val="en-US" w:eastAsia="zh-CN"/>
        </w:rPr>
        <w:t>现有项目的污染物排放情况汇总</w:t>
      </w:r>
      <w:bookmarkEnd w:id="132"/>
    </w:p>
    <w:p w14:paraId="7C610DC7">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3.1.</w:t>
      </w:r>
      <w:r>
        <w:rPr>
          <w:rFonts w:hint="eastAsia" w:ascii="Times New Roman" w:hAnsi="Times New Roman" w:cs="Times New Roman"/>
          <w:b/>
          <w:bCs/>
          <w:sz w:val="24"/>
          <w:lang w:val="en-US" w:eastAsia="zh-CN"/>
        </w:rPr>
        <w:t>7</w:t>
      </w:r>
      <w:r>
        <w:rPr>
          <w:rFonts w:hint="eastAsia" w:ascii="Times New Roman" w:hAnsi="Times New Roman" w:cs="Times New Roman" w:eastAsiaTheme="minorEastAsia"/>
          <w:b/>
          <w:bCs/>
          <w:sz w:val="24"/>
          <w:lang w:val="en-US" w:eastAsia="zh-CN"/>
        </w:rPr>
        <w:t>.1废气</w:t>
      </w:r>
    </w:p>
    <w:p w14:paraId="472B7EA6">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现有项目的废气主要为高温蒸煮车间灭菌器产生的高温蒸煮废气、贮存间产生的废气、燃油锅炉产生的废气、污水处理设施产生的恶臭废气、破碎机产生的粉尘和医疗废物收集、转运过程中产生的恶臭废气。废气中主要污染物有挥发性有机物（非甲烷总烃）、颗粒物、氨、硫化氢、臭气浓度等。</w:t>
      </w:r>
    </w:p>
    <w:p w14:paraId="570FDC6E">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（1）有组织废气</w:t>
      </w:r>
    </w:p>
    <w:p w14:paraId="764BC7A9">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1）灭菌设备尾气</w:t>
      </w:r>
    </w:p>
    <w:p w14:paraId="77C6995E">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医疗废物高温蒸汽处理系统废气含有恶臭（主要为</w:t>
      </w:r>
      <w:r>
        <w:rPr>
          <w:rFonts w:hint="default" w:ascii="Times New Roman" w:hAnsi="Times New Roman" w:cs="Times New Roman" w:eastAsiaTheme="minorEastAsia"/>
          <w:sz w:val="24"/>
          <w:highlight w:val="none"/>
          <w:lang w:val="en-US" w:eastAsia="zh-CN"/>
        </w:rPr>
        <w:t>NH</w:t>
      </w:r>
      <w:r>
        <w:rPr>
          <w:rFonts w:hint="default" w:ascii="Times New Roman" w:hAnsi="Times New Roman" w:cs="Times New Roman" w:eastAsiaTheme="minorEastAsia"/>
          <w:sz w:val="24"/>
          <w:highlight w:val="none"/>
          <w:vertAlign w:val="subscript"/>
          <w:lang w:val="en-US" w:eastAsia="zh-CN"/>
        </w:rPr>
        <w:t>3</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H</w:t>
      </w:r>
      <w:r>
        <w:rPr>
          <w:rFonts w:hint="default" w:ascii="Times New Roman" w:hAnsi="Times New Roman" w:cs="Times New Roman" w:eastAsiaTheme="minorEastAsia"/>
          <w:sz w:val="24"/>
          <w:highlight w:val="none"/>
          <w:vertAlign w:val="subscript"/>
          <w:lang w:val="en-US" w:eastAsia="zh-CN"/>
        </w:rPr>
        <w:t>2</w:t>
      </w:r>
      <w:r>
        <w:rPr>
          <w:rFonts w:hint="default" w:ascii="Times New Roman" w:hAnsi="Times New Roman" w:cs="Times New Roman" w:eastAsiaTheme="minorEastAsia"/>
          <w:sz w:val="24"/>
          <w:highlight w:val="none"/>
          <w:lang w:val="en-US" w:eastAsia="zh-CN"/>
        </w:rPr>
        <w:t>S</w:t>
      </w:r>
      <w:r>
        <w:rPr>
          <w:rFonts w:hint="eastAsia" w:ascii="Times New Roman" w:hAnsi="Times New Roman" w:cs="Times New Roman" w:eastAsiaTheme="minorEastAsia"/>
          <w:sz w:val="24"/>
          <w:highlight w:val="none"/>
          <w:lang w:val="en-US" w:eastAsia="zh-CN"/>
        </w:rPr>
        <w:t>）和挥发性有机物（非甲烷总烃）和带菌气体。高温蒸煮废气经高温蒸汽设备配套的冷却喷淋塔喷淋处理，废气顺着冷却塔上方进入医疗废物专用生物过滤器去除气体中的病毒和噬菌体，最后进入活性炭吸附装置最终去除挥发性有机物（非甲烷总烃）、杀灭病菌和病毒。尾气处理中使用的高效精滤过滤器选用不锈钢外壳，滤芯采用耐高温聚四氟乙烯材质的高效滤膜，过滤孔径</w:t>
      </w:r>
      <w:r>
        <w:rPr>
          <w:rFonts w:hint="default" w:ascii="Times New Roman" w:hAnsi="Times New Roman" w:cs="Times New Roman" w:eastAsiaTheme="minorEastAsia"/>
          <w:sz w:val="24"/>
          <w:highlight w:val="none"/>
          <w:lang w:val="en-US" w:eastAsia="zh-CN"/>
        </w:rPr>
        <w:t>0.2μm</w:t>
      </w:r>
      <w:r>
        <w:rPr>
          <w:rFonts w:hint="eastAsia"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活性炭</w:t>
      </w:r>
      <w:r>
        <w:rPr>
          <w:rFonts w:hint="eastAsia" w:ascii="Times New Roman" w:hAnsi="Times New Roman" w:cs="Times New Roman" w:eastAsiaTheme="minorEastAsia"/>
          <w:sz w:val="24"/>
          <w:highlight w:val="none"/>
          <w:lang w:val="en-US" w:eastAsia="zh-CN"/>
        </w:rPr>
        <w:t>对有机物有良好的吸附效果。从灭菌设备内腔排出的尾气经过冷凝器后，使废气中的细菌、芽孢（不论是否仍具有活性）等都被截留下来，截留效率达到</w:t>
      </w:r>
      <w:r>
        <w:rPr>
          <w:rFonts w:hint="default" w:ascii="Times New Roman" w:hAnsi="Times New Roman" w:cs="Times New Roman" w:eastAsiaTheme="minorEastAsia"/>
          <w:sz w:val="24"/>
          <w:highlight w:val="none"/>
          <w:lang w:val="en-US" w:eastAsia="zh-CN"/>
        </w:rPr>
        <w:t>99.999%</w:t>
      </w:r>
      <w:r>
        <w:rPr>
          <w:rFonts w:hint="eastAsia" w:ascii="Times New Roman" w:hAnsi="Times New Roman" w:cs="Times New Roman" w:eastAsiaTheme="minorEastAsia"/>
          <w:sz w:val="24"/>
          <w:highlight w:val="none"/>
          <w:lang w:val="en-US" w:eastAsia="zh-CN"/>
        </w:rPr>
        <w:t>以上，并可吸附</w:t>
      </w:r>
      <w:r>
        <w:rPr>
          <w:rFonts w:hint="default" w:ascii="Times New Roman" w:hAnsi="Times New Roman" w:cs="Times New Roman" w:eastAsiaTheme="minorEastAsia"/>
          <w:sz w:val="24"/>
          <w:highlight w:val="none"/>
          <w:lang w:val="en-US" w:eastAsia="zh-CN"/>
        </w:rPr>
        <w:t>80%</w:t>
      </w:r>
      <w:r>
        <w:rPr>
          <w:rFonts w:hint="eastAsia" w:ascii="Times New Roman" w:hAnsi="Times New Roman" w:cs="Times New Roman" w:eastAsiaTheme="minorEastAsia"/>
          <w:sz w:val="24"/>
          <w:highlight w:val="none"/>
          <w:lang w:val="en-US" w:eastAsia="zh-CN"/>
        </w:rPr>
        <w:t>以上的</w:t>
      </w:r>
      <w:r>
        <w:rPr>
          <w:rFonts w:hint="default" w:ascii="Times New Roman" w:hAnsi="Times New Roman" w:cs="Times New Roman" w:eastAsiaTheme="minorEastAsia"/>
          <w:sz w:val="24"/>
          <w:highlight w:val="none"/>
          <w:lang w:val="en-US" w:eastAsia="zh-CN"/>
        </w:rPr>
        <w:t>NH</w:t>
      </w:r>
      <w:r>
        <w:rPr>
          <w:rFonts w:hint="default" w:ascii="Times New Roman" w:hAnsi="Times New Roman" w:cs="Times New Roman" w:eastAsiaTheme="minorEastAsia"/>
          <w:sz w:val="24"/>
          <w:highlight w:val="none"/>
          <w:vertAlign w:val="subscript"/>
          <w:lang w:val="en-US" w:eastAsia="zh-CN"/>
        </w:rPr>
        <w:t>3</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H</w:t>
      </w:r>
      <w:r>
        <w:rPr>
          <w:rFonts w:hint="default" w:ascii="Times New Roman" w:hAnsi="Times New Roman" w:cs="Times New Roman" w:eastAsiaTheme="minorEastAsia"/>
          <w:sz w:val="24"/>
          <w:highlight w:val="none"/>
          <w:vertAlign w:val="subscript"/>
          <w:lang w:val="en-US" w:eastAsia="zh-CN"/>
        </w:rPr>
        <w:t>2</w:t>
      </w:r>
      <w:r>
        <w:rPr>
          <w:rFonts w:hint="default" w:ascii="Times New Roman" w:hAnsi="Times New Roman" w:cs="Times New Roman" w:eastAsiaTheme="minorEastAsia"/>
          <w:sz w:val="24"/>
          <w:highlight w:val="none"/>
          <w:lang w:val="en-US" w:eastAsia="zh-CN"/>
        </w:rPr>
        <w:t>S</w:t>
      </w:r>
      <w:r>
        <w:rPr>
          <w:rFonts w:hint="eastAsia" w:ascii="Times New Roman" w:hAnsi="Times New Roman" w:cs="Times New Roman" w:eastAsiaTheme="minorEastAsia"/>
          <w:sz w:val="24"/>
          <w:highlight w:val="none"/>
          <w:lang w:val="en-US" w:eastAsia="zh-CN"/>
        </w:rPr>
        <w:t>等恶臭气体。经过净化处理后的医疗废物高温蒸汽处理系统废气通过</w:t>
      </w:r>
      <w:r>
        <w:rPr>
          <w:rFonts w:hint="default" w:ascii="Times New Roman" w:hAnsi="Times New Roman" w:cs="Times New Roman" w:eastAsiaTheme="minorEastAsia"/>
          <w:sz w:val="24"/>
          <w:highlight w:val="none"/>
          <w:lang w:val="en-US" w:eastAsia="zh-CN"/>
        </w:rPr>
        <w:t>15m</w:t>
      </w:r>
      <w:r>
        <w:rPr>
          <w:rFonts w:hint="eastAsia" w:ascii="Times New Roman" w:hAnsi="Times New Roman" w:cs="Times New Roman" w:eastAsiaTheme="minorEastAsia"/>
          <w:sz w:val="24"/>
          <w:highlight w:val="none"/>
          <w:lang w:val="en-US" w:eastAsia="zh-CN"/>
        </w:rPr>
        <w:t>高度排气筒（</w:t>
      </w:r>
      <w:r>
        <w:rPr>
          <w:rFonts w:hint="default" w:ascii="Times New Roman" w:hAnsi="Times New Roman" w:cs="Times New Roman" w:eastAsiaTheme="minorEastAsia"/>
          <w:sz w:val="24"/>
          <w:highlight w:val="none"/>
          <w:lang w:val="en-US" w:eastAsia="zh-CN"/>
        </w:rPr>
        <w:t>DA001</w:t>
      </w:r>
      <w:r>
        <w:rPr>
          <w:rFonts w:hint="eastAsia" w:ascii="Times New Roman" w:hAnsi="Times New Roman" w:cs="Times New Roman" w:eastAsiaTheme="minorEastAsia"/>
          <w:sz w:val="24"/>
          <w:highlight w:val="none"/>
          <w:lang w:val="en-US" w:eastAsia="zh-CN"/>
        </w:rPr>
        <w:t>）达标排放。</w:t>
      </w:r>
    </w:p>
    <w:p w14:paraId="749281E5">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sz w:val="24"/>
          <w:highlight w:val="none"/>
          <w:lang w:val="en-US" w:eastAsia="zh-CN"/>
        </w:rPr>
        <w:t>根据企业2026年1月自行监测数据（详见附件6），氨排放速率为1.59×10</w:t>
      </w:r>
      <w:r>
        <w:rPr>
          <w:rFonts w:hint="eastAsia" w:ascii="Times New Roman" w:hAnsi="Times New Roman" w:cs="Times New Roman"/>
          <w:sz w:val="24"/>
          <w:highlight w:val="none"/>
          <w:vertAlign w:val="superscript"/>
          <w:lang w:val="en-US" w:eastAsia="zh-CN"/>
        </w:rPr>
        <w:t>-4</w:t>
      </w:r>
      <w:r>
        <w:rPr>
          <w:rFonts w:hint="eastAsia" w:ascii="Times New Roman" w:hAnsi="Times New Roman" w:cs="Times New Roman"/>
          <w:sz w:val="24"/>
          <w:highlight w:val="none"/>
          <w:lang w:val="en-US" w:eastAsia="zh-CN"/>
        </w:rPr>
        <w:t>kg/h（标准值4.9kg/h）；硫化氢排放速率为9.87×10</w:t>
      </w:r>
      <w:r>
        <w:rPr>
          <w:rFonts w:hint="eastAsia" w:ascii="Times New Roman" w:hAnsi="Times New Roman" w:cs="Times New Roman"/>
          <w:sz w:val="24"/>
          <w:highlight w:val="none"/>
          <w:vertAlign w:val="superscript"/>
          <w:lang w:val="en-US" w:eastAsia="zh-CN"/>
        </w:rPr>
        <w:t>-7</w:t>
      </w:r>
      <w:r>
        <w:rPr>
          <w:rFonts w:hint="eastAsia" w:ascii="Times New Roman" w:hAnsi="Times New Roman" w:cs="Times New Roman"/>
          <w:sz w:val="24"/>
          <w:highlight w:val="none"/>
          <w:lang w:val="en-US" w:eastAsia="zh-CN"/>
        </w:rPr>
        <w:t>kg/h（标准值0.33kg/h）；臭气浓度（无量纲）为354（标准值2000）；非甲烷总烃排放浓度为2.12mg/m</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vertAlign w:val="baseline"/>
          <w:lang w:val="en-US" w:eastAsia="zh-CN"/>
        </w:rPr>
        <w:t>（</w:t>
      </w:r>
      <w:r>
        <w:rPr>
          <w:rFonts w:hint="eastAsia" w:ascii="Times New Roman" w:hAnsi="Times New Roman" w:cs="Times New Roman"/>
          <w:sz w:val="24"/>
          <w:highlight w:val="none"/>
          <w:lang w:val="en-US" w:eastAsia="zh-CN"/>
        </w:rPr>
        <w:t>标准值120mg/m</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vertAlign w:val="baseline"/>
          <w:lang w:val="en-US" w:eastAsia="zh-CN"/>
        </w:rPr>
        <w:t>），排放速率为2.99×10</w:t>
      </w:r>
      <w:r>
        <w:rPr>
          <w:rFonts w:hint="eastAsia" w:ascii="Times New Roman" w:hAnsi="Times New Roman" w:cs="Times New Roman"/>
          <w:sz w:val="24"/>
          <w:highlight w:val="none"/>
          <w:vertAlign w:val="superscript"/>
          <w:lang w:val="en-US" w:eastAsia="zh-CN"/>
        </w:rPr>
        <w:t>-4</w:t>
      </w:r>
      <w:r>
        <w:rPr>
          <w:rFonts w:hint="eastAsia" w:ascii="Times New Roman" w:hAnsi="Times New Roman" w:cs="Times New Roman"/>
          <w:sz w:val="24"/>
          <w:highlight w:val="none"/>
          <w:lang w:val="en-US" w:eastAsia="zh-CN"/>
        </w:rPr>
        <w:t>kg/h（标准值10kg/h）。现有工程采取冷却喷淋吸收塔+生物过滤器（滤膜）+活性炭吸附治理后由15m高排气筒排放，均满足《恶臭污染物排放标准》（GB14554-93）表2标准限值要求和《大气污染物综合排放标准》（GB16297-1996）二级标准。</w:t>
      </w:r>
    </w:p>
    <w:p w14:paraId="383771EB">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2）锅炉废气</w:t>
      </w:r>
    </w:p>
    <w:p w14:paraId="2D493548">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现有项目使用</w:t>
      </w:r>
      <w:r>
        <w:rPr>
          <w:rFonts w:hint="default" w:ascii="Times New Roman" w:hAnsi="Times New Roman" w:cs="Times New Roman" w:eastAsiaTheme="minorEastAsia"/>
          <w:sz w:val="24"/>
          <w:highlight w:val="none"/>
          <w:lang w:val="en-US" w:eastAsia="zh-CN"/>
        </w:rPr>
        <w:t>1</w:t>
      </w:r>
      <w:r>
        <w:rPr>
          <w:rFonts w:hint="eastAsia" w:ascii="Times New Roman" w:hAnsi="Times New Roman" w:cs="Times New Roman" w:eastAsiaTheme="minorEastAsia"/>
          <w:sz w:val="24"/>
          <w:highlight w:val="none"/>
          <w:lang w:val="en-US" w:eastAsia="zh-CN"/>
        </w:rPr>
        <w:t>台</w:t>
      </w:r>
      <w:r>
        <w:rPr>
          <w:rFonts w:hint="default" w:ascii="Times New Roman" w:hAnsi="Times New Roman" w:cs="Times New Roman" w:eastAsiaTheme="minorEastAsia"/>
          <w:sz w:val="24"/>
          <w:highlight w:val="none"/>
          <w:lang w:val="en-US" w:eastAsia="zh-CN"/>
        </w:rPr>
        <w:t>1t/h</w:t>
      </w:r>
      <w:r>
        <w:rPr>
          <w:rFonts w:hint="eastAsia" w:ascii="Times New Roman" w:hAnsi="Times New Roman" w:cs="Times New Roman" w:eastAsiaTheme="minorEastAsia"/>
          <w:sz w:val="24"/>
          <w:highlight w:val="none"/>
          <w:lang w:val="en-US" w:eastAsia="zh-CN"/>
        </w:rPr>
        <w:t>燃油蒸汽锅炉进行供汽，燃料为轻柴油，厂区内配置了一个</w:t>
      </w:r>
      <w:r>
        <w:rPr>
          <w:rFonts w:hint="default" w:ascii="Times New Roman" w:hAnsi="Times New Roman" w:cs="Times New Roman" w:eastAsiaTheme="minorEastAsia"/>
          <w:sz w:val="24"/>
          <w:highlight w:val="none"/>
          <w:lang w:val="en-US" w:eastAsia="zh-CN"/>
        </w:rPr>
        <w:t>3m</w:t>
      </w:r>
      <w:r>
        <w:rPr>
          <w:rFonts w:hint="eastAsia"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储油罐，埋设于室外绿化带地下。</w:t>
      </w:r>
    </w:p>
    <w:p w14:paraId="27FB6EBE">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燃油锅炉年运行</w:t>
      </w:r>
      <w:r>
        <w:rPr>
          <w:rFonts w:hint="default" w:ascii="Times New Roman" w:hAnsi="Times New Roman" w:cs="Times New Roman" w:eastAsiaTheme="minorEastAsia"/>
          <w:sz w:val="24"/>
          <w:highlight w:val="none"/>
          <w:lang w:val="en-US" w:eastAsia="zh-CN"/>
        </w:rPr>
        <w:t>5280</w:t>
      </w:r>
      <w:r>
        <w:rPr>
          <w:rFonts w:hint="eastAsia" w:ascii="Times New Roman" w:hAnsi="Times New Roman" w:cs="Times New Roman" w:eastAsiaTheme="minorEastAsia"/>
          <w:sz w:val="24"/>
          <w:highlight w:val="none"/>
          <w:lang w:val="en-US" w:eastAsia="zh-CN"/>
        </w:rPr>
        <w:t>小时（日运行</w:t>
      </w:r>
      <w:r>
        <w:rPr>
          <w:rFonts w:hint="default" w:ascii="Times New Roman" w:hAnsi="Times New Roman" w:cs="Times New Roman" w:eastAsiaTheme="minorEastAsia"/>
          <w:sz w:val="24"/>
          <w:highlight w:val="none"/>
          <w:lang w:val="en-US" w:eastAsia="zh-CN"/>
        </w:rPr>
        <w:t>16h</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1t/h</w:t>
      </w:r>
      <w:r>
        <w:rPr>
          <w:rFonts w:hint="eastAsia" w:ascii="Times New Roman" w:hAnsi="Times New Roman" w:cs="Times New Roman" w:eastAsiaTheme="minorEastAsia"/>
          <w:sz w:val="24"/>
          <w:highlight w:val="none"/>
          <w:lang w:val="en-US" w:eastAsia="zh-CN"/>
        </w:rPr>
        <w:t>锅炉每小时耗柴油量约</w:t>
      </w:r>
      <w:r>
        <w:rPr>
          <w:rFonts w:hint="default" w:ascii="Times New Roman" w:hAnsi="Times New Roman" w:cs="Times New Roman" w:eastAsiaTheme="minorEastAsia"/>
          <w:sz w:val="24"/>
          <w:highlight w:val="none"/>
          <w:lang w:val="en-US" w:eastAsia="zh-CN"/>
        </w:rPr>
        <w:t>41.8kg</w:t>
      </w:r>
      <w:r>
        <w:rPr>
          <w:rFonts w:hint="eastAsia" w:ascii="Times New Roman" w:hAnsi="Times New Roman" w:cs="Times New Roman" w:eastAsiaTheme="minorEastAsia"/>
          <w:sz w:val="24"/>
          <w:highlight w:val="none"/>
          <w:lang w:val="en-US" w:eastAsia="zh-CN"/>
        </w:rPr>
        <w:t>。轻柴油含硫量≤</w:t>
      </w:r>
      <w:r>
        <w:rPr>
          <w:rFonts w:hint="default" w:ascii="Times New Roman" w:hAnsi="Times New Roman" w:cs="Times New Roman" w:eastAsiaTheme="minorEastAsia"/>
          <w:sz w:val="24"/>
          <w:highlight w:val="none"/>
          <w:lang w:val="en-US" w:eastAsia="zh-CN"/>
        </w:rPr>
        <w:t>0.2%</w:t>
      </w:r>
      <w:r>
        <w:rPr>
          <w:rFonts w:hint="eastAsia" w:ascii="Times New Roman" w:hAnsi="Times New Roman" w:cs="Times New Roman" w:eastAsiaTheme="minorEastAsia"/>
          <w:sz w:val="24"/>
          <w:highlight w:val="none"/>
          <w:lang w:val="en-US" w:eastAsia="zh-CN"/>
        </w:rPr>
        <w:t>，比重为</w:t>
      </w:r>
      <w:r>
        <w:rPr>
          <w:rFonts w:hint="default" w:ascii="Times New Roman" w:hAnsi="Times New Roman" w:cs="Times New Roman" w:eastAsiaTheme="minorEastAsia"/>
          <w:sz w:val="24"/>
          <w:highlight w:val="none"/>
          <w:lang w:val="en-US" w:eastAsia="zh-CN"/>
        </w:rPr>
        <w:t>0.85</w:t>
      </w:r>
      <w:r>
        <w:rPr>
          <w:rFonts w:hint="eastAsia" w:ascii="Times New Roman" w:hAnsi="Times New Roman" w:cs="Times New Roman" w:eastAsiaTheme="minorEastAsia"/>
          <w:sz w:val="24"/>
          <w:highlight w:val="none"/>
          <w:lang w:val="en-US" w:eastAsia="zh-CN"/>
        </w:rPr>
        <w:t>。锅炉废气经</w:t>
      </w:r>
      <w:r>
        <w:rPr>
          <w:rFonts w:hint="default" w:ascii="Times New Roman" w:hAnsi="Times New Roman" w:cs="Times New Roman" w:eastAsiaTheme="minorEastAsia"/>
          <w:sz w:val="24"/>
          <w:highlight w:val="none"/>
          <w:lang w:val="en-US" w:eastAsia="zh-CN"/>
        </w:rPr>
        <w:t>15m</w:t>
      </w:r>
      <w:r>
        <w:rPr>
          <w:rFonts w:hint="eastAsia" w:ascii="Times New Roman" w:hAnsi="Times New Roman" w:cs="Times New Roman" w:eastAsiaTheme="minorEastAsia"/>
          <w:sz w:val="24"/>
          <w:highlight w:val="none"/>
          <w:lang w:val="en-US" w:eastAsia="zh-CN"/>
        </w:rPr>
        <w:t>高排气筒直接排放于大气环境。</w:t>
      </w:r>
    </w:p>
    <w:p w14:paraId="1424F08A">
      <w:pPr>
        <w:adjustRightInd w:val="0"/>
        <w:snapToGrid w:val="0"/>
        <w:spacing w:line="500" w:lineRule="exact"/>
        <w:ind w:firstLine="480" w:firstLineChars="200"/>
        <w:jc w:val="left"/>
        <w:rPr>
          <w:rFonts w:hint="eastAsia" w:ascii="Times New Roman" w:hAnsi="Times New Roman" w:cs="Times New Roman"/>
          <w:sz w:val="24"/>
          <w:highlight w:val="none"/>
          <w:vertAlign w:val="baseline"/>
          <w:lang w:val="en-US" w:eastAsia="zh-CN"/>
        </w:rPr>
      </w:pPr>
      <w:r>
        <w:rPr>
          <w:rFonts w:hint="eastAsia" w:ascii="Times New Roman" w:hAnsi="Times New Roman" w:cs="Times New Roman"/>
          <w:sz w:val="24"/>
          <w:highlight w:val="none"/>
          <w:lang w:val="en-US" w:eastAsia="zh-CN"/>
        </w:rPr>
        <w:t>根据企业2026年1月自行监测数据（详见附件6），氮氧化物排放浓度为104mg/m</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lang w:val="en-US" w:eastAsia="zh-CN"/>
        </w:rPr>
        <w:t>（标准值250mg/m</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lang w:val="en-US" w:eastAsia="zh-CN"/>
        </w:rPr>
        <w:t>）；二氧化硫排放浓度为5mg/m</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vertAlign w:val="baseline"/>
          <w:lang w:val="en-US" w:eastAsia="zh-CN"/>
        </w:rPr>
        <w:t>（标准值200</w:t>
      </w:r>
      <w:r>
        <w:rPr>
          <w:rFonts w:hint="eastAsia" w:ascii="Times New Roman" w:hAnsi="Times New Roman" w:cs="Times New Roman"/>
          <w:sz w:val="24"/>
          <w:highlight w:val="none"/>
          <w:lang w:val="en-US" w:eastAsia="zh-CN"/>
        </w:rPr>
        <w:t>mg/m</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vertAlign w:val="baseline"/>
          <w:lang w:val="en-US" w:eastAsia="zh-CN"/>
        </w:rPr>
        <w:t>）；颗粒物排放浓度为15.9</w:t>
      </w:r>
      <w:r>
        <w:rPr>
          <w:rFonts w:hint="eastAsia" w:ascii="Times New Roman" w:hAnsi="Times New Roman" w:cs="Times New Roman"/>
          <w:sz w:val="24"/>
          <w:highlight w:val="none"/>
          <w:lang w:val="en-US" w:eastAsia="zh-CN"/>
        </w:rPr>
        <w:t>mg/m</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vertAlign w:val="baseline"/>
          <w:lang w:val="en-US" w:eastAsia="zh-CN"/>
        </w:rPr>
        <w:t>（标准值30</w:t>
      </w:r>
      <w:r>
        <w:rPr>
          <w:rFonts w:hint="eastAsia" w:ascii="Times New Roman" w:hAnsi="Times New Roman" w:cs="Times New Roman"/>
          <w:sz w:val="24"/>
          <w:highlight w:val="none"/>
          <w:lang w:val="en-US" w:eastAsia="zh-CN"/>
        </w:rPr>
        <w:t>mg/m</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vertAlign w:val="baseline"/>
          <w:lang w:val="en-US" w:eastAsia="zh-CN"/>
        </w:rPr>
        <w:t>）；林格曼黑度等级为1（标准值≤1级）经排气筒直接排放，大气污染物排放浓度均满足《锅炉大气污染物排放标准》（GB13271-2014）表2燃油锅炉排放限值要求。</w:t>
      </w:r>
    </w:p>
    <w:p w14:paraId="6C3563B7">
      <w:pPr>
        <w:adjustRightInd w:val="0"/>
        <w:snapToGrid w:val="0"/>
        <w:spacing w:line="500" w:lineRule="exact"/>
        <w:ind w:firstLine="480" w:firstLineChars="200"/>
        <w:jc w:val="left"/>
        <w:rPr>
          <w:rFonts w:hint="eastAsia" w:ascii="Times New Roman" w:hAnsi="Times New Roman" w:cs="Times New Roman"/>
          <w:sz w:val="24"/>
          <w:highlight w:val="none"/>
          <w:vertAlign w:val="baseline"/>
          <w:lang w:val="en-US" w:eastAsia="zh-CN"/>
        </w:rPr>
      </w:pPr>
      <w:r>
        <w:rPr>
          <w:rFonts w:hint="eastAsia" w:ascii="Times New Roman" w:hAnsi="Times New Roman" w:cs="Times New Roman"/>
          <w:sz w:val="24"/>
          <w:highlight w:val="none"/>
          <w:vertAlign w:val="baseline"/>
          <w:lang w:val="en-US" w:eastAsia="zh-CN"/>
        </w:rPr>
        <w:t>3）污水处理站废气</w:t>
      </w:r>
    </w:p>
    <w:p w14:paraId="1AEAA51B">
      <w:pPr>
        <w:adjustRightInd w:val="0"/>
        <w:snapToGrid w:val="0"/>
        <w:spacing w:line="500" w:lineRule="exact"/>
        <w:ind w:firstLine="480" w:firstLineChars="200"/>
        <w:jc w:val="left"/>
        <w:rPr>
          <w:rFonts w:hint="default" w:ascii="Times New Roman" w:hAnsi="Times New Roman" w:cs="Times New Roman"/>
          <w:sz w:val="24"/>
          <w:highlight w:val="none"/>
          <w:vertAlign w:val="baseline"/>
          <w:lang w:val="en-US" w:eastAsia="zh-CN"/>
        </w:rPr>
      </w:pPr>
      <w:r>
        <w:rPr>
          <w:rFonts w:hint="eastAsia" w:ascii="Times New Roman" w:hAnsi="Times New Roman" w:cs="Times New Roman"/>
          <w:sz w:val="24"/>
          <w:highlight w:val="none"/>
          <w:vertAlign w:val="baseline"/>
          <w:lang w:val="en-US" w:eastAsia="zh-CN"/>
        </w:rPr>
        <w:t>项目在生产车间内设置有一座污水处理站，用于现有工程生产废水的处置。根据</w:t>
      </w:r>
      <w:r>
        <w:rPr>
          <w:rFonts w:hint="eastAsia" w:ascii="Times New Roman" w:hAnsi="Times New Roman" w:cs="Times New Roman"/>
          <w:sz w:val="24"/>
          <w:highlight w:val="none"/>
          <w:lang w:val="en-US" w:eastAsia="zh-CN"/>
        </w:rPr>
        <w:t>企业2026年1月自行监测数据（详见附件6），硫化氢的排放浓度为4×10</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lang w:val="en-US" w:eastAsia="zh-CN"/>
        </w:rPr>
        <w:t>mg/m</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vertAlign w:val="baseline"/>
          <w:lang w:val="en-US" w:eastAsia="zh-CN"/>
        </w:rPr>
        <w:t>、排放速率为7.42×10</w:t>
      </w:r>
      <w:r>
        <w:rPr>
          <w:rFonts w:hint="eastAsia" w:ascii="Times New Roman" w:hAnsi="Times New Roman" w:cs="Times New Roman"/>
          <w:sz w:val="24"/>
          <w:highlight w:val="none"/>
          <w:vertAlign w:val="superscript"/>
          <w:lang w:val="en-US" w:eastAsia="zh-CN"/>
        </w:rPr>
        <w:t>-6</w:t>
      </w:r>
      <w:r>
        <w:rPr>
          <w:rFonts w:hint="eastAsia" w:ascii="Times New Roman" w:hAnsi="Times New Roman" w:cs="Times New Roman"/>
          <w:sz w:val="24"/>
          <w:highlight w:val="none"/>
          <w:lang w:val="en-US" w:eastAsia="zh-CN"/>
        </w:rPr>
        <w:t>kg/h</w:t>
      </w:r>
      <w:r>
        <w:rPr>
          <w:rFonts w:hint="eastAsia" w:ascii="Times New Roman" w:hAnsi="Times New Roman" w:cs="Times New Roman"/>
          <w:sz w:val="24"/>
          <w:highlight w:val="none"/>
          <w:vertAlign w:val="baseline"/>
          <w:lang w:val="en-US" w:eastAsia="zh-CN"/>
        </w:rPr>
        <w:t>；甲烷的排放浓度为2.7</w:t>
      </w:r>
      <w:r>
        <w:rPr>
          <w:rFonts w:hint="eastAsia" w:ascii="Times New Roman" w:hAnsi="Times New Roman" w:cs="Times New Roman"/>
          <w:sz w:val="24"/>
          <w:highlight w:val="none"/>
          <w:lang w:val="en-US" w:eastAsia="zh-CN"/>
        </w:rPr>
        <w:t>mg/m</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vertAlign w:val="baseline"/>
          <w:lang w:val="en-US" w:eastAsia="zh-CN"/>
        </w:rPr>
        <w:t>、排放速率为4.97×10</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lang w:val="en-US" w:eastAsia="zh-CN"/>
        </w:rPr>
        <w:t>kg/h</w:t>
      </w:r>
      <w:r>
        <w:rPr>
          <w:rFonts w:hint="eastAsia" w:ascii="Times New Roman" w:hAnsi="Times New Roman" w:cs="Times New Roman"/>
          <w:sz w:val="24"/>
          <w:highlight w:val="none"/>
          <w:vertAlign w:val="baseline"/>
          <w:lang w:val="en-US" w:eastAsia="zh-CN"/>
        </w:rPr>
        <w:t>；氨的排放浓度为1.17</w:t>
      </w:r>
      <w:r>
        <w:rPr>
          <w:rFonts w:hint="eastAsia" w:ascii="Times New Roman" w:hAnsi="Times New Roman" w:cs="Times New Roman"/>
          <w:sz w:val="24"/>
          <w:highlight w:val="none"/>
          <w:lang w:val="en-US" w:eastAsia="zh-CN"/>
        </w:rPr>
        <w:t>mg/m</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vertAlign w:val="baseline"/>
          <w:lang w:val="en-US" w:eastAsia="zh-CN"/>
        </w:rPr>
        <w:t>、排放速率为2.01×10</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lang w:val="en-US" w:eastAsia="zh-CN"/>
        </w:rPr>
        <w:t>kg/h</w:t>
      </w:r>
      <w:r>
        <w:rPr>
          <w:rFonts w:hint="eastAsia" w:ascii="Times New Roman" w:hAnsi="Times New Roman" w:cs="Times New Roman"/>
          <w:sz w:val="24"/>
          <w:highlight w:val="none"/>
          <w:vertAlign w:val="baseline"/>
          <w:lang w:val="en-US" w:eastAsia="zh-CN"/>
        </w:rPr>
        <w:t>；氯气的排放浓度为0.33</w:t>
      </w:r>
      <w:r>
        <w:rPr>
          <w:rFonts w:hint="eastAsia" w:ascii="Times New Roman" w:hAnsi="Times New Roman" w:cs="Times New Roman"/>
          <w:sz w:val="24"/>
          <w:highlight w:val="none"/>
          <w:lang w:val="en-US" w:eastAsia="zh-CN"/>
        </w:rPr>
        <w:t>mg/m</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vertAlign w:val="baseline"/>
          <w:lang w:val="en-US" w:eastAsia="zh-CN"/>
        </w:rPr>
        <w:t>、排放速率为5.67×10</w:t>
      </w:r>
      <w:r>
        <w:rPr>
          <w:rFonts w:hint="eastAsia" w:ascii="Times New Roman" w:hAnsi="Times New Roman" w:cs="Times New Roman"/>
          <w:sz w:val="24"/>
          <w:highlight w:val="none"/>
          <w:vertAlign w:val="superscript"/>
          <w:lang w:val="en-US" w:eastAsia="zh-CN"/>
        </w:rPr>
        <w:t>-4</w:t>
      </w:r>
      <w:r>
        <w:rPr>
          <w:rFonts w:hint="eastAsia" w:ascii="Times New Roman" w:hAnsi="Times New Roman" w:cs="Times New Roman"/>
          <w:sz w:val="24"/>
          <w:highlight w:val="none"/>
          <w:lang w:val="en-US" w:eastAsia="zh-CN"/>
        </w:rPr>
        <w:t>kg/h</w:t>
      </w:r>
      <w:r>
        <w:rPr>
          <w:rFonts w:hint="eastAsia" w:ascii="Times New Roman" w:hAnsi="Times New Roman" w:cs="Times New Roman"/>
          <w:sz w:val="24"/>
          <w:highlight w:val="none"/>
          <w:vertAlign w:val="baseline"/>
          <w:lang w:val="en-US" w:eastAsia="zh-CN"/>
        </w:rPr>
        <w:t>。均满足《恶臭污染物排放标准》（GB14554-93）表2排放限值要求。</w:t>
      </w:r>
    </w:p>
    <w:p w14:paraId="4798BC6A">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（2）无组织废气</w:t>
      </w:r>
    </w:p>
    <w:p w14:paraId="0CD2DD37">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现有项目排放的无组织废气包括医疗废物贮存间产生的恶臭废气、医疗废物在厂内卸料进料处产生的恶臭废气、污水处理设施产生的恶臭废气、医疗废物破碎过程中产生的少量颗粒物、非甲烷总烃等。</w:t>
      </w:r>
    </w:p>
    <w:p w14:paraId="6602AE2D">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sz w:val="24"/>
          <w:highlight w:val="none"/>
          <w:lang w:val="en-US" w:eastAsia="zh-CN"/>
        </w:rPr>
        <w:t>根据企业2026年1月自行监测数据（详见附件6）</w:t>
      </w:r>
      <w:r>
        <w:rPr>
          <w:rFonts w:hint="eastAsia" w:ascii="Times New Roman" w:hAnsi="Times New Roman" w:cs="Times New Roman" w:eastAsiaTheme="minorEastAsia"/>
          <w:sz w:val="24"/>
          <w:highlight w:val="none"/>
          <w:lang w:val="en-US" w:eastAsia="zh-CN"/>
        </w:rPr>
        <w:t>，厂界无组织排放的非甲烷总烃</w:t>
      </w:r>
      <w:r>
        <w:rPr>
          <w:rFonts w:hint="eastAsia" w:ascii="Times New Roman" w:hAnsi="Times New Roman" w:cs="Times New Roman"/>
          <w:sz w:val="24"/>
          <w:highlight w:val="none"/>
          <w:lang w:val="en-US" w:eastAsia="zh-CN"/>
        </w:rPr>
        <w:t>浓度为0.75mg/m</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lang w:val="en-US" w:eastAsia="zh-CN"/>
        </w:rPr>
        <w:t>；颗粒物排放浓度为0.296mg/m</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lang w:val="en-US" w:eastAsia="zh-CN"/>
        </w:rPr>
        <w:t>。均</w:t>
      </w:r>
      <w:r>
        <w:rPr>
          <w:rFonts w:hint="eastAsia" w:ascii="Times New Roman" w:hAnsi="Times New Roman" w:cs="Times New Roman" w:eastAsiaTheme="minorEastAsia"/>
          <w:sz w:val="24"/>
          <w:highlight w:val="none"/>
          <w:lang w:val="en-US" w:eastAsia="zh-CN"/>
        </w:rPr>
        <w:t>满足《大气污染物综合排放标准》（</w:t>
      </w:r>
      <w:r>
        <w:rPr>
          <w:rFonts w:hint="default" w:ascii="Times New Roman" w:hAnsi="Times New Roman" w:cs="Times New Roman" w:eastAsiaTheme="minorEastAsia"/>
          <w:sz w:val="24"/>
          <w:highlight w:val="none"/>
          <w:lang w:val="en-US" w:eastAsia="zh-CN"/>
        </w:rPr>
        <w:t>GB16297-1996</w:t>
      </w:r>
      <w:r>
        <w:rPr>
          <w:rFonts w:hint="eastAsia" w:ascii="Times New Roman" w:hAnsi="Times New Roman" w:cs="Times New Roman" w:eastAsiaTheme="minorEastAsia"/>
          <w:sz w:val="24"/>
          <w:highlight w:val="none"/>
          <w:lang w:val="en-US" w:eastAsia="zh-CN"/>
        </w:rPr>
        <w:t>）中的排放限值要求；氨</w:t>
      </w:r>
      <w:r>
        <w:rPr>
          <w:rFonts w:hint="eastAsia" w:ascii="Times New Roman" w:hAnsi="Times New Roman" w:cs="Times New Roman"/>
          <w:sz w:val="24"/>
          <w:highlight w:val="none"/>
          <w:lang w:val="en-US" w:eastAsia="zh-CN"/>
        </w:rPr>
        <w:t>的</w:t>
      </w:r>
      <w:r>
        <w:rPr>
          <w:rFonts w:hint="eastAsia" w:ascii="Times New Roman" w:hAnsi="Times New Roman" w:cs="Times New Roman" w:eastAsiaTheme="minorEastAsia"/>
          <w:sz w:val="24"/>
          <w:highlight w:val="none"/>
          <w:lang w:val="en-US" w:eastAsia="zh-CN"/>
        </w:rPr>
        <w:t>厂界无组织排放</w:t>
      </w:r>
      <w:r>
        <w:rPr>
          <w:rFonts w:hint="eastAsia" w:ascii="Times New Roman" w:hAnsi="Times New Roman" w:cs="Times New Roman"/>
          <w:sz w:val="24"/>
          <w:highlight w:val="none"/>
          <w:lang w:val="en-US" w:eastAsia="zh-CN"/>
        </w:rPr>
        <w:t>浓度为0.09mg/m</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lang w:val="en-US" w:eastAsia="zh-CN"/>
        </w:rPr>
        <w:t>（标准值1.5mg/m</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硫化氢</w:t>
      </w:r>
      <w:r>
        <w:rPr>
          <w:rFonts w:hint="eastAsia" w:ascii="Times New Roman" w:hAnsi="Times New Roman" w:cs="Times New Roman"/>
          <w:sz w:val="24"/>
          <w:highlight w:val="none"/>
          <w:lang w:val="en-US" w:eastAsia="zh-CN"/>
        </w:rPr>
        <w:t>的</w:t>
      </w:r>
      <w:r>
        <w:rPr>
          <w:rFonts w:hint="eastAsia" w:ascii="Times New Roman" w:hAnsi="Times New Roman" w:cs="Times New Roman" w:eastAsiaTheme="minorEastAsia"/>
          <w:sz w:val="24"/>
          <w:highlight w:val="none"/>
          <w:lang w:val="en-US" w:eastAsia="zh-CN"/>
        </w:rPr>
        <w:t>厂界无组织排放</w:t>
      </w:r>
      <w:r>
        <w:rPr>
          <w:rFonts w:hint="eastAsia" w:ascii="Times New Roman" w:hAnsi="Times New Roman" w:cs="Times New Roman"/>
          <w:sz w:val="24"/>
          <w:highlight w:val="none"/>
          <w:lang w:val="en-US" w:eastAsia="zh-CN"/>
        </w:rPr>
        <w:t>浓度为0.002mg/m</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lang w:val="en-US" w:eastAsia="zh-CN"/>
        </w:rPr>
        <w:t>（标准值0.06mg/m</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满足《恶臭污染物排放标准》（</w:t>
      </w:r>
      <w:r>
        <w:rPr>
          <w:rFonts w:hint="default" w:ascii="Times New Roman" w:hAnsi="Times New Roman" w:cs="Times New Roman" w:eastAsiaTheme="minorEastAsia"/>
          <w:sz w:val="24"/>
          <w:highlight w:val="none"/>
          <w:lang w:val="en-US" w:eastAsia="zh-CN"/>
        </w:rPr>
        <w:t>GB14554-1993</w:t>
      </w:r>
      <w:r>
        <w:rPr>
          <w:rFonts w:hint="eastAsia" w:ascii="Times New Roman" w:hAnsi="Times New Roman" w:cs="Times New Roman" w:eastAsiaTheme="minorEastAsia"/>
          <w:sz w:val="24"/>
          <w:highlight w:val="none"/>
          <w:lang w:val="en-US" w:eastAsia="zh-CN"/>
        </w:rPr>
        <w:t>）中的排放限值要求。</w:t>
      </w:r>
    </w:p>
    <w:p w14:paraId="691981A0">
      <w:pPr>
        <w:adjustRightInd w:val="0"/>
        <w:snapToGrid w:val="0"/>
        <w:spacing w:line="500" w:lineRule="exact"/>
        <w:jc w:val="left"/>
        <w:rPr>
          <w:rFonts w:hint="eastAsia" w:ascii="Times New Roman" w:hAnsi="Times New Roman" w:cs="Times New Roman" w:eastAsiaTheme="minorEastAsia"/>
          <w:b/>
          <w:bCs/>
          <w:sz w:val="24"/>
          <w:highlight w:val="none"/>
          <w:lang w:val="en-US" w:eastAsia="zh-CN"/>
        </w:rPr>
      </w:pPr>
      <w:r>
        <w:rPr>
          <w:rFonts w:hint="eastAsia" w:ascii="Times New Roman" w:hAnsi="Times New Roman" w:cs="Times New Roman" w:eastAsiaTheme="minorEastAsia"/>
          <w:b/>
          <w:bCs/>
          <w:sz w:val="24"/>
          <w:highlight w:val="none"/>
          <w:lang w:val="en-US" w:eastAsia="zh-CN"/>
        </w:rPr>
        <w:t>3.1.7.2废水</w:t>
      </w:r>
    </w:p>
    <w:p w14:paraId="3C1A6A3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现有项目产生的废水包括设备及地面清洗水、高温蒸煮工艺废水、尾气喷淋水、车辆清洗水和员工生活污水。</w:t>
      </w:r>
    </w:p>
    <w:p w14:paraId="1080358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现有项目新建了一座设计日处理规模为</w:t>
      </w:r>
      <w:r>
        <w:rPr>
          <w:rFonts w:hint="default" w:ascii="Times New Roman" w:hAnsi="Times New Roman" w:cs="Times New Roman" w:eastAsiaTheme="minorEastAsia"/>
          <w:sz w:val="24"/>
          <w:highlight w:val="none"/>
          <w:lang w:val="en-US" w:eastAsia="zh-CN"/>
        </w:rPr>
        <w:t>15m</w:t>
      </w:r>
      <w:r>
        <w:rPr>
          <w:rFonts w:hint="eastAsia" w:ascii="Times New Roman" w:hAnsi="Times New Roman" w:cs="Times New Roman" w:eastAsiaTheme="minorEastAsia"/>
          <w:sz w:val="24"/>
          <w:highlight w:val="none"/>
          <w:vertAlign w:val="superscript"/>
          <w:lang w:val="en-US" w:eastAsia="zh-CN"/>
        </w:rPr>
        <w:t>3</w:t>
      </w:r>
      <w:r>
        <w:rPr>
          <w:rFonts w:hint="default" w:ascii="Times New Roman" w:hAnsi="Times New Roman" w:cs="Times New Roman" w:eastAsiaTheme="minorEastAsia"/>
          <w:sz w:val="24"/>
          <w:highlight w:val="none"/>
          <w:lang w:val="en-US" w:eastAsia="zh-CN"/>
        </w:rPr>
        <w:t>/d</w:t>
      </w:r>
      <w:r>
        <w:rPr>
          <w:rFonts w:hint="eastAsia" w:ascii="Times New Roman" w:hAnsi="Times New Roman" w:cs="Times New Roman" w:eastAsiaTheme="minorEastAsia"/>
          <w:sz w:val="24"/>
          <w:highlight w:val="none"/>
          <w:lang w:val="en-US" w:eastAsia="zh-CN"/>
        </w:rPr>
        <w:t>的污水处理站，其建设内容包括污水处理系统、附属构筑物、排水管线等。污水处理工艺为</w:t>
      </w:r>
      <w:r>
        <w:rPr>
          <w:rFonts w:hint="eastAsia" w:ascii="Times New Roman" w:hAnsi="Times New Roman" w:cs="Times New Roman"/>
          <w:sz w:val="24"/>
          <w:highlight w:val="none"/>
          <w:lang w:val="en-US" w:eastAsia="zh-CN"/>
        </w:rPr>
        <w:t>“调节池+</w:t>
      </w:r>
      <w:r>
        <w:rPr>
          <w:rFonts w:hint="eastAsia" w:ascii="Times New Roman" w:hAnsi="Times New Roman" w:cs="Times New Roman" w:eastAsiaTheme="minorEastAsia"/>
          <w:sz w:val="24"/>
          <w:highlight w:val="none"/>
          <w:lang w:val="en-US" w:eastAsia="zh-CN"/>
        </w:rPr>
        <w:t>预处理（沉淀）</w:t>
      </w:r>
      <w:r>
        <w:rPr>
          <w:rFonts w:hint="default" w:ascii="Times New Roman" w:hAnsi="Times New Roman" w:cs="Times New Roman" w:eastAsiaTheme="minorEastAsia"/>
          <w:sz w:val="24"/>
          <w:highlight w:val="none"/>
          <w:lang w:val="en-US" w:eastAsia="zh-CN"/>
        </w:rPr>
        <w:t>+MBR+DTRO</w:t>
      </w:r>
      <w:r>
        <w:rPr>
          <w:rFonts w:hint="eastAsia" w:ascii="Times New Roman" w:hAnsi="Times New Roman" w:cs="Times New Roman"/>
          <w:sz w:val="24"/>
          <w:highlight w:val="none"/>
          <w:lang w:val="en-US" w:eastAsia="zh-CN"/>
        </w:rPr>
        <w:t>+接触池（次氯酸钠消毒）”</w:t>
      </w:r>
      <w:r>
        <w:rPr>
          <w:rFonts w:hint="eastAsia" w:ascii="Times New Roman" w:hAnsi="Times New Roman" w:cs="Times New Roman" w:eastAsiaTheme="minorEastAsia"/>
          <w:sz w:val="24"/>
          <w:highlight w:val="none"/>
          <w:lang w:val="en-US" w:eastAsia="zh-CN"/>
        </w:rPr>
        <w:t>。现有项目的废水先</w:t>
      </w:r>
      <w:r>
        <w:rPr>
          <w:rFonts w:hint="eastAsia" w:ascii="Times New Roman" w:hAnsi="Times New Roman" w:cs="Times New Roman"/>
          <w:sz w:val="24"/>
          <w:highlight w:val="none"/>
          <w:lang w:val="en-US" w:eastAsia="zh-CN"/>
        </w:rPr>
        <w:t>进入</w:t>
      </w:r>
      <w:r>
        <w:rPr>
          <w:rFonts w:hint="eastAsia" w:ascii="Times New Roman" w:hAnsi="Times New Roman" w:cs="Times New Roman" w:eastAsiaTheme="minorEastAsia"/>
          <w:sz w:val="24"/>
          <w:highlight w:val="none"/>
          <w:lang w:val="en-US" w:eastAsia="zh-CN"/>
        </w:rPr>
        <w:t>污水收集池（</w:t>
      </w:r>
      <w:r>
        <w:rPr>
          <w:rFonts w:hint="default" w:ascii="Times New Roman" w:hAnsi="Times New Roman" w:cs="Times New Roman" w:eastAsiaTheme="minorEastAsia"/>
          <w:sz w:val="24"/>
          <w:highlight w:val="none"/>
          <w:lang w:val="en-US" w:eastAsia="zh-CN"/>
        </w:rPr>
        <w:t>10m×10m×4m</w:t>
      </w:r>
      <w:r>
        <w:rPr>
          <w:rFonts w:hint="eastAsia" w:ascii="Times New Roman" w:hAnsi="Times New Roman" w:cs="Times New Roman" w:eastAsiaTheme="minorEastAsia"/>
          <w:sz w:val="24"/>
          <w:highlight w:val="none"/>
          <w:lang w:val="en-US" w:eastAsia="zh-CN"/>
        </w:rPr>
        <w:t>）进行沉淀处理后，再经污水处理站深度处理，深度处理后的废水可以满足《医疗机构</w:t>
      </w:r>
      <w:r>
        <w:rPr>
          <w:rFonts w:hint="eastAsia" w:ascii="Times New Roman" w:hAnsi="Times New Roman" w:cs="Times New Roman"/>
          <w:sz w:val="24"/>
          <w:highlight w:val="none"/>
          <w:lang w:val="en-US" w:eastAsia="zh-CN"/>
        </w:rPr>
        <w:t>水污染物排放</w:t>
      </w:r>
      <w:r>
        <w:rPr>
          <w:rFonts w:hint="eastAsia" w:ascii="Times New Roman" w:hAnsi="Times New Roman" w:cs="Times New Roman" w:eastAsiaTheme="minorEastAsia"/>
          <w:sz w:val="24"/>
          <w:highlight w:val="none"/>
          <w:lang w:val="en-US" w:eastAsia="zh-CN"/>
        </w:rPr>
        <w:t>标准》（</w:t>
      </w:r>
      <w:r>
        <w:rPr>
          <w:rFonts w:hint="default" w:ascii="Times New Roman" w:hAnsi="Times New Roman" w:cs="Times New Roman" w:eastAsiaTheme="minorEastAsia"/>
          <w:sz w:val="24"/>
          <w:highlight w:val="none"/>
          <w:lang w:val="en-US" w:eastAsia="zh-CN"/>
        </w:rPr>
        <w:t>GB18466-2005</w:t>
      </w:r>
      <w:r>
        <w:rPr>
          <w:rFonts w:hint="eastAsia"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《城市污水再生利用工业用水水质》（</w:t>
      </w:r>
      <w:r>
        <w:rPr>
          <w:rFonts w:hint="eastAsia" w:ascii="Times New Roman" w:hAnsi="Times New Roman" w:cs="Times New Roman"/>
          <w:sz w:val="24"/>
          <w:highlight w:val="none"/>
          <w:lang w:val="en-US" w:eastAsia="zh-CN"/>
        </w:rPr>
        <w:t>GB/T 19923-2024</w:t>
      </w:r>
      <w:r>
        <w:rPr>
          <w:rFonts w:hint="eastAsia"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和《污水综</w:t>
      </w:r>
      <w:r>
        <w:rPr>
          <w:rFonts w:hint="eastAsia" w:ascii="Times New Roman" w:hAnsi="Times New Roman" w:cs="Times New Roman" w:eastAsiaTheme="minorEastAsia"/>
          <w:sz w:val="24"/>
          <w:highlight w:val="none"/>
          <w:lang w:val="en-US" w:eastAsia="zh-CN"/>
        </w:rPr>
        <w:t>合排放标准》（GB8978-1996），回用于清洗消毒及冷却用水，不外排</w:t>
      </w:r>
      <w:r>
        <w:rPr>
          <w:rFonts w:hint="eastAsia" w:ascii="Times New Roman" w:hAnsi="Times New Roman" w:cs="Times New Roman"/>
          <w:sz w:val="24"/>
          <w:highlight w:val="none"/>
          <w:lang w:val="en-US" w:eastAsia="zh-CN"/>
        </w:rPr>
        <w:t>（项目废水例行监测数据详见附件6）。</w:t>
      </w:r>
    </w:p>
    <w:p w14:paraId="6AFF323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厂区建有一个容积为</w:t>
      </w:r>
      <w:r>
        <w:rPr>
          <w:rFonts w:hint="default" w:ascii="Times New Roman" w:hAnsi="Times New Roman" w:cs="Times New Roman" w:eastAsiaTheme="minorEastAsia"/>
          <w:sz w:val="24"/>
          <w:highlight w:val="none"/>
          <w:lang w:val="en-US" w:eastAsia="zh-CN"/>
        </w:rPr>
        <w:t>1.5m</w:t>
      </w:r>
      <w:r>
        <w:rPr>
          <w:rFonts w:hint="eastAsia"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的化粪池，员工生活污水通过化粪池收集后，</w:t>
      </w:r>
      <w:r>
        <w:rPr>
          <w:rFonts w:hint="eastAsia" w:ascii="Times New Roman" w:hAnsi="Times New Roman" w:cs="Times New Roman"/>
          <w:sz w:val="24"/>
          <w:highlight w:val="none"/>
          <w:lang w:val="en-US" w:eastAsia="zh-CN"/>
        </w:rPr>
        <w:t>通过园区下水管网排入园区污水处理厂处置。</w:t>
      </w:r>
    </w:p>
    <w:p w14:paraId="73FBE728">
      <w:pPr>
        <w:adjustRightInd w:val="0"/>
        <w:snapToGrid w:val="0"/>
        <w:spacing w:line="500" w:lineRule="exact"/>
        <w:jc w:val="left"/>
        <w:rPr>
          <w:rFonts w:hint="eastAsia" w:ascii="Times New Roman" w:hAnsi="Times New Roman" w:cs="Times New Roman" w:eastAsiaTheme="minorEastAsia"/>
          <w:b/>
          <w:bCs/>
          <w:sz w:val="24"/>
          <w:highlight w:val="none"/>
          <w:lang w:val="en-US" w:eastAsia="zh-CN"/>
        </w:rPr>
      </w:pPr>
      <w:r>
        <w:rPr>
          <w:rFonts w:hint="eastAsia" w:ascii="Times New Roman" w:hAnsi="Times New Roman" w:cs="Times New Roman" w:eastAsiaTheme="minorEastAsia"/>
          <w:b/>
          <w:bCs/>
          <w:sz w:val="24"/>
          <w:highlight w:val="none"/>
          <w:lang w:val="en-US" w:eastAsia="zh-CN"/>
        </w:rPr>
        <w:t>3.1.7.3噪声</w:t>
      </w:r>
    </w:p>
    <w:p w14:paraId="6D46D99D">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根据</w:t>
      </w:r>
      <w:r>
        <w:rPr>
          <w:rFonts w:hint="eastAsia" w:ascii="Times New Roman" w:hAnsi="Times New Roman" w:cs="Times New Roman"/>
          <w:sz w:val="24"/>
          <w:lang w:val="en-US" w:eastAsia="zh-CN"/>
        </w:rPr>
        <w:t>企业自行</w:t>
      </w:r>
      <w:r>
        <w:rPr>
          <w:rFonts w:hint="eastAsia" w:ascii="Times New Roman" w:hAnsi="Times New Roman" w:cs="Times New Roman" w:eastAsiaTheme="minorEastAsia"/>
          <w:sz w:val="24"/>
          <w:lang w:val="en-US" w:eastAsia="zh-CN"/>
        </w:rPr>
        <w:t>监测数据</w:t>
      </w:r>
      <w:r>
        <w:rPr>
          <w:rFonts w:hint="eastAsia" w:ascii="Times New Roman" w:hAnsi="Times New Roman" w:cs="Times New Roman"/>
          <w:sz w:val="24"/>
          <w:lang w:val="en-US" w:eastAsia="zh-CN"/>
        </w:rPr>
        <w:t>（详见附件6）</w:t>
      </w:r>
      <w:r>
        <w:rPr>
          <w:rFonts w:hint="eastAsia" w:ascii="Times New Roman" w:hAnsi="Times New Roman" w:cs="Times New Roman" w:eastAsiaTheme="minorEastAsia"/>
          <w:sz w:val="24"/>
          <w:lang w:val="en-US" w:eastAsia="zh-CN"/>
        </w:rPr>
        <w:t>，厂界噪声监测点位昼间、夜间噪声均满足《工业企业厂界环境噪声排放标准》（</w:t>
      </w:r>
      <w:r>
        <w:rPr>
          <w:rFonts w:hint="default" w:ascii="Times New Roman" w:hAnsi="Times New Roman" w:cs="Times New Roman" w:eastAsiaTheme="minorEastAsia"/>
          <w:sz w:val="24"/>
          <w:lang w:val="en-US" w:eastAsia="zh-CN"/>
        </w:rPr>
        <w:t>GB12348-2008</w:t>
      </w:r>
      <w:r>
        <w:rPr>
          <w:rFonts w:hint="eastAsia" w:ascii="Times New Roman" w:hAnsi="Times New Roman" w:cs="Times New Roman" w:eastAsiaTheme="minorEastAsia"/>
          <w:sz w:val="24"/>
          <w:lang w:val="en-US" w:eastAsia="zh-CN"/>
        </w:rPr>
        <w:t>）中的</w:t>
      </w:r>
      <w:r>
        <w:rPr>
          <w:rFonts w:hint="default" w:ascii="Times New Roman" w:hAnsi="Times New Roman" w:cs="Times New Roman" w:eastAsiaTheme="minorEastAsia"/>
          <w:sz w:val="24"/>
          <w:lang w:val="en-US" w:eastAsia="zh-CN"/>
        </w:rPr>
        <w:t>3</w:t>
      </w:r>
      <w:r>
        <w:rPr>
          <w:rFonts w:hint="eastAsia" w:ascii="Times New Roman" w:hAnsi="Times New Roman" w:cs="Times New Roman" w:eastAsiaTheme="minorEastAsia"/>
          <w:sz w:val="24"/>
          <w:lang w:val="en-US" w:eastAsia="zh-CN"/>
        </w:rPr>
        <w:t>类标准。</w:t>
      </w:r>
    </w:p>
    <w:p w14:paraId="0F8528A8">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3.1.</w:t>
      </w:r>
      <w:r>
        <w:rPr>
          <w:rFonts w:hint="eastAsia" w:ascii="Times New Roman" w:hAnsi="Times New Roman" w:cs="Times New Roman"/>
          <w:b/>
          <w:bCs/>
          <w:sz w:val="24"/>
          <w:lang w:val="en-US" w:eastAsia="zh-CN"/>
        </w:rPr>
        <w:t>7</w:t>
      </w:r>
      <w:r>
        <w:rPr>
          <w:rFonts w:hint="eastAsia" w:ascii="Times New Roman" w:hAnsi="Times New Roman" w:cs="Times New Roman" w:eastAsiaTheme="minorEastAsia"/>
          <w:b/>
          <w:bCs/>
          <w:sz w:val="24"/>
          <w:lang w:val="en-US" w:eastAsia="zh-CN"/>
        </w:rPr>
        <w:t>.4固体废物</w:t>
      </w:r>
    </w:p>
    <w:p w14:paraId="2E7B68AB">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现有项目产生的固体废物主要是消毒毁型后的医疗废物残渣、报废的周转箱、废滤芯、废活性炭和污水处理站产生的污泥等。消毒毁型后的医疗废物采用高温灭菌处理后符合《医疗废物高温蒸汽消毒集中处理工程技术规范》（HJ 276-2021）要求，送莎车县生活垃圾焚烧厂进行焚烧处理。报废的周转箱、废滤芯、废活性炭和污水处理站产生的污泥经消毒后暂存在危废贮存点，定期委托有危废处置资质的单位进行处置。现有项目产生的固体废物没有造成二次污染。</w:t>
      </w:r>
      <w:r>
        <w:rPr>
          <w:rFonts w:hint="eastAsia" w:ascii="Times New Roman" w:hAnsi="Times New Roman" w:cs="Times New Roman"/>
          <w:sz w:val="24"/>
          <w:lang w:val="en-US" w:eastAsia="zh-CN"/>
        </w:rPr>
        <w:t>企业现有工程固废处置情况见附件处置协议。</w:t>
      </w:r>
    </w:p>
    <w:p w14:paraId="71118AAB">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建设单位已建立了危险废物台账管理制度，现有项目运行期间，均按照《危险废物管理计划和管理台账制定技术导则》（</w:t>
      </w:r>
      <w:r>
        <w:rPr>
          <w:rFonts w:hint="default" w:ascii="Times New Roman" w:hAnsi="Times New Roman" w:cs="Times New Roman" w:eastAsiaTheme="minorEastAsia"/>
          <w:sz w:val="24"/>
          <w:lang w:val="en-US" w:eastAsia="zh-CN"/>
        </w:rPr>
        <w:t>HJ1259-2022</w:t>
      </w:r>
      <w:r>
        <w:rPr>
          <w:rFonts w:hint="eastAsia" w:ascii="Times New Roman" w:hAnsi="Times New Roman" w:cs="Times New Roman" w:eastAsiaTheme="minorEastAsia"/>
          <w:sz w:val="24"/>
          <w:lang w:val="en-US" w:eastAsia="zh-CN"/>
        </w:rPr>
        <w:t>）的要求建立了危险废物管理台账，如实记录了现有项目产生的危险废物种类、产生量、流向、贮存、利用、处置等有关信息；通过国家危险废物信息管理系统向莎车县生态环境主管部门备案危险废物管理计划，申报了危险废物有关资料。</w:t>
      </w:r>
    </w:p>
    <w:p w14:paraId="459C1EC9">
      <w:pPr>
        <w:adjustRightInd w:val="0"/>
        <w:snapToGrid w:val="0"/>
        <w:spacing w:line="500" w:lineRule="exact"/>
        <w:jc w:val="left"/>
        <w:rPr>
          <w:rFonts w:hint="eastAsia" w:ascii="Times New Roman" w:hAnsi="Times New Roman" w:cs="Times New Roman" w:eastAsiaTheme="minorEastAsia"/>
          <w:b/>
          <w:bCs/>
          <w:sz w:val="24"/>
          <w:highlight w:val="none"/>
          <w:lang w:val="en-US" w:eastAsia="zh-CN"/>
        </w:rPr>
      </w:pPr>
      <w:r>
        <w:rPr>
          <w:rFonts w:hint="eastAsia" w:ascii="Times New Roman" w:hAnsi="Times New Roman" w:cs="Times New Roman" w:eastAsiaTheme="minorEastAsia"/>
          <w:b/>
          <w:bCs/>
          <w:sz w:val="24"/>
          <w:highlight w:val="none"/>
          <w:lang w:val="en-US" w:eastAsia="zh-CN"/>
        </w:rPr>
        <w:t>3.1.7.5总量控制情况</w:t>
      </w:r>
    </w:p>
    <w:p w14:paraId="40FA42F4">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bookmarkStart w:id="133" w:name="_Toc2031"/>
      <w:r>
        <w:rPr>
          <w:rFonts w:hint="eastAsia" w:ascii="Times New Roman" w:hAnsi="Times New Roman" w:cs="Times New Roman" w:eastAsiaTheme="minorEastAsia"/>
          <w:sz w:val="24"/>
          <w:lang w:val="en-US" w:eastAsia="zh-CN"/>
        </w:rPr>
        <w:t>根据</w:t>
      </w:r>
      <w:r>
        <w:rPr>
          <w:rFonts w:hint="eastAsia" w:ascii="Times New Roman" w:hAnsi="Times New Roman" w:cs="Times New Roman"/>
          <w:sz w:val="24"/>
          <w:lang w:val="en-US" w:eastAsia="zh-CN"/>
        </w:rPr>
        <w:t>企业自行监测数据，</w:t>
      </w:r>
      <w:r>
        <w:rPr>
          <w:rFonts w:hint="eastAsia" w:ascii="Times New Roman" w:hAnsi="Times New Roman" w:cs="Times New Roman" w:eastAsiaTheme="minorEastAsia"/>
          <w:sz w:val="24"/>
          <w:lang w:val="en-US" w:eastAsia="zh-CN"/>
        </w:rPr>
        <w:t>现有项目的污染物排放</w:t>
      </w:r>
      <w:r>
        <w:rPr>
          <w:rFonts w:hint="eastAsia" w:ascii="Times New Roman" w:hAnsi="Times New Roman" w:cs="Times New Roman"/>
          <w:sz w:val="24"/>
          <w:lang w:val="en-US" w:eastAsia="zh-CN"/>
        </w:rPr>
        <w:t>总</w:t>
      </w:r>
      <w:r>
        <w:rPr>
          <w:rFonts w:hint="eastAsia" w:ascii="Times New Roman" w:hAnsi="Times New Roman" w:cs="Times New Roman" w:eastAsiaTheme="minorEastAsia"/>
          <w:sz w:val="24"/>
          <w:lang w:val="en-US" w:eastAsia="zh-CN"/>
        </w:rPr>
        <w:t>量见下表：</w:t>
      </w:r>
    </w:p>
    <w:p w14:paraId="2844D312">
      <w:pPr>
        <w:adjustRightInd w:val="0"/>
        <w:snapToGrid w:val="0"/>
        <w:spacing w:before="250"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表3.1-5  现有项目污染物总量控制情况一览表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3"/>
        <w:gridCol w:w="1623"/>
        <w:gridCol w:w="2918"/>
        <w:gridCol w:w="2688"/>
      </w:tblGrid>
      <w:tr w14:paraId="095BC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vMerge w:val="restart"/>
            <w:vAlign w:val="center"/>
          </w:tcPr>
          <w:p w14:paraId="4DE326D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污染物排放与总量控制</w:t>
            </w:r>
          </w:p>
        </w:tc>
        <w:tc>
          <w:tcPr>
            <w:tcW w:w="1623" w:type="dxa"/>
            <w:vAlign w:val="center"/>
          </w:tcPr>
          <w:p w14:paraId="3D561A2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污染物</w:t>
            </w:r>
          </w:p>
        </w:tc>
        <w:tc>
          <w:tcPr>
            <w:tcW w:w="2918" w:type="dxa"/>
            <w:vAlign w:val="center"/>
          </w:tcPr>
          <w:p w14:paraId="569CE63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现有项目实际排放总量t/a</w:t>
            </w:r>
          </w:p>
        </w:tc>
        <w:tc>
          <w:tcPr>
            <w:tcW w:w="2688" w:type="dxa"/>
            <w:vAlign w:val="center"/>
          </w:tcPr>
          <w:p w14:paraId="73B5DE2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现有项目核定排放总量t/a</w:t>
            </w:r>
          </w:p>
        </w:tc>
      </w:tr>
      <w:tr w14:paraId="68F6B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vMerge w:val="continue"/>
            <w:vAlign w:val="center"/>
          </w:tcPr>
          <w:p w14:paraId="5D7BB5A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623" w:type="dxa"/>
            <w:vAlign w:val="center"/>
          </w:tcPr>
          <w:p w14:paraId="34CE81A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SO</w:t>
            </w:r>
            <w:r>
              <w:rPr>
                <w:rFonts w:hint="eastAsia" w:ascii="Times New Roman" w:hAnsi="Times New Roman" w:cs="Times New Roman" w:eastAsiaTheme="minorEastAsia"/>
                <w:szCs w:val="21"/>
                <w:vertAlign w:val="subscript"/>
                <w:lang w:val="en-US" w:eastAsia="zh-CN"/>
              </w:rPr>
              <w:t>2</w:t>
            </w:r>
          </w:p>
        </w:tc>
        <w:tc>
          <w:tcPr>
            <w:tcW w:w="2918" w:type="dxa"/>
            <w:vAlign w:val="center"/>
          </w:tcPr>
          <w:p w14:paraId="623411C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0.007</w:t>
            </w:r>
          </w:p>
        </w:tc>
        <w:tc>
          <w:tcPr>
            <w:tcW w:w="2688" w:type="dxa"/>
            <w:vAlign w:val="center"/>
          </w:tcPr>
          <w:p w14:paraId="68807CC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1.06</w:t>
            </w:r>
          </w:p>
        </w:tc>
      </w:tr>
      <w:tr w14:paraId="5CB18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vMerge w:val="continue"/>
            <w:vAlign w:val="center"/>
          </w:tcPr>
          <w:p w14:paraId="5588257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623" w:type="dxa"/>
            <w:vAlign w:val="center"/>
          </w:tcPr>
          <w:p w14:paraId="1443E87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NOx</w:t>
            </w:r>
          </w:p>
        </w:tc>
        <w:tc>
          <w:tcPr>
            <w:tcW w:w="2918" w:type="dxa"/>
            <w:vAlign w:val="center"/>
          </w:tcPr>
          <w:p w14:paraId="0D821EB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r>
              <w:rPr>
                <w:rFonts w:hint="eastAsia" w:ascii="Times New Roman" w:hAnsi="Times New Roman" w:cs="Times New Roman"/>
                <w:szCs w:val="21"/>
                <w:lang w:val="en-US" w:eastAsia="zh-CN"/>
              </w:rPr>
              <w:t>164</w:t>
            </w:r>
          </w:p>
        </w:tc>
        <w:tc>
          <w:tcPr>
            <w:tcW w:w="2688" w:type="dxa"/>
            <w:vAlign w:val="center"/>
          </w:tcPr>
          <w:p w14:paraId="32F1A92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1.32</w:t>
            </w:r>
          </w:p>
        </w:tc>
      </w:tr>
    </w:tbl>
    <w:p w14:paraId="6A8FA2D5">
      <w:pPr>
        <w:pStyle w:val="4"/>
        <w:spacing w:before="120" w:after="120" w:line="500" w:lineRule="exact"/>
        <w:rPr>
          <w:rFonts w:hint="eastAsia" w:ascii="Times New Roman" w:hAnsi="Times New Roman" w:cs="Times New Roman" w:eastAsiaTheme="minorEastAsia"/>
          <w:kern w:val="0"/>
          <w:sz w:val="24"/>
          <w:szCs w:val="24"/>
          <w:lang w:val="en-US" w:eastAsia="zh-CN"/>
        </w:rPr>
      </w:pPr>
      <w:r>
        <w:rPr>
          <w:rFonts w:hint="eastAsia" w:ascii="Times New Roman" w:hAnsi="Times New Roman" w:cs="Times New Roman" w:eastAsiaTheme="minorEastAsia"/>
          <w:kern w:val="0"/>
          <w:sz w:val="24"/>
          <w:szCs w:val="24"/>
          <w:lang w:val="en-US" w:eastAsia="zh-CN"/>
        </w:rPr>
        <w:t>3.1.8现有项目存在的主要环境问题</w:t>
      </w:r>
      <w:bookmarkEnd w:id="133"/>
    </w:p>
    <w:p w14:paraId="5B1A042F">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1</w:t>
      </w:r>
      <w:r>
        <w:rPr>
          <w:rFonts w:hint="eastAsia" w:ascii="Times New Roman" w:hAnsi="Times New Roman" w:cs="Times New Roman" w:eastAsiaTheme="minorEastAsia"/>
          <w:sz w:val="24"/>
          <w:lang w:val="en-US" w:eastAsia="zh-CN"/>
        </w:rPr>
        <w:t>、莎车县海纳环保科技开发有限公司现有危险废物贮存点容积不足，难以满足本项目建成后的暂存需求。</w:t>
      </w:r>
    </w:p>
    <w:p w14:paraId="24D22986">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2</w:t>
      </w:r>
      <w:r>
        <w:rPr>
          <w:rFonts w:hint="eastAsia" w:ascii="Times New Roman" w:hAnsi="Times New Roman" w:cs="Times New Roman" w:eastAsiaTheme="minorEastAsia"/>
          <w:sz w:val="24"/>
          <w:lang w:val="en-US" w:eastAsia="zh-CN"/>
        </w:rPr>
        <w:t>、建设单位现有的危废贮存点内的危险废物未分类设置危险废物识别标志；建设单位的各污染物排放口图形标志牌上没有标记污染物排放口二维码。</w:t>
      </w:r>
    </w:p>
    <w:p w14:paraId="792B2308">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34" w:name="_Toc25763"/>
      <w:r>
        <w:rPr>
          <w:rFonts w:hint="eastAsia" w:ascii="Times New Roman" w:hAnsi="Times New Roman" w:cs="Times New Roman" w:eastAsiaTheme="minorEastAsia"/>
          <w:kern w:val="0"/>
          <w:sz w:val="24"/>
          <w:szCs w:val="24"/>
          <w:lang w:val="en-US" w:eastAsia="zh-CN"/>
        </w:rPr>
        <w:t>3.1.9“以老带新”措施</w:t>
      </w:r>
      <w:bookmarkEnd w:id="134"/>
    </w:p>
    <w:p w14:paraId="58DAA365">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本次改扩建项目实施过程中，针对建设单位目前存在的主要环境问题，将采取以下</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以新带老</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措施：</w:t>
      </w:r>
    </w:p>
    <w:p w14:paraId="11A4C4CE">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1</w:t>
      </w:r>
      <w:r>
        <w:rPr>
          <w:rFonts w:hint="eastAsia" w:ascii="Times New Roman" w:hAnsi="Times New Roman" w:cs="Times New Roman" w:eastAsiaTheme="minorEastAsia"/>
          <w:sz w:val="24"/>
          <w:highlight w:val="none"/>
          <w:lang w:val="en-US" w:eastAsia="zh-CN"/>
        </w:rPr>
        <w:t>、本项目将扩建一个占地</w:t>
      </w:r>
      <w:r>
        <w:rPr>
          <w:rFonts w:hint="eastAsia" w:ascii="Times New Roman" w:hAnsi="Times New Roman" w:cs="Times New Roman"/>
          <w:sz w:val="24"/>
          <w:highlight w:val="none"/>
          <w:lang w:val="en-US" w:eastAsia="zh-CN"/>
        </w:rPr>
        <w:t>30</w:t>
      </w:r>
      <w:r>
        <w:rPr>
          <w:rFonts w:hint="default" w:ascii="Times New Roman" w:hAnsi="Times New Roman" w:cs="Times New Roman" w:eastAsiaTheme="minorEastAsia"/>
          <w:sz w:val="24"/>
          <w:highlight w:val="none"/>
          <w:lang w:val="en-US" w:eastAsia="zh-CN"/>
        </w:rPr>
        <w:t>m</w:t>
      </w:r>
      <w:r>
        <w:rPr>
          <w:rFonts w:hint="default" w:ascii="Times New Roman" w:hAnsi="Times New Roman" w:cs="Times New Roman" w:eastAsiaTheme="minorEastAsia"/>
          <w:sz w:val="24"/>
          <w:highlight w:val="none"/>
          <w:vertAlign w:val="superscript"/>
          <w:lang w:val="en-US" w:eastAsia="zh-CN"/>
        </w:rPr>
        <w:t>2</w:t>
      </w:r>
      <w:r>
        <w:rPr>
          <w:rFonts w:hint="eastAsia" w:ascii="Times New Roman" w:hAnsi="Times New Roman" w:cs="Times New Roman" w:eastAsiaTheme="minorEastAsia"/>
          <w:sz w:val="24"/>
          <w:highlight w:val="none"/>
          <w:lang w:val="en-US" w:eastAsia="zh-CN"/>
        </w:rPr>
        <w:t>的危废贮存</w:t>
      </w:r>
      <w:r>
        <w:rPr>
          <w:rFonts w:hint="eastAsia" w:ascii="Times New Roman" w:hAnsi="Times New Roman" w:cs="Times New Roman"/>
          <w:sz w:val="24"/>
          <w:highlight w:val="none"/>
          <w:lang w:val="en-US" w:eastAsia="zh-CN"/>
        </w:rPr>
        <w:t>库</w:t>
      </w:r>
      <w:r>
        <w:rPr>
          <w:rFonts w:hint="eastAsia" w:ascii="Times New Roman" w:hAnsi="Times New Roman" w:cs="Times New Roman" w:eastAsiaTheme="minorEastAsia"/>
          <w:sz w:val="24"/>
          <w:highlight w:val="none"/>
          <w:lang w:val="en-US" w:eastAsia="zh-CN"/>
        </w:rPr>
        <w:t>，用于暂存建设单位产生的废活性炭、废滤芯、废周转箱和污泥。</w:t>
      </w:r>
    </w:p>
    <w:p w14:paraId="22A1E0C4">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2</w:t>
      </w:r>
      <w:r>
        <w:rPr>
          <w:rFonts w:hint="eastAsia" w:ascii="Times New Roman" w:hAnsi="Times New Roman" w:cs="Times New Roman" w:eastAsiaTheme="minorEastAsia"/>
          <w:sz w:val="24"/>
          <w:highlight w:val="none"/>
          <w:lang w:val="en-US" w:eastAsia="zh-CN"/>
        </w:rPr>
        <w:t>、本项目环评将按照相关规定和要求提出设置危险废物识别标志和各污染物排放口图形标志牌上标记污染物排放口二维码的管理要求。</w:t>
      </w:r>
    </w:p>
    <w:p w14:paraId="2E695CEA">
      <w:pPr>
        <w:pStyle w:val="3"/>
        <w:spacing w:before="120" w:after="120" w:line="500" w:lineRule="exact"/>
        <w:ind w:left="375" w:hanging="375" w:firstLineChars="0"/>
        <w:contextualSpacing/>
        <w:rPr>
          <w:rFonts w:hint="eastAsia" w:ascii="Times New Roman" w:hAnsi="Times New Roman" w:cs="Times New Roman" w:eastAsiaTheme="minorEastAsia"/>
          <w:snapToGrid w:val="0"/>
          <w:kern w:val="0"/>
          <w:sz w:val="28"/>
          <w:szCs w:val="28"/>
          <w:lang w:val="en-US" w:eastAsia="zh-CN"/>
        </w:rPr>
      </w:pPr>
      <w:bookmarkStart w:id="135" w:name="_Toc27233"/>
      <w:r>
        <w:rPr>
          <w:rFonts w:hint="eastAsia" w:ascii="Times New Roman" w:hAnsi="Times New Roman" w:cs="Times New Roman" w:eastAsiaTheme="minorEastAsia"/>
          <w:snapToGrid w:val="0"/>
          <w:kern w:val="0"/>
          <w:sz w:val="28"/>
          <w:szCs w:val="28"/>
          <w:lang w:val="en-US" w:eastAsia="zh-CN"/>
        </w:rPr>
        <w:t>3.2扩建项目概况</w:t>
      </w:r>
      <w:bookmarkEnd w:id="135"/>
    </w:p>
    <w:p w14:paraId="29A37C6B">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36" w:name="_Toc30085"/>
      <w:r>
        <w:rPr>
          <w:rFonts w:hint="eastAsia" w:ascii="Times New Roman" w:hAnsi="Times New Roman" w:cs="Times New Roman" w:eastAsiaTheme="minorEastAsia"/>
          <w:kern w:val="0"/>
          <w:sz w:val="24"/>
          <w:szCs w:val="24"/>
          <w:lang w:val="en-US" w:eastAsia="zh-CN"/>
        </w:rPr>
        <w:t>3.2.1项目基本情况</w:t>
      </w:r>
      <w:bookmarkEnd w:id="136"/>
    </w:p>
    <w:p w14:paraId="1365F35B">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（1）项目名称：莎车县海纳环保科技开发有限公司莎车县医疗废物处置中心扩建项目</w:t>
      </w:r>
    </w:p>
    <w:p w14:paraId="42E812A4">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（2）建设单位：莎车县海纳环保科技开发有限公司</w:t>
      </w:r>
    </w:p>
    <w:p w14:paraId="4A0CA727">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（3）建设地点：本项目建设地点位于莎车县阿斯兰巴格工业园区西南侧莎车县海纳环保科技开发有限公司厂区内，总用地面积为7826</w:t>
      </w:r>
      <w:r>
        <w:rPr>
          <w:rFonts w:hint="default" w:ascii="Times New Roman" w:hAnsi="Times New Roman" w:cs="Times New Roman" w:eastAsiaTheme="minorEastAsia"/>
          <w:sz w:val="24"/>
          <w:lang w:val="en-US" w:eastAsia="zh-CN"/>
        </w:rPr>
        <w:t>m</w:t>
      </w:r>
      <w:r>
        <w:rPr>
          <w:rFonts w:hint="default" w:ascii="Times New Roman" w:hAnsi="Times New Roman" w:cs="Times New Roman" w:eastAsiaTheme="minorEastAsia"/>
          <w:sz w:val="24"/>
          <w:vertAlign w:val="superscript"/>
          <w:lang w:val="en-US" w:eastAsia="zh-CN"/>
        </w:rPr>
        <w:t>2</w:t>
      </w:r>
      <w:r>
        <w:rPr>
          <w:rFonts w:hint="eastAsia" w:ascii="Times New Roman" w:hAnsi="Times New Roman" w:cs="Times New Roman" w:eastAsiaTheme="minorEastAsia"/>
          <w:sz w:val="24"/>
          <w:lang w:val="en-US" w:eastAsia="zh-CN"/>
        </w:rPr>
        <w:t>，具体位置见附图3.2-1。</w:t>
      </w:r>
    </w:p>
    <w:p w14:paraId="25DFAC33">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（4）建设性质：改扩建</w:t>
      </w:r>
    </w:p>
    <w:p w14:paraId="31CE876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（5）总投资：本项目总投资800万元，其中环保投资为232万元，占总投资的29%。</w:t>
      </w:r>
    </w:p>
    <w:p w14:paraId="4DAC14F4">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37" w:name="_Toc28462"/>
      <w:r>
        <w:rPr>
          <w:rFonts w:hint="eastAsia" w:ascii="Times New Roman" w:hAnsi="Times New Roman" w:cs="Times New Roman" w:eastAsiaTheme="minorEastAsia"/>
          <w:kern w:val="0"/>
          <w:sz w:val="24"/>
          <w:szCs w:val="24"/>
          <w:lang w:val="en-US" w:eastAsia="zh-CN"/>
        </w:rPr>
        <w:t>3.2.2项目组成与建设内容</w:t>
      </w:r>
      <w:bookmarkEnd w:id="137"/>
    </w:p>
    <w:p w14:paraId="4037D409">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本项目主要建设内容如下：</w:t>
      </w:r>
    </w:p>
    <w:p w14:paraId="3B0F60E7">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扩建医疗废物焚烧炉一座（2t/d），并配备相应的环保措施。</w:t>
      </w:r>
    </w:p>
    <w:p w14:paraId="55C48512">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本项目主要建设内容详见表3.2-1</w:t>
      </w:r>
      <w:r>
        <w:rPr>
          <w:rFonts w:hint="eastAsia" w:ascii="Times New Roman" w:hAnsi="Times New Roman" w:cs="Times New Roman"/>
          <w:sz w:val="24"/>
          <w:lang w:val="en-US" w:eastAsia="zh-CN"/>
        </w:rPr>
        <w:t>。</w:t>
      </w:r>
    </w:p>
    <w:p w14:paraId="2316A9BE">
      <w:pPr>
        <w:adjustRightInd w:val="0"/>
        <w:snapToGrid w:val="0"/>
        <w:spacing w:before="250"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表3.2-1  本项目工程组成表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1576"/>
        <w:gridCol w:w="5461"/>
        <w:gridCol w:w="720"/>
      </w:tblGrid>
      <w:tr w14:paraId="3E90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5" w:type="dxa"/>
            <w:vAlign w:val="center"/>
          </w:tcPr>
          <w:p w14:paraId="74E65F9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类别</w:t>
            </w:r>
          </w:p>
        </w:tc>
        <w:tc>
          <w:tcPr>
            <w:tcW w:w="1576" w:type="dxa"/>
            <w:vAlign w:val="center"/>
          </w:tcPr>
          <w:p w14:paraId="3C3E23D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工程名称</w:t>
            </w:r>
          </w:p>
        </w:tc>
        <w:tc>
          <w:tcPr>
            <w:tcW w:w="5461" w:type="dxa"/>
            <w:vAlign w:val="center"/>
          </w:tcPr>
          <w:p w14:paraId="4FCE2C5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建设内容</w:t>
            </w:r>
          </w:p>
        </w:tc>
        <w:tc>
          <w:tcPr>
            <w:tcW w:w="720" w:type="dxa"/>
            <w:vAlign w:val="center"/>
          </w:tcPr>
          <w:p w14:paraId="248C82B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备注</w:t>
            </w:r>
          </w:p>
        </w:tc>
      </w:tr>
      <w:tr w14:paraId="564F3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Merge w:val="restart"/>
            <w:vAlign w:val="center"/>
          </w:tcPr>
          <w:p w14:paraId="10FFF95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主体工程</w:t>
            </w:r>
          </w:p>
        </w:tc>
        <w:tc>
          <w:tcPr>
            <w:tcW w:w="1576" w:type="dxa"/>
            <w:vAlign w:val="center"/>
          </w:tcPr>
          <w:p w14:paraId="6F03E77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焚烧系统</w:t>
            </w:r>
          </w:p>
        </w:tc>
        <w:tc>
          <w:tcPr>
            <w:tcW w:w="5461" w:type="dxa"/>
            <w:vAlign w:val="center"/>
          </w:tcPr>
          <w:p w14:paraId="490F1339">
            <w:pPr>
              <w:autoSpaceDE w:val="0"/>
              <w:autoSpaceDN w:val="0"/>
              <w:spacing w:line="300" w:lineRule="exact"/>
              <w:jc w:val="center"/>
              <w:rPr>
                <w:rFonts w:hint="default" w:ascii="Times New Roman" w:hAnsi="Times New Roman" w:cs="Times New Roman" w:eastAsiaTheme="minorEastAsia"/>
                <w:szCs w:val="21"/>
                <w:vertAlign w:val="baseline"/>
                <w:lang w:val="en-US" w:eastAsia="zh-CN"/>
              </w:rPr>
            </w:pPr>
            <w:r>
              <w:rPr>
                <w:rFonts w:hint="eastAsia" w:ascii="Times New Roman" w:hAnsi="Times New Roman" w:cs="Times New Roman" w:eastAsiaTheme="minorEastAsia"/>
                <w:szCs w:val="21"/>
                <w:lang w:val="en-US" w:eastAsia="zh-CN"/>
              </w:rPr>
              <w:t>项目焚烧系统位于厂区现有车间内，利用现有</w:t>
            </w:r>
            <w:r>
              <w:rPr>
                <w:rFonts w:hint="eastAsia" w:ascii="Times New Roman" w:hAnsi="Times New Roman" w:cs="Times New Roman"/>
                <w:szCs w:val="21"/>
                <w:lang w:val="en-US" w:eastAsia="zh-CN"/>
              </w:rPr>
              <w:t>空置</w:t>
            </w:r>
            <w:r>
              <w:rPr>
                <w:rFonts w:hint="eastAsia" w:ascii="Times New Roman" w:hAnsi="Times New Roman" w:cs="Times New Roman" w:eastAsiaTheme="minorEastAsia"/>
                <w:szCs w:val="21"/>
                <w:lang w:val="en-US" w:eastAsia="zh-CN"/>
              </w:rPr>
              <w:t>车间进行改造，占地面积约</w:t>
            </w:r>
            <w:r>
              <w:rPr>
                <w:rFonts w:hint="eastAsia" w:ascii="Times New Roman" w:hAnsi="Times New Roman" w:cs="Times New Roman"/>
                <w:szCs w:val="21"/>
                <w:lang w:val="en-US" w:eastAsia="zh-CN"/>
              </w:rPr>
              <w:t>270</w:t>
            </w:r>
            <w:r>
              <w:rPr>
                <w:rFonts w:hint="eastAsia" w:ascii="Times New Roman" w:hAnsi="Times New Roman" w:cs="Times New Roman" w:eastAsiaTheme="minorEastAsia"/>
                <w:szCs w:val="21"/>
                <w:lang w:val="en-US" w:eastAsia="zh-CN"/>
              </w:rPr>
              <w:t>m</w:t>
            </w:r>
            <w:r>
              <w:rPr>
                <w:rFonts w:hint="eastAsia" w:ascii="Times New Roman" w:hAnsi="Times New Roman" w:cs="Times New Roman" w:eastAsiaTheme="minorEastAsia"/>
                <w:szCs w:val="21"/>
                <w:vertAlign w:val="superscript"/>
                <w:lang w:val="en-US" w:eastAsia="zh-CN"/>
              </w:rPr>
              <w:t>2</w:t>
            </w:r>
            <w:r>
              <w:rPr>
                <w:rFonts w:hint="eastAsia" w:ascii="Times New Roman" w:hAnsi="Times New Roman" w:cs="Times New Roman"/>
                <w:szCs w:val="21"/>
                <w:vertAlign w:val="baseline"/>
                <w:lang w:val="en-US" w:eastAsia="zh-CN"/>
              </w:rPr>
              <w:t>。</w:t>
            </w:r>
          </w:p>
        </w:tc>
        <w:tc>
          <w:tcPr>
            <w:tcW w:w="720" w:type="dxa"/>
            <w:vAlign w:val="center"/>
          </w:tcPr>
          <w:p w14:paraId="30CCC04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改造新建</w:t>
            </w:r>
          </w:p>
        </w:tc>
      </w:tr>
      <w:tr w14:paraId="7E819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Merge w:val="continue"/>
            <w:vAlign w:val="center"/>
          </w:tcPr>
          <w:p w14:paraId="034FEB72">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576" w:type="dxa"/>
            <w:vAlign w:val="center"/>
          </w:tcPr>
          <w:p w14:paraId="18BF71E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周转箱自动清洗消毒系统</w:t>
            </w:r>
          </w:p>
        </w:tc>
        <w:tc>
          <w:tcPr>
            <w:tcW w:w="5461" w:type="dxa"/>
            <w:vAlign w:val="center"/>
          </w:tcPr>
          <w:p w14:paraId="34274473">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依托现有的一套周转箱自动清洗消毒系统；周转箱自动清洗消毒系统占地面积</w:t>
            </w:r>
            <w:r>
              <w:rPr>
                <w:rFonts w:hint="default" w:ascii="Times New Roman" w:hAnsi="Times New Roman" w:cs="Times New Roman" w:eastAsiaTheme="minorEastAsia"/>
                <w:szCs w:val="21"/>
                <w:lang w:val="en-US" w:eastAsia="zh-CN"/>
              </w:rPr>
              <w:t>10m</w:t>
            </w:r>
            <w:r>
              <w:rPr>
                <w:rFonts w:hint="eastAsia" w:ascii="Times New Roman" w:hAnsi="Times New Roman" w:cs="Times New Roman" w:eastAsiaTheme="minorEastAsia"/>
                <w:szCs w:val="21"/>
                <w:vertAlign w:val="superscript"/>
                <w:lang w:val="en-US" w:eastAsia="zh-CN"/>
              </w:rPr>
              <w:t>2</w:t>
            </w:r>
            <w:r>
              <w:rPr>
                <w:rFonts w:hint="eastAsia" w:ascii="Times New Roman" w:hAnsi="Times New Roman" w:cs="Times New Roman" w:eastAsiaTheme="minorEastAsia"/>
                <w:szCs w:val="21"/>
                <w:lang w:val="en-US" w:eastAsia="zh-CN"/>
              </w:rPr>
              <w:t>，每小时可以自动清洗消毒周转箱约</w:t>
            </w:r>
            <w:r>
              <w:rPr>
                <w:rFonts w:hint="default" w:ascii="Times New Roman" w:hAnsi="Times New Roman" w:cs="Times New Roman" w:eastAsiaTheme="minorEastAsia"/>
                <w:szCs w:val="21"/>
                <w:lang w:val="en-US" w:eastAsia="zh-CN"/>
              </w:rPr>
              <w:t>60</w:t>
            </w:r>
            <w:r>
              <w:rPr>
                <w:rFonts w:hint="eastAsia" w:ascii="Times New Roman" w:hAnsi="Times New Roman" w:cs="Times New Roman" w:eastAsiaTheme="minorEastAsia"/>
                <w:szCs w:val="21"/>
                <w:lang w:val="en-US" w:eastAsia="zh-CN"/>
              </w:rPr>
              <w:t>只。</w:t>
            </w:r>
          </w:p>
        </w:tc>
        <w:tc>
          <w:tcPr>
            <w:tcW w:w="720" w:type="dxa"/>
            <w:vAlign w:val="center"/>
          </w:tcPr>
          <w:p w14:paraId="15BEFDF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依托</w:t>
            </w:r>
          </w:p>
        </w:tc>
      </w:tr>
      <w:tr w14:paraId="4CC25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5" w:type="dxa"/>
            <w:vMerge w:val="restart"/>
            <w:vAlign w:val="center"/>
          </w:tcPr>
          <w:p w14:paraId="163A423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储运工程</w:t>
            </w:r>
          </w:p>
        </w:tc>
        <w:tc>
          <w:tcPr>
            <w:tcW w:w="1576" w:type="dxa"/>
            <w:vAlign w:val="center"/>
          </w:tcPr>
          <w:p w14:paraId="776ABA3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运输</w:t>
            </w:r>
          </w:p>
        </w:tc>
        <w:tc>
          <w:tcPr>
            <w:tcW w:w="5461" w:type="dxa"/>
            <w:vAlign w:val="center"/>
          </w:tcPr>
          <w:p w14:paraId="63FD095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依托现有4辆医疗运输车。</w:t>
            </w:r>
          </w:p>
        </w:tc>
        <w:tc>
          <w:tcPr>
            <w:tcW w:w="720" w:type="dxa"/>
            <w:vAlign w:val="center"/>
          </w:tcPr>
          <w:p w14:paraId="34A7D73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依托</w:t>
            </w:r>
          </w:p>
        </w:tc>
      </w:tr>
      <w:tr w14:paraId="75D85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Merge w:val="continue"/>
            <w:vAlign w:val="center"/>
          </w:tcPr>
          <w:p w14:paraId="2ECDA5E5">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576" w:type="dxa"/>
            <w:vAlign w:val="center"/>
          </w:tcPr>
          <w:p w14:paraId="484C303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冷藏库</w:t>
            </w:r>
            <w:r>
              <w:rPr>
                <w:rFonts w:hint="eastAsia" w:ascii="Times New Roman" w:hAnsi="Times New Roman" w:cs="Times New Roman"/>
                <w:szCs w:val="21"/>
                <w:lang w:val="en-US" w:eastAsia="zh-CN"/>
              </w:rPr>
              <w:t>（医废暂存库）</w:t>
            </w:r>
          </w:p>
        </w:tc>
        <w:tc>
          <w:tcPr>
            <w:tcW w:w="5461" w:type="dxa"/>
            <w:vAlign w:val="center"/>
          </w:tcPr>
          <w:p w14:paraId="74A9CA8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本项目在现有冷藏（容积35m</w:t>
            </w:r>
            <w:r>
              <w:rPr>
                <w:rFonts w:hint="eastAsia" w:ascii="Times New Roman" w:hAnsi="Times New Roman" w:cs="Times New Roman"/>
                <w:szCs w:val="21"/>
                <w:vertAlign w:val="superscript"/>
                <w:lang w:val="en-US" w:eastAsia="zh-CN"/>
              </w:rPr>
              <w:t>3</w:t>
            </w:r>
            <w:r>
              <w:rPr>
                <w:rFonts w:hint="eastAsia" w:ascii="Times New Roman" w:hAnsi="Times New Roman" w:cs="Times New Roman"/>
                <w:szCs w:val="21"/>
                <w:lang w:val="en-US" w:eastAsia="zh-CN"/>
              </w:rPr>
              <w:t>）的基础上新增一座冷藏库（医疗废物暂存间），主要用于暂存病理性、药物性和化学性医疗废物，新建冷藏库占地15m</w:t>
            </w:r>
            <w:r>
              <w:rPr>
                <w:rFonts w:hint="eastAsia" w:ascii="Times New Roman" w:hAnsi="Times New Roman" w:cs="Times New Roman"/>
                <w:szCs w:val="21"/>
                <w:vertAlign w:val="superscript"/>
                <w:lang w:val="en-US" w:eastAsia="zh-CN"/>
              </w:rPr>
              <w:t>2</w:t>
            </w:r>
            <w:r>
              <w:rPr>
                <w:rFonts w:hint="eastAsia" w:ascii="Times New Roman" w:hAnsi="Times New Roman" w:cs="Times New Roman"/>
                <w:szCs w:val="21"/>
                <w:lang w:val="en-US" w:eastAsia="zh-CN"/>
              </w:rPr>
              <w:t>。</w:t>
            </w:r>
          </w:p>
        </w:tc>
        <w:tc>
          <w:tcPr>
            <w:tcW w:w="720" w:type="dxa"/>
            <w:vAlign w:val="center"/>
          </w:tcPr>
          <w:p w14:paraId="722B0D9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依托</w:t>
            </w:r>
          </w:p>
        </w:tc>
      </w:tr>
      <w:tr w14:paraId="28AED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Merge w:val="continue"/>
            <w:vAlign w:val="center"/>
          </w:tcPr>
          <w:p w14:paraId="7F8B50EE">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576" w:type="dxa"/>
            <w:vAlign w:val="center"/>
          </w:tcPr>
          <w:p w14:paraId="6E2BBB7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炉渣间</w:t>
            </w:r>
          </w:p>
        </w:tc>
        <w:tc>
          <w:tcPr>
            <w:tcW w:w="5461" w:type="dxa"/>
            <w:vAlign w:val="center"/>
          </w:tcPr>
          <w:p w14:paraId="4159DA8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新建一座炉渣间，用于存放炉渣，炉渣间面积30m</w:t>
            </w:r>
            <w:r>
              <w:rPr>
                <w:rFonts w:hint="eastAsia" w:ascii="Times New Roman" w:hAnsi="Times New Roman" w:cs="Times New Roman"/>
                <w:szCs w:val="21"/>
                <w:vertAlign w:val="superscript"/>
                <w:lang w:val="en-US" w:eastAsia="zh-CN"/>
              </w:rPr>
              <w:t>2</w:t>
            </w:r>
            <w:r>
              <w:rPr>
                <w:rFonts w:hint="eastAsia" w:ascii="Times New Roman" w:hAnsi="Times New Roman" w:cs="Times New Roman"/>
                <w:szCs w:val="21"/>
                <w:lang w:val="en-US" w:eastAsia="zh-CN"/>
              </w:rPr>
              <w:t>。</w:t>
            </w:r>
          </w:p>
        </w:tc>
        <w:tc>
          <w:tcPr>
            <w:tcW w:w="720" w:type="dxa"/>
            <w:vAlign w:val="center"/>
          </w:tcPr>
          <w:p w14:paraId="402BC00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新建</w:t>
            </w:r>
          </w:p>
        </w:tc>
      </w:tr>
      <w:tr w14:paraId="4D58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Merge w:val="restart"/>
            <w:vAlign w:val="center"/>
          </w:tcPr>
          <w:p w14:paraId="5C0D3F0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辅助工程</w:t>
            </w:r>
          </w:p>
        </w:tc>
        <w:tc>
          <w:tcPr>
            <w:tcW w:w="1576" w:type="dxa"/>
            <w:vAlign w:val="center"/>
          </w:tcPr>
          <w:p w14:paraId="7134B82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车辆消毒间</w:t>
            </w:r>
          </w:p>
        </w:tc>
        <w:tc>
          <w:tcPr>
            <w:tcW w:w="5461" w:type="dxa"/>
            <w:vAlign w:val="center"/>
          </w:tcPr>
          <w:p w14:paraId="08712EA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依托现有车辆消毒间，建筑面积约240m</w:t>
            </w:r>
            <w:r>
              <w:rPr>
                <w:rFonts w:hint="eastAsia" w:ascii="Times New Roman" w:hAnsi="Times New Roman" w:cs="Times New Roman" w:eastAsiaTheme="minorEastAsia"/>
                <w:szCs w:val="21"/>
                <w:vertAlign w:val="superscript"/>
                <w:lang w:val="en-US" w:eastAsia="zh-CN"/>
              </w:rPr>
              <w:t>2</w:t>
            </w:r>
            <w:r>
              <w:rPr>
                <w:rFonts w:hint="eastAsia" w:ascii="Times New Roman" w:hAnsi="Times New Roman" w:cs="Times New Roman" w:eastAsiaTheme="minorEastAsia"/>
                <w:szCs w:val="21"/>
                <w:lang w:val="en-US" w:eastAsia="zh-CN"/>
              </w:rPr>
              <w:t>。</w:t>
            </w:r>
          </w:p>
        </w:tc>
        <w:tc>
          <w:tcPr>
            <w:tcW w:w="720" w:type="dxa"/>
            <w:vAlign w:val="center"/>
          </w:tcPr>
          <w:p w14:paraId="5821C47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依托</w:t>
            </w:r>
          </w:p>
        </w:tc>
      </w:tr>
      <w:tr w14:paraId="4E5F5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Merge w:val="continue"/>
            <w:vAlign w:val="center"/>
          </w:tcPr>
          <w:p w14:paraId="6B9B3457">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576" w:type="dxa"/>
            <w:vAlign w:val="center"/>
          </w:tcPr>
          <w:p w14:paraId="26FD029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办公室</w:t>
            </w:r>
          </w:p>
        </w:tc>
        <w:tc>
          <w:tcPr>
            <w:tcW w:w="5461" w:type="dxa"/>
            <w:vAlign w:val="center"/>
          </w:tcPr>
          <w:p w14:paraId="72D785C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依托现有办公室，办公室位于厂区东南侧，建筑面积约330m</w:t>
            </w:r>
            <w:r>
              <w:rPr>
                <w:rFonts w:hint="eastAsia" w:ascii="Times New Roman" w:hAnsi="Times New Roman" w:cs="Times New Roman" w:eastAsiaTheme="minorEastAsia"/>
                <w:szCs w:val="21"/>
                <w:vertAlign w:val="superscript"/>
                <w:lang w:val="en-US" w:eastAsia="zh-CN"/>
              </w:rPr>
              <w:t>2</w:t>
            </w:r>
            <w:r>
              <w:rPr>
                <w:rFonts w:hint="eastAsia" w:ascii="Times New Roman" w:hAnsi="Times New Roman" w:cs="Times New Roman" w:eastAsiaTheme="minorEastAsia"/>
                <w:szCs w:val="21"/>
                <w:lang w:val="en-US" w:eastAsia="zh-CN"/>
              </w:rPr>
              <w:t>。</w:t>
            </w:r>
          </w:p>
        </w:tc>
        <w:tc>
          <w:tcPr>
            <w:tcW w:w="720" w:type="dxa"/>
            <w:vAlign w:val="center"/>
          </w:tcPr>
          <w:p w14:paraId="11B0E33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依托</w:t>
            </w:r>
          </w:p>
        </w:tc>
      </w:tr>
      <w:tr w14:paraId="10E68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5" w:type="dxa"/>
            <w:vMerge w:val="continue"/>
            <w:vAlign w:val="center"/>
          </w:tcPr>
          <w:p w14:paraId="0002FF8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576" w:type="dxa"/>
            <w:vAlign w:val="center"/>
          </w:tcPr>
          <w:p w14:paraId="5282D8E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门卫室</w:t>
            </w:r>
          </w:p>
        </w:tc>
        <w:tc>
          <w:tcPr>
            <w:tcW w:w="5461" w:type="dxa"/>
            <w:vAlign w:val="center"/>
          </w:tcPr>
          <w:p w14:paraId="3670907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依托现有的门卫室；门卫室位于邻近东侧恒昌路的一侧，门卫室的建筑面积约45m</w:t>
            </w:r>
            <w:r>
              <w:rPr>
                <w:rFonts w:hint="eastAsia" w:ascii="Times New Roman" w:hAnsi="Times New Roman" w:cs="Times New Roman" w:eastAsiaTheme="minorEastAsia"/>
                <w:szCs w:val="21"/>
                <w:vertAlign w:val="superscript"/>
                <w:lang w:val="en-US" w:eastAsia="zh-CN"/>
              </w:rPr>
              <w:t>2</w:t>
            </w:r>
            <w:r>
              <w:rPr>
                <w:rFonts w:hint="eastAsia" w:ascii="Times New Roman" w:hAnsi="Times New Roman" w:cs="Times New Roman" w:eastAsiaTheme="minorEastAsia"/>
                <w:szCs w:val="21"/>
                <w:lang w:val="en-US" w:eastAsia="zh-CN"/>
              </w:rPr>
              <w:t>。</w:t>
            </w:r>
          </w:p>
        </w:tc>
        <w:tc>
          <w:tcPr>
            <w:tcW w:w="720" w:type="dxa"/>
            <w:vAlign w:val="center"/>
          </w:tcPr>
          <w:p w14:paraId="169805D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依托</w:t>
            </w:r>
          </w:p>
        </w:tc>
      </w:tr>
      <w:tr w14:paraId="7FB9B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Merge w:val="restart"/>
            <w:vAlign w:val="center"/>
          </w:tcPr>
          <w:p w14:paraId="69E091E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公用工程</w:t>
            </w:r>
          </w:p>
        </w:tc>
        <w:tc>
          <w:tcPr>
            <w:tcW w:w="1576" w:type="dxa"/>
            <w:vAlign w:val="center"/>
          </w:tcPr>
          <w:p w14:paraId="4BA8685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给水系统</w:t>
            </w:r>
          </w:p>
        </w:tc>
        <w:tc>
          <w:tcPr>
            <w:tcW w:w="5461" w:type="dxa"/>
            <w:vAlign w:val="center"/>
          </w:tcPr>
          <w:p w14:paraId="489F1F5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本项目用水采用市政管网供水。</w:t>
            </w:r>
          </w:p>
        </w:tc>
        <w:tc>
          <w:tcPr>
            <w:tcW w:w="720" w:type="dxa"/>
            <w:vAlign w:val="center"/>
          </w:tcPr>
          <w:p w14:paraId="363EB5A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依托</w:t>
            </w:r>
          </w:p>
        </w:tc>
      </w:tr>
      <w:tr w14:paraId="6B295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Merge w:val="continue"/>
            <w:vAlign w:val="center"/>
          </w:tcPr>
          <w:p w14:paraId="0AEEC30A">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576" w:type="dxa"/>
            <w:vMerge w:val="restart"/>
            <w:vAlign w:val="center"/>
          </w:tcPr>
          <w:p w14:paraId="7809A9C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排水系统</w:t>
            </w:r>
          </w:p>
        </w:tc>
        <w:tc>
          <w:tcPr>
            <w:tcW w:w="5461" w:type="dxa"/>
            <w:vAlign w:val="center"/>
          </w:tcPr>
          <w:p w14:paraId="3B6B049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本项目的废水经收集后，进入厂内污水处理站预处理达标后，进入回用水池，回用于清洗消毒，不外排。</w:t>
            </w:r>
          </w:p>
        </w:tc>
        <w:tc>
          <w:tcPr>
            <w:tcW w:w="720" w:type="dxa"/>
            <w:vAlign w:val="center"/>
          </w:tcPr>
          <w:p w14:paraId="758F50B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依托</w:t>
            </w:r>
          </w:p>
        </w:tc>
      </w:tr>
      <w:tr w14:paraId="49053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Merge w:val="continue"/>
            <w:vAlign w:val="center"/>
          </w:tcPr>
          <w:p w14:paraId="3F6F096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576" w:type="dxa"/>
            <w:vMerge w:val="continue"/>
            <w:vAlign w:val="center"/>
          </w:tcPr>
          <w:p w14:paraId="765ACC66">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5461" w:type="dxa"/>
            <w:vAlign w:val="center"/>
          </w:tcPr>
          <w:p w14:paraId="6D1C56A7">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本项目排水采用雨污分流制，本项目将新建一个初期雨水收集池，洁净雨水经雨水管网排出厂外。</w:t>
            </w:r>
          </w:p>
        </w:tc>
        <w:tc>
          <w:tcPr>
            <w:tcW w:w="720" w:type="dxa"/>
            <w:vAlign w:val="center"/>
          </w:tcPr>
          <w:p w14:paraId="3E68A9F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新建</w:t>
            </w:r>
          </w:p>
        </w:tc>
      </w:tr>
      <w:tr w14:paraId="228C1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Merge w:val="continue"/>
            <w:vAlign w:val="center"/>
          </w:tcPr>
          <w:p w14:paraId="6DD4EC2C">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576" w:type="dxa"/>
            <w:vAlign w:val="center"/>
          </w:tcPr>
          <w:p w14:paraId="55DE237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供电系统</w:t>
            </w:r>
          </w:p>
        </w:tc>
        <w:tc>
          <w:tcPr>
            <w:tcW w:w="5461" w:type="dxa"/>
            <w:vAlign w:val="center"/>
          </w:tcPr>
          <w:p w14:paraId="2348329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本项目用电由国家电网提供电能。</w:t>
            </w:r>
          </w:p>
        </w:tc>
        <w:tc>
          <w:tcPr>
            <w:tcW w:w="720" w:type="dxa"/>
            <w:vAlign w:val="center"/>
          </w:tcPr>
          <w:p w14:paraId="218B5A6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依托</w:t>
            </w:r>
          </w:p>
        </w:tc>
      </w:tr>
      <w:tr w14:paraId="3D20B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Merge w:val="restart"/>
            <w:vAlign w:val="center"/>
          </w:tcPr>
          <w:p w14:paraId="7E9E636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环保工程</w:t>
            </w:r>
          </w:p>
        </w:tc>
        <w:tc>
          <w:tcPr>
            <w:tcW w:w="1576" w:type="dxa"/>
            <w:vAlign w:val="center"/>
          </w:tcPr>
          <w:p w14:paraId="0BDE0B2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污水处理站</w:t>
            </w:r>
          </w:p>
        </w:tc>
        <w:tc>
          <w:tcPr>
            <w:tcW w:w="5461" w:type="dxa"/>
            <w:vAlign w:val="center"/>
          </w:tcPr>
          <w:p w14:paraId="01897A6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本项目依托现有的污水处理站对废水进行处理；生产废水经“调节池+预处理（沉淀）</w:t>
            </w:r>
            <w:r>
              <w:rPr>
                <w:rFonts w:hint="default" w:ascii="Times New Roman" w:hAnsi="Times New Roman" w:cs="Times New Roman" w:eastAsiaTheme="minorEastAsia"/>
                <w:szCs w:val="21"/>
                <w:lang w:val="en-US" w:eastAsia="zh-CN"/>
              </w:rPr>
              <w:t>+MBR+DTRO</w:t>
            </w:r>
            <w:r>
              <w:rPr>
                <w:rFonts w:hint="eastAsia" w:ascii="Times New Roman" w:hAnsi="Times New Roman" w:cs="Times New Roman" w:eastAsiaTheme="minorEastAsia"/>
                <w:szCs w:val="21"/>
                <w:lang w:val="en-US" w:eastAsia="zh-CN"/>
              </w:rPr>
              <w:t>+接触池（次氯酸钠消毒）”的工艺处理后，进入回用水池，进入回用水池，回用于清洗消毒，不外排。</w:t>
            </w:r>
          </w:p>
        </w:tc>
        <w:tc>
          <w:tcPr>
            <w:tcW w:w="720" w:type="dxa"/>
            <w:vAlign w:val="center"/>
          </w:tcPr>
          <w:p w14:paraId="76CA4A8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依托</w:t>
            </w:r>
          </w:p>
        </w:tc>
      </w:tr>
      <w:tr w14:paraId="4A39D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Merge w:val="continue"/>
            <w:vAlign w:val="center"/>
          </w:tcPr>
          <w:p w14:paraId="6497B8C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576" w:type="dxa"/>
            <w:vAlign w:val="center"/>
          </w:tcPr>
          <w:p w14:paraId="5978530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化粪池</w:t>
            </w:r>
          </w:p>
        </w:tc>
        <w:tc>
          <w:tcPr>
            <w:tcW w:w="5461" w:type="dxa"/>
            <w:vAlign w:val="center"/>
          </w:tcPr>
          <w:p w14:paraId="0773A1E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员工生活污水依托现有的容积为</w:t>
            </w:r>
            <w:r>
              <w:rPr>
                <w:rFonts w:hint="default" w:ascii="Times New Roman" w:hAnsi="Times New Roman" w:cs="Times New Roman" w:eastAsiaTheme="minorEastAsia"/>
                <w:szCs w:val="21"/>
                <w:lang w:val="en-US" w:eastAsia="zh-CN"/>
              </w:rPr>
              <w:t>1.5m</w:t>
            </w:r>
            <w:r>
              <w:rPr>
                <w:rFonts w:hint="eastAsia" w:ascii="Times New Roman" w:hAnsi="Times New Roman" w:cs="Times New Roman" w:eastAsiaTheme="minorEastAsia"/>
                <w:szCs w:val="21"/>
                <w:vertAlign w:val="superscript"/>
                <w:lang w:val="en-US" w:eastAsia="zh-CN"/>
              </w:rPr>
              <w:t>3</w:t>
            </w:r>
            <w:r>
              <w:rPr>
                <w:rFonts w:hint="eastAsia" w:ascii="Times New Roman" w:hAnsi="Times New Roman" w:cs="Times New Roman" w:eastAsiaTheme="minorEastAsia"/>
                <w:szCs w:val="21"/>
                <w:lang w:val="en-US" w:eastAsia="zh-CN"/>
              </w:rPr>
              <w:t>的化粪池收集后，</w:t>
            </w:r>
            <w:r>
              <w:rPr>
                <w:rFonts w:hint="eastAsia" w:ascii="Times New Roman" w:hAnsi="Times New Roman" w:cs="Times New Roman"/>
                <w:szCs w:val="21"/>
                <w:lang w:val="en-US" w:eastAsia="zh-CN"/>
              </w:rPr>
              <w:t>通过下水管网排入园区污水处理厂</w:t>
            </w:r>
            <w:r>
              <w:rPr>
                <w:rFonts w:hint="eastAsia" w:ascii="Times New Roman" w:hAnsi="Times New Roman" w:cs="Times New Roman" w:eastAsiaTheme="minorEastAsia"/>
                <w:szCs w:val="21"/>
                <w:lang w:val="en-US" w:eastAsia="zh-CN"/>
              </w:rPr>
              <w:t>。</w:t>
            </w:r>
          </w:p>
        </w:tc>
        <w:tc>
          <w:tcPr>
            <w:tcW w:w="720" w:type="dxa"/>
            <w:vAlign w:val="center"/>
          </w:tcPr>
          <w:p w14:paraId="44D40E2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依托</w:t>
            </w:r>
          </w:p>
        </w:tc>
      </w:tr>
      <w:tr w14:paraId="18523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5" w:type="dxa"/>
            <w:vMerge w:val="continue"/>
            <w:vAlign w:val="center"/>
          </w:tcPr>
          <w:p w14:paraId="6920B6C3">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576" w:type="dxa"/>
            <w:vAlign w:val="center"/>
          </w:tcPr>
          <w:p w14:paraId="4827161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事故池</w:t>
            </w:r>
          </w:p>
        </w:tc>
        <w:tc>
          <w:tcPr>
            <w:tcW w:w="5461" w:type="dxa"/>
            <w:vAlign w:val="center"/>
          </w:tcPr>
          <w:p w14:paraId="12F9ACE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依托现有的容积为</w:t>
            </w:r>
            <w:r>
              <w:rPr>
                <w:rFonts w:hint="default" w:ascii="Times New Roman" w:hAnsi="Times New Roman" w:cs="Times New Roman" w:eastAsiaTheme="minorEastAsia"/>
                <w:szCs w:val="21"/>
                <w:lang w:val="en-US" w:eastAsia="zh-CN"/>
              </w:rPr>
              <w:t>60m</w:t>
            </w:r>
            <w:r>
              <w:rPr>
                <w:rFonts w:hint="eastAsia" w:ascii="Times New Roman" w:hAnsi="Times New Roman" w:cs="Times New Roman" w:eastAsiaTheme="minorEastAsia"/>
                <w:szCs w:val="21"/>
                <w:vertAlign w:val="superscript"/>
                <w:lang w:val="en-US" w:eastAsia="zh-CN"/>
              </w:rPr>
              <w:t>3</w:t>
            </w:r>
            <w:r>
              <w:rPr>
                <w:rFonts w:hint="eastAsia" w:ascii="Times New Roman" w:hAnsi="Times New Roman" w:cs="Times New Roman" w:eastAsiaTheme="minorEastAsia"/>
                <w:szCs w:val="21"/>
                <w:lang w:val="en-US" w:eastAsia="zh-CN"/>
              </w:rPr>
              <w:t>的事故池。</w:t>
            </w:r>
          </w:p>
        </w:tc>
        <w:tc>
          <w:tcPr>
            <w:tcW w:w="720" w:type="dxa"/>
            <w:vAlign w:val="center"/>
          </w:tcPr>
          <w:p w14:paraId="0BA09EB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依托</w:t>
            </w:r>
          </w:p>
        </w:tc>
      </w:tr>
      <w:tr w14:paraId="0BA6F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Merge w:val="continue"/>
            <w:vAlign w:val="center"/>
          </w:tcPr>
          <w:p w14:paraId="0760DEF7">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576" w:type="dxa"/>
            <w:vAlign w:val="center"/>
          </w:tcPr>
          <w:p w14:paraId="082EDE3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废气治理</w:t>
            </w:r>
          </w:p>
        </w:tc>
        <w:tc>
          <w:tcPr>
            <w:tcW w:w="5461" w:type="dxa"/>
            <w:vAlign w:val="center"/>
          </w:tcPr>
          <w:p w14:paraId="7F0BEA80">
            <w:pPr>
              <w:rPr>
                <w:rFonts w:hint="default" w:ascii="Times New Roman" w:hAnsi="Times New Roman" w:cs="Times New Roman" w:eastAsiaTheme="minorEastAsia"/>
                <w:szCs w:val="21"/>
                <w:highlight w:val="none"/>
                <w:lang w:val="en-US" w:eastAsia="zh-CN"/>
              </w:rPr>
            </w:pPr>
            <w:r>
              <w:rPr>
                <w:rFonts w:hint="eastAsia"/>
                <w:sz w:val="21"/>
                <w:szCs w:val="21"/>
                <w:highlight w:val="none"/>
                <w:lang w:eastAsia="zh-CN"/>
              </w:rPr>
              <w:t>“</w:t>
            </w:r>
            <w:r>
              <w:rPr>
                <w:rFonts w:hint="eastAsia"/>
                <w:sz w:val="21"/>
                <w:szCs w:val="21"/>
                <w:highlight w:val="none"/>
                <w:lang w:val="en-US" w:eastAsia="zh-CN"/>
              </w:rPr>
              <w:t>3T+E</w:t>
            </w:r>
            <w:r>
              <w:rPr>
                <w:rFonts w:hint="eastAsia"/>
                <w:sz w:val="21"/>
                <w:szCs w:val="21"/>
                <w:highlight w:val="none"/>
                <w:lang w:eastAsia="zh-CN"/>
              </w:rPr>
              <w:t>”</w:t>
            </w:r>
            <w:r>
              <w:rPr>
                <w:rFonts w:hint="eastAsia"/>
                <w:sz w:val="21"/>
                <w:szCs w:val="21"/>
                <w:highlight w:val="none"/>
                <w:lang w:val="en-US" w:eastAsia="zh-CN"/>
              </w:rPr>
              <w:t>燃烧控制+</w:t>
            </w:r>
            <w:r>
              <w:rPr>
                <w:rFonts w:hint="eastAsia"/>
                <w:sz w:val="21"/>
                <w:szCs w:val="21"/>
                <w:highlight w:val="none"/>
              </w:rPr>
              <w:t>SNCR脱硝+</w:t>
            </w:r>
            <w:r>
              <w:rPr>
                <w:rFonts w:hint="eastAsia"/>
                <w:sz w:val="21"/>
                <w:szCs w:val="21"/>
                <w:highlight w:val="none"/>
                <w:lang w:val="en-US" w:eastAsia="zh-CN"/>
              </w:rPr>
              <w:t>旋风除尘+</w:t>
            </w:r>
            <w:r>
              <w:rPr>
                <w:rFonts w:hint="eastAsia"/>
                <w:sz w:val="21"/>
                <w:szCs w:val="21"/>
                <w:highlight w:val="none"/>
              </w:rPr>
              <w:t>急冷塔+干法脱酸（消石灰喷射）+活性炭喷射+布袋除尘器+湿法喷淋脱酸（5%氢氧化钠）</w:t>
            </w:r>
          </w:p>
        </w:tc>
        <w:tc>
          <w:tcPr>
            <w:tcW w:w="720" w:type="dxa"/>
            <w:vAlign w:val="center"/>
          </w:tcPr>
          <w:p w14:paraId="5799621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新建</w:t>
            </w:r>
          </w:p>
        </w:tc>
      </w:tr>
      <w:tr w14:paraId="420C8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Merge w:val="continue"/>
            <w:vAlign w:val="center"/>
          </w:tcPr>
          <w:p w14:paraId="73C844B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576" w:type="dxa"/>
            <w:vAlign w:val="center"/>
          </w:tcPr>
          <w:p w14:paraId="370B102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噪声</w:t>
            </w:r>
          </w:p>
        </w:tc>
        <w:tc>
          <w:tcPr>
            <w:tcW w:w="5461" w:type="dxa"/>
            <w:vAlign w:val="center"/>
          </w:tcPr>
          <w:p w14:paraId="37658C4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本项目采取选用低噪声设备，采取基础减振、建筑隔声、距离衰减等措施处理。</w:t>
            </w:r>
          </w:p>
        </w:tc>
        <w:tc>
          <w:tcPr>
            <w:tcW w:w="720" w:type="dxa"/>
            <w:vAlign w:val="center"/>
          </w:tcPr>
          <w:p w14:paraId="5416224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依托</w:t>
            </w:r>
          </w:p>
        </w:tc>
      </w:tr>
      <w:tr w14:paraId="3A4D1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Merge w:val="continue"/>
            <w:vAlign w:val="center"/>
          </w:tcPr>
          <w:p w14:paraId="6794B21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576" w:type="dxa"/>
            <w:vAlign w:val="center"/>
          </w:tcPr>
          <w:p w14:paraId="51443F6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一般固体废物</w:t>
            </w:r>
          </w:p>
        </w:tc>
        <w:tc>
          <w:tcPr>
            <w:tcW w:w="5461" w:type="dxa"/>
            <w:vAlign w:val="center"/>
          </w:tcPr>
          <w:p w14:paraId="43D1056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项目产生的一般固废依托现有一般固废暂存间，占地约20m</w:t>
            </w:r>
            <w:r>
              <w:rPr>
                <w:rFonts w:hint="eastAsia" w:ascii="Times New Roman" w:hAnsi="Times New Roman" w:cs="Times New Roman" w:eastAsiaTheme="minorEastAsia"/>
                <w:szCs w:val="21"/>
                <w:vertAlign w:val="superscript"/>
                <w:lang w:val="en-US" w:eastAsia="zh-CN"/>
              </w:rPr>
              <w:t>2</w:t>
            </w:r>
            <w:r>
              <w:rPr>
                <w:rFonts w:hint="eastAsia" w:ascii="Times New Roman" w:hAnsi="Times New Roman" w:cs="Times New Roman" w:eastAsiaTheme="minorEastAsia"/>
                <w:szCs w:val="21"/>
                <w:lang w:val="en-US" w:eastAsia="zh-CN"/>
              </w:rPr>
              <w:t>。</w:t>
            </w:r>
          </w:p>
        </w:tc>
        <w:tc>
          <w:tcPr>
            <w:tcW w:w="720" w:type="dxa"/>
            <w:vAlign w:val="center"/>
          </w:tcPr>
          <w:p w14:paraId="0854B73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依托</w:t>
            </w:r>
          </w:p>
        </w:tc>
      </w:tr>
      <w:tr w14:paraId="40B2B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Merge w:val="continue"/>
            <w:vAlign w:val="center"/>
          </w:tcPr>
          <w:p w14:paraId="06B62CA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576" w:type="dxa"/>
            <w:shd w:val="clear" w:color="auto" w:fill="auto"/>
            <w:vAlign w:val="center"/>
          </w:tcPr>
          <w:p w14:paraId="04607ECB">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炉渣间</w:t>
            </w:r>
          </w:p>
        </w:tc>
        <w:tc>
          <w:tcPr>
            <w:tcW w:w="5461" w:type="dxa"/>
            <w:shd w:val="clear" w:color="auto" w:fill="auto"/>
            <w:vAlign w:val="center"/>
          </w:tcPr>
          <w:p w14:paraId="41435C02">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新建一座炉渣间，用于存放炉渣，炉渣间面积30m</w:t>
            </w:r>
            <w:r>
              <w:rPr>
                <w:rFonts w:hint="eastAsia" w:ascii="Times New Roman" w:hAnsi="Times New Roman" w:cs="Times New Roman"/>
                <w:szCs w:val="21"/>
                <w:vertAlign w:val="superscript"/>
                <w:lang w:val="en-US" w:eastAsia="zh-CN"/>
              </w:rPr>
              <w:t>2</w:t>
            </w:r>
            <w:r>
              <w:rPr>
                <w:rFonts w:hint="eastAsia" w:ascii="Times New Roman" w:hAnsi="Times New Roman" w:cs="Times New Roman"/>
                <w:szCs w:val="21"/>
                <w:lang w:val="en-US" w:eastAsia="zh-CN"/>
              </w:rPr>
              <w:t>。</w:t>
            </w:r>
          </w:p>
        </w:tc>
        <w:tc>
          <w:tcPr>
            <w:tcW w:w="720" w:type="dxa"/>
            <w:vAlign w:val="center"/>
          </w:tcPr>
          <w:p w14:paraId="71B95C0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新建</w:t>
            </w:r>
          </w:p>
        </w:tc>
      </w:tr>
      <w:tr w14:paraId="28EA8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Merge w:val="continue"/>
            <w:vAlign w:val="center"/>
          </w:tcPr>
          <w:p w14:paraId="4DED09F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576" w:type="dxa"/>
            <w:vAlign w:val="center"/>
          </w:tcPr>
          <w:p w14:paraId="61756EE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危险废物</w:t>
            </w:r>
          </w:p>
        </w:tc>
        <w:tc>
          <w:tcPr>
            <w:tcW w:w="5461" w:type="dxa"/>
            <w:vAlign w:val="center"/>
          </w:tcPr>
          <w:p w14:paraId="3278D2D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本项目将再扩建一间危险废物暂存</w:t>
            </w:r>
            <w:r>
              <w:rPr>
                <w:rFonts w:hint="eastAsia" w:ascii="Times New Roman" w:hAnsi="Times New Roman" w:cs="Times New Roman"/>
                <w:szCs w:val="21"/>
                <w:highlight w:val="none"/>
                <w:lang w:val="en-US" w:eastAsia="zh-CN"/>
              </w:rPr>
              <w:t>库</w:t>
            </w:r>
            <w:r>
              <w:rPr>
                <w:rFonts w:hint="eastAsia" w:ascii="Times New Roman" w:hAnsi="Times New Roman" w:cs="Times New Roman" w:eastAsiaTheme="minorEastAsia"/>
                <w:szCs w:val="21"/>
                <w:highlight w:val="none"/>
                <w:lang w:val="en-US" w:eastAsia="zh-CN"/>
              </w:rPr>
              <w:t>，占地面积</w:t>
            </w:r>
            <w:r>
              <w:rPr>
                <w:rFonts w:hint="eastAsia" w:ascii="Times New Roman" w:hAnsi="Times New Roman" w:cs="Times New Roman"/>
                <w:szCs w:val="21"/>
                <w:highlight w:val="none"/>
                <w:lang w:val="en-US" w:eastAsia="zh-CN"/>
              </w:rPr>
              <w:t>30</w:t>
            </w:r>
            <w:r>
              <w:rPr>
                <w:rFonts w:hint="default" w:ascii="Times New Roman" w:hAnsi="Times New Roman" w:cs="Times New Roman" w:eastAsiaTheme="minorEastAsia"/>
                <w:szCs w:val="21"/>
                <w:highlight w:val="none"/>
                <w:lang w:val="en-US" w:eastAsia="zh-CN"/>
              </w:rPr>
              <w:t>m</w:t>
            </w:r>
            <w:r>
              <w:rPr>
                <w:rFonts w:hint="eastAsia" w:ascii="Times New Roman" w:hAnsi="Times New Roman" w:cs="Times New Roman" w:eastAsiaTheme="minorEastAsia"/>
                <w:szCs w:val="21"/>
                <w:highlight w:val="none"/>
                <w:vertAlign w:val="superscript"/>
                <w:lang w:val="en-US" w:eastAsia="zh-CN"/>
              </w:rPr>
              <w:t>2</w:t>
            </w:r>
            <w:r>
              <w:rPr>
                <w:rFonts w:hint="eastAsia" w:ascii="Times New Roman" w:hAnsi="Times New Roman" w:cs="Times New Roman" w:eastAsiaTheme="minorEastAsia"/>
                <w:szCs w:val="21"/>
                <w:highlight w:val="none"/>
                <w:lang w:val="en-US" w:eastAsia="zh-CN"/>
              </w:rPr>
              <w:t>，用于暂存建设单位产生的废活性炭、废滤芯、废周转箱和污泥。医疗废物则依托现有的</w:t>
            </w:r>
            <w:r>
              <w:rPr>
                <w:rFonts w:hint="eastAsia" w:ascii="Times New Roman" w:hAnsi="Times New Roman" w:cs="Times New Roman"/>
                <w:szCs w:val="21"/>
                <w:highlight w:val="none"/>
                <w:lang w:val="en-US" w:eastAsia="zh-CN"/>
              </w:rPr>
              <w:t>冷藏库（医废暂存库）</w:t>
            </w:r>
            <w:r>
              <w:rPr>
                <w:rFonts w:hint="eastAsia" w:ascii="Times New Roman" w:hAnsi="Times New Roman" w:cs="Times New Roman" w:eastAsiaTheme="minorEastAsia"/>
                <w:szCs w:val="21"/>
                <w:highlight w:val="none"/>
                <w:lang w:val="en-US" w:eastAsia="zh-CN"/>
              </w:rPr>
              <w:t>进行暂存。</w:t>
            </w:r>
          </w:p>
        </w:tc>
        <w:tc>
          <w:tcPr>
            <w:tcW w:w="720" w:type="dxa"/>
            <w:vAlign w:val="center"/>
          </w:tcPr>
          <w:p w14:paraId="68ACDD1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扩建</w:t>
            </w:r>
          </w:p>
        </w:tc>
      </w:tr>
    </w:tbl>
    <w:p w14:paraId="064B8D22">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38" w:name="_Toc8293"/>
      <w:r>
        <w:rPr>
          <w:rFonts w:hint="eastAsia" w:ascii="Times New Roman" w:hAnsi="Times New Roman" w:cs="Times New Roman" w:eastAsiaTheme="minorEastAsia"/>
          <w:kern w:val="0"/>
          <w:sz w:val="24"/>
          <w:szCs w:val="24"/>
          <w:lang w:val="en-US" w:eastAsia="zh-CN"/>
        </w:rPr>
        <w:t>3.2.3总平面布置</w:t>
      </w:r>
      <w:bookmarkEnd w:id="138"/>
    </w:p>
    <w:p w14:paraId="48C444B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建设单位厂区的人流和物流的出、入口已分开设置，医疗废物运输车辆的出入口和人员的出入口均位于临近东侧恒昌路的一侧，两个出入口距离约</w:t>
      </w:r>
      <w:r>
        <w:rPr>
          <w:rFonts w:hint="default" w:ascii="Times New Roman" w:hAnsi="Times New Roman" w:cs="Times New Roman" w:eastAsiaTheme="minorEastAsia"/>
          <w:sz w:val="24"/>
          <w:lang w:val="en-US" w:eastAsia="zh-CN"/>
        </w:rPr>
        <w:t>30</w:t>
      </w:r>
      <w:r>
        <w:rPr>
          <w:rFonts w:hint="eastAsia" w:ascii="Times New Roman" w:hAnsi="Times New Roman" w:cs="Times New Roman" w:eastAsiaTheme="minorEastAsia"/>
          <w:sz w:val="24"/>
          <w:lang w:val="en-US" w:eastAsia="zh-CN"/>
        </w:rPr>
        <w:t>米。建设单位要求医疗废物与人员不得共用一个出入口，避免产生过多的人流、物流交叉，防止出现交叉污染；建设单位的医疗废物处置车间等生产区和办公室等生活区均已划分开，项目平面布置图见附图3.2-2。</w:t>
      </w:r>
    </w:p>
    <w:p w14:paraId="1A03D539">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综上所述，本项目的平面布置是合理的。</w:t>
      </w:r>
    </w:p>
    <w:p w14:paraId="2EB6CDDF">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39" w:name="_Toc9182"/>
      <w:r>
        <w:rPr>
          <w:rFonts w:hint="eastAsia" w:ascii="Times New Roman" w:hAnsi="Times New Roman" w:cs="Times New Roman" w:eastAsiaTheme="minorEastAsia"/>
          <w:kern w:val="0"/>
          <w:sz w:val="24"/>
          <w:szCs w:val="24"/>
          <w:lang w:val="en-US" w:eastAsia="zh-CN"/>
        </w:rPr>
        <w:t>3.2.4主要设备及原辅材料</w:t>
      </w:r>
      <w:bookmarkEnd w:id="139"/>
    </w:p>
    <w:p w14:paraId="7C64EDF8">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（1）项目主要生产设备</w:t>
      </w:r>
    </w:p>
    <w:p w14:paraId="7160C49B">
      <w:pPr>
        <w:adjustRightInd w:val="0"/>
        <w:snapToGrid w:val="0"/>
        <w:spacing w:before="250"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表3.2-2  本项目主要设备一览表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1773"/>
        <w:gridCol w:w="4445"/>
        <w:gridCol w:w="805"/>
        <w:gridCol w:w="788"/>
      </w:tblGrid>
      <w:tr w14:paraId="6180F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center"/>
          </w:tcPr>
          <w:p w14:paraId="7486CE1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序号</w:t>
            </w:r>
          </w:p>
        </w:tc>
        <w:tc>
          <w:tcPr>
            <w:tcW w:w="1773" w:type="dxa"/>
            <w:vAlign w:val="center"/>
          </w:tcPr>
          <w:p w14:paraId="608607A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设备名称</w:t>
            </w:r>
          </w:p>
        </w:tc>
        <w:tc>
          <w:tcPr>
            <w:tcW w:w="4445" w:type="dxa"/>
            <w:vAlign w:val="center"/>
          </w:tcPr>
          <w:p w14:paraId="7C183C6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设备规格</w:t>
            </w:r>
          </w:p>
        </w:tc>
        <w:tc>
          <w:tcPr>
            <w:tcW w:w="805" w:type="dxa"/>
            <w:vAlign w:val="center"/>
          </w:tcPr>
          <w:p w14:paraId="44A65E8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数量</w:t>
            </w:r>
          </w:p>
        </w:tc>
        <w:tc>
          <w:tcPr>
            <w:tcW w:w="788" w:type="dxa"/>
            <w:vAlign w:val="center"/>
          </w:tcPr>
          <w:p w14:paraId="08C313C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单位</w:t>
            </w:r>
          </w:p>
        </w:tc>
      </w:tr>
      <w:tr w14:paraId="177FC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vAlign w:val="center"/>
          </w:tcPr>
          <w:p w14:paraId="5746EC0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进料系统</w:t>
            </w:r>
          </w:p>
        </w:tc>
      </w:tr>
      <w:tr w14:paraId="2FF62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center"/>
          </w:tcPr>
          <w:p w14:paraId="2757733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1773" w:type="dxa"/>
            <w:vAlign w:val="center"/>
          </w:tcPr>
          <w:p w14:paraId="79A1E50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废液泵</w:t>
            </w:r>
          </w:p>
        </w:tc>
        <w:tc>
          <w:tcPr>
            <w:tcW w:w="4445" w:type="dxa"/>
            <w:vAlign w:val="center"/>
          </w:tcPr>
          <w:p w14:paraId="2013065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材质：316L，一用一备，流量：1m</w:t>
            </w:r>
            <w:r>
              <w:rPr>
                <w:rFonts w:hint="default" w:ascii="Times New Roman" w:hAnsi="Times New Roman" w:cs="Times New Roman" w:eastAsiaTheme="minorEastAsia"/>
                <w:szCs w:val="21"/>
                <w:highlight w:val="none"/>
                <w:vertAlign w:val="superscript"/>
                <w:lang w:val="en-US" w:eastAsia="zh-CN"/>
              </w:rPr>
              <w:t>3</w:t>
            </w:r>
            <w:r>
              <w:rPr>
                <w:rFonts w:hint="default" w:ascii="Times New Roman" w:hAnsi="Times New Roman" w:cs="Times New Roman" w:eastAsiaTheme="minorEastAsia"/>
                <w:szCs w:val="21"/>
                <w:highlight w:val="none"/>
                <w:lang w:val="en-US" w:eastAsia="zh-CN"/>
              </w:rPr>
              <w:t>/h，扬程：49m，功率：0.55kW</w:t>
            </w:r>
          </w:p>
        </w:tc>
        <w:tc>
          <w:tcPr>
            <w:tcW w:w="805" w:type="dxa"/>
            <w:vAlign w:val="center"/>
          </w:tcPr>
          <w:p w14:paraId="0C5143B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2</w:t>
            </w:r>
          </w:p>
        </w:tc>
        <w:tc>
          <w:tcPr>
            <w:tcW w:w="788" w:type="dxa"/>
            <w:vAlign w:val="center"/>
          </w:tcPr>
          <w:p w14:paraId="0F36A55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台</w:t>
            </w:r>
          </w:p>
        </w:tc>
      </w:tr>
      <w:tr w14:paraId="78841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center"/>
          </w:tcPr>
          <w:p w14:paraId="3A65C8D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2</w:t>
            </w:r>
          </w:p>
        </w:tc>
        <w:tc>
          <w:tcPr>
            <w:tcW w:w="1773" w:type="dxa"/>
            <w:vAlign w:val="center"/>
          </w:tcPr>
          <w:p w14:paraId="3BB1255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废液雾化喷枪</w:t>
            </w:r>
          </w:p>
        </w:tc>
        <w:tc>
          <w:tcPr>
            <w:tcW w:w="4445" w:type="dxa"/>
            <w:vAlign w:val="center"/>
          </w:tcPr>
          <w:p w14:paraId="6D86B7E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枪头材质：哈氏合金，枪身材质：316L，雾化量：100—500kg/h，低压雾化型，一用一备</w:t>
            </w:r>
          </w:p>
        </w:tc>
        <w:tc>
          <w:tcPr>
            <w:tcW w:w="805" w:type="dxa"/>
            <w:vAlign w:val="center"/>
          </w:tcPr>
          <w:p w14:paraId="154E3F1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788" w:type="dxa"/>
            <w:vAlign w:val="center"/>
          </w:tcPr>
          <w:p w14:paraId="5DBA7DA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套</w:t>
            </w:r>
          </w:p>
        </w:tc>
      </w:tr>
      <w:tr w14:paraId="6C40E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vAlign w:val="center"/>
          </w:tcPr>
          <w:p w14:paraId="45DF533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焚烧系统</w:t>
            </w:r>
          </w:p>
        </w:tc>
      </w:tr>
      <w:tr w14:paraId="0ADB2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center"/>
          </w:tcPr>
          <w:p w14:paraId="70792BD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1773" w:type="dxa"/>
            <w:vAlign w:val="center"/>
          </w:tcPr>
          <w:p w14:paraId="2346F15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一燃室</w:t>
            </w:r>
          </w:p>
        </w:tc>
        <w:tc>
          <w:tcPr>
            <w:tcW w:w="4445" w:type="dxa"/>
            <w:vAlign w:val="center"/>
          </w:tcPr>
          <w:p w14:paraId="32C774F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钢板材质：Q345R，钢板厚度：8mm，</w:t>
            </w:r>
            <w:r>
              <w:rPr>
                <w:rFonts w:hint="default" w:ascii="Times New Roman" w:hAnsi="Times New Roman" w:cs="Times New Roman" w:eastAsiaTheme="minorEastAsia"/>
                <w:szCs w:val="21"/>
                <w:highlight w:val="none"/>
                <w:lang w:val="en-US" w:eastAsia="zh-CN"/>
              </w:rPr>
              <w:br w:type="textWrapping"/>
            </w:r>
            <w:r>
              <w:rPr>
                <w:rFonts w:hint="default" w:ascii="Times New Roman" w:hAnsi="Times New Roman" w:cs="Times New Roman" w:eastAsiaTheme="minorEastAsia"/>
                <w:szCs w:val="21"/>
                <w:highlight w:val="none"/>
                <w:lang w:val="en-US" w:eastAsia="zh-CN"/>
              </w:rPr>
              <w:t>耐火材料：高铝质耐火材料+轻质保温材料，厚度250mm，附检修门、观火口等</w:t>
            </w:r>
            <w:r>
              <w:rPr>
                <w:rFonts w:hint="eastAsia" w:ascii="Times New Roman" w:hAnsi="Times New Roman" w:cs="Times New Roman"/>
                <w:szCs w:val="21"/>
                <w:highlight w:val="none"/>
                <w:lang w:val="en-US" w:eastAsia="zh-CN"/>
              </w:rPr>
              <w:t>，容积约1.3m</w:t>
            </w:r>
            <w:r>
              <w:rPr>
                <w:rFonts w:hint="eastAsia" w:ascii="Times New Roman" w:hAnsi="Times New Roman" w:cs="Times New Roman"/>
                <w:szCs w:val="21"/>
                <w:highlight w:val="none"/>
                <w:vertAlign w:val="superscript"/>
                <w:lang w:val="en-US" w:eastAsia="zh-CN"/>
              </w:rPr>
              <w:t>3</w:t>
            </w:r>
          </w:p>
        </w:tc>
        <w:tc>
          <w:tcPr>
            <w:tcW w:w="805" w:type="dxa"/>
            <w:vAlign w:val="center"/>
          </w:tcPr>
          <w:p w14:paraId="4214437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788" w:type="dxa"/>
            <w:vAlign w:val="center"/>
          </w:tcPr>
          <w:p w14:paraId="0630A34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套</w:t>
            </w:r>
          </w:p>
        </w:tc>
      </w:tr>
      <w:tr w14:paraId="057B2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center"/>
          </w:tcPr>
          <w:p w14:paraId="5D98C81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2</w:t>
            </w:r>
          </w:p>
        </w:tc>
        <w:tc>
          <w:tcPr>
            <w:tcW w:w="1773" w:type="dxa"/>
            <w:vAlign w:val="center"/>
          </w:tcPr>
          <w:p w14:paraId="08FDA9E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二次室</w:t>
            </w:r>
          </w:p>
        </w:tc>
        <w:tc>
          <w:tcPr>
            <w:tcW w:w="4445" w:type="dxa"/>
            <w:vAlign w:val="center"/>
          </w:tcPr>
          <w:p w14:paraId="52FB874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钢板材质：Q345R，钢板厚度：8mm，</w:t>
            </w:r>
            <w:r>
              <w:rPr>
                <w:rFonts w:hint="default" w:ascii="Times New Roman" w:hAnsi="Times New Roman" w:cs="Times New Roman" w:eastAsiaTheme="minorEastAsia"/>
                <w:szCs w:val="21"/>
                <w:highlight w:val="none"/>
                <w:lang w:val="en-US" w:eastAsia="zh-CN"/>
              </w:rPr>
              <w:br w:type="textWrapping"/>
            </w:r>
            <w:r>
              <w:rPr>
                <w:rFonts w:hint="default" w:ascii="Times New Roman" w:hAnsi="Times New Roman" w:cs="Times New Roman" w:eastAsiaTheme="minorEastAsia"/>
                <w:szCs w:val="21"/>
                <w:highlight w:val="none"/>
                <w:lang w:val="en-US" w:eastAsia="zh-CN"/>
              </w:rPr>
              <w:t>耐火材料：高铝质耐火材料+轻质保温材料，厚度250mm，附检修门、观火口等</w:t>
            </w:r>
          </w:p>
        </w:tc>
        <w:tc>
          <w:tcPr>
            <w:tcW w:w="805" w:type="dxa"/>
            <w:vAlign w:val="center"/>
          </w:tcPr>
          <w:p w14:paraId="77A1334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788" w:type="dxa"/>
            <w:vAlign w:val="center"/>
          </w:tcPr>
          <w:p w14:paraId="4757B85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套</w:t>
            </w:r>
          </w:p>
        </w:tc>
      </w:tr>
      <w:tr w14:paraId="01627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center"/>
          </w:tcPr>
          <w:p w14:paraId="6ABB13E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3</w:t>
            </w:r>
          </w:p>
        </w:tc>
        <w:tc>
          <w:tcPr>
            <w:tcW w:w="1773" w:type="dxa"/>
            <w:vAlign w:val="center"/>
          </w:tcPr>
          <w:p w14:paraId="7683299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燃烧器</w:t>
            </w:r>
          </w:p>
        </w:tc>
        <w:tc>
          <w:tcPr>
            <w:tcW w:w="4445" w:type="dxa"/>
            <w:vAlign w:val="center"/>
          </w:tcPr>
          <w:p w14:paraId="02D0710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燃料：柴油，出力：20万大卡</w:t>
            </w:r>
          </w:p>
        </w:tc>
        <w:tc>
          <w:tcPr>
            <w:tcW w:w="805" w:type="dxa"/>
            <w:vAlign w:val="center"/>
          </w:tcPr>
          <w:p w14:paraId="4EB58A9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2</w:t>
            </w:r>
          </w:p>
        </w:tc>
        <w:tc>
          <w:tcPr>
            <w:tcW w:w="788" w:type="dxa"/>
            <w:vAlign w:val="center"/>
          </w:tcPr>
          <w:p w14:paraId="1ABBB97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套</w:t>
            </w:r>
          </w:p>
        </w:tc>
      </w:tr>
      <w:tr w14:paraId="43BB2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center"/>
          </w:tcPr>
          <w:p w14:paraId="1415833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4</w:t>
            </w:r>
          </w:p>
        </w:tc>
        <w:tc>
          <w:tcPr>
            <w:tcW w:w="1773" w:type="dxa"/>
            <w:vAlign w:val="center"/>
          </w:tcPr>
          <w:p w14:paraId="7F0B4CF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补氧风机</w:t>
            </w:r>
          </w:p>
        </w:tc>
        <w:tc>
          <w:tcPr>
            <w:tcW w:w="4445" w:type="dxa"/>
            <w:vAlign w:val="center"/>
          </w:tcPr>
          <w:p w14:paraId="7EE91DE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Q=1052m</w:t>
            </w:r>
            <w:r>
              <w:rPr>
                <w:rFonts w:hint="default" w:ascii="Times New Roman" w:hAnsi="Times New Roman" w:cs="Times New Roman" w:eastAsiaTheme="minorEastAsia"/>
                <w:szCs w:val="21"/>
                <w:highlight w:val="none"/>
                <w:vertAlign w:val="superscript"/>
                <w:lang w:val="en-US" w:eastAsia="zh-CN"/>
              </w:rPr>
              <w:t>3</w:t>
            </w:r>
            <w:r>
              <w:rPr>
                <w:rFonts w:hint="default" w:ascii="Times New Roman" w:hAnsi="Times New Roman" w:cs="Times New Roman" w:eastAsiaTheme="minorEastAsia"/>
                <w:szCs w:val="21"/>
                <w:highlight w:val="none"/>
                <w:lang w:val="en-US" w:eastAsia="zh-CN"/>
              </w:rPr>
              <w:t>/h，H=3699Pa，电机3KW，材质碳钢，附软连接，带弹簧座减振器</w:t>
            </w:r>
          </w:p>
        </w:tc>
        <w:tc>
          <w:tcPr>
            <w:tcW w:w="805" w:type="dxa"/>
            <w:vAlign w:val="center"/>
          </w:tcPr>
          <w:p w14:paraId="299AD67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788" w:type="dxa"/>
            <w:vAlign w:val="center"/>
          </w:tcPr>
          <w:p w14:paraId="5D599E7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套</w:t>
            </w:r>
          </w:p>
        </w:tc>
      </w:tr>
      <w:tr w14:paraId="2565A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center"/>
          </w:tcPr>
          <w:p w14:paraId="3E6BFF1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5</w:t>
            </w:r>
          </w:p>
        </w:tc>
        <w:tc>
          <w:tcPr>
            <w:tcW w:w="1773" w:type="dxa"/>
            <w:vAlign w:val="center"/>
          </w:tcPr>
          <w:p w14:paraId="36BCF2C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高位油槽</w:t>
            </w:r>
          </w:p>
        </w:tc>
        <w:tc>
          <w:tcPr>
            <w:tcW w:w="4445" w:type="dxa"/>
            <w:vAlign w:val="center"/>
          </w:tcPr>
          <w:p w14:paraId="7F47988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容积：0.1m³，材质：Q235B</w:t>
            </w:r>
            <w:r>
              <w:rPr>
                <w:rFonts w:hint="default" w:ascii="Times New Roman" w:hAnsi="Times New Roman" w:cs="Times New Roman" w:eastAsiaTheme="minorEastAsia"/>
                <w:szCs w:val="21"/>
                <w:highlight w:val="none"/>
                <w:lang w:val="en-US" w:eastAsia="zh-CN"/>
              </w:rPr>
              <w:br w:type="textWrapping"/>
            </w:r>
            <w:r>
              <w:rPr>
                <w:rFonts w:hint="default" w:ascii="Times New Roman" w:hAnsi="Times New Roman" w:cs="Times New Roman" w:eastAsiaTheme="minorEastAsia"/>
                <w:szCs w:val="21"/>
                <w:highlight w:val="none"/>
                <w:lang w:val="en-US" w:eastAsia="zh-CN"/>
              </w:rPr>
              <w:t>附、爬梯、排污阀、进油口、管路、支架等</w:t>
            </w:r>
          </w:p>
        </w:tc>
        <w:tc>
          <w:tcPr>
            <w:tcW w:w="805" w:type="dxa"/>
            <w:vAlign w:val="center"/>
          </w:tcPr>
          <w:p w14:paraId="223C4AF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788" w:type="dxa"/>
            <w:vAlign w:val="center"/>
          </w:tcPr>
          <w:p w14:paraId="3148C3A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套</w:t>
            </w:r>
          </w:p>
        </w:tc>
      </w:tr>
      <w:tr w14:paraId="642B8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vAlign w:val="center"/>
          </w:tcPr>
          <w:p w14:paraId="4C179E1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脱硝系统</w:t>
            </w:r>
          </w:p>
        </w:tc>
      </w:tr>
      <w:tr w14:paraId="3A925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center"/>
          </w:tcPr>
          <w:p w14:paraId="48593B5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1773" w:type="dxa"/>
            <w:vAlign w:val="center"/>
          </w:tcPr>
          <w:p w14:paraId="611912B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尿素溶液储罐</w:t>
            </w:r>
          </w:p>
        </w:tc>
        <w:tc>
          <w:tcPr>
            <w:tcW w:w="4445" w:type="dxa"/>
            <w:vAlign w:val="center"/>
          </w:tcPr>
          <w:p w14:paraId="79C47BF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材质：PP，含液位计、搅拌器等，0.5m³</w:t>
            </w:r>
          </w:p>
        </w:tc>
        <w:tc>
          <w:tcPr>
            <w:tcW w:w="805" w:type="dxa"/>
            <w:vAlign w:val="center"/>
          </w:tcPr>
          <w:p w14:paraId="1FA3C5E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788" w:type="dxa"/>
            <w:vAlign w:val="center"/>
          </w:tcPr>
          <w:p w14:paraId="7F351FA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套</w:t>
            </w:r>
          </w:p>
        </w:tc>
      </w:tr>
      <w:tr w14:paraId="14975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center"/>
          </w:tcPr>
          <w:p w14:paraId="15A3363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2</w:t>
            </w:r>
          </w:p>
        </w:tc>
        <w:tc>
          <w:tcPr>
            <w:tcW w:w="1773" w:type="dxa"/>
            <w:vAlign w:val="center"/>
          </w:tcPr>
          <w:p w14:paraId="42F04CB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尿素泵</w:t>
            </w:r>
          </w:p>
        </w:tc>
        <w:tc>
          <w:tcPr>
            <w:tcW w:w="4445" w:type="dxa"/>
            <w:vAlign w:val="center"/>
          </w:tcPr>
          <w:p w14:paraId="0E38D3E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材质：304，一用一备，流量：1m</w:t>
            </w:r>
            <w:r>
              <w:rPr>
                <w:rFonts w:hint="default" w:ascii="Times New Roman" w:hAnsi="Times New Roman" w:cs="Times New Roman" w:eastAsiaTheme="minorEastAsia"/>
                <w:szCs w:val="21"/>
                <w:highlight w:val="none"/>
                <w:vertAlign w:val="superscript"/>
                <w:lang w:val="en-US" w:eastAsia="zh-CN"/>
              </w:rPr>
              <w:t>3</w:t>
            </w:r>
            <w:r>
              <w:rPr>
                <w:rFonts w:hint="default" w:ascii="Times New Roman" w:hAnsi="Times New Roman" w:cs="Times New Roman" w:eastAsiaTheme="minorEastAsia"/>
                <w:szCs w:val="21"/>
                <w:highlight w:val="none"/>
                <w:lang w:val="en-US" w:eastAsia="zh-CN"/>
              </w:rPr>
              <w:t>/h，扬程：49m，功率：0.55kW</w:t>
            </w:r>
          </w:p>
        </w:tc>
        <w:tc>
          <w:tcPr>
            <w:tcW w:w="805" w:type="dxa"/>
            <w:vAlign w:val="center"/>
          </w:tcPr>
          <w:p w14:paraId="21BEE90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788" w:type="dxa"/>
            <w:vAlign w:val="center"/>
          </w:tcPr>
          <w:p w14:paraId="73D2BC6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台</w:t>
            </w:r>
          </w:p>
        </w:tc>
      </w:tr>
      <w:tr w14:paraId="68754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center"/>
          </w:tcPr>
          <w:p w14:paraId="2510C48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3</w:t>
            </w:r>
          </w:p>
        </w:tc>
        <w:tc>
          <w:tcPr>
            <w:tcW w:w="1773" w:type="dxa"/>
            <w:vAlign w:val="center"/>
          </w:tcPr>
          <w:p w14:paraId="30CC60B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SNCR喷枪</w:t>
            </w:r>
          </w:p>
        </w:tc>
        <w:tc>
          <w:tcPr>
            <w:tcW w:w="4445" w:type="dxa"/>
            <w:vAlign w:val="center"/>
          </w:tcPr>
          <w:p w14:paraId="5AE7953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枪头材质：310S，雾化量：100—500kg/h，低压雾化型，一用一备</w:t>
            </w:r>
          </w:p>
        </w:tc>
        <w:tc>
          <w:tcPr>
            <w:tcW w:w="805" w:type="dxa"/>
            <w:vAlign w:val="center"/>
          </w:tcPr>
          <w:p w14:paraId="2A8D169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788" w:type="dxa"/>
            <w:vAlign w:val="center"/>
          </w:tcPr>
          <w:p w14:paraId="305F048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套</w:t>
            </w:r>
          </w:p>
        </w:tc>
      </w:tr>
      <w:tr w14:paraId="2FD9C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center"/>
          </w:tcPr>
          <w:p w14:paraId="386577B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4</w:t>
            </w:r>
          </w:p>
        </w:tc>
        <w:tc>
          <w:tcPr>
            <w:tcW w:w="1773" w:type="dxa"/>
            <w:vAlign w:val="center"/>
          </w:tcPr>
          <w:p w14:paraId="6A65994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管路平台</w:t>
            </w:r>
          </w:p>
        </w:tc>
        <w:tc>
          <w:tcPr>
            <w:tcW w:w="4445" w:type="dxa"/>
            <w:vAlign w:val="center"/>
          </w:tcPr>
          <w:p w14:paraId="572E4CC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材质：304，含阀门、压力表、管路等</w:t>
            </w:r>
          </w:p>
        </w:tc>
        <w:tc>
          <w:tcPr>
            <w:tcW w:w="805" w:type="dxa"/>
            <w:vAlign w:val="center"/>
          </w:tcPr>
          <w:p w14:paraId="5B73686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788" w:type="dxa"/>
            <w:vAlign w:val="center"/>
          </w:tcPr>
          <w:p w14:paraId="6D1A378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套</w:t>
            </w:r>
          </w:p>
        </w:tc>
      </w:tr>
      <w:tr w14:paraId="5629C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vAlign w:val="center"/>
          </w:tcPr>
          <w:p w14:paraId="0FFE494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旋风除尘器</w:t>
            </w:r>
          </w:p>
        </w:tc>
      </w:tr>
      <w:tr w14:paraId="3BC55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center"/>
          </w:tcPr>
          <w:p w14:paraId="6BA5BC5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1773" w:type="dxa"/>
            <w:vAlign w:val="center"/>
          </w:tcPr>
          <w:p w14:paraId="3EC720D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旋风除尘器</w:t>
            </w:r>
          </w:p>
        </w:tc>
        <w:tc>
          <w:tcPr>
            <w:tcW w:w="4445" w:type="dxa"/>
            <w:vAlign w:val="center"/>
          </w:tcPr>
          <w:p w14:paraId="02211E1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型式：离心式</w:t>
            </w:r>
            <w:r>
              <w:rPr>
                <w:rFonts w:hint="default" w:ascii="Times New Roman" w:hAnsi="Times New Roman" w:cs="Times New Roman" w:eastAsiaTheme="minorEastAsia"/>
                <w:szCs w:val="21"/>
                <w:highlight w:val="none"/>
                <w:lang w:val="en-US" w:eastAsia="zh-CN"/>
              </w:rPr>
              <w:br w:type="textWrapping"/>
            </w:r>
            <w:r>
              <w:rPr>
                <w:rFonts w:hint="default" w:ascii="Times New Roman" w:hAnsi="Times New Roman" w:cs="Times New Roman" w:eastAsiaTheme="minorEastAsia"/>
                <w:szCs w:val="21"/>
                <w:highlight w:val="none"/>
                <w:lang w:val="en-US" w:eastAsia="zh-CN"/>
              </w:rPr>
              <w:t>材质：Q235B（8mm）+内衬耐火保温材料（150mm）+310S不锈钢</w:t>
            </w:r>
            <w:r>
              <w:rPr>
                <w:rFonts w:hint="default" w:ascii="Times New Roman" w:hAnsi="Times New Roman" w:cs="Times New Roman" w:eastAsiaTheme="minorEastAsia"/>
                <w:szCs w:val="21"/>
                <w:highlight w:val="none"/>
                <w:lang w:val="en-US" w:eastAsia="zh-CN"/>
              </w:rPr>
              <w:br w:type="textWrapping"/>
            </w:r>
            <w:r>
              <w:rPr>
                <w:rFonts w:hint="default" w:ascii="Times New Roman" w:hAnsi="Times New Roman" w:cs="Times New Roman" w:eastAsiaTheme="minorEastAsia"/>
                <w:szCs w:val="21"/>
                <w:highlight w:val="none"/>
                <w:lang w:val="en-US" w:eastAsia="zh-CN"/>
              </w:rPr>
              <w:t>附件：出灰口等</w:t>
            </w:r>
          </w:p>
        </w:tc>
        <w:tc>
          <w:tcPr>
            <w:tcW w:w="805" w:type="dxa"/>
            <w:vAlign w:val="center"/>
          </w:tcPr>
          <w:p w14:paraId="053CE47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788" w:type="dxa"/>
            <w:vAlign w:val="center"/>
          </w:tcPr>
          <w:p w14:paraId="3DD80EE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套</w:t>
            </w:r>
          </w:p>
        </w:tc>
      </w:tr>
      <w:tr w14:paraId="5D64D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vAlign w:val="center"/>
          </w:tcPr>
          <w:p w14:paraId="3E448EA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急冷塔</w:t>
            </w:r>
          </w:p>
        </w:tc>
      </w:tr>
      <w:tr w14:paraId="36392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center"/>
          </w:tcPr>
          <w:p w14:paraId="6830BBA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1773" w:type="dxa"/>
            <w:vAlign w:val="center"/>
          </w:tcPr>
          <w:p w14:paraId="57E99EA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急冷塔</w:t>
            </w:r>
          </w:p>
        </w:tc>
        <w:tc>
          <w:tcPr>
            <w:tcW w:w="4445" w:type="dxa"/>
            <w:vAlign w:val="center"/>
          </w:tcPr>
          <w:p w14:paraId="7AA6A76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尺寸：￠1.0m×4m，材质：Q235B，钢板厚度：6mm，内衬6遍玻璃鳞片防腐漆+龟甲网+30mm胶泥+80mm弧形砖</w:t>
            </w:r>
          </w:p>
        </w:tc>
        <w:tc>
          <w:tcPr>
            <w:tcW w:w="805" w:type="dxa"/>
            <w:vAlign w:val="center"/>
          </w:tcPr>
          <w:p w14:paraId="15014A6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788" w:type="dxa"/>
            <w:vAlign w:val="center"/>
          </w:tcPr>
          <w:p w14:paraId="20389D2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套</w:t>
            </w:r>
          </w:p>
        </w:tc>
      </w:tr>
      <w:tr w14:paraId="5CCD7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center"/>
          </w:tcPr>
          <w:p w14:paraId="306A0B8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2</w:t>
            </w:r>
          </w:p>
        </w:tc>
        <w:tc>
          <w:tcPr>
            <w:tcW w:w="1773" w:type="dxa"/>
            <w:vAlign w:val="center"/>
          </w:tcPr>
          <w:p w14:paraId="63DE520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急冷喷枪</w:t>
            </w:r>
          </w:p>
        </w:tc>
        <w:tc>
          <w:tcPr>
            <w:tcW w:w="4445" w:type="dxa"/>
            <w:vAlign w:val="center"/>
          </w:tcPr>
          <w:p w14:paraId="35BDAF8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材质：316L，雾化量：100—500kg/h，低压雾化型，一用一备</w:t>
            </w:r>
          </w:p>
        </w:tc>
        <w:tc>
          <w:tcPr>
            <w:tcW w:w="805" w:type="dxa"/>
            <w:vAlign w:val="center"/>
          </w:tcPr>
          <w:p w14:paraId="4DF261E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2</w:t>
            </w:r>
          </w:p>
        </w:tc>
        <w:tc>
          <w:tcPr>
            <w:tcW w:w="788" w:type="dxa"/>
            <w:vAlign w:val="center"/>
          </w:tcPr>
          <w:p w14:paraId="472627C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套</w:t>
            </w:r>
          </w:p>
        </w:tc>
      </w:tr>
      <w:tr w14:paraId="281FD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center"/>
          </w:tcPr>
          <w:p w14:paraId="786466B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3</w:t>
            </w:r>
          </w:p>
        </w:tc>
        <w:tc>
          <w:tcPr>
            <w:tcW w:w="1773" w:type="dxa"/>
            <w:vAlign w:val="center"/>
          </w:tcPr>
          <w:p w14:paraId="0C2C70E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急冷泵</w:t>
            </w:r>
          </w:p>
        </w:tc>
        <w:tc>
          <w:tcPr>
            <w:tcW w:w="4445" w:type="dxa"/>
            <w:vAlign w:val="center"/>
          </w:tcPr>
          <w:p w14:paraId="7A0BAC2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材质：304，一用一备，流量：1m</w:t>
            </w:r>
            <w:r>
              <w:rPr>
                <w:rFonts w:hint="default" w:ascii="Times New Roman" w:hAnsi="Times New Roman" w:cs="Times New Roman" w:eastAsiaTheme="minorEastAsia"/>
                <w:szCs w:val="21"/>
                <w:highlight w:val="none"/>
                <w:vertAlign w:val="superscript"/>
                <w:lang w:val="en-US" w:eastAsia="zh-CN"/>
              </w:rPr>
              <w:t>3</w:t>
            </w:r>
            <w:r>
              <w:rPr>
                <w:rFonts w:hint="default" w:ascii="Times New Roman" w:hAnsi="Times New Roman" w:cs="Times New Roman" w:eastAsiaTheme="minorEastAsia"/>
                <w:szCs w:val="21"/>
                <w:highlight w:val="none"/>
                <w:lang w:val="en-US" w:eastAsia="zh-CN"/>
              </w:rPr>
              <w:t>/h，扬程：49m，功率：0.55kW</w:t>
            </w:r>
          </w:p>
        </w:tc>
        <w:tc>
          <w:tcPr>
            <w:tcW w:w="805" w:type="dxa"/>
            <w:vAlign w:val="center"/>
          </w:tcPr>
          <w:p w14:paraId="15EDE98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2</w:t>
            </w:r>
          </w:p>
        </w:tc>
        <w:tc>
          <w:tcPr>
            <w:tcW w:w="788" w:type="dxa"/>
            <w:vAlign w:val="center"/>
          </w:tcPr>
          <w:p w14:paraId="4D6B8C3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台</w:t>
            </w:r>
          </w:p>
        </w:tc>
      </w:tr>
      <w:tr w14:paraId="6CE08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center"/>
          </w:tcPr>
          <w:p w14:paraId="6FF8EDD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4</w:t>
            </w:r>
          </w:p>
        </w:tc>
        <w:tc>
          <w:tcPr>
            <w:tcW w:w="1773" w:type="dxa"/>
            <w:vAlign w:val="center"/>
          </w:tcPr>
          <w:p w14:paraId="0C08746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急冷水箱</w:t>
            </w:r>
          </w:p>
        </w:tc>
        <w:tc>
          <w:tcPr>
            <w:tcW w:w="4445" w:type="dxa"/>
            <w:vAlign w:val="center"/>
          </w:tcPr>
          <w:p w14:paraId="56F3670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材质：304，含液位计、自动补水系统等，2m</w:t>
            </w:r>
            <w:r>
              <w:rPr>
                <w:rFonts w:hint="default" w:ascii="Times New Roman" w:hAnsi="Times New Roman" w:cs="Times New Roman" w:eastAsiaTheme="minorEastAsia"/>
                <w:szCs w:val="21"/>
                <w:highlight w:val="none"/>
                <w:vertAlign w:val="superscript"/>
                <w:lang w:val="en-US" w:eastAsia="zh-CN"/>
              </w:rPr>
              <w:t>3</w:t>
            </w:r>
          </w:p>
        </w:tc>
        <w:tc>
          <w:tcPr>
            <w:tcW w:w="805" w:type="dxa"/>
            <w:vAlign w:val="center"/>
          </w:tcPr>
          <w:p w14:paraId="1127812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788" w:type="dxa"/>
            <w:vAlign w:val="center"/>
          </w:tcPr>
          <w:p w14:paraId="5EF8E40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套</w:t>
            </w:r>
          </w:p>
        </w:tc>
      </w:tr>
      <w:tr w14:paraId="4D7AF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center"/>
          </w:tcPr>
          <w:p w14:paraId="2EF1C03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5</w:t>
            </w:r>
          </w:p>
        </w:tc>
        <w:tc>
          <w:tcPr>
            <w:tcW w:w="1773" w:type="dxa"/>
            <w:vAlign w:val="center"/>
          </w:tcPr>
          <w:p w14:paraId="5F531FF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急冷管路平台</w:t>
            </w:r>
          </w:p>
        </w:tc>
        <w:tc>
          <w:tcPr>
            <w:tcW w:w="4445" w:type="dxa"/>
            <w:vAlign w:val="center"/>
          </w:tcPr>
          <w:p w14:paraId="4F58F54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材质：Q235B，含阀门、压力表、管路等</w:t>
            </w:r>
          </w:p>
        </w:tc>
        <w:tc>
          <w:tcPr>
            <w:tcW w:w="805" w:type="dxa"/>
            <w:vAlign w:val="center"/>
          </w:tcPr>
          <w:p w14:paraId="4D59A4E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788" w:type="dxa"/>
            <w:vAlign w:val="center"/>
          </w:tcPr>
          <w:p w14:paraId="0DC8A7B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套</w:t>
            </w:r>
          </w:p>
        </w:tc>
      </w:tr>
      <w:tr w14:paraId="46AA4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vAlign w:val="center"/>
          </w:tcPr>
          <w:p w14:paraId="103FF08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喷附装置</w:t>
            </w:r>
          </w:p>
        </w:tc>
      </w:tr>
      <w:tr w14:paraId="6CD0D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center"/>
          </w:tcPr>
          <w:p w14:paraId="51B4D6B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1773" w:type="dxa"/>
            <w:vAlign w:val="center"/>
          </w:tcPr>
          <w:p w14:paraId="55245D1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石灰给料系统</w:t>
            </w:r>
          </w:p>
        </w:tc>
        <w:tc>
          <w:tcPr>
            <w:tcW w:w="4445" w:type="dxa"/>
            <w:vAlign w:val="center"/>
          </w:tcPr>
          <w:p w14:paraId="5454926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输送量：0-5kg/h</w:t>
            </w:r>
          </w:p>
        </w:tc>
        <w:tc>
          <w:tcPr>
            <w:tcW w:w="805" w:type="dxa"/>
            <w:vAlign w:val="center"/>
          </w:tcPr>
          <w:p w14:paraId="59332F8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788" w:type="dxa"/>
            <w:vAlign w:val="center"/>
          </w:tcPr>
          <w:p w14:paraId="586AA68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套</w:t>
            </w:r>
          </w:p>
        </w:tc>
      </w:tr>
      <w:tr w14:paraId="70D32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center"/>
          </w:tcPr>
          <w:p w14:paraId="4733323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2</w:t>
            </w:r>
          </w:p>
        </w:tc>
        <w:tc>
          <w:tcPr>
            <w:tcW w:w="1773" w:type="dxa"/>
            <w:vAlign w:val="center"/>
          </w:tcPr>
          <w:p w14:paraId="60A0BFF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活性炭给料系统</w:t>
            </w:r>
          </w:p>
        </w:tc>
        <w:tc>
          <w:tcPr>
            <w:tcW w:w="4445" w:type="dxa"/>
            <w:vAlign w:val="center"/>
          </w:tcPr>
          <w:p w14:paraId="7DA44D9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输送量：0-2kg/h</w:t>
            </w:r>
          </w:p>
        </w:tc>
        <w:tc>
          <w:tcPr>
            <w:tcW w:w="805" w:type="dxa"/>
            <w:vAlign w:val="center"/>
          </w:tcPr>
          <w:p w14:paraId="4B2109A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788" w:type="dxa"/>
            <w:vAlign w:val="center"/>
          </w:tcPr>
          <w:p w14:paraId="7720B9C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套</w:t>
            </w:r>
          </w:p>
        </w:tc>
      </w:tr>
      <w:tr w14:paraId="31186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vAlign w:val="center"/>
          </w:tcPr>
          <w:p w14:paraId="1402710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布袋除尘器</w:t>
            </w:r>
          </w:p>
        </w:tc>
      </w:tr>
      <w:tr w14:paraId="42FD2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center"/>
          </w:tcPr>
          <w:p w14:paraId="0C56A96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1773" w:type="dxa"/>
            <w:vAlign w:val="center"/>
          </w:tcPr>
          <w:p w14:paraId="63C5B3C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布袋除尘器</w:t>
            </w:r>
          </w:p>
        </w:tc>
        <w:tc>
          <w:tcPr>
            <w:tcW w:w="4445" w:type="dxa"/>
            <w:vAlign w:val="center"/>
          </w:tcPr>
          <w:p w14:paraId="379C313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过滤面积：36㎡，</w:t>
            </w:r>
            <w:r>
              <w:rPr>
                <w:rFonts w:hint="default" w:ascii="Times New Roman" w:hAnsi="Times New Roman" w:cs="Times New Roman" w:eastAsiaTheme="minorEastAsia"/>
                <w:szCs w:val="21"/>
                <w:highlight w:val="none"/>
                <w:lang w:val="en-US" w:eastAsia="zh-CN"/>
              </w:rPr>
              <w:br w:type="textWrapping"/>
            </w:r>
            <w:r>
              <w:rPr>
                <w:rFonts w:hint="default" w:ascii="Times New Roman" w:hAnsi="Times New Roman" w:cs="Times New Roman" w:eastAsiaTheme="minorEastAsia"/>
                <w:szCs w:val="21"/>
                <w:highlight w:val="none"/>
                <w:lang w:val="en-US" w:eastAsia="zh-CN"/>
              </w:rPr>
              <w:t>材质：Q235B+30mm胶泥，板厚6mm</w:t>
            </w:r>
            <w:r>
              <w:rPr>
                <w:rFonts w:hint="default" w:ascii="Times New Roman" w:hAnsi="Times New Roman" w:cs="Times New Roman" w:eastAsiaTheme="minorEastAsia"/>
                <w:szCs w:val="21"/>
                <w:highlight w:val="none"/>
                <w:lang w:val="en-US" w:eastAsia="zh-CN"/>
              </w:rPr>
              <w:br w:type="textWrapping"/>
            </w:r>
            <w:r>
              <w:rPr>
                <w:rFonts w:hint="default" w:ascii="Times New Roman" w:hAnsi="Times New Roman" w:cs="Times New Roman" w:eastAsiaTheme="minorEastAsia"/>
                <w:szCs w:val="21"/>
                <w:highlight w:val="none"/>
                <w:lang w:val="en-US" w:eastAsia="zh-CN"/>
              </w:rPr>
              <w:t>花板材质：2205</w:t>
            </w:r>
            <w:r>
              <w:rPr>
                <w:rFonts w:hint="default" w:ascii="Times New Roman" w:hAnsi="Times New Roman" w:cs="Times New Roman" w:eastAsiaTheme="minorEastAsia"/>
                <w:szCs w:val="21"/>
                <w:highlight w:val="none"/>
                <w:lang w:val="en-US" w:eastAsia="zh-CN"/>
              </w:rPr>
              <w:br w:type="textWrapping"/>
            </w:r>
            <w:r>
              <w:rPr>
                <w:rFonts w:hint="default" w:ascii="Times New Roman" w:hAnsi="Times New Roman" w:cs="Times New Roman" w:eastAsiaTheme="minorEastAsia"/>
                <w:szCs w:val="21"/>
                <w:highlight w:val="none"/>
                <w:lang w:val="en-US" w:eastAsia="zh-CN"/>
              </w:rPr>
              <w:t>附：脉冲控制仪、在线清灰等</w:t>
            </w:r>
          </w:p>
        </w:tc>
        <w:tc>
          <w:tcPr>
            <w:tcW w:w="805" w:type="dxa"/>
            <w:vAlign w:val="center"/>
          </w:tcPr>
          <w:p w14:paraId="52E762F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788" w:type="dxa"/>
            <w:vAlign w:val="center"/>
          </w:tcPr>
          <w:p w14:paraId="698AA62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套</w:t>
            </w:r>
          </w:p>
        </w:tc>
      </w:tr>
      <w:tr w14:paraId="48F76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center"/>
          </w:tcPr>
          <w:p w14:paraId="53CA2ED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2</w:t>
            </w:r>
          </w:p>
        </w:tc>
        <w:tc>
          <w:tcPr>
            <w:tcW w:w="1773" w:type="dxa"/>
            <w:vAlign w:val="center"/>
          </w:tcPr>
          <w:p w14:paraId="3E6D2B3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滤袋</w:t>
            </w:r>
          </w:p>
        </w:tc>
        <w:tc>
          <w:tcPr>
            <w:tcW w:w="4445" w:type="dxa"/>
            <w:vAlign w:val="center"/>
          </w:tcPr>
          <w:p w14:paraId="372958A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PTFE+PTFE覆膜，连续使用温度230℃</w:t>
            </w:r>
          </w:p>
        </w:tc>
        <w:tc>
          <w:tcPr>
            <w:tcW w:w="805" w:type="dxa"/>
            <w:vAlign w:val="center"/>
          </w:tcPr>
          <w:p w14:paraId="538E0C5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788" w:type="dxa"/>
            <w:vAlign w:val="center"/>
          </w:tcPr>
          <w:p w14:paraId="5716BF8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套</w:t>
            </w:r>
          </w:p>
        </w:tc>
      </w:tr>
      <w:tr w14:paraId="341D6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center"/>
          </w:tcPr>
          <w:p w14:paraId="705748E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3</w:t>
            </w:r>
          </w:p>
        </w:tc>
        <w:tc>
          <w:tcPr>
            <w:tcW w:w="1773" w:type="dxa"/>
            <w:vAlign w:val="center"/>
          </w:tcPr>
          <w:p w14:paraId="25213DF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龙骨及文氏管</w:t>
            </w:r>
          </w:p>
        </w:tc>
        <w:tc>
          <w:tcPr>
            <w:tcW w:w="4445" w:type="dxa"/>
            <w:vAlign w:val="center"/>
          </w:tcPr>
          <w:p w14:paraId="4EAEDA7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材质：有机硅防腐涂覆处理，单节，带文丘里管</w:t>
            </w:r>
          </w:p>
        </w:tc>
        <w:tc>
          <w:tcPr>
            <w:tcW w:w="805" w:type="dxa"/>
            <w:vAlign w:val="center"/>
          </w:tcPr>
          <w:p w14:paraId="60F908B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788" w:type="dxa"/>
            <w:vAlign w:val="center"/>
          </w:tcPr>
          <w:p w14:paraId="18A176A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套</w:t>
            </w:r>
          </w:p>
        </w:tc>
      </w:tr>
      <w:tr w14:paraId="6C814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center"/>
          </w:tcPr>
          <w:p w14:paraId="2A4E789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4</w:t>
            </w:r>
          </w:p>
        </w:tc>
        <w:tc>
          <w:tcPr>
            <w:tcW w:w="1773" w:type="dxa"/>
            <w:vAlign w:val="center"/>
          </w:tcPr>
          <w:p w14:paraId="11DB5E9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重力翻板阀</w:t>
            </w:r>
          </w:p>
        </w:tc>
        <w:tc>
          <w:tcPr>
            <w:tcW w:w="4445" w:type="dxa"/>
            <w:vAlign w:val="center"/>
          </w:tcPr>
          <w:p w14:paraId="529C3D4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材质：碳钢</w:t>
            </w:r>
          </w:p>
        </w:tc>
        <w:tc>
          <w:tcPr>
            <w:tcW w:w="805" w:type="dxa"/>
            <w:vAlign w:val="center"/>
          </w:tcPr>
          <w:p w14:paraId="57C6D39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788" w:type="dxa"/>
            <w:vAlign w:val="center"/>
          </w:tcPr>
          <w:p w14:paraId="2023340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套</w:t>
            </w:r>
          </w:p>
        </w:tc>
      </w:tr>
      <w:tr w14:paraId="0033E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vAlign w:val="center"/>
          </w:tcPr>
          <w:p w14:paraId="11CA8EA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喷淋塔</w:t>
            </w:r>
          </w:p>
        </w:tc>
      </w:tr>
      <w:tr w14:paraId="76E5A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center"/>
          </w:tcPr>
          <w:p w14:paraId="54A5601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1773" w:type="dxa"/>
            <w:vAlign w:val="center"/>
          </w:tcPr>
          <w:p w14:paraId="610BC57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喷淋塔</w:t>
            </w:r>
          </w:p>
        </w:tc>
        <w:tc>
          <w:tcPr>
            <w:tcW w:w="4445" w:type="dxa"/>
            <w:vAlign w:val="center"/>
          </w:tcPr>
          <w:p w14:paraId="2A84820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尺寸：Ø1000×8000mm，厚度：10mm，材质：977s耐高温玻璃钢，含 316L喷淋系统</w:t>
            </w:r>
          </w:p>
        </w:tc>
        <w:tc>
          <w:tcPr>
            <w:tcW w:w="805" w:type="dxa"/>
            <w:vAlign w:val="center"/>
          </w:tcPr>
          <w:p w14:paraId="26C0C5E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788" w:type="dxa"/>
            <w:vAlign w:val="center"/>
          </w:tcPr>
          <w:p w14:paraId="0C6CD4E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套</w:t>
            </w:r>
          </w:p>
        </w:tc>
      </w:tr>
      <w:tr w14:paraId="6B60D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center"/>
          </w:tcPr>
          <w:p w14:paraId="0C80ED0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2</w:t>
            </w:r>
          </w:p>
        </w:tc>
        <w:tc>
          <w:tcPr>
            <w:tcW w:w="1773" w:type="dxa"/>
            <w:vAlign w:val="center"/>
          </w:tcPr>
          <w:p w14:paraId="2258D96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喷淋泵</w:t>
            </w:r>
          </w:p>
        </w:tc>
        <w:tc>
          <w:tcPr>
            <w:tcW w:w="4445" w:type="dxa"/>
            <w:vAlign w:val="center"/>
          </w:tcPr>
          <w:p w14:paraId="539D13C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流量：5m</w:t>
            </w:r>
            <w:r>
              <w:rPr>
                <w:rFonts w:hint="default" w:ascii="Times New Roman" w:hAnsi="Times New Roman" w:cs="Times New Roman" w:eastAsiaTheme="minorEastAsia"/>
                <w:szCs w:val="21"/>
                <w:highlight w:val="none"/>
                <w:vertAlign w:val="superscript"/>
                <w:lang w:val="en-US" w:eastAsia="zh-CN"/>
              </w:rPr>
              <w:t>3</w:t>
            </w:r>
            <w:r>
              <w:rPr>
                <w:rFonts w:hint="default" w:ascii="Times New Roman" w:hAnsi="Times New Roman" w:cs="Times New Roman" w:eastAsiaTheme="minorEastAsia"/>
                <w:szCs w:val="21"/>
                <w:highlight w:val="none"/>
                <w:lang w:val="en-US" w:eastAsia="zh-CN"/>
              </w:rPr>
              <w:t>/h，扬程：25m，功率：4KW，过流部件316L、陶瓷或聚四氟乙烯，一用一备</w:t>
            </w:r>
          </w:p>
        </w:tc>
        <w:tc>
          <w:tcPr>
            <w:tcW w:w="805" w:type="dxa"/>
            <w:vAlign w:val="center"/>
          </w:tcPr>
          <w:p w14:paraId="646A00D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2</w:t>
            </w:r>
          </w:p>
        </w:tc>
        <w:tc>
          <w:tcPr>
            <w:tcW w:w="788" w:type="dxa"/>
            <w:vAlign w:val="center"/>
          </w:tcPr>
          <w:p w14:paraId="799577E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台</w:t>
            </w:r>
          </w:p>
        </w:tc>
      </w:tr>
      <w:tr w14:paraId="149E7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center"/>
          </w:tcPr>
          <w:p w14:paraId="455D48A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3</w:t>
            </w:r>
          </w:p>
        </w:tc>
        <w:tc>
          <w:tcPr>
            <w:tcW w:w="1773" w:type="dxa"/>
            <w:vAlign w:val="center"/>
          </w:tcPr>
          <w:p w14:paraId="28116E7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管路平台</w:t>
            </w:r>
          </w:p>
        </w:tc>
        <w:tc>
          <w:tcPr>
            <w:tcW w:w="4445" w:type="dxa"/>
            <w:vAlign w:val="center"/>
          </w:tcPr>
          <w:p w14:paraId="62F1D1E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材质：PPR，含阀门、压力表等</w:t>
            </w:r>
          </w:p>
        </w:tc>
        <w:tc>
          <w:tcPr>
            <w:tcW w:w="805" w:type="dxa"/>
            <w:vAlign w:val="center"/>
          </w:tcPr>
          <w:p w14:paraId="144888F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788" w:type="dxa"/>
            <w:vAlign w:val="center"/>
          </w:tcPr>
          <w:p w14:paraId="478BE3A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套</w:t>
            </w:r>
          </w:p>
        </w:tc>
      </w:tr>
      <w:tr w14:paraId="2C50F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vAlign w:val="center"/>
          </w:tcPr>
          <w:p w14:paraId="4A48CF0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排烟系统</w:t>
            </w:r>
          </w:p>
        </w:tc>
      </w:tr>
      <w:tr w14:paraId="258D9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center"/>
          </w:tcPr>
          <w:p w14:paraId="5ABFAE9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1773" w:type="dxa"/>
            <w:vAlign w:val="center"/>
          </w:tcPr>
          <w:p w14:paraId="3BC0F2F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引风机</w:t>
            </w:r>
          </w:p>
        </w:tc>
        <w:tc>
          <w:tcPr>
            <w:tcW w:w="4445" w:type="dxa"/>
            <w:vAlign w:val="center"/>
          </w:tcPr>
          <w:p w14:paraId="71CAE13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Q=2281m</w:t>
            </w:r>
            <w:r>
              <w:rPr>
                <w:rFonts w:hint="default" w:ascii="Times New Roman" w:hAnsi="Times New Roman" w:cs="Times New Roman" w:eastAsiaTheme="minorEastAsia"/>
                <w:szCs w:val="21"/>
                <w:highlight w:val="none"/>
                <w:vertAlign w:val="superscript"/>
                <w:lang w:val="en-US" w:eastAsia="zh-CN"/>
              </w:rPr>
              <w:t>3</w:t>
            </w:r>
            <w:r>
              <w:rPr>
                <w:rFonts w:hint="default" w:ascii="Times New Roman" w:hAnsi="Times New Roman" w:cs="Times New Roman" w:eastAsiaTheme="minorEastAsia"/>
                <w:szCs w:val="21"/>
                <w:highlight w:val="none"/>
                <w:lang w:val="en-US" w:eastAsia="zh-CN"/>
              </w:rPr>
              <w:t>/h，H=4297Pa，配置变频电机5.5KW，材质玻璃钢，附：变频控制，进出口软连接，带弹簧座减振器</w:t>
            </w:r>
          </w:p>
        </w:tc>
        <w:tc>
          <w:tcPr>
            <w:tcW w:w="805" w:type="dxa"/>
            <w:vAlign w:val="center"/>
          </w:tcPr>
          <w:p w14:paraId="491B30D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788" w:type="dxa"/>
            <w:vAlign w:val="center"/>
          </w:tcPr>
          <w:p w14:paraId="45937F3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套</w:t>
            </w:r>
          </w:p>
        </w:tc>
      </w:tr>
      <w:tr w14:paraId="7BC8F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vAlign w:val="center"/>
          </w:tcPr>
          <w:p w14:paraId="3E56BCD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2</w:t>
            </w:r>
          </w:p>
        </w:tc>
        <w:tc>
          <w:tcPr>
            <w:tcW w:w="1773" w:type="dxa"/>
            <w:vAlign w:val="center"/>
          </w:tcPr>
          <w:p w14:paraId="17C0450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烟囱</w:t>
            </w:r>
          </w:p>
        </w:tc>
        <w:tc>
          <w:tcPr>
            <w:tcW w:w="4445" w:type="dxa"/>
            <w:vAlign w:val="center"/>
          </w:tcPr>
          <w:p w14:paraId="2B1F3C1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Ø219mm×25000mm，材质玻璃钢，厚度：10mm；含测试平台、烟气分析仪口、排水口、避雷针等</w:t>
            </w:r>
          </w:p>
        </w:tc>
        <w:tc>
          <w:tcPr>
            <w:tcW w:w="805" w:type="dxa"/>
            <w:vAlign w:val="center"/>
          </w:tcPr>
          <w:p w14:paraId="616FD71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788" w:type="dxa"/>
            <w:vAlign w:val="center"/>
          </w:tcPr>
          <w:p w14:paraId="7328DC7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套</w:t>
            </w:r>
          </w:p>
        </w:tc>
      </w:tr>
    </w:tbl>
    <w:p w14:paraId="772D9967">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（2）原辅材料及能耗</w:t>
      </w:r>
    </w:p>
    <w:p w14:paraId="4A152645">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本项目的主要原料为医疗垃圾，辅助材料有消石灰、活性炭、氢氧化钠、次氯酸钠等，能源主要为柴油、水和电。其中水、电、柴油消耗量根据《医疗废物处理处置 污染防治最佳可行技术指南（试行）》（</w:t>
      </w:r>
      <w:r>
        <w:rPr>
          <w:rFonts w:hint="default" w:ascii="Times New Roman" w:hAnsi="Times New Roman" w:cs="Times New Roman" w:eastAsiaTheme="minorEastAsia"/>
          <w:sz w:val="24"/>
          <w:lang w:val="en-US" w:eastAsia="zh-CN"/>
        </w:rPr>
        <w:t>HJ-BAT-8</w:t>
      </w:r>
      <w:r>
        <w:rPr>
          <w:rFonts w:hint="eastAsia" w:ascii="Times New Roman" w:hAnsi="Times New Roman" w:cs="Times New Roman" w:eastAsiaTheme="minorEastAsia"/>
          <w:sz w:val="24"/>
          <w:lang w:val="en-US" w:eastAsia="zh-CN"/>
        </w:rPr>
        <w:t>）进行估算。</w:t>
      </w:r>
    </w:p>
    <w:p w14:paraId="690CE67B">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各种原辅材料的年使用量及平均单耗见表3.2-3。</w:t>
      </w:r>
    </w:p>
    <w:p w14:paraId="07758E41">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表3.2-3  本项目原辅材料消耗量</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1065"/>
        <w:gridCol w:w="1231"/>
        <w:gridCol w:w="1491"/>
        <w:gridCol w:w="1441"/>
        <w:gridCol w:w="2576"/>
      </w:tblGrid>
      <w:tr w14:paraId="763DA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vAlign w:val="center"/>
          </w:tcPr>
          <w:p w14:paraId="3E7CFEF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序号</w:t>
            </w:r>
          </w:p>
        </w:tc>
        <w:tc>
          <w:tcPr>
            <w:tcW w:w="1065" w:type="dxa"/>
            <w:vAlign w:val="center"/>
          </w:tcPr>
          <w:p w14:paraId="00D27DE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名称</w:t>
            </w:r>
          </w:p>
        </w:tc>
        <w:tc>
          <w:tcPr>
            <w:tcW w:w="1231" w:type="dxa"/>
            <w:vAlign w:val="center"/>
          </w:tcPr>
          <w:p w14:paraId="6ECCCE2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单位</w:t>
            </w:r>
          </w:p>
        </w:tc>
        <w:tc>
          <w:tcPr>
            <w:tcW w:w="1491" w:type="dxa"/>
            <w:vAlign w:val="center"/>
          </w:tcPr>
          <w:p w14:paraId="077FEEE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用量</w:t>
            </w:r>
          </w:p>
        </w:tc>
        <w:tc>
          <w:tcPr>
            <w:tcW w:w="1441" w:type="dxa"/>
            <w:vAlign w:val="center"/>
          </w:tcPr>
          <w:p w14:paraId="60402AC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厂内最大储存量（t）</w:t>
            </w:r>
          </w:p>
        </w:tc>
        <w:tc>
          <w:tcPr>
            <w:tcW w:w="2576" w:type="dxa"/>
            <w:vAlign w:val="center"/>
          </w:tcPr>
          <w:p w14:paraId="01F9A0E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包装/运输方式</w:t>
            </w:r>
          </w:p>
        </w:tc>
      </w:tr>
      <w:tr w14:paraId="12787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vAlign w:val="center"/>
          </w:tcPr>
          <w:p w14:paraId="5772676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原材料</w:t>
            </w:r>
          </w:p>
        </w:tc>
        <w:tc>
          <w:tcPr>
            <w:tcW w:w="1065" w:type="dxa"/>
            <w:vAlign w:val="center"/>
          </w:tcPr>
          <w:p w14:paraId="243E1E5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医疗垃圾</w:t>
            </w:r>
          </w:p>
        </w:tc>
        <w:tc>
          <w:tcPr>
            <w:tcW w:w="1231" w:type="dxa"/>
            <w:vAlign w:val="center"/>
          </w:tcPr>
          <w:p w14:paraId="2C9E22B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t/a</w:t>
            </w:r>
          </w:p>
        </w:tc>
        <w:tc>
          <w:tcPr>
            <w:tcW w:w="1491" w:type="dxa"/>
            <w:vAlign w:val="center"/>
          </w:tcPr>
          <w:p w14:paraId="54395DC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730</w:t>
            </w:r>
          </w:p>
        </w:tc>
        <w:tc>
          <w:tcPr>
            <w:tcW w:w="1441" w:type="dxa"/>
            <w:vAlign w:val="center"/>
          </w:tcPr>
          <w:p w14:paraId="16207B5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5t</w:t>
            </w:r>
          </w:p>
        </w:tc>
        <w:tc>
          <w:tcPr>
            <w:tcW w:w="2576" w:type="dxa"/>
            <w:vAlign w:val="center"/>
          </w:tcPr>
          <w:p w14:paraId="59FE8A8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箱运/汽运（病理性、药物性和化学性医疗废物）</w:t>
            </w:r>
          </w:p>
        </w:tc>
      </w:tr>
      <w:tr w14:paraId="6DC50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vMerge w:val="restart"/>
            <w:vAlign w:val="center"/>
          </w:tcPr>
          <w:p w14:paraId="511B5FC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辅料</w:t>
            </w:r>
          </w:p>
        </w:tc>
        <w:tc>
          <w:tcPr>
            <w:tcW w:w="1065" w:type="dxa"/>
            <w:vAlign w:val="center"/>
          </w:tcPr>
          <w:p w14:paraId="3ACEFA2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次氯酸钠</w:t>
            </w:r>
          </w:p>
        </w:tc>
        <w:tc>
          <w:tcPr>
            <w:tcW w:w="1231" w:type="dxa"/>
            <w:vAlign w:val="center"/>
          </w:tcPr>
          <w:p w14:paraId="0CDB257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t/a</w:t>
            </w:r>
          </w:p>
        </w:tc>
        <w:tc>
          <w:tcPr>
            <w:tcW w:w="1491" w:type="dxa"/>
            <w:vAlign w:val="center"/>
          </w:tcPr>
          <w:p w14:paraId="1B4A2DF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w:t>
            </w:r>
          </w:p>
        </w:tc>
        <w:tc>
          <w:tcPr>
            <w:tcW w:w="1441" w:type="dxa"/>
            <w:vAlign w:val="center"/>
          </w:tcPr>
          <w:p w14:paraId="15DCC7A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0.5t</w:t>
            </w:r>
          </w:p>
        </w:tc>
        <w:tc>
          <w:tcPr>
            <w:tcW w:w="2576" w:type="dxa"/>
            <w:vAlign w:val="center"/>
          </w:tcPr>
          <w:p w14:paraId="2E923B8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瓶装，储存在医疗废物处置车间</w:t>
            </w:r>
          </w:p>
        </w:tc>
      </w:tr>
      <w:tr w14:paraId="4E893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vMerge w:val="continue"/>
            <w:vAlign w:val="center"/>
          </w:tcPr>
          <w:p w14:paraId="4E2FB1B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65" w:type="dxa"/>
            <w:vAlign w:val="center"/>
          </w:tcPr>
          <w:p w14:paraId="44749A7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尿素</w:t>
            </w:r>
          </w:p>
        </w:tc>
        <w:tc>
          <w:tcPr>
            <w:tcW w:w="1231" w:type="dxa"/>
            <w:vAlign w:val="center"/>
          </w:tcPr>
          <w:p w14:paraId="5DC7EA1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t/a</w:t>
            </w:r>
          </w:p>
        </w:tc>
        <w:tc>
          <w:tcPr>
            <w:tcW w:w="1491" w:type="dxa"/>
            <w:vAlign w:val="center"/>
          </w:tcPr>
          <w:p w14:paraId="0F48373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w:t>
            </w:r>
          </w:p>
        </w:tc>
        <w:tc>
          <w:tcPr>
            <w:tcW w:w="1441" w:type="dxa"/>
            <w:vAlign w:val="center"/>
          </w:tcPr>
          <w:p w14:paraId="6C29079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1t</w:t>
            </w:r>
          </w:p>
        </w:tc>
        <w:tc>
          <w:tcPr>
            <w:tcW w:w="2576" w:type="dxa"/>
            <w:vAlign w:val="center"/>
          </w:tcPr>
          <w:p w14:paraId="7CBDB10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袋装，储存在医疗废物处置车间</w:t>
            </w:r>
          </w:p>
        </w:tc>
      </w:tr>
      <w:tr w14:paraId="1AFDC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vAlign w:val="center"/>
          </w:tcPr>
          <w:p w14:paraId="1110A7B5">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65" w:type="dxa"/>
            <w:vAlign w:val="center"/>
          </w:tcPr>
          <w:p w14:paraId="542194C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活性炭</w:t>
            </w:r>
          </w:p>
        </w:tc>
        <w:tc>
          <w:tcPr>
            <w:tcW w:w="1231" w:type="dxa"/>
            <w:vAlign w:val="center"/>
          </w:tcPr>
          <w:p w14:paraId="5AC1D1B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t/a</w:t>
            </w:r>
          </w:p>
        </w:tc>
        <w:tc>
          <w:tcPr>
            <w:tcW w:w="1491" w:type="dxa"/>
            <w:vAlign w:val="center"/>
          </w:tcPr>
          <w:p w14:paraId="1DCEA26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4.227</w:t>
            </w:r>
          </w:p>
        </w:tc>
        <w:tc>
          <w:tcPr>
            <w:tcW w:w="1441" w:type="dxa"/>
            <w:vAlign w:val="center"/>
          </w:tcPr>
          <w:p w14:paraId="2C30104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2t</w:t>
            </w:r>
          </w:p>
        </w:tc>
        <w:tc>
          <w:tcPr>
            <w:tcW w:w="2576" w:type="dxa"/>
            <w:vAlign w:val="center"/>
          </w:tcPr>
          <w:p w14:paraId="0BAF783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存放于活性炭</w:t>
            </w:r>
            <w:r>
              <w:rPr>
                <w:rFonts w:hint="eastAsia" w:ascii="Times New Roman" w:hAnsi="Times New Roman" w:cs="Times New Roman" w:eastAsiaTheme="minorEastAsia"/>
                <w:szCs w:val="21"/>
                <w:lang w:val="en-US" w:eastAsia="zh-CN"/>
              </w:rPr>
              <w:t>料仓/医疗废物处置车间</w:t>
            </w:r>
          </w:p>
        </w:tc>
      </w:tr>
      <w:tr w14:paraId="66AE0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vMerge w:val="continue"/>
            <w:vAlign w:val="center"/>
          </w:tcPr>
          <w:p w14:paraId="3074D00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65" w:type="dxa"/>
            <w:vAlign w:val="center"/>
          </w:tcPr>
          <w:p w14:paraId="0245180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氢氧化钠</w:t>
            </w:r>
          </w:p>
        </w:tc>
        <w:tc>
          <w:tcPr>
            <w:tcW w:w="1231" w:type="dxa"/>
            <w:vAlign w:val="center"/>
          </w:tcPr>
          <w:p w14:paraId="4CC3E3E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t/a</w:t>
            </w:r>
          </w:p>
        </w:tc>
        <w:tc>
          <w:tcPr>
            <w:tcW w:w="1491" w:type="dxa"/>
            <w:vAlign w:val="center"/>
          </w:tcPr>
          <w:p w14:paraId="6E3536C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30</w:t>
            </w:r>
          </w:p>
        </w:tc>
        <w:tc>
          <w:tcPr>
            <w:tcW w:w="1441" w:type="dxa"/>
            <w:vAlign w:val="center"/>
          </w:tcPr>
          <w:p w14:paraId="0308283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10t</w:t>
            </w:r>
          </w:p>
        </w:tc>
        <w:tc>
          <w:tcPr>
            <w:tcW w:w="2576" w:type="dxa"/>
            <w:vAlign w:val="center"/>
          </w:tcPr>
          <w:p w14:paraId="15F779E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袋装，储存在医疗废物处置车间</w:t>
            </w:r>
          </w:p>
        </w:tc>
      </w:tr>
      <w:tr w14:paraId="231B5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vMerge w:val="continue"/>
            <w:vAlign w:val="center"/>
          </w:tcPr>
          <w:p w14:paraId="7FB59B7A">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65" w:type="dxa"/>
            <w:vAlign w:val="center"/>
          </w:tcPr>
          <w:p w14:paraId="3AF6FFB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消石灰</w:t>
            </w:r>
          </w:p>
        </w:tc>
        <w:tc>
          <w:tcPr>
            <w:tcW w:w="1231" w:type="dxa"/>
            <w:vAlign w:val="center"/>
          </w:tcPr>
          <w:p w14:paraId="619FB48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t/a</w:t>
            </w:r>
          </w:p>
        </w:tc>
        <w:tc>
          <w:tcPr>
            <w:tcW w:w="1491" w:type="dxa"/>
            <w:vAlign w:val="center"/>
          </w:tcPr>
          <w:p w14:paraId="4C3E6BE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8</w:t>
            </w:r>
          </w:p>
        </w:tc>
        <w:tc>
          <w:tcPr>
            <w:tcW w:w="1441" w:type="dxa"/>
            <w:vAlign w:val="center"/>
          </w:tcPr>
          <w:p w14:paraId="3F4BB0B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1t/a</w:t>
            </w:r>
          </w:p>
        </w:tc>
        <w:tc>
          <w:tcPr>
            <w:tcW w:w="2576" w:type="dxa"/>
            <w:vAlign w:val="center"/>
          </w:tcPr>
          <w:p w14:paraId="1F2F529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存放于</w:t>
            </w:r>
            <w:r>
              <w:rPr>
                <w:rFonts w:hint="eastAsia" w:ascii="Times New Roman" w:hAnsi="Times New Roman" w:cs="Times New Roman" w:eastAsiaTheme="minorEastAsia"/>
                <w:szCs w:val="21"/>
                <w:lang w:val="en-US" w:eastAsia="zh-CN"/>
              </w:rPr>
              <w:t>消石灰</w:t>
            </w:r>
            <w:r>
              <w:rPr>
                <w:rFonts w:hint="default" w:ascii="Times New Roman" w:hAnsi="Times New Roman" w:cs="Times New Roman" w:eastAsiaTheme="minorEastAsia"/>
                <w:szCs w:val="21"/>
                <w:lang w:val="en-US" w:eastAsia="zh-CN"/>
              </w:rPr>
              <w:t>料仓</w:t>
            </w:r>
          </w:p>
        </w:tc>
      </w:tr>
      <w:tr w14:paraId="27552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vMerge w:val="restart"/>
            <w:vAlign w:val="center"/>
          </w:tcPr>
          <w:p w14:paraId="3DBB0A7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能源</w:t>
            </w:r>
          </w:p>
        </w:tc>
        <w:tc>
          <w:tcPr>
            <w:tcW w:w="1065" w:type="dxa"/>
            <w:vAlign w:val="center"/>
          </w:tcPr>
          <w:p w14:paraId="1CA30CA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电</w:t>
            </w:r>
          </w:p>
        </w:tc>
        <w:tc>
          <w:tcPr>
            <w:tcW w:w="1231" w:type="dxa"/>
            <w:vAlign w:val="center"/>
          </w:tcPr>
          <w:p w14:paraId="4BA7C4A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万kWh</w:t>
            </w:r>
          </w:p>
        </w:tc>
        <w:tc>
          <w:tcPr>
            <w:tcW w:w="1491" w:type="dxa"/>
            <w:vAlign w:val="center"/>
          </w:tcPr>
          <w:p w14:paraId="64CEFBD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36.5</w:t>
            </w:r>
          </w:p>
        </w:tc>
        <w:tc>
          <w:tcPr>
            <w:tcW w:w="1441" w:type="dxa"/>
            <w:vAlign w:val="center"/>
          </w:tcPr>
          <w:p w14:paraId="037E35D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2576" w:type="dxa"/>
            <w:vAlign w:val="center"/>
          </w:tcPr>
          <w:p w14:paraId="1F4F5DE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r>
      <w:tr w14:paraId="445AE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vMerge w:val="continue"/>
            <w:vAlign w:val="center"/>
          </w:tcPr>
          <w:p w14:paraId="2970437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65" w:type="dxa"/>
            <w:vAlign w:val="center"/>
          </w:tcPr>
          <w:p w14:paraId="373CAD9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水</w:t>
            </w:r>
          </w:p>
        </w:tc>
        <w:tc>
          <w:tcPr>
            <w:tcW w:w="1231" w:type="dxa"/>
            <w:vAlign w:val="center"/>
          </w:tcPr>
          <w:p w14:paraId="6D88881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m</w:t>
            </w:r>
            <w:r>
              <w:rPr>
                <w:rFonts w:hint="eastAsia" w:ascii="Times New Roman" w:hAnsi="Times New Roman" w:cs="Times New Roman" w:eastAsiaTheme="minorEastAsia"/>
                <w:szCs w:val="21"/>
                <w:vertAlign w:val="superscript"/>
                <w:lang w:val="en-US" w:eastAsia="zh-CN"/>
              </w:rPr>
              <w:t>3</w:t>
            </w:r>
          </w:p>
        </w:tc>
        <w:tc>
          <w:tcPr>
            <w:tcW w:w="1491" w:type="dxa"/>
            <w:vAlign w:val="center"/>
          </w:tcPr>
          <w:p w14:paraId="33BA98A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3506.76</w:t>
            </w:r>
          </w:p>
        </w:tc>
        <w:tc>
          <w:tcPr>
            <w:tcW w:w="1441" w:type="dxa"/>
            <w:vAlign w:val="center"/>
          </w:tcPr>
          <w:p w14:paraId="760B3B3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2576" w:type="dxa"/>
            <w:vAlign w:val="center"/>
          </w:tcPr>
          <w:p w14:paraId="15D7247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r>
      <w:tr w14:paraId="42432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vMerge w:val="continue"/>
            <w:vAlign w:val="center"/>
          </w:tcPr>
          <w:p w14:paraId="379E41F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65" w:type="dxa"/>
            <w:vAlign w:val="center"/>
          </w:tcPr>
          <w:p w14:paraId="69D13D7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柴油</w:t>
            </w:r>
          </w:p>
        </w:tc>
        <w:tc>
          <w:tcPr>
            <w:tcW w:w="1231" w:type="dxa"/>
            <w:vAlign w:val="center"/>
          </w:tcPr>
          <w:p w14:paraId="6E74F26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t/a</w:t>
            </w:r>
          </w:p>
        </w:tc>
        <w:tc>
          <w:tcPr>
            <w:tcW w:w="1491" w:type="dxa"/>
            <w:vAlign w:val="center"/>
          </w:tcPr>
          <w:p w14:paraId="23DB5A1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21.9</w:t>
            </w:r>
          </w:p>
        </w:tc>
        <w:tc>
          <w:tcPr>
            <w:tcW w:w="1441" w:type="dxa"/>
            <w:vAlign w:val="center"/>
          </w:tcPr>
          <w:p w14:paraId="7413B9A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2.55</w:t>
            </w:r>
          </w:p>
        </w:tc>
        <w:tc>
          <w:tcPr>
            <w:tcW w:w="2576" w:type="dxa"/>
            <w:vAlign w:val="center"/>
          </w:tcPr>
          <w:p w14:paraId="601D0C2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厂区柴油储罐</w:t>
            </w:r>
          </w:p>
        </w:tc>
      </w:tr>
    </w:tbl>
    <w:p w14:paraId="56AC56BC">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氢氧化钠：俗称烧碱、火碱、苛性钠，为一种具有强腐蚀性的强碱，一般为片状或块状形态，易溶于水（溶于水时放热）并形成碱性溶液，具有潮解性，易吸取空气中的水蒸气（潮解）和二氧化碳（变质），可加入盐酸检验是否变质。氢氧化钠在水处理中可作为碱性清洗剂，溶于乙醇和甘油；不溶于丙醇、乙醚。与氯、溴、碘等卤素发生歧化反应。与酸类起中和作用而生成盐和水。</w:t>
      </w:r>
    </w:p>
    <w:p w14:paraId="79649DC6">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活性炭：是黑色粉末状或块状、颗粒状、蜂窝状的无定形碳，也有排列规整的晶体碳。活性炭由于具有较强的吸附性，广泛应用于生产、生活中。纯度&gt;90%，比表面积900m</w:t>
      </w:r>
      <w:r>
        <w:rPr>
          <w:rFonts w:hint="eastAsia" w:ascii="Times New Roman" w:hAnsi="Times New Roman" w:cs="Times New Roman" w:eastAsiaTheme="minorEastAsia"/>
          <w:sz w:val="24"/>
          <w:vertAlign w:val="superscript"/>
          <w:lang w:val="en-US" w:eastAsia="zh-CN"/>
        </w:rPr>
        <w:t>2</w:t>
      </w:r>
      <w:r>
        <w:rPr>
          <w:rFonts w:hint="eastAsia" w:ascii="Times New Roman" w:hAnsi="Times New Roman" w:cs="Times New Roman" w:eastAsiaTheme="minorEastAsia"/>
          <w:sz w:val="24"/>
          <w:lang w:val="en-US" w:eastAsia="zh-CN"/>
        </w:rPr>
        <w:t>/g，粒径&lt;0.150mm，比重500kg/m</w:t>
      </w:r>
      <w:r>
        <w:rPr>
          <w:rFonts w:hint="eastAsia" w:ascii="Times New Roman" w:hAnsi="Times New Roman" w:cs="Times New Roman" w:eastAsiaTheme="minorEastAsia"/>
          <w:sz w:val="24"/>
          <w:vertAlign w:val="superscript"/>
          <w:lang w:val="en-US" w:eastAsia="zh-CN"/>
        </w:rPr>
        <w:t>3</w:t>
      </w:r>
      <w:r>
        <w:rPr>
          <w:rFonts w:hint="eastAsia" w:ascii="Times New Roman" w:hAnsi="Times New Roman" w:cs="Times New Roman" w:eastAsiaTheme="minorEastAsia"/>
          <w:sz w:val="24"/>
          <w:lang w:val="en-US" w:eastAsia="zh-CN"/>
        </w:rPr>
        <w:t>。</w:t>
      </w:r>
    </w:p>
    <w:p w14:paraId="68737C96">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柴油：主要由原油蒸馏、催化裂化、热裂化、加氢裂化、石油焦化等过程生产的柴油馏分调配而成，也可由页岩油加工和煤液化制取。柴油密度取0.84kg/L。</w:t>
      </w:r>
    </w:p>
    <w:p w14:paraId="18265955">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次氯酸钠</w:t>
      </w:r>
      <w:r>
        <w:rPr>
          <w:rFonts w:hint="eastAsia" w:ascii="Times New Roman" w:hAnsi="Times New Roman" w:cs="Times New Roman" w:eastAsiaTheme="minorEastAsia"/>
          <w:sz w:val="24"/>
          <w:lang w:val="de-DE" w:eastAsia="zh-CN"/>
        </w:rPr>
        <w:t>：为无色或淡黄色液体，且具有刺激性气味，主要用于物体表面和环境等的消毒。次氯酸钠具有强氧化性，可水解生成具有强氧化性的次氯酸，能够将具有还原性的物质氧化，使微生物最终丧失机能，无法繁殖或感染。</w:t>
      </w:r>
    </w:p>
    <w:p w14:paraId="3A0DAE71">
      <w:pPr>
        <w:pStyle w:val="3"/>
        <w:spacing w:before="120" w:after="120" w:line="500" w:lineRule="exact"/>
        <w:ind w:left="375" w:hanging="375" w:firstLineChars="0"/>
        <w:contextualSpacing/>
        <w:rPr>
          <w:rFonts w:hint="default" w:ascii="Times New Roman" w:hAnsi="Times New Roman" w:cs="Times New Roman" w:eastAsiaTheme="minorEastAsia"/>
          <w:snapToGrid w:val="0"/>
          <w:kern w:val="0"/>
          <w:sz w:val="28"/>
          <w:szCs w:val="28"/>
          <w:lang w:val="en-US" w:eastAsia="zh-CN"/>
        </w:rPr>
      </w:pPr>
      <w:bookmarkStart w:id="140" w:name="_Toc16136"/>
      <w:r>
        <w:rPr>
          <w:rFonts w:hint="eastAsia" w:ascii="Times New Roman" w:hAnsi="Times New Roman" w:cs="Times New Roman" w:eastAsiaTheme="minorEastAsia"/>
          <w:snapToGrid w:val="0"/>
          <w:kern w:val="0"/>
          <w:sz w:val="28"/>
          <w:szCs w:val="28"/>
          <w:lang w:val="en-US" w:eastAsia="zh-CN"/>
        </w:rPr>
        <w:t>3.3公用工程</w:t>
      </w:r>
      <w:bookmarkEnd w:id="140"/>
    </w:p>
    <w:p w14:paraId="70D5B7D9">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41" w:name="_Toc31737"/>
      <w:r>
        <w:rPr>
          <w:rFonts w:hint="eastAsia" w:ascii="Times New Roman" w:hAnsi="Times New Roman" w:cs="Times New Roman" w:eastAsiaTheme="minorEastAsia"/>
          <w:kern w:val="0"/>
          <w:sz w:val="24"/>
          <w:szCs w:val="24"/>
          <w:lang w:val="en-US" w:eastAsia="zh-CN"/>
        </w:rPr>
        <w:t>3.3.1给水</w:t>
      </w:r>
      <w:bookmarkEnd w:id="141"/>
    </w:p>
    <w:p w14:paraId="2C6F33FF">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本项目用水采用市政管网供水，本项目新鲜水用水量为164.043m</w:t>
      </w:r>
      <w:r>
        <w:rPr>
          <w:rFonts w:hint="eastAsia" w:ascii="Times New Roman" w:hAnsi="Times New Roman" w:cs="Times New Roman" w:eastAsiaTheme="minorEastAsia"/>
          <w:sz w:val="24"/>
          <w:vertAlign w:val="superscript"/>
          <w:lang w:val="en-US" w:eastAsia="zh-CN"/>
        </w:rPr>
        <w:t>3</w:t>
      </w:r>
      <w:r>
        <w:rPr>
          <w:rFonts w:hint="eastAsia" w:ascii="Times New Roman" w:hAnsi="Times New Roman" w:cs="Times New Roman" w:eastAsiaTheme="minorEastAsia"/>
          <w:sz w:val="24"/>
          <w:lang w:val="en-US" w:eastAsia="zh-CN"/>
        </w:rPr>
        <w:t>/d（59875.59m</w:t>
      </w:r>
      <w:r>
        <w:rPr>
          <w:rFonts w:hint="eastAsia" w:ascii="Times New Roman" w:hAnsi="Times New Roman" w:cs="Times New Roman" w:eastAsiaTheme="minorEastAsia"/>
          <w:sz w:val="24"/>
          <w:vertAlign w:val="superscript"/>
          <w:lang w:val="en-US" w:eastAsia="zh-CN"/>
        </w:rPr>
        <w:t>3</w:t>
      </w:r>
      <w:r>
        <w:rPr>
          <w:rFonts w:hint="eastAsia" w:ascii="Times New Roman" w:hAnsi="Times New Roman" w:cs="Times New Roman" w:eastAsiaTheme="minorEastAsia"/>
          <w:sz w:val="24"/>
          <w:lang w:val="en-US" w:eastAsia="zh-CN"/>
        </w:rPr>
        <w:t>/a）。</w:t>
      </w:r>
    </w:p>
    <w:p w14:paraId="5490FC6C">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1、软水制备用水</w:t>
      </w:r>
    </w:p>
    <w:p w14:paraId="6EA258C6">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项目建成后，焚烧炉设备冷却、烟气喷碱液配置用水均采用软水。</w:t>
      </w:r>
    </w:p>
    <w:p w14:paraId="420EEAF4">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1）热解炉设备冷却水</w:t>
      </w:r>
    </w:p>
    <w:p w14:paraId="4BFA2690">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为保证循环冷却水为炉体降温。经设备供应商提供资料，2t/d热解炉循环冷却水用量为1m</w:t>
      </w:r>
      <w:r>
        <w:rPr>
          <w:rFonts w:hint="eastAsia" w:ascii="Times New Roman" w:hAnsi="Times New Roman" w:cs="Times New Roman" w:eastAsiaTheme="minorEastAsia"/>
          <w:sz w:val="24"/>
          <w:vertAlign w:val="superscript"/>
          <w:lang w:val="en-US" w:eastAsia="zh-CN"/>
        </w:rPr>
        <w:t>3</w:t>
      </w:r>
      <w:r>
        <w:rPr>
          <w:rFonts w:hint="eastAsia" w:ascii="Times New Roman" w:hAnsi="Times New Roman" w:cs="Times New Roman" w:eastAsiaTheme="minorEastAsia"/>
          <w:sz w:val="24"/>
          <w:lang w:val="en-US" w:eastAsia="zh-CN"/>
        </w:rPr>
        <w:t>/h，循环水量为24m</w:t>
      </w:r>
      <w:r>
        <w:rPr>
          <w:rFonts w:hint="eastAsia" w:ascii="Times New Roman" w:hAnsi="Times New Roman" w:cs="Times New Roman" w:eastAsiaTheme="minorEastAsia"/>
          <w:sz w:val="24"/>
          <w:vertAlign w:val="superscript"/>
          <w:lang w:val="en-US" w:eastAsia="zh-CN"/>
        </w:rPr>
        <w:t>3</w:t>
      </w:r>
      <w:r>
        <w:rPr>
          <w:rFonts w:hint="eastAsia" w:ascii="Times New Roman" w:hAnsi="Times New Roman" w:cs="Times New Roman" w:eastAsiaTheme="minorEastAsia"/>
          <w:sz w:val="24"/>
          <w:lang w:val="en-US" w:eastAsia="zh-CN"/>
        </w:rPr>
        <w:t>/d；循环冷却水通过循环冷却池降温后回用。</w:t>
      </w:r>
    </w:p>
    <w:p w14:paraId="5E0B1792">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2）烟气除酸碱液配置用水</w:t>
      </w:r>
    </w:p>
    <w:p w14:paraId="75D635DD">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喷淋碱液为循环用水，循环水量</w:t>
      </w:r>
      <w:r>
        <w:rPr>
          <w:rFonts w:hint="eastAsia" w:ascii="Times New Roman" w:hAnsi="Times New Roman" w:cs="Times New Roman"/>
          <w:sz w:val="24"/>
          <w:highlight w:val="none"/>
          <w:lang w:val="en-US" w:eastAsia="zh-CN"/>
        </w:rPr>
        <w:t>1</w:t>
      </w:r>
      <w:r>
        <w:rPr>
          <w:rFonts w:hint="eastAsia" w:ascii="Times New Roman" w:hAnsi="Times New Roman" w:cs="Times New Roman" w:eastAsiaTheme="minorEastAsia"/>
          <w:sz w:val="24"/>
          <w:highlight w:val="none"/>
          <w:lang w:val="en-US" w:eastAsia="zh-CN"/>
        </w:rPr>
        <w:t>5m</w:t>
      </w:r>
      <w:r>
        <w:rPr>
          <w:rFonts w:hint="eastAsia"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/h，循环水池有效容水体积约为</w:t>
      </w:r>
      <w:r>
        <w:rPr>
          <w:rFonts w:hint="eastAsia" w:ascii="Times New Roman" w:hAnsi="Times New Roman" w:cs="Times New Roman"/>
          <w:sz w:val="24"/>
          <w:highlight w:val="none"/>
          <w:lang w:val="en-US" w:eastAsia="zh-CN"/>
        </w:rPr>
        <w:t>20</w:t>
      </w:r>
      <w:r>
        <w:rPr>
          <w:rFonts w:hint="eastAsia" w:ascii="Times New Roman" w:hAnsi="Times New Roman" w:cs="Times New Roman" w:eastAsiaTheme="minorEastAsia"/>
          <w:sz w:val="24"/>
          <w:highlight w:val="none"/>
          <w:lang w:val="en-US" w:eastAsia="zh-CN"/>
        </w:rPr>
        <w:t>m</w:t>
      </w:r>
      <w:r>
        <w:rPr>
          <w:rFonts w:hint="eastAsia"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，碱液循环池内定期投加片碱维持喷淋效果。由于烟气温度较高，部分碱液中水分</w:t>
      </w:r>
      <w:r>
        <w:rPr>
          <w:rFonts w:hint="eastAsia" w:ascii="Times New Roman" w:hAnsi="Times New Roman" w:cs="Times New Roman"/>
          <w:sz w:val="24"/>
          <w:highlight w:val="none"/>
          <w:lang w:val="en-US" w:eastAsia="zh-CN"/>
        </w:rPr>
        <w:t>汽化后</w:t>
      </w:r>
      <w:r>
        <w:rPr>
          <w:rFonts w:hint="eastAsia" w:ascii="Times New Roman" w:hAnsi="Times New Roman" w:cs="Times New Roman" w:eastAsiaTheme="minorEastAsia"/>
          <w:sz w:val="24"/>
          <w:highlight w:val="none"/>
          <w:lang w:val="en-US" w:eastAsia="zh-CN"/>
        </w:rPr>
        <w:t>随烟气外排，损耗量约为喷淋量的1%，补充水量为3.6m</w:t>
      </w:r>
      <w:r>
        <w:rPr>
          <w:rFonts w:hint="eastAsia"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/d</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1314m</w:t>
      </w:r>
      <w:r>
        <w:rPr>
          <w:rFonts w:hint="eastAsia"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a，主要由冷却系统排污水补充，不足部分由新鲜水补充；同时在循环喷淋过程中，循环碱液会因为吸收烟气中的酸性气体及其循环损耗，导致循环水的盐度越来越高，当碱液盐度达到一个临界值，需更换循环水，预计每半月更换一次，外排废水量约7.2m</w:t>
      </w:r>
      <w:r>
        <w:rPr>
          <w:rFonts w:hint="eastAsia"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/a。按水平衡，湿法脱酸喷淋塔补水量为1321.2m</w:t>
      </w:r>
      <w:r>
        <w:rPr>
          <w:rFonts w:hint="eastAsia"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/a。</w:t>
      </w:r>
    </w:p>
    <w:p w14:paraId="1B70BCEF">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2、急冷塔用水</w:t>
      </w:r>
    </w:p>
    <w:p w14:paraId="019E0EAB">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项目烟气净化中，烟气经换热器吸热后，再通过急冷塔喷入水雾进一步降温，项目二燃室烟气量为2281</w:t>
      </w:r>
      <w:r>
        <w:rPr>
          <w:rFonts w:hint="default" w:ascii="Times New Roman" w:hAnsi="Times New Roman" w:cs="Times New Roman" w:eastAsiaTheme="minorEastAsia"/>
          <w:sz w:val="24"/>
          <w:lang w:val="en-US" w:eastAsia="zh-CN"/>
        </w:rPr>
        <w:t>m</w:t>
      </w:r>
      <w:r>
        <w:rPr>
          <w:rFonts w:hint="default" w:ascii="Times New Roman" w:hAnsi="Times New Roman" w:cs="Times New Roman" w:eastAsiaTheme="minorEastAsia"/>
          <w:sz w:val="24"/>
          <w:vertAlign w:val="superscript"/>
          <w:lang w:val="en-US" w:eastAsia="zh-CN"/>
        </w:rPr>
        <w:t>3</w:t>
      </w:r>
      <w:r>
        <w:rPr>
          <w:rFonts w:hint="default" w:ascii="Times New Roman" w:hAnsi="Times New Roman" w:cs="Times New Roman" w:eastAsiaTheme="minorEastAsia"/>
          <w:sz w:val="24"/>
          <w:lang w:val="en-US" w:eastAsia="zh-CN"/>
        </w:rPr>
        <w:t>/h</w:t>
      </w:r>
      <w:r>
        <w:rPr>
          <w:rFonts w:hint="eastAsia" w:ascii="Times New Roman" w:hAnsi="Times New Roman" w:cs="Times New Roman" w:eastAsiaTheme="minorEastAsia"/>
          <w:sz w:val="24"/>
          <w:lang w:val="en-US" w:eastAsia="zh-CN"/>
        </w:rPr>
        <w:t>，经急冷降温后温度降至</w:t>
      </w:r>
      <w:r>
        <w:rPr>
          <w:rFonts w:hint="default" w:ascii="Times New Roman" w:hAnsi="Times New Roman" w:cs="Times New Roman" w:eastAsiaTheme="minorEastAsia"/>
          <w:sz w:val="24"/>
          <w:lang w:val="en-US" w:eastAsia="zh-CN"/>
        </w:rPr>
        <w:t>200℃</w:t>
      </w:r>
      <w:r>
        <w:rPr>
          <w:rFonts w:hint="eastAsia" w:ascii="Times New Roman" w:hAnsi="Times New Roman" w:cs="Times New Roman" w:eastAsiaTheme="minorEastAsia"/>
          <w:sz w:val="24"/>
          <w:lang w:val="en-US" w:eastAsia="zh-CN"/>
        </w:rPr>
        <w:t>以内，根据烟气处理工艺设计，急冷塔在保证烟气降温效果同时，确保急冷塔中喷淋水不挂壁、不留底，喷入急冷塔中的水全部气化进入烟气，急冷塔降温喷水用水量</w:t>
      </w:r>
      <w:r>
        <w:rPr>
          <w:rFonts w:hint="default" w:ascii="Times New Roman" w:hAnsi="Times New Roman" w:cs="Times New Roman" w:eastAsiaTheme="minorEastAsia"/>
          <w:sz w:val="24"/>
          <w:lang w:val="en-US" w:eastAsia="zh-CN"/>
        </w:rPr>
        <w:t>0.2m</w:t>
      </w:r>
      <w:r>
        <w:rPr>
          <w:rFonts w:hint="default" w:ascii="Times New Roman" w:hAnsi="Times New Roman" w:cs="Times New Roman" w:eastAsiaTheme="minorEastAsia"/>
          <w:sz w:val="24"/>
          <w:vertAlign w:val="superscript"/>
          <w:lang w:val="en-US" w:eastAsia="zh-CN"/>
        </w:rPr>
        <w:t>3</w:t>
      </w:r>
      <w:r>
        <w:rPr>
          <w:rFonts w:hint="default" w:ascii="Times New Roman" w:hAnsi="Times New Roman" w:cs="Times New Roman" w:eastAsiaTheme="minorEastAsia"/>
          <w:sz w:val="24"/>
          <w:lang w:val="en-US" w:eastAsia="zh-CN"/>
        </w:rPr>
        <w:t>/h</w:t>
      </w:r>
      <w:r>
        <w:rPr>
          <w:rFonts w:hint="eastAsia" w:ascii="Times New Roman" w:hAnsi="Times New Roman" w:cs="Times New Roman" w:eastAsiaTheme="minorEastAsia"/>
          <w:sz w:val="24"/>
          <w:lang w:val="en-US" w:eastAsia="zh-CN"/>
        </w:rPr>
        <w:t>，则急冷塔用水量为</w:t>
      </w:r>
      <w:r>
        <w:rPr>
          <w:rFonts w:hint="default" w:ascii="Times New Roman" w:hAnsi="Times New Roman" w:cs="Times New Roman" w:eastAsiaTheme="minorEastAsia"/>
          <w:sz w:val="24"/>
          <w:lang w:val="en-US" w:eastAsia="zh-CN"/>
        </w:rPr>
        <w:t>4.8m</w:t>
      </w:r>
      <w:r>
        <w:rPr>
          <w:rFonts w:hint="default" w:ascii="Times New Roman" w:hAnsi="Times New Roman" w:cs="Times New Roman" w:eastAsiaTheme="minorEastAsia"/>
          <w:sz w:val="24"/>
          <w:vertAlign w:val="superscript"/>
          <w:lang w:val="en-US" w:eastAsia="zh-CN"/>
        </w:rPr>
        <w:t>3</w:t>
      </w:r>
      <w:r>
        <w:rPr>
          <w:rFonts w:hint="default" w:ascii="Times New Roman" w:hAnsi="Times New Roman" w:cs="Times New Roman" w:eastAsiaTheme="minorEastAsia"/>
          <w:sz w:val="24"/>
          <w:lang w:val="en-US" w:eastAsia="zh-CN"/>
        </w:rPr>
        <w:t>/d</w:t>
      </w:r>
      <w:r>
        <w:rPr>
          <w:rFonts w:hint="eastAsia" w:ascii="Times New Roman" w:hAnsi="Times New Roman" w:cs="Times New Roman" w:eastAsiaTheme="minorEastAsia"/>
          <w:sz w:val="24"/>
          <w:lang w:val="en-US" w:eastAsia="zh-CN"/>
        </w:rPr>
        <w:t>。</w:t>
      </w:r>
    </w:p>
    <w:p w14:paraId="2C68F029">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3、冲洗车辆用水：</w:t>
      </w:r>
    </w:p>
    <w:p w14:paraId="2B3350DA">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本项目不新增医疗废物转运车，不涉及新增冲洗车辆用水。</w:t>
      </w:r>
    </w:p>
    <w:p w14:paraId="66396AE0">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4、地面清洗水：</w:t>
      </w:r>
    </w:p>
    <w:p w14:paraId="4A3ED582">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本项目地面清洁用水按3</w:t>
      </w:r>
      <w:r>
        <w:rPr>
          <w:rFonts w:hint="default" w:ascii="Times New Roman" w:hAnsi="Times New Roman" w:cs="Times New Roman" w:eastAsiaTheme="minorEastAsia"/>
          <w:sz w:val="24"/>
          <w:lang w:val="en-US" w:eastAsia="zh-CN"/>
        </w:rPr>
        <w:t>L/m</w:t>
      </w:r>
      <w:r>
        <w:rPr>
          <w:rFonts w:hint="default" w:ascii="Times New Roman" w:hAnsi="Times New Roman" w:cs="Times New Roman" w:eastAsiaTheme="minorEastAsia"/>
          <w:sz w:val="24"/>
          <w:vertAlign w:val="superscript"/>
          <w:lang w:val="en-US" w:eastAsia="zh-CN"/>
        </w:rPr>
        <w:t>2</w:t>
      </w:r>
      <w:r>
        <w:rPr>
          <w:rFonts w:hint="eastAsia" w:ascii="Times New Roman" w:hAnsi="Times New Roman" w:cs="Times New Roman" w:eastAsiaTheme="minorEastAsia"/>
          <w:sz w:val="24"/>
          <w:lang w:val="en-US" w:eastAsia="zh-CN"/>
        </w:rPr>
        <w:t>计，本项目新增车间内占地面积约为270</w:t>
      </w:r>
      <w:r>
        <w:rPr>
          <w:rFonts w:hint="default" w:ascii="Times New Roman" w:hAnsi="Times New Roman" w:cs="Times New Roman" w:eastAsiaTheme="minorEastAsia"/>
          <w:sz w:val="24"/>
          <w:lang w:val="en-US" w:eastAsia="zh-CN"/>
        </w:rPr>
        <w:t>m</w:t>
      </w:r>
      <w:r>
        <w:rPr>
          <w:rFonts w:hint="default" w:ascii="Times New Roman" w:hAnsi="Times New Roman" w:cs="Times New Roman" w:eastAsiaTheme="minorEastAsia"/>
          <w:sz w:val="24"/>
          <w:vertAlign w:val="superscript"/>
          <w:lang w:val="en-US" w:eastAsia="zh-CN"/>
        </w:rPr>
        <w:t>2</w:t>
      </w:r>
      <w:r>
        <w:rPr>
          <w:rFonts w:hint="eastAsia" w:ascii="Times New Roman" w:hAnsi="Times New Roman" w:cs="Times New Roman" w:eastAsiaTheme="minorEastAsia"/>
          <w:sz w:val="24"/>
          <w:lang w:val="en-US" w:eastAsia="zh-CN"/>
        </w:rPr>
        <w:t>，即地面清洗水为0.81</w:t>
      </w:r>
      <w:r>
        <w:rPr>
          <w:rFonts w:hint="default" w:ascii="Times New Roman" w:hAnsi="Times New Roman" w:cs="Times New Roman" w:eastAsiaTheme="minorEastAsia"/>
          <w:sz w:val="24"/>
          <w:lang w:val="en-US" w:eastAsia="zh-CN"/>
        </w:rPr>
        <w:t>m</w:t>
      </w:r>
      <w:r>
        <w:rPr>
          <w:rFonts w:hint="default" w:ascii="Times New Roman" w:hAnsi="Times New Roman" w:cs="Times New Roman" w:eastAsiaTheme="minorEastAsia"/>
          <w:sz w:val="24"/>
          <w:vertAlign w:val="superscript"/>
          <w:lang w:val="en-US" w:eastAsia="zh-CN"/>
        </w:rPr>
        <w:t>3</w:t>
      </w:r>
      <w:r>
        <w:rPr>
          <w:rFonts w:hint="default" w:ascii="Times New Roman" w:hAnsi="Times New Roman" w:cs="Times New Roman" w:eastAsiaTheme="minorEastAsia"/>
          <w:sz w:val="24"/>
          <w:lang w:val="en-US" w:eastAsia="zh-CN"/>
        </w:rPr>
        <w:t>/d</w:t>
      </w:r>
      <w:r>
        <w:rPr>
          <w:rFonts w:hint="eastAsia" w:ascii="Times New Roman" w:hAnsi="Times New Roman" w:cs="Times New Roman" w:eastAsiaTheme="minorEastAsia"/>
          <w:sz w:val="24"/>
          <w:lang w:val="en-US" w:eastAsia="zh-CN"/>
        </w:rPr>
        <w:t>（</w:t>
      </w:r>
      <w:r>
        <w:rPr>
          <w:rFonts w:hint="eastAsia" w:ascii="Times New Roman" w:hAnsi="Times New Roman" w:cs="Times New Roman"/>
          <w:sz w:val="24"/>
          <w:lang w:val="en-US" w:eastAsia="zh-CN"/>
        </w:rPr>
        <w:t>2</w:t>
      </w:r>
      <w:r>
        <w:rPr>
          <w:rFonts w:hint="eastAsia" w:ascii="Times New Roman" w:hAnsi="Times New Roman" w:cs="Times New Roman" w:eastAsiaTheme="minorEastAsia"/>
          <w:sz w:val="24"/>
          <w:lang w:val="en-US" w:eastAsia="zh-CN"/>
        </w:rPr>
        <w:t>95.65</w:t>
      </w:r>
      <w:r>
        <w:rPr>
          <w:rFonts w:hint="default" w:ascii="Times New Roman" w:hAnsi="Times New Roman" w:cs="Times New Roman" w:eastAsiaTheme="minorEastAsia"/>
          <w:sz w:val="24"/>
          <w:lang w:val="en-US" w:eastAsia="zh-CN"/>
        </w:rPr>
        <w:t>m</w:t>
      </w:r>
      <w:r>
        <w:rPr>
          <w:rFonts w:hint="default" w:ascii="Times New Roman" w:hAnsi="Times New Roman" w:cs="Times New Roman" w:eastAsiaTheme="minorEastAsia"/>
          <w:sz w:val="24"/>
          <w:vertAlign w:val="superscript"/>
          <w:lang w:val="en-US" w:eastAsia="zh-CN"/>
        </w:rPr>
        <w:t>3</w:t>
      </w:r>
      <w:r>
        <w:rPr>
          <w:rFonts w:hint="default" w:ascii="Times New Roman" w:hAnsi="Times New Roman" w:cs="Times New Roman" w:eastAsiaTheme="minorEastAsia"/>
          <w:sz w:val="24"/>
          <w:lang w:val="en-US" w:eastAsia="zh-CN"/>
        </w:rPr>
        <w:t>/a</w:t>
      </w:r>
      <w:r>
        <w:rPr>
          <w:rFonts w:hint="eastAsia" w:ascii="Times New Roman" w:hAnsi="Times New Roman" w:cs="Times New Roman" w:eastAsiaTheme="minorEastAsia"/>
          <w:sz w:val="24"/>
          <w:lang w:val="en-US" w:eastAsia="zh-CN"/>
        </w:rPr>
        <w:t>）。</w:t>
      </w:r>
    </w:p>
    <w:p w14:paraId="2C8612CB">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6、周转箱冲洗水：</w:t>
      </w:r>
    </w:p>
    <w:p w14:paraId="1A9BD8E8">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拟设本项目新增50个周转箱，每个周转箱清洗水量为0.03m</w:t>
      </w:r>
      <w:r>
        <w:rPr>
          <w:rFonts w:hint="eastAsia" w:ascii="Times New Roman" w:hAnsi="Times New Roman" w:cs="Times New Roman" w:eastAsiaTheme="minorEastAsia"/>
          <w:sz w:val="24"/>
          <w:vertAlign w:val="superscript"/>
          <w:lang w:val="en-US" w:eastAsia="zh-CN"/>
        </w:rPr>
        <w:t>3</w:t>
      </w:r>
      <w:r>
        <w:rPr>
          <w:rFonts w:hint="eastAsia" w:ascii="Times New Roman" w:hAnsi="Times New Roman" w:cs="Times New Roman" w:eastAsiaTheme="minorEastAsia"/>
          <w:sz w:val="24"/>
          <w:lang w:val="en-US" w:eastAsia="zh-CN"/>
        </w:rPr>
        <w:t>，则用水量为1.5m</w:t>
      </w:r>
      <w:r>
        <w:rPr>
          <w:rFonts w:hint="eastAsia" w:ascii="Times New Roman" w:hAnsi="Times New Roman" w:cs="Times New Roman" w:eastAsiaTheme="minorEastAsia"/>
          <w:sz w:val="24"/>
          <w:vertAlign w:val="superscript"/>
          <w:lang w:val="en-US" w:eastAsia="zh-CN"/>
        </w:rPr>
        <w:t>3</w:t>
      </w:r>
      <w:r>
        <w:rPr>
          <w:rFonts w:hint="eastAsia" w:ascii="Times New Roman" w:hAnsi="Times New Roman" w:cs="Times New Roman" w:eastAsiaTheme="minorEastAsia"/>
          <w:sz w:val="24"/>
          <w:lang w:val="en-US" w:eastAsia="zh-CN"/>
        </w:rPr>
        <w:t>/d（547.5m</w:t>
      </w:r>
      <w:r>
        <w:rPr>
          <w:rFonts w:hint="eastAsia" w:ascii="Times New Roman" w:hAnsi="Times New Roman" w:cs="Times New Roman" w:eastAsiaTheme="minorEastAsia"/>
          <w:sz w:val="24"/>
          <w:vertAlign w:val="superscript"/>
          <w:lang w:val="en-US" w:eastAsia="zh-CN"/>
        </w:rPr>
        <w:t>3</w:t>
      </w:r>
      <w:r>
        <w:rPr>
          <w:rFonts w:hint="eastAsia" w:ascii="Times New Roman" w:hAnsi="Times New Roman" w:cs="Times New Roman" w:eastAsiaTheme="minorEastAsia"/>
          <w:sz w:val="24"/>
          <w:lang w:val="en-US" w:eastAsia="zh-CN"/>
        </w:rPr>
        <w:t>/a）。</w:t>
      </w:r>
    </w:p>
    <w:p w14:paraId="0F39B2FC">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7、炉渣冷却用水：</w:t>
      </w:r>
    </w:p>
    <w:p w14:paraId="55CDE984">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热解炉出渣口采用水封密封，热解形成的炉渣经热解炉炉渣出口冷却水套降温至</w:t>
      </w:r>
      <w:r>
        <w:rPr>
          <w:rFonts w:hint="default" w:ascii="Times New Roman" w:hAnsi="Times New Roman" w:cs="Times New Roman" w:eastAsiaTheme="minorEastAsia"/>
          <w:sz w:val="24"/>
          <w:lang w:val="en-US" w:eastAsia="zh-CN"/>
        </w:rPr>
        <w:t>100℃</w:t>
      </w:r>
      <w:r>
        <w:rPr>
          <w:rFonts w:hint="eastAsia" w:ascii="Times New Roman" w:hAnsi="Times New Roman" w:cs="Times New Roman" w:eastAsiaTheme="minorEastAsia"/>
          <w:sz w:val="24"/>
          <w:lang w:val="en-US" w:eastAsia="zh-CN"/>
        </w:rPr>
        <w:t>以内，出渣过程中采用洒水喷淋达到降尘和降温作用，喷淋水为自来水，喷淋水量为</w:t>
      </w:r>
      <w:r>
        <w:rPr>
          <w:rFonts w:hint="default" w:ascii="Times New Roman" w:hAnsi="Times New Roman" w:cs="Times New Roman" w:eastAsiaTheme="minorEastAsia"/>
          <w:sz w:val="24"/>
          <w:lang w:val="en-US" w:eastAsia="zh-CN"/>
        </w:rPr>
        <w:t>0.05m</w:t>
      </w:r>
      <w:r>
        <w:rPr>
          <w:rFonts w:hint="default" w:ascii="Times New Roman" w:hAnsi="Times New Roman" w:cs="Times New Roman" w:eastAsiaTheme="minorEastAsia"/>
          <w:sz w:val="24"/>
          <w:vertAlign w:val="superscript"/>
          <w:lang w:val="en-US" w:eastAsia="zh-CN"/>
        </w:rPr>
        <w:t>3</w:t>
      </w:r>
      <w:r>
        <w:rPr>
          <w:rFonts w:hint="default" w:ascii="Times New Roman" w:hAnsi="Times New Roman" w:cs="Times New Roman" w:eastAsiaTheme="minorEastAsia"/>
          <w:sz w:val="24"/>
          <w:lang w:val="en-US" w:eastAsia="zh-CN"/>
        </w:rPr>
        <w:t>/t</w:t>
      </w:r>
      <w:r>
        <w:rPr>
          <w:rFonts w:hint="eastAsia" w:ascii="Times New Roman" w:hAnsi="Times New Roman" w:cs="Times New Roman" w:eastAsiaTheme="minorEastAsia"/>
          <w:sz w:val="24"/>
          <w:lang w:val="en-US" w:eastAsia="zh-CN"/>
        </w:rPr>
        <w:t>炉渣，项目建成后炉渣产生量为0.4</w:t>
      </w:r>
      <w:r>
        <w:rPr>
          <w:rFonts w:hint="default" w:ascii="Times New Roman" w:hAnsi="Times New Roman" w:cs="Times New Roman" w:eastAsiaTheme="minorEastAsia"/>
          <w:sz w:val="24"/>
          <w:lang w:val="en-US" w:eastAsia="zh-CN"/>
        </w:rPr>
        <w:t>t/d</w:t>
      </w:r>
      <w:r>
        <w:rPr>
          <w:rFonts w:hint="eastAsia" w:ascii="Times New Roman" w:hAnsi="Times New Roman" w:cs="Times New Roman" w:eastAsiaTheme="minorEastAsia"/>
          <w:sz w:val="24"/>
          <w:lang w:val="en-US" w:eastAsia="zh-CN"/>
        </w:rPr>
        <w:t>，炉渣喷淋洒水量为</w:t>
      </w:r>
      <w:r>
        <w:rPr>
          <w:rFonts w:hint="default" w:ascii="Times New Roman" w:hAnsi="Times New Roman" w:cs="Times New Roman" w:eastAsiaTheme="minorEastAsia"/>
          <w:sz w:val="24"/>
          <w:lang w:val="en-US" w:eastAsia="zh-CN"/>
        </w:rPr>
        <w:t>0.</w:t>
      </w:r>
      <w:r>
        <w:rPr>
          <w:rFonts w:hint="eastAsia" w:ascii="Times New Roman" w:hAnsi="Times New Roman" w:cs="Times New Roman" w:eastAsiaTheme="minorEastAsia"/>
          <w:sz w:val="24"/>
          <w:lang w:val="en-US" w:eastAsia="zh-CN"/>
        </w:rPr>
        <w:t>02</w:t>
      </w:r>
      <w:r>
        <w:rPr>
          <w:rFonts w:hint="default" w:ascii="Times New Roman" w:hAnsi="Times New Roman" w:cs="Times New Roman" w:eastAsiaTheme="minorEastAsia"/>
          <w:sz w:val="24"/>
          <w:lang w:val="en-US" w:eastAsia="zh-CN"/>
        </w:rPr>
        <w:t>m</w:t>
      </w:r>
      <w:r>
        <w:rPr>
          <w:rFonts w:hint="default" w:ascii="Times New Roman" w:hAnsi="Times New Roman" w:cs="Times New Roman" w:eastAsiaTheme="minorEastAsia"/>
          <w:sz w:val="24"/>
          <w:vertAlign w:val="superscript"/>
          <w:lang w:val="en-US" w:eastAsia="zh-CN"/>
        </w:rPr>
        <w:t>3</w:t>
      </w:r>
      <w:r>
        <w:rPr>
          <w:rFonts w:hint="default" w:ascii="Times New Roman" w:hAnsi="Times New Roman" w:cs="Times New Roman" w:eastAsiaTheme="minorEastAsia"/>
          <w:sz w:val="24"/>
          <w:lang w:val="en-US" w:eastAsia="zh-CN"/>
        </w:rPr>
        <w:t>/d</w:t>
      </w:r>
      <w:r>
        <w:rPr>
          <w:rFonts w:hint="eastAsia" w:ascii="Times New Roman" w:hAnsi="Times New Roman" w:cs="Times New Roman" w:eastAsiaTheme="minorEastAsia"/>
          <w:sz w:val="24"/>
          <w:lang w:val="en-US" w:eastAsia="zh-CN"/>
        </w:rPr>
        <w:t>。</w:t>
      </w:r>
    </w:p>
    <w:p w14:paraId="25715CEC">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42" w:name="_Toc23629"/>
      <w:r>
        <w:rPr>
          <w:rFonts w:hint="eastAsia" w:ascii="Times New Roman" w:hAnsi="Times New Roman" w:cs="Times New Roman" w:eastAsiaTheme="minorEastAsia"/>
          <w:kern w:val="0"/>
          <w:sz w:val="24"/>
          <w:szCs w:val="24"/>
          <w:lang w:val="en-US" w:eastAsia="zh-CN"/>
        </w:rPr>
        <w:t>3.3.2排水</w:t>
      </w:r>
      <w:bookmarkEnd w:id="142"/>
    </w:p>
    <w:p w14:paraId="2562199A">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w:t>
      </w:r>
      <w:r>
        <w:rPr>
          <w:rFonts w:hint="eastAsia" w:ascii="Times New Roman" w:hAnsi="Times New Roman" w:cs="Times New Roman"/>
          <w:sz w:val="24"/>
          <w:highlight w:val="none"/>
          <w:lang w:val="en-US" w:eastAsia="zh-CN"/>
        </w:rPr>
        <w:t>生产</w:t>
      </w:r>
      <w:r>
        <w:rPr>
          <w:rFonts w:hint="eastAsia" w:ascii="Times New Roman" w:hAnsi="Times New Roman" w:cs="Times New Roman" w:eastAsiaTheme="minorEastAsia"/>
          <w:sz w:val="24"/>
          <w:highlight w:val="none"/>
          <w:lang w:val="en-US" w:eastAsia="zh-CN"/>
        </w:rPr>
        <w:t>排水</w:t>
      </w:r>
    </w:p>
    <w:p w14:paraId="33F64171">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1）循环冷却系统排污损失按照循环水量</w:t>
      </w:r>
      <w:r>
        <w:rPr>
          <w:rFonts w:hint="default" w:ascii="Times New Roman" w:hAnsi="Times New Roman" w:cs="Times New Roman" w:eastAsiaTheme="minorEastAsia"/>
          <w:sz w:val="24"/>
          <w:highlight w:val="none"/>
          <w:lang w:val="en-US" w:eastAsia="zh-CN"/>
        </w:rPr>
        <w:t>0.</w:t>
      </w:r>
      <w:r>
        <w:rPr>
          <w:rFonts w:hint="eastAsia" w:ascii="Times New Roman" w:hAnsi="Times New Roman" w:cs="Times New Roman" w:eastAsiaTheme="minorEastAsia"/>
          <w:sz w:val="24"/>
          <w:highlight w:val="none"/>
          <w:lang w:val="en-US" w:eastAsia="zh-CN"/>
        </w:rPr>
        <w:t>2</w:t>
      </w:r>
      <w:r>
        <w:rPr>
          <w:rFonts w:hint="default" w:ascii="Times New Roman" w:hAnsi="Times New Roman" w:cs="Times New Roman" w:eastAsiaTheme="minorEastAsia"/>
          <w:sz w:val="24"/>
          <w:highlight w:val="none"/>
          <w:lang w:val="en-US" w:eastAsia="zh-CN"/>
        </w:rPr>
        <w:t>%</w:t>
      </w:r>
      <w:r>
        <w:rPr>
          <w:rFonts w:hint="eastAsia" w:ascii="Times New Roman" w:hAnsi="Times New Roman" w:cs="Times New Roman" w:eastAsiaTheme="minorEastAsia"/>
          <w:sz w:val="24"/>
          <w:highlight w:val="none"/>
          <w:lang w:val="en-US" w:eastAsia="zh-CN"/>
        </w:rPr>
        <w:t>计算，则循环冷却水定排水为</w:t>
      </w:r>
      <w:r>
        <w:rPr>
          <w:rFonts w:hint="default" w:ascii="Times New Roman" w:hAnsi="Times New Roman" w:cs="Times New Roman" w:eastAsiaTheme="minorEastAsia"/>
          <w:sz w:val="24"/>
          <w:highlight w:val="none"/>
          <w:lang w:val="en-US" w:eastAsia="zh-CN"/>
        </w:rPr>
        <w:t>0.</w:t>
      </w:r>
      <w:r>
        <w:rPr>
          <w:rFonts w:hint="eastAsia" w:ascii="Times New Roman" w:hAnsi="Times New Roman" w:cs="Times New Roman" w:eastAsiaTheme="minorEastAsia"/>
          <w:sz w:val="24"/>
          <w:highlight w:val="none"/>
          <w:lang w:val="en-US" w:eastAsia="zh-CN"/>
        </w:rPr>
        <w:t>048</w:t>
      </w:r>
      <w:r>
        <w:rPr>
          <w:rFonts w:hint="default" w:ascii="Times New Roman" w:hAnsi="Times New Roman" w:cs="Times New Roman" w:eastAsiaTheme="minorEastAsia"/>
          <w:sz w:val="24"/>
          <w:highlight w:val="none"/>
          <w:lang w:val="en-US" w:eastAsia="zh-CN"/>
        </w:rPr>
        <w:t>m</w:t>
      </w:r>
      <w:r>
        <w:rPr>
          <w:rFonts w:hint="default" w:ascii="Times New Roman" w:hAnsi="Times New Roman" w:cs="Times New Roman" w:eastAsiaTheme="minorEastAsia"/>
          <w:sz w:val="24"/>
          <w:highlight w:val="none"/>
          <w:vertAlign w:val="superscript"/>
          <w:lang w:val="en-US" w:eastAsia="zh-CN"/>
        </w:rPr>
        <w:t>3</w:t>
      </w:r>
      <w:r>
        <w:rPr>
          <w:rFonts w:hint="default" w:ascii="Times New Roman" w:hAnsi="Times New Roman" w:cs="Times New Roman" w:eastAsiaTheme="minorEastAsia"/>
          <w:sz w:val="24"/>
          <w:highlight w:val="none"/>
          <w:lang w:val="en-US" w:eastAsia="zh-CN"/>
        </w:rPr>
        <w:t>/d</w:t>
      </w:r>
      <w:r>
        <w:rPr>
          <w:rFonts w:hint="eastAsia" w:ascii="Times New Roman" w:hAnsi="Times New Roman" w:cs="Times New Roman" w:eastAsiaTheme="minorEastAsia"/>
          <w:sz w:val="24"/>
          <w:highlight w:val="none"/>
          <w:lang w:val="en-US" w:eastAsia="zh-CN"/>
        </w:rPr>
        <w:t>。经厂区污水处理站处理后回用于车间消毒</w:t>
      </w:r>
      <w:r>
        <w:rPr>
          <w:rFonts w:hint="eastAsia" w:ascii="Times New Roman" w:hAnsi="Times New Roman" w:cs="Times New Roman"/>
          <w:sz w:val="24"/>
          <w:highlight w:val="none"/>
          <w:lang w:val="en-US" w:eastAsia="zh-CN"/>
        </w:rPr>
        <w:t>，蒸发损耗按1%计，则蒸发损耗量为87.6m</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lang w:val="en-US" w:eastAsia="zh-CN"/>
        </w:rPr>
        <w:t>/a</w:t>
      </w:r>
      <w:r>
        <w:rPr>
          <w:rFonts w:hint="eastAsia" w:ascii="Times New Roman" w:hAnsi="Times New Roman" w:cs="Times New Roman" w:eastAsiaTheme="minorEastAsia"/>
          <w:sz w:val="24"/>
          <w:highlight w:val="none"/>
          <w:lang w:val="en-US" w:eastAsia="zh-CN"/>
        </w:rPr>
        <w:t>。</w:t>
      </w:r>
    </w:p>
    <w:p w14:paraId="05B418F2">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2）软化水站采用离子交换树脂生产软水，离子交换树脂定期进行反冲洗，软化设备制水得水率为</w:t>
      </w:r>
      <w:r>
        <w:rPr>
          <w:rFonts w:hint="eastAsia" w:ascii="Times New Roman" w:hAnsi="Times New Roman" w:cs="Times New Roman"/>
          <w:sz w:val="24"/>
          <w:highlight w:val="none"/>
          <w:lang w:val="en-US" w:eastAsia="zh-CN"/>
        </w:rPr>
        <w:t>90</w:t>
      </w:r>
      <w:r>
        <w:rPr>
          <w:rFonts w:hint="default" w:ascii="Times New Roman" w:hAnsi="Times New Roman" w:cs="Times New Roman" w:eastAsiaTheme="minorEastAsia"/>
          <w:sz w:val="24"/>
          <w:highlight w:val="none"/>
          <w:lang w:val="en-US" w:eastAsia="zh-CN"/>
        </w:rPr>
        <w:t>%</w:t>
      </w:r>
      <w:r>
        <w:rPr>
          <w:rFonts w:hint="eastAsia" w:ascii="Times New Roman" w:hAnsi="Times New Roman" w:cs="Times New Roman" w:eastAsiaTheme="minorEastAsia"/>
          <w:sz w:val="24"/>
          <w:highlight w:val="none"/>
          <w:lang w:val="en-US" w:eastAsia="zh-CN"/>
        </w:rPr>
        <w:t>，新鲜水的耗量为</w:t>
      </w:r>
      <w:r>
        <w:rPr>
          <w:rFonts w:hint="eastAsia" w:ascii="Times New Roman" w:hAnsi="Times New Roman" w:cs="Times New Roman"/>
          <w:sz w:val="24"/>
          <w:highlight w:val="none"/>
          <w:lang w:val="en-US" w:eastAsia="zh-CN"/>
        </w:rPr>
        <w:t>133.653</w:t>
      </w:r>
      <w:r>
        <w:rPr>
          <w:rFonts w:hint="default" w:ascii="Times New Roman" w:hAnsi="Times New Roman" w:cs="Times New Roman" w:eastAsiaTheme="minorEastAsia"/>
          <w:sz w:val="24"/>
          <w:highlight w:val="none"/>
          <w:lang w:val="en-US" w:eastAsia="zh-CN"/>
        </w:rPr>
        <w:t>m</w:t>
      </w:r>
      <w:r>
        <w:rPr>
          <w:rFonts w:hint="default" w:ascii="Times New Roman" w:hAnsi="Times New Roman" w:cs="Times New Roman" w:eastAsiaTheme="minorEastAsia"/>
          <w:sz w:val="24"/>
          <w:highlight w:val="none"/>
          <w:vertAlign w:val="superscript"/>
          <w:lang w:val="en-US" w:eastAsia="zh-CN"/>
        </w:rPr>
        <w:t>3</w:t>
      </w:r>
      <w:r>
        <w:rPr>
          <w:rFonts w:hint="default" w:ascii="Times New Roman" w:hAnsi="Times New Roman" w:cs="Times New Roman" w:eastAsiaTheme="minorEastAsia"/>
          <w:sz w:val="24"/>
          <w:highlight w:val="none"/>
          <w:lang w:val="en-US" w:eastAsia="zh-CN"/>
        </w:rPr>
        <w:t>/d</w:t>
      </w:r>
      <w:r>
        <w:rPr>
          <w:rFonts w:hint="eastAsia" w:ascii="Times New Roman" w:hAnsi="Times New Roman" w:cs="Times New Roman" w:eastAsiaTheme="minorEastAsia"/>
          <w:sz w:val="24"/>
          <w:highlight w:val="none"/>
          <w:lang w:val="en-US" w:eastAsia="zh-CN"/>
        </w:rPr>
        <w:t>，则软化废水产生量为</w:t>
      </w:r>
      <w:r>
        <w:rPr>
          <w:rFonts w:hint="eastAsia" w:ascii="Times New Roman" w:hAnsi="Times New Roman" w:cs="Times New Roman"/>
          <w:sz w:val="24"/>
          <w:highlight w:val="none"/>
          <w:lang w:val="en-US" w:eastAsia="zh-CN"/>
        </w:rPr>
        <w:t>13.365</w:t>
      </w:r>
      <w:r>
        <w:rPr>
          <w:rFonts w:hint="default" w:ascii="Times New Roman" w:hAnsi="Times New Roman" w:cs="Times New Roman" w:eastAsiaTheme="minorEastAsia"/>
          <w:sz w:val="24"/>
          <w:highlight w:val="none"/>
          <w:lang w:val="en-US" w:eastAsia="zh-CN"/>
        </w:rPr>
        <w:t>m</w:t>
      </w:r>
      <w:r>
        <w:rPr>
          <w:rFonts w:hint="default" w:ascii="Times New Roman" w:hAnsi="Times New Roman" w:cs="Times New Roman" w:eastAsiaTheme="minorEastAsia"/>
          <w:sz w:val="24"/>
          <w:highlight w:val="none"/>
          <w:vertAlign w:val="superscript"/>
          <w:lang w:val="en-US" w:eastAsia="zh-CN"/>
        </w:rPr>
        <w:t>3</w:t>
      </w:r>
      <w:r>
        <w:rPr>
          <w:rFonts w:hint="default" w:ascii="Times New Roman" w:hAnsi="Times New Roman" w:cs="Times New Roman" w:eastAsiaTheme="minorEastAsia"/>
          <w:sz w:val="24"/>
          <w:highlight w:val="none"/>
          <w:lang w:val="en-US" w:eastAsia="zh-CN"/>
        </w:rPr>
        <w:t>/d</w:t>
      </w:r>
      <w:r>
        <w:rPr>
          <w:rFonts w:hint="eastAsia" w:ascii="Times New Roman" w:hAnsi="Times New Roman" w:cs="Times New Roman" w:eastAsiaTheme="minorEastAsia"/>
          <w:sz w:val="24"/>
          <w:highlight w:val="none"/>
          <w:lang w:val="en-US" w:eastAsia="zh-CN"/>
        </w:rPr>
        <w:t>。反冲洗水盐度较高，主要为钙（</w:t>
      </w:r>
      <w:r>
        <w:rPr>
          <w:rFonts w:hint="default" w:ascii="Times New Roman" w:hAnsi="Times New Roman" w:cs="Times New Roman" w:eastAsiaTheme="minorEastAsia"/>
          <w:sz w:val="24"/>
          <w:highlight w:val="none"/>
          <w:lang w:val="en-US" w:eastAsia="zh-CN"/>
        </w:rPr>
        <w:t>Ca</w:t>
      </w:r>
      <w:r>
        <w:rPr>
          <w:rFonts w:hint="default" w:ascii="Times New Roman" w:hAnsi="Times New Roman" w:cs="Times New Roman" w:eastAsiaTheme="minorEastAsia"/>
          <w:sz w:val="24"/>
          <w:highlight w:val="none"/>
          <w:vertAlign w:val="superscript"/>
          <w:lang w:val="en-US" w:eastAsia="zh-CN"/>
        </w:rPr>
        <w:t>2+</w:t>
      </w:r>
      <w:r>
        <w:rPr>
          <w:rFonts w:hint="eastAsia" w:ascii="Times New Roman" w:hAnsi="Times New Roman" w:cs="Times New Roman" w:eastAsiaTheme="minorEastAsia"/>
          <w:sz w:val="24"/>
          <w:highlight w:val="none"/>
          <w:lang w:val="en-US" w:eastAsia="zh-CN"/>
        </w:rPr>
        <w:t>）、镁（</w:t>
      </w:r>
      <w:r>
        <w:rPr>
          <w:rFonts w:hint="default" w:ascii="Times New Roman" w:hAnsi="Times New Roman" w:cs="Times New Roman" w:eastAsiaTheme="minorEastAsia"/>
          <w:sz w:val="24"/>
          <w:highlight w:val="none"/>
          <w:lang w:val="en-US" w:eastAsia="zh-CN"/>
        </w:rPr>
        <w:t>Mg</w:t>
      </w:r>
      <w:r>
        <w:rPr>
          <w:rFonts w:hint="default" w:ascii="Times New Roman" w:hAnsi="Times New Roman" w:cs="Times New Roman" w:eastAsiaTheme="minorEastAsia"/>
          <w:sz w:val="24"/>
          <w:highlight w:val="none"/>
          <w:vertAlign w:val="superscript"/>
          <w:lang w:val="en-US" w:eastAsia="zh-CN"/>
        </w:rPr>
        <w:t>2+</w:t>
      </w:r>
      <w:r>
        <w:rPr>
          <w:rFonts w:hint="eastAsia" w:ascii="Times New Roman" w:hAnsi="Times New Roman" w:cs="Times New Roman" w:eastAsiaTheme="minorEastAsia"/>
          <w:sz w:val="24"/>
          <w:highlight w:val="none"/>
          <w:lang w:val="en-US" w:eastAsia="zh-CN"/>
        </w:rPr>
        <w:t>）浓度的增加。经厂区污水处理站处理后回用于车间消毒。</w:t>
      </w:r>
    </w:p>
    <w:p w14:paraId="5516ADAE">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3）湿法脱酸废水来自碱液喷淋装置定期排水，排水量约为喷淋量的</w:t>
      </w:r>
      <w:r>
        <w:rPr>
          <w:rFonts w:hint="default" w:ascii="Times New Roman" w:hAnsi="Times New Roman" w:cs="Times New Roman" w:eastAsiaTheme="minorEastAsia"/>
          <w:sz w:val="24"/>
          <w:highlight w:val="none"/>
          <w:lang w:val="en-US" w:eastAsia="zh-CN"/>
        </w:rPr>
        <w:t>1%</w:t>
      </w:r>
      <w:r>
        <w:rPr>
          <w:rFonts w:hint="eastAsia" w:ascii="Times New Roman" w:hAnsi="Times New Roman" w:cs="Times New Roman" w:eastAsiaTheme="minorEastAsia"/>
          <w:sz w:val="24"/>
          <w:highlight w:val="none"/>
          <w:lang w:val="en-US" w:eastAsia="zh-CN"/>
        </w:rPr>
        <w:t>，则排放量为1.2</w:t>
      </w:r>
      <w:r>
        <w:rPr>
          <w:rFonts w:hint="default" w:ascii="Times New Roman" w:hAnsi="Times New Roman" w:cs="Times New Roman" w:eastAsiaTheme="minorEastAsia"/>
          <w:sz w:val="24"/>
          <w:highlight w:val="none"/>
          <w:lang w:val="en-US" w:eastAsia="zh-CN"/>
        </w:rPr>
        <w:t>m</w:t>
      </w:r>
      <w:r>
        <w:rPr>
          <w:rFonts w:hint="default" w:ascii="Times New Roman" w:hAnsi="Times New Roman" w:cs="Times New Roman" w:eastAsiaTheme="minorEastAsia"/>
          <w:sz w:val="24"/>
          <w:highlight w:val="none"/>
          <w:vertAlign w:val="superscript"/>
          <w:lang w:val="en-US" w:eastAsia="zh-CN"/>
        </w:rPr>
        <w:t>3</w:t>
      </w:r>
      <w:r>
        <w:rPr>
          <w:rFonts w:hint="default" w:ascii="Times New Roman" w:hAnsi="Times New Roman" w:cs="Times New Roman" w:eastAsiaTheme="minorEastAsia"/>
          <w:sz w:val="24"/>
          <w:highlight w:val="none"/>
          <w:lang w:val="en-US" w:eastAsia="zh-CN"/>
        </w:rPr>
        <w:t>/d</w:t>
      </w:r>
      <w:r>
        <w:rPr>
          <w:rFonts w:hint="eastAsia" w:ascii="Times New Roman" w:hAnsi="Times New Roman" w:cs="Times New Roman" w:eastAsiaTheme="minorEastAsia"/>
          <w:sz w:val="24"/>
          <w:highlight w:val="none"/>
          <w:lang w:val="en-US" w:eastAsia="zh-CN"/>
        </w:rPr>
        <w:t>。进入急冷塔作为烟气降温喷淋水。</w:t>
      </w:r>
    </w:p>
    <w:p w14:paraId="66FCDC13">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2、清洗废水</w:t>
      </w:r>
    </w:p>
    <w:p w14:paraId="30D3FE26">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1）车辆冲洗废水：</w:t>
      </w:r>
    </w:p>
    <w:p w14:paraId="5563841D">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本项目医疗废物转运车辆依托企业现有车辆，不新增车辆冲洗废水。</w:t>
      </w:r>
    </w:p>
    <w:p w14:paraId="7CFFA154">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2）地面清洗：</w:t>
      </w:r>
    </w:p>
    <w:p w14:paraId="49870CB8">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本项目地面清洗废水按用水的</w:t>
      </w:r>
      <w:r>
        <w:rPr>
          <w:rFonts w:hint="default" w:ascii="Times New Roman" w:hAnsi="Times New Roman" w:cs="Times New Roman" w:eastAsiaTheme="minorEastAsia"/>
          <w:sz w:val="24"/>
          <w:highlight w:val="none"/>
          <w:lang w:val="en-US" w:eastAsia="zh-CN"/>
        </w:rPr>
        <w:t>8</w:t>
      </w:r>
      <w:r>
        <w:rPr>
          <w:rFonts w:hint="eastAsia" w:ascii="Times New Roman" w:hAnsi="Times New Roman" w:cs="Times New Roman" w:eastAsiaTheme="minorEastAsia"/>
          <w:sz w:val="24"/>
          <w:highlight w:val="none"/>
          <w:lang w:val="en-US" w:eastAsia="zh-CN"/>
        </w:rPr>
        <w:t>0</w:t>
      </w:r>
      <w:r>
        <w:rPr>
          <w:rFonts w:hint="default" w:ascii="Times New Roman" w:hAnsi="Times New Roman" w:cs="Times New Roman" w:eastAsiaTheme="minorEastAsia"/>
          <w:sz w:val="24"/>
          <w:highlight w:val="none"/>
          <w:lang w:val="en-US" w:eastAsia="zh-CN"/>
        </w:rPr>
        <w:t>%</w:t>
      </w:r>
      <w:r>
        <w:rPr>
          <w:rFonts w:hint="eastAsia" w:ascii="Times New Roman" w:hAnsi="Times New Roman" w:cs="Times New Roman" w:eastAsiaTheme="minorEastAsia"/>
          <w:sz w:val="24"/>
          <w:highlight w:val="none"/>
          <w:lang w:val="en-US" w:eastAsia="zh-CN"/>
        </w:rPr>
        <w:t>计算，则排放量为0.</w:t>
      </w:r>
      <w:r>
        <w:rPr>
          <w:rFonts w:hint="eastAsia" w:ascii="Times New Roman" w:hAnsi="Times New Roman" w:cs="Times New Roman"/>
          <w:sz w:val="24"/>
          <w:highlight w:val="none"/>
          <w:lang w:val="en-US" w:eastAsia="zh-CN"/>
        </w:rPr>
        <w:t>648</w:t>
      </w:r>
      <w:r>
        <w:rPr>
          <w:rFonts w:hint="eastAsia" w:ascii="Times New Roman" w:hAnsi="Times New Roman" w:cs="Times New Roman" w:eastAsiaTheme="minorEastAsia"/>
          <w:sz w:val="24"/>
          <w:highlight w:val="none"/>
          <w:lang w:val="en-US" w:eastAsia="zh-CN"/>
        </w:rPr>
        <w:t>m</w:t>
      </w:r>
      <w:r>
        <w:rPr>
          <w:rFonts w:hint="eastAsia"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/d（</w:t>
      </w:r>
      <w:r>
        <w:rPr>
          <w:rFonts w:hint="eastAsia" w:ascii="Times New Roman" w:hAnsi="Times New Roman" w:cs="Times New Roman"/>
          <w:sz w:val="24"/>
          <w:highlight w:val="none"/>
          <w:lang w:val="en-US" w:eastAsia="zh-CN"/>
        </w:rPr>
        <w:t>236.52</w:t>
      </w:r>
      <w:r>
        <w:rPr>
          <w:rFonts w:hint="default" w:ascii="Times New Roman" w:hAnsi="Times New Roman" w:cs="Times New Roman" w:eastAsiaTheme="minorEastAsia"/>
          <w:sz w:val="24"/>
          <w:highlight w:val="none"/>
          <w:lang w:val="en-US" w:eastAsia="zh-CN"/>
        </w:rPr>
        <w:t>m</w:t>
      </w:r>
      <w:r>
        <w:rPr>
          <w:rFonts w:hint="eastAsia" w:ascii="Times New Roman" w:hAnsi="Times New Roman" w:cs="Times New Roman" w:eastAsiaTheme="minorEastAsia"/>
          <w:sz w:val="24"/>
          <w:highlight w:val="none"/>
          <w:vertAlign w:val="superscript"/>
          <w:lang w:val="en-US" w:eastAsia="zh-CN"/>
        </w:rPr>
        <w:t>3</w:t>
      </w:r>
      <w:r>
        <w:rPr>
          <w:rFonts w:hint="default" w:ascii="Times New Roman" w:hAnsi="Times New Roman" w:cs="Times New Roman" w:eastAsiaTheme="minorEastAsia"/>
          <w:sz w:val="24"/>
          <w:highlight w:val="none"/>
          <w:lang w:val="en-US" w:eastAsia="zh-CN"/>
        </w:rPr>
        <w:t>/</w:t>
      </w:r>
      <w:r>
        <w:rPr>
          <w:rFonts w:hint="eastAsia" w:ascii="Times New Roman" w:hAnsi="Times New Roman" w:cs="Times New Roman" w:eastAsiaTheme="minorEastAsia"/>
          <w:sz w:val="24"/>
          <w:highlight w:val="none"/>
          <w:lang w:val="en-US" w:eastAsia="zh-CN"/>
        </w:rPr>
        <w:t>a）。</w:t>
      </w:r>
    </w:p>
    <w:p w14:paraId="3E26091E">
      <w:pPr>
        <w:adjustRightInd w:val="0"/>
        <w:snapToGrid w:val="0"/>
        <w:spacing w:line="500" w:lineRule="exact"/>
        <w:ind w:firstLine="480" w:firstLineChars="200"/>
        <w:jc w:val="left"/>
        <w:rPr>
          <w:rFonts w:hint="eastAsia"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3）周转箱清洗废水</w:t>
      </w:r>
    </w:p>
    <w:p w14:paraId="6CBBE1FA">
      <w:pPr>
        <w:adjustRightInd w:val="0"/>
        <w:snapToGrid w:val="0"/>
        <w:spacing w:line="500" w:lineRule="exact"/>
        <w:ind w:firstLine="480" w:firstLineChars="200"/>
        <w:jc w:val="left"/>
        <w:rPr>
          <w:rFonts w:hint="default"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项目周转箱清洗水用量1.5m</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lang w:val="en-US" w:eastAsia="zh-CN"/>
        </w:rPr>
        <w:t>/d（547.5m</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lang w:val="en-US" w:eastAsia="zh-CN"/>
        </w:rPr>
        <w:t>/a），废水产生量按80%计，则周转箱清洗废水产生量为1.2m</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lang w:val="en-US" w:eastAsia="zh-CN"/>
        </w:rPr>
        <w:t>/d（438m</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lang w:val="en-US" w:eastAsia="zh-CN"/>
        </w:rPr>
        <w:t>/a）。</w:t>
      </w:r>
    </w:p>
    <w:p w14:paraId="4DB8D6A4">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43" w:name="_Toc28302"/>
      <w:r>
        <w:rPr>
          <w:rFonts w:hint="eastAsia" w:ascii="Times New Roman" w:hAnsi="Times New Roman" w:cs="Times New Roman" w:eastAsiaTheme="minorEastAsia"/>
          <w:kern w:val="0"/>
          <w:sz w:val="24"/>
          <w:szCs w:val="24"/>
          <w:lang w:val="en-US" w:eastAsia="zh-CN"/>
        </w:rPr>
        <w:t>3.3.3供配电</w:t>
      </w:r>
      <w:bookmarkEnd w:id="143"/>
    </w:p>
    <w:p w14:paraId="2A9CC22A">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本项目供电由国家电网提供，能够保证本项目的供电电源的可靠。</w:t>
      </w:r>
    </w:p>
    <w:p w14:paraId="6214B742">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44" w:name="_Toc29700"/>
      <w:r>
        <w:rPr>
          <w:rFonts w:hint="eastAsia" w:ascii="Times New Roman" w:hAnsi="Times New Roman" w:cs="Times New Roman" w:eastAsiaTheme="minorEastAsia"/>
          <w:kern w:val="0"/>
          <w:sz w:val="24"/>
          <w:szCs w:val="24"/>
          <w:lang w:val="en-US" w:eastAsia="zh-CN"/>
        </w:rPr>
        <w:t>3.3.4供暖</w:t>
      </w:r>
      <w:bookmarkEnd w:id="144"/>
    </w:p>
    <w:p w14:paraId="7BB41888">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项目生活供热依托现有空调取暖。</w:t>
      </w:r>
    </w:p>
    <w:p w14:paraId="73DB32FB">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45" w:name="_Toc27941"/>
      <w:r>
        <w:rPr>
          <w:rFonts w:hint="eastAsia" w:ascii="Times New Roman" w:hAnsi="Times New Roman" w:cs="Times New Roman" w:eastAsiaTheme="minorEastAsia"/>
          <w:kern w:val="0"/>
          <w:sz w:val="24"/>
          <w:szCs w:val="24"/>
          <w:lang w:val="en-US" w:eastAsia="zh-CN"/>
        </w:rPr>
        <w:t>3.3.5劳动定员与工作制度</w:t>
      </w:r>
      <w:bookmarkEnd w:id="145"/>
    </w:p>
    <w:p w14:paraId="1490FB5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本项目不新增劳动定员，工作人员依托企业现有人员，采取8h三班制工作制</w:t>
      </w:r>
      <w:r>
        <w:rPr>
          <w:rFonts w:hint="eastAsia" w:ascii="Times New Roman" w:hAnsi="Times New Roman" w:cs="Times New Roman"/>
          <w:sz w:val="24"/>
          <w:lang w:val="en-US" w:eastAsia="zh-CN"/>
        </w:rPr>
        <w:t>，年工作365d</w:t>
      </w:r>
      <w:r>
        <w:rPr>
          <w:rFonts w:hint="eastAsia" w:ascii="Times New Roman" w:hAnsi="Times New Roman" w:cs="Times New Roman" w:eastAsiaTheme="minorEastAsia"/>
          <w:sz w:val="24"/>
          <w:lang w:val="en-US" w:eastAsia="zh-CN"/>
        </w:rPr>
        <w:t>。</w:t>
      </w:r>
    </w:p>
    <w:p w14:paraId="00120EA0">
      <w:pPr>
        <w:pStyle w:val="3"/>
        <w:spacing w:before="120" w:after="120" w:line="500" w:lineRule="exact"/>
        <w:ind w:left="375" w:hanging="375" w:firstLineChars="0"/>
        <w:contextualSpacing/>
        <w:rPr>
          <w:rFonts w:hint="eastAsia" w:ascii="Times New Roman" w:hAnsi="Times New Roman" w:cs="Times New Roman" w:eastAsiaTheme="minorEastAsia"/>
          <w:snapToGrid w:val="0"/>
          <w:kern w:val="0"/>
          <w:sz w:val="28"/>
          <w:szCs w:val="28"/>
          <w:lang w:val="en-US" w:eastAsia="zh-CN"/>
        </w:rPr>
      </w:pPr>
      <w:bookmarkStart w:id="146" w:name="_Toc27306"/>
      <w:r>
        <w:rPr>
          <w:rFonts w:hint="eastAsia" w:ascii="Times New Roman" w:hAnsi="Times New Roman" w:cs="Times New Roman" w:eastAsiaTheme="minorEastAsia"/>
          <w:snapToGrid w:val="0"/>
          <w:kern w:val="0"/>
          <w:sz w:val="28"/>
          <w:szCs w:val="28"/>
          <w:lang w:val="en-US" w:eastAsia="zh-CN"/>
        </w:rPr>
        <w:t>3.4工程分析</w:t>
      </w:r>
      <w:bookmarkEnd w:id="146"/>
    </w:p>
    <w:p w14:paraId="46C6E331">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47" w:name="_Toc26385"/>
      <w:r>
        <w:rPr>
          <w:rFonts w:hint="eastAsia" w:ascii="Times New Roman" w:hAnsi="Times New Roman" w:cs="Times New Roman" w:eastAsiaTheme="minorEastAsia"/>
          <w:kern w:val="0"/>
          <w:sz w:val="24"/>
          <w:szCs w:val="24"/>
          <w:lang w:val="en-US" w:eastAsia="zh-CN"/>
        </w:rPr>
        <w:t>3.4.1项目医疗垃圾来源、储运情况</w:t>
      </w:r>
      <w:bookmarkEnd w:id="147"/>
    </w:p>
    <w:p w14:paraId="13B827A8">
      <w:pPr>
        <w:adjustRightInd w:val="0"/>
        <w:snapToGrid w:val="0"/>
        <w:spacing w:line="500" w:lineRule="exact"/>
        <w:jc w:val="left"/>
        <w:rPr>
          <w:rFonts w:hint="eastAsia" w:ascii="Times New Roman" w:hAnsi="Times New Roman" w:cs="Times New Roman" w:eastAsiaTheme="minorEastAsia"/>
          <w:b/>
          <w:bCs/>
          <w:sz w:val="24"/>
          <w:highlight w:val="none"/>
          <w:lang w:val="en-US" w:eastAsia="zh-CN"/>
        </w:rPr>
      </w:pPr>
      <w:r>
        <w:rPr>
          <w:rFonts w:hint="eastAsia" w:ascii="Times New Roman" w:hAnsi="Times New Roman" w:cs="Times New Roman" w:eastAsiaTheme="minorEastAsia"/>
          <w:b/>
          <w:bCs/>
          <w:sz w:val="24"/>
          <w:highlight w:val="none"/>
          <w:lang w:val="en-US" w:eastAsia="zh-CN"/>
        </w:rPr>
        <w:t>3.4.1.1医疗废物来源、性质及成分</w:t>
      </w:r>
    </w:p>
    <w:p w14:paraId="3B267914">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（1）医疗废物规模确定</w:t>
      </w:r>
    </w:p>
    <w:p w14:paraId="09E2D940">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喀什地区现有焚烧类医疗废物处置项目为喀什市医疗垃圾集中处置工程建设项目（一座处理规模为10t/d的智能封闭型真空热解焚烧系统，位于</w:t>
      </w:r>
      <w:r>
        <w:rPr>
          <w:rFonts w:hint="default" w:ascii="Times New Roman" w:hAnsi="Times New Roman" w:cs="Times New Roman" w:eastAsiaTheme="minorEastAsia"/>
          <w:sz w:val="24"/>
          <w:lang w:val="en-US" w:eastAsia="zh-CN"/>
        </w:rPr>
        <w:t>喀什市阿克喀什乡3村</w:t>
      </w:r>
      <w:r>
        <w:rPr>
          <w:rFonts w:hint="eastAsia" w:ascii="Times New Roman" w:hAnsi="Times New Roman" w:cs="Times New Roman" w:eastAsiaTheme="minorEastAsia"/>
          <w:sz w:val="24"/>
          <w:lang w:val="en-US" w:eastAsia="zh-CN"/>
        </w:rPr>
        <w:t>，服务范围为喀什市、疏勒县、疏附县、英吉沙县、伽师县、岳普湖县和麦盖提县产生的医疗垃圾），以及新疆鸿福睿捷环境工程服务有限公司医疗废物处置项目（一座处理规模为3t/d的焚烧炉，位于新疆喀什地区叶城县新疆叶城县219国道6公里处东侧01号。服务范围包括</w:t>
      </w:r>
      <w:r>
        <w:rPr>
          <w:rFonts w:hint="default" w:ascii="Times New Roman" w:hAnsi="Times New Roman" w:cs="Times New Roman" w:eastAsiaTheme="minorEastAsia"/>
          <w:sz w:val="24"/>
          <w:lang w:val="en-US" w:eastAsia="zh-CN"/>
        </w:rPr>
        <w:t>叶城</w:t>
      </w:r>
      <w:r>
        <w:rPr>
          <w:rFonts w:hint="eastAsia" w:ascii="Times New Roman" w:hAnsi="Times New Roman" w:cs="Times New Roman" w:eastAsiaTheme="minorEastAsia"/>
          <w:sz w:val="24"/>
          <w:lang w:val="en-US" w:eastAsia="zh-CN"/>
        </w:rPr>
        <w:t>县</w:t>
      </w:r>
      <w:r>
        <w:rPr>
          <w:rFonts w:hint="default" w:ascii="Times New Roman" w:hAnsi="Times New Roman" w:cs="Times New Roman" w:eastAsiaTheme="minorEastAsia"/>
          <w:sz w:val="24"/>
          <w:lang w:val="en-US" w:eastAsia="zh-CN"/>
        </w:rPr>
        <w:t>、泽普</w:t>
      </w:r>
      <w:r>
        <w:rPr>
          <w:rFonts w:hint="eastAsia" w:ascii="Times New Roman" w:hAnsi="Times New Roman" w:cs="Times New Roman" w:eastAsiaTheme="minorEastAsia"/>
          <w:sz w:val="24"/>
          <w:lang w:val="en-US" w:eastAsia="zh-CN"/>
        </w:rPr>
        <w:t>县</w:t>
      </w:r>
      <w:r>
        <w:rPr>
          <w:rFonts w:hint="default" w:ascii="Times New Roman" w:hAnsi="Times New Roman" w:cs="Times New Roman" w:eastAsiaTheme="minorEastAsia"/>
          <w:sz w:val="24"/>
          <w:lang w:val="en-US" w:eastAsia="zh-CN"/>
        </w:rPr>
        <w:t>、麦盖提</w:t>
      </w:r>
      <w:r>
        <w:rPr>
          <w:rFonts w:hint="eastAsia" w:ascii="Times New Roman" w:hAnsi="Times New Roman" w:cs="Times New Roman" w:eastAsiaTheme="minorEastAsia"/>
          <w:sz w:val="24"/>
          <w:lang w:val="en-US" w:eastAsia="zh-CN"/>
        </w:rPr>
        <w:t>县</w:t>
      </w:r>
      <w:r>
        <w:rPr>
          <w:rFonts w:hint="default" w:ascii="Times New Roman" w:hAnsi="Times New Roman" w:cs="Times New Roman" w:eastAsiaTheme="minorEastAsia"/>
          <w:sz w:val="24"/>
          <w:lang w:val="en-US" w:eastAsia="zh-CN"/>
        </w:rPr>
        <w:t>、巴楚</w:t>
      </w:r>
      <w:r>
        <w:rPr>
          <w:rFonts w:hint="eastAsia" w:ascii="Times New Roman" w:hAnsi="Times New Roman" w:cs="Times New Roman" w:eastAsiaTheme="minorEastAsia"/>
          <w:sz w:val="24"/>
          <w:lang w:val="en-US" w:eastAsia="zh-CN"/>
        </w:rPr>
        <w:t>县</w:t>
      </w:r>
      <w:r>
        <w:rPr>
          <w:rFonts w:hint="default" w:ascii="Times New Roman" w:hAnsi="Times New Roman" w:cs="Times New Roman" w:eastAsiaTheme="minorEastAsia"/>
          <w:sz w:val="24"/>
          <w:lang w:val="en-US" w:eastAsia="zh-CN"/>
        </w:rPr>
        <w:t>、伽师</w:t>
      </w:r>
      <w:r>
        <w:rPr>
          <w:rFonts w:hint="eastAsia" w:ascii="Times New Roman" w:hAnsi="Times New Roman" w:cs="Times New Roman" w:eastAsiaTheme="minorEastAsia"/>
          <w:sz w:val="24"/>
          <w:lang w:val="en-US" w:eastAsia="zh-CN"/>
        </w:rPr>
        <w:t>县</w:t>
      </w:r>
      <w:r>
        <w:rPr>
          <w:rFonts w:hint="default" w:ascii="Times New Roman" w:hAnsi="Times New Roman" w:cs="Times New Roman" w:eastAsiaTheme="minorEastAsia"/>
          <w:sz w:val="24"/>
          <w:lang w:val="en-US" w:eastAsia="zh-CN"/>
        </w:rPr>
        <w:t>五县医疗机构</w:t>
      </w:r>
      <w:r>
        <w:rPr>
          <w:rFonts w:hint="eastAsia" w:ascii="Times New Roman" w:hAnsi="Times New Roman" w:cs="Times New Roman" w:eastAsiaTheme="minorEastAsia"/>
          <w:sz w:val="24"/>
          <w:lang w:val="en-US" w:eastAsia="zh-CN"/>
        </w:rPr>
        <w:t>）；非焚烧类医疗废物处置项目有喀什市医疗垃圾集中处置工程扩建项目（高温蒸汽，处置规模10t/d）；岳普湖县医疗废物处置项目（高温蒸汽，处置规模3t/d）；巴楚县医疗废物处理中心（高温蒸汽，处置规模3t/d）；伽师县医疗废物处理建设项目（微波+蒸汽，处置规模3t/d）。</w:t>
      </w:r>
    </w:p>
    <w:p w14:paraId="74F04C25">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结合喀什地区现有医疗废物处置企业布局、处置工艺及处置规模来看，区域内以高温蒸汽、微波消毒等非焚烧处置工艺为主的企业数量充足、处置产能已基本趋于饱和，可充分满足辖区内常规感染性、损伤性等普通医疗废物的处置需求。但该类非焚烧处置工艺存在明显处置短板，无法有效处置解剖类医疗废物、细胞毒性废物、废弃药品及化学药剂类等特殊危险医疗废物，处置品类存在较大局限性。</w:t>
      </w:r>
    </w:p>
    <w:p w14:paraId="3B6C93ED">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同时，区域内具备焚烧处置能力的企业服务辐射范围有限，未能实现喀什地区全域各县市全覆盖，部分县域特殊类别医疗废物仍存在收运处置不便、处置渠道不畅等问题，区域医疗废物全品类、全覆盖规范化处置体系仍有待进一步完善补齐</w:t>
      </w:r>
    </w:p>
    <w:p w14:paraId="6D16D0E5">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服务范围为喀什地区莎车县、泽普县、叶城县、英吉沙县。随着城市的发展及人口的增长，医疗废物产生量在不断增加，因此考虑到医院及诊所的经营状况、病人入住率的周期波动及结合社会经济的发展对莎车县及周边县医疗废弃物产生量的预测，再根据《全国危险废物和医疗废物处置设施建设规划》《危险废物和医疗废物处置设施建设项目复核大纲（试行）》和《医疗废物集中焚烧处置工程技术规范》（HJ 177-2023）要求。确定本项目设计处置规模为2</w:t>
      </w:r>
      <w:r>
        <w:rPr>
          <w:rFonts w:hint="default" w:ascii="Times New Roman" w:hAnsi="Times New Roman" w:cs="Times New Roman" w:eastAsiaTheme="minorEastAsia"/>
          <w:sz w:val="24"/>
          <w:lang w:val="en-US" w:eastAsia="zh-CN"/>
        </w:rPr>
        <w:t>t/d</w:t>
      </w:r>
      <w:r>
        <w:rPr>
          <w:rFonts w:hint="eastAsia" w:ascii="Times New Roman" w:hAnsi="Times New Roman" w:cs="Times New Roman" w:eastAsiaTheme="minorEastAsia"/>
          <w:sz w:val="24"/>
          <w:lang w:val="en-US" w:eastAsia="zh-CN"/>
        </w:rPr>
        <w:t>（730</w:t>
      </w:r>
      <w:r>
        <w:rPr>
          <w:rFonts w:hint="default" w:ascii="Times New Roman" w:hAnsi="Times New Roman" w:cs="Times New Roman" w:eastAsiaTheme="minorEastAsia"/>
          <w:sz w:val="24"/>
          <w:lang w:val="en-US" w:eastAsia="zh-CN"/>
        </w:rPr>
        <w:t>t/a</w:t>
      </w:r>
      <w:r>
        <w:rPr>
          <w:rFonts w:hint="eastAsia" w:ascii="Times New Roman" w:hAnsi="Times New Roman" w:cs="Times New Roman" w:eastAsiaTheme="minorEastAsia"/>
          <w:sz w:val="24"/>
          <w:lang w:val="en-US" w:eastAsia="zh-CN"/>
        </w:rPr>
        <w:t>），规模确定合理。</w:t>
      </w:r>
    </w:p>
    <w:p w14:paraId="75640107">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（2）医疗废物处置范围</w:t>
      </w:r>
    </w:p>
    <w:p w14:paraId="7B91E660">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lang w:val="en-US" w:eastAsia="zh-CN"/>
        </w:rPr>
        <w:t>按照《医疗废物处理处置污染防治最佳可行技术指南》要求：企业现有工程适应于感染性、损伤性医疗废物的处置，焚烧技术适用于处理感染性、损伤性、病理性、药物性和化学性医疗废物的处置。因此，确定本项目建成后可处理感染性、损伤性、病理性、药物性和化学性五大类医疗废物。详见表</w:t>
      </w:r>
      <w:r>
        <w:rPr>
          <w:rFonts w:hint="default" w:ascii="Times New Roman" w:hAnsi="Times New Roman" w:cs="Times New Roman" w:eastAsiaTheme="minorEastAsia"/>
          <w:sz w:val="24"/>
          <w:lang w:val="en-US" w:eastAsia="zh-CN"/>
        </w:rPr>
        <w:t>3.</w:t>
      </w:r>
      <w:r>
        <w:rPr>
          <w:rFonts w:hint="eastAsia" w:ascii="Times New Roman" w:hAnsi="Times New Roman" w:cs="Times New Roman" w:eastAsiaTheme="minorEastAsia"/>
          <w:sz w:val="24"/>
          <w:lang w:val="en-US" w:eastAsia="zh-CN"/>
        </w:rPr>
        <w:t>4</w:t>
      </w:r>
      <w:r>
        <w:rPr>
          <w:rFonts w:hint="default" w:ascii="Times New Roman" w:hAnsi="Times New Roman" w:cs="Times New Roman" w:eastAsiaTheme="minorEastAsia"/>
          <w:sz w:val="24"/>
          <w:lang w:val="en-US" w:eastAsia="zh-CN"/>
        </w:rPr>
        <w:t>-1</w:t>
      </w:r>
      <w:r>
        <w:rPr>
          <w:rFonts w:hint="eastAsia" w:ascii="Times New Roman" w:hAnsi="Times New Roman" w:cs="Times New Roman" w:eastAsiaTheme="minorEastAsia"/>
          <w:sz w:val="24"/>
          <w:lang w:val="en-US" w:eastAsia="zh-CN"/>
        </w:rPr>
        <w:t>。</w:t>
      </w:r>
    </w:p>
    <w:p w14:paraId="75C8ADEC">
      <w:pPr>
        <w:adjustRightInd w:val="0"/>
        <w:snapToGrid w:val="0"/>
        <w:spacing w:before="250"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表3.4-1  五大类医疗废物的特征及组成</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1950"/>
        <w:gridCol w:w="5834"/>
      </w:tblGrid>
      <w:tr w14:paraId="1FC1C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8" w:type="dxa"/>
            <w:vAlign w:val="center"/>
          </w:tcPr>
          <w:p w14:paraId="16A639A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类别</w:t>
            </w:r>
          </w:p>
        </w:tc>
        <w:tc>
          <w:tcPr>
            <w:tcW w:w="1950" w:type="dxa"/>
            <w:vAlign w:val="center"/>
          </w:tcPr>
          <w:p w14:paraId="335765E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特征</w:t>
            </w:r>
          </w:p>
        </w:tc>
        <w:tc>
          <w:tcPr>
            <w:tcW w:w="5834" w:type="dxa"/>
            <w:vAlign w:val="center"/>
          </w:tcPr>
          <w:p w14:paraId="5E096AA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常见组分或者废物名称</w:t>
            </w:r>
          </w:p>
        </w:tc>
      </w:tr>
      <w:tr w14:paraId="282A3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Merge w:val="restart"/>
            <w:vAlign w:val="center"/>
          </w:tcPr>
          <w:p w14:paraId="413BBB2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感染性废物</w:t>
            </w:r>
          </w:p>
        </w:tc>
        <w:tc>
          <w:tcPr>
            <w:tcW w:w="1950" w:type="dxa"/>
            <w:vMerge w:val="restart"/>
            <w:vAlign w:val="center"/>
          </w:tcPr>
          <w:p w14:paraId="6E9D94D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携带病原微生物具有引发感染性疾病传播危险的医疗废物</w:t>
            </w:r>
          </w:p>
        </w:tc>
        <w:tc>
          <w:tcPr>
            <w:tcW w:w="5834" w:type="dxa"/>
            <w:vAlign w:val="center"/>
          </w:tcPr>
          <w:p w14:paraId="359BC712">
            <w:pPr>
              <w:autoSpaceDE w:val="0"/>
              <w:autoSpaceDN w:val="0"/>
              <w:spacing w:line="300" w:lineRule="exact"/>
              <w:jc w:val="left"/>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①被病人血液、体液、排泄物污染的物品，包括：</w:t>
            </w:r>
          </w:p>
          <w:p w14:paraId="4711C048">
            <w:pPr>
              <w:autoSpaceDE w:val="0"/>
              <w:autoSpaceDN w:val="0"/>
              <w:spacing w:line="300" w:lineRule="exact"/>
              <w:jc w:val="left"/>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棉球、棉签、引流棉条、纱布及其他各种敷料；</w:t>
            </w:r>
          </w:p>
          <w:p w14:paraId="481500FE">
            <w:pPr>
              <w:autoSpaceDE w:val="0"/>
              <w:autoSpaceDN w:val="0"/>
              <w:spacing w:line="300" w:lineRule="exact"/>
              <w:jc w:val="left"/>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一次性使用卫生用品、一次性使用医疗用品及一次性医疗器械；</w:t>
            </w:r>
          </w:p>
          <w:p w14:paraId="7BB35908">
            <w:pPr>
              <w:autoSpaceDE w:val="0"/>
              <w:autoSpaceDN w:val="0"/>
              <w:spacing w:line="300" w:lineRule="exact"/>
              <w:jc w:val="left"/>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废弃的被服；</w:t>
            </w:r>
          </w:p>
          <w:p w14:paraId="68082B0F">
            <w:pPr>
              <w:autoSpaceDE w:val="0"/>
              <w:autoSpaceDN w:val="0"/>
              <w:spacing w:line="300" w:lineRule="exact"/>
              <w:jc w:val="left"/>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其他被病人血液、体液、排泄物污染的物品。</w:t>
            </w:r>
          </w:p>
        </w:tc>
      </w:tr>
      <w:tr w14:paraId="6EE60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Merge w:val="continue"/>
            <w:vAlign w:val="center"/>
          </w:tcPr>
          <w:p w14:paraId="3DC0C88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1950" w:type="dxa"/>
            <w:vMerge w:val="continue"/>
            <w:vAlign w:val="center"/>
          </w:tcPr>
          <w:p w14:paraId="2CEB92F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5834" w:type="dxa"/>
            <w:vAlign w:val="center"/>
          </w:tcPr>
          <w:p w14:paraId="79A3533C">
            <w:pPr>
              <w:autoSpaceDE w:val="0"/>
              <w:autoSpaceDN w:val="0"/>
              <w:spacing w:line="300" w:lineRule="exact"/>
              <w:jc w:val="left"/>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②医疗机构收治的隔离传染病病人或者疑似传染病病人产生的生活垃圾。</w:t>
            </w:r>
          </w:p>
        </w:tc>
      </w:tr>
      <w:tr w14:paraId="12CCF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Merge w:val="continue"/>
            <w:vAlign w:val="center"/>
          </w:tcPr>
          <w:p w14:paraId="66AAD58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1950" w:type="dxa"/>
            <w:vMerge w:val="continue"/>
            <w:vAlign w:val="center"/>
          </w:tcPr>
          <w:p w14:paraId="027A987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5834" w:type="dxa"/>
            <w:vAlign w:val="center"/>
          </w:tcPr>
          <w:p w14:paraId="260BEA4F">
            <w:pPr>
              <w:autoSpaceDE w:val="0"/>
              <w:autoSpaceDN w:val="0"/>
              <w:spacing w:line="300" w:lineRule="exact"/>
              <w:jc w:val="left"/>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③病原体的培养基、标本和菌种、毒种保存液。</w:t>
            </w:r>
          </w:p>
        </w:tc>
      </w:tr>
      <w:tr w14:paraId="5768D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Merge w:val="continue"/>
            <w:vAlign w:val="center"/>
          </w:tcPr>
          <w:p w14:paraId="6676AEB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1950" w:type="dxa"/>
            <w:vMerge w:val="continue"/>
            <w:vAlign w:val="center"/>
          </w:tcPr>
          <w:p w14:paraId="77B26D3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5834" w:type="dxa"/>
            <w:vAlign w:val="center"/>
          </w:tcPr>
          <w:p w14:paraId="2E4ABB7C">
            <w:pPr>
              <w:autoSpaceDE w:val="0"/>
              <w:autoSpaceDN w:val="0"/>
              <w:spacing w:line="300" w:lineRule="exact"/>
              <w:jc w:val="left"/>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④各种废弃的医学标本。</w:t>
            </w:r>
          </w:p>
        </w:tc>
      </w:tr>
      <w:tr w14:paraId="40C66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Merge w:val="continue"/>
            <w:vAlign w:val="center"/>
          </w:tcPr>
          <w:p w14:paraId="16C0557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1950" w:type="dxa"/>
            <w:vMerge w:val="continue"/>
            <w:vAlign w:val="center"/>
          </w:tcPr>
          <w:p w14:paraId="4DE839A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5834" w:type="dxa"/>
            <w:vAlign w:val="center"/>
          </w:tcPr>
          <w:p w14:paraId="414FEC41">
            <w:pPr>
              <w:autoSpaceDE w:val="0"/>
              <w:autoSpaceDN w:val="0"/>
              <w:spacing w:line="300" w:lineRule="exact"/>
              <w:jc w:val="left"/>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⑤废弃的血液、血清。</w:t>
            </w:r>
          </w:p>
        </w:tc>
      </w:tr>
      <w:tr w14:paraId="6D6BC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Merge w:val="continue"/>
            <w:vAlign w:val="center"/>
          </w:tcPr>
          <w:p w14:paraId="500DEA0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1950" w:type="dxa"/>
            <w:vMerge w:val="continue"/>
            <w:vAlign w:val="center"/>
          </w:tcPr>
          <w:p w14:paraId="4B2A253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5834" w:type="dxa"/>
            <w:vAlign w:val="center"/>
          </w:tcPr>
          <w:p w14:paraId="1CE53EB0">
            <w:pPr>
              <w:autoSpaceDE w:val="0"/>
              <w:autoSpaceDN w:val="0"/>
              <w:spacing w:line="300" w:lineRule="exact"/>
              <w:jc w:val="left"/>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⑥使用后的一次性使用医疗用品及一次性医疗器械视为感染</w:t>
            </w:r>
          </w:p>
          <w:p w14:paraId="3FD61CAC">
            <w:pPr>
              <w:autoSpaceDE w:val="0"/>
              <w:autoSpaceDN w:val="0"/>
              <w:spacing w:line="300" w:lineRule="exact"/>
              <w:jc w:val="left"/>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性废物。</w:t>
            </w:r>
          </w:p>
        </w:tc>
      </w:tr>
      <w:tr w14:paraId="13F90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Merge w:val="continue"/>
            <w:vAlign w:val="center"/>
          </w:tcPr>
          <w:p w14:paraId="317BF1D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1950" w:type="dxa"/>
            <w:vMerge w:val="continue"/>
            <w:vAlign w:val="center"/>
          </w:tcPr>
          <w:p w14:paraId="61C85BE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5834" w:type="dxa"/>
            <w:vAlign w:val="center"/>
          </w:tcPr>
          <w:p w14:paraId="6F4B83FC">
            <w:pPr>
              <w:autoSpaceDE w:val="0"/>
              <w:autoSpaceDN w:val="0"/>
              <w:spacing w:line="300" w:lineRule="exact"/>
              <w:jc w:val="left"/>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⑦参考《医疗废物管理条例》，医院废水处理产生的污泥应归属于感染性废物</w:t>
            </w:r>
          </w:p>
        </w:tc>
      </w:tr>
      <w:tr w14:paraId="7B3B6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Merge w:val="restart"/>
            <w:vAlign w:val="center"/>
          </w:tcPr>
          <w:p w14:paraId="04DFD72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病理性废物</w:t>
            </w:r>
          </w:p>
        </w:tc>
        <w:tc>
          <w:tcPr>
            <w:tcW w:w="1950" w:type="dxa"/>
            <w:vMerge w:val="restart"/>
            <w:vAlign w:val="center"/>
          </w:tcPr>
          <w:p w14:paraId="4963C89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诊疗过程中产生的人体废弃物和医学实验动物尸体等。</w:t>
            </w:r>
          </w:p>
        </w:tc>
        <w:tc>
          <w:tcPr>
            <w:tcW w:w="5834" w:type="dxa"/>
            <w:vAlign w:val="center"/>
          </w:tcPr>
          <w:p w14:paraId="05215582">
            <w:pPr>
              <w:autoSpaceDE w:val="0"/>
              <w:autoSpaceDN w:val="0"/>
              <w:spacing w:line="300" w:lineRule="exact"/>
              <w:jc w:val="left"/>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①手术及其他诊疗过程中产生的废弃的人体组织、器官等。</w:t>
            </w:r>
          </w:p>
        </w:tc>
      </w:tr>
      <w:tr w14:paraId="45C5C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Merge w:val="continue"/>
            <w:vAlign w:val="center"/>
          </w:tcPr>
          <w:p w14:paraId="6733689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1950" w:type="dxa"/>
            <w:vMerge w:val="continue"/>
            <w:vAlign w:val="center"/>
          </w:tcPr>
          <w:p w14:paraId="540FAAC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5834" w:type="dxa"/>
            <w:vAlign w:val="center"/>
          </w:tcPr>
          <w:p w14:paraId="6DB301F0">
            <w:pPr>
              <w:autoSpaceDE w:val="0"/>
              <w:autoSpaceDN w:val="0"/>
              <w:spacing w:line="300" w:lineRule="exact"/>
              <w:jc w:val="left"/>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②医学实验动物的组织、尸体。</w:t>
            </w:r>
          </w:p>
        </w:tc>
      </w:tr>
      <w:tr w14:paraId="43B91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Merge w:val="continue"/>
            <w:vAlign w:val="center"/>
          </w:tcPr>
          <w:p w14:paraId="656E672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1950" w:type="dxa"/>
            <w:vMerge w:val="continue"/>
            <w:vAlign w:val="center"/>
          </w:tcPr>
          <w:p w14:paraId="5EC6AF8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5834" w:type="dxa"/>
            <w:vAlign w:val="center"/>
          </w:tcPr>
          <w:p w14:paraId="5EB2101F">
            <w:pPr>
              <w:autoSpaceDE w:val="0"/>
              <w:autoSpaceDN w:val="0"/>
              <w:spacing w:line="300" w:lineRule="exact"/>
              <w:jc w:val="left"/>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③病理切片后废弃的人体组织、病理蜡块等。</w:t>
            </w:r>
          </w:p>
        </w:tc>
      </w:tr>
      <w:tr w14:paraId="157FC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Merge w:val="restart"/>
            <w:vAlign w:val="center"/>
          </w:tcPr>
          <w:p w14:paraId="050812A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损伤性废物</w:t>
            </w:r>
          </w:p>
        </w:tc>
        <w:tc>
          <w:tcPr>
            <w:tcW w:w="1950" w:type="dxa"/>
            <w:vMerge w:val="restart"/>
            <w:vAlign w:val="center"/>
          </w:tcPr>
          <w:p w14:paraId="5A9ED54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能够刺伤或者割伤人体的废弃的医用锐器。</w:t>
            </w:r>
          </w:p>
        </w:tc>
        <w:tc>
          <w:tcPr>
            <w:tcW w:w="5834" w:type="dxa"/>
            <w:vAlign w:val="center"/>
          </w:tcPr>
          <w:p w14:paraId="6561D36F">
            <w:pPr>
              <w:autoSpaceDE w:val="0"/>
              <w:autoSpaceDN w:val="0"/>
              <w:spacing w:line="300" w:lineRule="exact"/>
              <w:jc w:val="left"/>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①医用针头、缝合针。</w:t>
            </w:r>
          </w:p>
        </w:tc>
      </w:tr>
      <w:tr w14:paraId="50F7F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Merge w:val="continue"/>
            <w:vAlign w:val="center"/>
          </w:tcPr>
          <w:p w14:paraId="5A4646E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1950" w:type="dxa"/>
            <w:vMerge w:val="continue"/>
            <w:vAlign w:val="center"/>
          </w:tcPr>
          <w:p w14:paraId="6558DE2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5834" w:type="dxa"/>
            <w:vAlign w:val="center"/>
          </w:tcPr>
          <w:p w14:paraId="62D29A63">
            <w:pPr>
              <w:autoSpaceDE w:val="0"/>
              <w:autoSpaceDN w:val="0"/>
              <w:spacing w:line="300" w:lineRule="exact"/>
              <w:jc w:val="left"/>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②各类医用锐器，包括：解剖刀、手术刀、备皮刀、手术锯等。</w:t>
            </w:r>
          </w:p>
        </w:tc>
      </w:tr>
      <w:tr w14:paraId="7BC99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Merge w:val="continue"/>
            <w:vAlign w:val="center"/>
          </w:tcPr>
          <w:p w14:paraId="701A6DD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1950" w:type="dxa"/>
            <w:vMerge w:val="continue"/>
            <w:vAlign w:val="center"/>
          </w:tcPr>
          <w:p w14:paraId="4A21826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5834" w:type="dxa"/>
            <w:vAlign w:val="center"/>
          </w:tcPr>
          <w:p w14:paraId="6082DCC4">
            <w:pPr>
              <w:autoSpaceDE w:val="0"/>
              <w:autoSpaceDN w:val="0"/>
              <w:spacing w:line="300" w:lineRule="exact"/>
              <w:jc w:val="left"/>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③载玻片、玻璃试管、玻璃安瓿等。</w:t>
            </w:r>
          </w:p>
        </w:tc>
      </w:tr>
      <w:tr w14:paraId="5F98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Merge w:val="restart"/>
            <w:vAlign w:val="center"/>
          </w:tcPr>
          <w:p w14:paraId="2A34AC2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药物性废物</w:t>
            </w:r>
          </w:p>
        </w:tc>
        <w:tc>
          <w:tcPr>
            <w:tcW w:w="1950" w:type="dxa"/>
            <w:vMerge w:val="restart"/>
            <w:vAlign w:val="center"/>
          </w:tcPr>
          <w:p w14:paraId="69F4B9C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过期、淘汰、变质或者被污染的废弃的药品。</w:t>
            </w:r>
          </w:p>
        </w:tc>
        <w:tc>
          <w:tcPr>
            <w:tcW w:w="5834" w:type="dxa"/>
            <w:vAlign w:val="center"/>
          </w:tcPr>
          <w:p w14:paraId="4CF9A45E">
            <w:pPr>
              <w:autoSpaceDE w:val="0"/>
              <w:autoSpaceDN w:val="0"/>
              <w:spacing w:line="300" w:lineRule="exact"/>
              <w:jc w:val="left"/>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①废弃的一般性药品，如：抗生素、非处方类药品等。</w:t>
            </w:r>
          </w:p>
        </w:tc>
      </w:tr>
      <w:tr w14:paraId="130BA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Merge w:val="continue"/>
            <w:vAlign w:val="center"/>
          </w:tcPr>
          <w:p w14:paraId="2A7D02D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1950" w:type="dxa"/>
            <w:vMerge w:val="continue"/>
            <w:vAlign w:val="center"/>
          </w:tcPr>
          <w:p w14:paraId="0A7B4F3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5834" w:type="dxa"/>
            <w:vAlign w:val="center"/>
          </w:tcPr>
          <w:p w14:paraId="2C87013E">
            <w:pPr>
              <w:autoSpaceDE w:val="0"/>
              <w:autoSpaceDN w:val="0"/>
              <w:spacing w:line="300" w:lineRule="exact"/>
              <w:jc w:val="left"/>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②废弃的细胞毒性药物和遗传毒性药物，包括：</w:t>
            </w:r>
          </w:p>
          <w:p w14:paraId="4F092FC8">
            <w:pPr>
              <w:autoSpaceDE w:val="0"/>
              <w:autoSpaceDN w:val="0"/>
              <w:spacing w:line="300" w:lineRule="exact"/>
              <w:jc w:val="left"/>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致癌性药物，如硫唑嘌呤、苯丁酸氮芥、萘氮芥、环孢霉素、环磷酰胺、苯丙胺酸氮芥、司莫司汀、三苯氧氨、硫替派等；</w:t>
            </w:r>
          </w:p>
          <w:p w14:paraId="0D1D6F48">
            <w:pPr>
              <w:autoSpaceDE w:val="0"/>
              <w:autoSpaceDN w:val="0"/>
              <w:spacing w:line="300" w:lineRule="exact"/>
              <w:jc w:val="left"/>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可疑致癌性药物，如：顺铂、丝裂霉素、阿霉素、苯巴比妥等；</w:t>
            </w:r>
          </w:p>
          <w:p w14:paraId="495EF08D">
            <w:pPr>
              <w:autoSpaceDE w:val="0"/>
              <w:autoSpaceDN w:val="0"/>
              <w:spacing w:line="300" w:lineRule="exact"/>
              <w:jc w:val="left"/>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免疫抑制剂。</w:t>
            </w:r>
          </w:p>
        </w:tc>
      </w:tr>
      <w:tr w14:paraId="67FD0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Merge w:val="continue"/>
            <w:vAlign w:val="center"/>
          </w:tcPr>
          <w:p w14:paraId="4583801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1950" w:type="dxa"/>
            <w:vMerge w:val="continue"/>
            <w:vAlign w:val="center"/>
          </w:tcPr>
          <w:p w14:paraId="2E95C6D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5834" w:type="dxa"/>
            <w:vAlign w:val="center"/>
          </w:tcPr>
          <w:p w14:paraId="0C928ACF">
            <w:pPr>
              <w:autoSpaceDE w:val="0"/>
              <w:autoSpaceDN w:val="0"/>
              <w:spacing w:line="300" w:lineRule="exact"/>
              <w:jc w:val="left"/>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③废弃的疫苗、血液制品等。</w:t>
            </w:r>
          </w:p>
        </w:tc>
      </w:tr>
      <w:tr w14:paraId="0299B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Merge w:val="restart"/>
            <w:vAlign w:val="center"/>
          </w:tcPr>
          <w:p w14:paraId="36326DD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化学性废物</w:t>
            </w:r>
          </w:p>
        </w:tc>
        <w:tc>
          <w:tcPr>
            <w:tcW w:w="1950" w:type="dxa"/>
            <w:vMerge w:val="restart"/>
            <w:vAlign w:val="center"/>
          </w:tcPr>
          <w:p w14:paraId="70B4BA7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具有毒性、腐蚀性、易燃易爆性的废弃的化学物品。</w:t>
            </w:r>
          </w:p>
        </w:tc>
        <w:tc>
          <w:tcPr>
            <w:tcW w:w="5834" w:type="dxa"/>
            <w:vAlign w:val="center"/>
          </w:tcPr>
          <w:p w14:paraId="390E0BF1">
            <w:pPr>
              <w:autoSpaceDE w:val="0"/>
              <w:autoSpaceDN w:val="0"/>
              <w:spacing w:line="300" w:lineRule="exact"/>
              <w:jc w:val="left"/>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①医学影像室、实验室废弃的化学试剂。</w:t>
            </w:r>
          </w:p>
        </w:tc>
      </w:tr>
      <w:tr w14:paraId="154D4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Merge w:val="continue"/>
            <w:vAlign w:val="center"/>
          </w:tcPr>
          <w:p w14:paraId="1197F9F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1950" w:type="dxa"/>
            <w:vMerge w:val="continue"/>
            <w:vAlign w:val="center"/>
          </w:tcPr>
          <w:p w14:paraId="7C5E722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5834" w:type="dxa"/>
            <w:vAlign w:val="center"/>
          </w:tcPr>
          <w:p w14:paraId="1A14D2A1">
            <w:pPr>
              <w:autoSpaceDE w:val="0"/>
              <w:autoSpaceDN w:val="0"/>
              <w:spacing w:line="300" w:lineRule="exact"/>
              <w:jc w:val="left"/>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②废弃的过氧乙酸、戊二醛等化学消毒剂。</w:t>
            </w:r>
          </w:p>
        </w:tc>
      </w:tr>
      <w:tr w14:paraId="0853A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Merge w:val="continue"/>
            <w:vAlign w:val="center"/>
          </w:tcPr>
          <w:p w14:paraId="58DD1CB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1950" w:type="dxa"/>
            <w:vMerge w:val="continue"/>
            <w:vAlign w:val="center"/>
          </w:tcPr>
          <w:p w14:paraId="13876C0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5834" w:type="dxa"/>
            <w:vAlign w:val="center"/>
          </w:tcPr>
          <w:p w14:paraId="28A589C4">
            <w:pPr>
              <w:autoSpaceDE w:val="0"/>
              <w:autoSpaceDN w:val="0"/>
              <w:spacing w:line="300" w:lineRule="exact"/>
              <w:jc w:val="left"/>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③废弃的汞血压计、汞温度计。</w:t>
            </w:r>
          </w:p>
        </w:tc>
      </w:tr>
    </w:tbl>
    <w:p w14:paraId="3BCA9107">
      <w:pPr>
        <w:adjustRightInd w:val="0"/>
        <w:snapToGrid w:val="0"/>
        <w:spacing w:line="500" w:lineRule="exact"/>
        <w:jc w:val="left"/>
        <w:rPr>
          <w:rFonts w:hint="eastAsia" w:ascii="Times New Roman" w:hAnsi="Times New Roman" w:cs="Times New Roman" w:eastAsiaTheme="minorEastAsia"/>
          <w:b/>
          <w:bCs/>
          <w:sz w:val="24"/>
          <w:highlight w:val="none"/>
          <w:lang w:val="en-US" w:eastAsia="zh-CN"/>
        </w:rPr>
      </w:pPr>
      <w:r>
        <w:rPr>
          <w:rFonts w:hint="eastAsia" w:ascii="Times New Roman" w:hAnsi="Times New Roman" w:cs="Times New Roman" w:eastAsiaTheme="minorEastAsia"/>
          <w:b/>
          <w:bCs/>
          <w:sz w:val="24"/>
          <w:highlight w:val="none"/>
          <w:lang w:val="en-US" w:eastAsia="zh-CN"/>
        </w:rPr>
        <w:t>3.4.1.2医疗废物的收集、运输及贮存</w:t>
      </w:r>
    </w:p>
    <w:p w14:paraId="4EA77C36">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（1）医疗废物的收集</w:t>
      </w:r>
    </w:p>
    <w:p w14:paraId="687D8457">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本项目处置的医疗废物主要来自莎车县及附近县市。</w:t>
      </w:r>
    </w:p>
    <w:p w14:paraId="30C731F3">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 xml:space="preserve">医疗废物采取分类（三类）收集方法，感染性和损伤性为一类，病理性为一类，药物性和化学性为一类，在各医疗机构已进行分类，分别放入做好标签分类的转送箱中，由转送车送医废处置区。 </w:t>
      </w:r>
    </w:p>
    <w:p w14:paraId="504F3F48">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医疗废物的收集设备主要包括运输车、转运箱、包装袋和利器盒。</w:t>
      </w:r>
    </w:p>
    <w:p w14:paraId="60264895">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1）医疗废物周转箱</w:t>
      </w:r>
    </w:p>
    <w:p w14:paraId="78D0692D">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转运箱是医疗废物运输的重要器具，它贯穿于医疗废物收集、运输、装卸和处理的全过程。转运箱作为重复使用的容器应有足够的强度和韧性，扣盖要严密，在剧烈的震动或翻滚下不会开盖，同时还应有良好的抗老化性，有较长的寿命。医疗废物转运箱的外形见图</w:t>
      </w:r>
      <w:r>
        <w:rPr>
          <w:rFonts w:hint="default" w:ascii="Times New Roman" w:hAnsi="Times New Roman" w:cs="Times New Roman" w:eastAsiaTheme="minorEastAsia"/>
          <w:sz w:val="24"/>
          <w:lang w:val="en-US" w:eastAsia="zh-CN"/>
        </w:rPr>
        <w:t>3.</w:t>
      </w:r>
      <w:r>
        <w:rPr>
          <w:rFonts w:hint="eastAsia" w:ascii="Times New Roman" w:hAnsi="Times New Roman" w:cs="Times New Roman" w:eastAsiaTheme="minorEastAsia"/>
          <w:sz w:val="24"/>
          <w:lang w:val="en-US" w:eastAsia="zh-CN"/>
        </w:rPr>
        <w:t>4</w:t>
      </w:r>
      <w:r>
        <w:rPr>
          <w:rFonts w:hint="default" w:ascii="Times New Roman" w:hAnsi="Times New Roman" w:cs="Times New Roman" w:eastAsiaTheme="minorEastAsia"/>
          <w:sz w:val="24"/>
          <w:lang w:val="en-US" w:eastAsia="zh-CN"/>
        </w:rPr>
        <w:t>.1</w:t>
      </w:r>
      <w:r>
        <w:rPr>
          <w:rFonts w:hint="eastAsia" w:ascii="Times New Roman" w:hAnsi="Times New Roman" w:cs="Times New Roman" w:eastAsiaTheme="minorEastAsia"/>
          <w:sz w:val="24"/>
          <w:lang w:val="en-US" w:eastAsia="zh-CN"/>
        </w:rPr>
        <w:t>，性能要求列于表</w:t>
      </w:r>
      <w:r>
        <w:rPr>
          <w:rFonts w:hint="default" w:ascii="Times New Roman" w:hAnsi="Times New Roman" w:cs="Times New Roman" w:eastAsiaTheme="minorEastAsia"/>
          <w:sz w:val="24"/>
          <w:lang w:val="en-US" w:eastAsia="zh-CN"/>
        </w:rPr>
        <w:t>3.</w:t>
      </w:r>
      <w:r>
        <w:rPr>
          <w:rFonts w:hint="eastAsia" w:ascii="Times New Roman" w:hAnsi="Times New Roman" w:cs="Times New Roman" w:eastAsiaTheme="minorEastAsia"/>
          <w:sz w:val="24"/>
          <w:lang w:val="en-US" w:eastAsia="zh-CN"/>
        </w:rPr>
        <w:t>4</w:t>
      </w: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2。在每个医疗单位设置三类转送箱，分别收集：</w:t>
      </w:r>
      <w:r>
        <w:rPr>
          <w:rFonts w:hint="default" w:ascii="Times New Roman" w:hAnsi="Times New Roman" w:cs="Times New Roman" w:eastAsiaTheme="minorEastAsia"/>
          <w:sz w:val="24"/>
          <w:lang w:val="en-US" w:eastAsia="zh-CN"/>
        </w:rPr>
        <w:t>1</w:t>
      </w:r>
      <w:r>
        <w:rPr>
          <w:rFonts w:hint="eastAsia" w:ascii="Times New Roman" w:hAnsi="Times New Roman" w:cs="Times New Roman" w:eastAsiaTheme="minorEastAsia"/>
          <w:sz w:val="24"/>
          <w:lang w:val="en-US" w:eastAsia="zh-CN"/>
        </w:rPr>
        <w:t>、感染性和损伤性医疗废物；</w:t>
      </w:r>
      <w:r>
        <w:rPr>
          <w:rFonts w:hint="default" w:ascii="Times New Roman" w:hAnsi="Times New Roman" w:cs="Times New Roman" w:eastAsiaTheme="minorEastAsia"/>
          <w:sz w:val="24"/>
          <w:lang w:val="en-US" w:eastAsia="zh-CN"/>
        </w:rPr>
        <w:t>2</w:t>
      </w:r>
      <w:r>
        <w:rPr>
          <w:rFonts w:hint="eastAsia" w:ascii="Times New Roman" w:hAnsi="Times New Roman" w:cs="Times New Roman" w:eastAsiaTheme="minorEastAsia"/>
          <w:sz w:val="24"/>
          <w:lang w:val="en-US" w:eastAsia="zh-CN"/>
        </w:rPr>
        <w:t>、病理性医疗废物；</w:t>
      </w:r>
      <w:r>
        <w:rPr>
          <w:rFonts w:hint="default" w:ascii="Times New Roman" w:hAnsi="Times New Roman" w:cs="Times New Roman" w:eastAsiaTheme="minorEastAsia"/>
          <w:sz w:val="24"/>
          <w:lang w:val="en-US" w:eastAsia="zh-CN"/>
        </w:rPr>
        <w:t>3</w:t>
      </w:r>
      <w:r>
        <w:rPr>
          <w:rFonts w:hint="eastAsia" w:ascii="Times New Roman" w:hAnsi="Times New Roman" w:cs="Times New Roman" w:eastAsiaTheme="minorEastAsia"/>
          <w:sz w:val="24"/>
          <w:lang w:val="en-US" w:eastAsia="zh-CN"/>
        </w:rPr>
        <w:t>、药物性废物和化学性废物。各医疗机构应按照医疗废物分类目录的要求将不同种类的废物分别放入相应类别的医疗废物转运箱。</w:t>
      </w:r>
    </w:p>
    <w:p w14:paraId="13BFFE5A">
      <w:pPr>
        <w:adjustRightInd w:val="0"/>
        <w:snapToGrid w:val="0"/>
        <w:spacing w:before="250" w:beforeLines="50"/>
        <w:jc w:val="center"/>
        <w:rPr>
          <w:rFonts w:hint="eastAsia"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drawing>
          <wp:anchor distT="0" distB="0" distL="114300" distR="114300" simplePos="0" relativeHeight="251662336" behindDoc="0" locked="0" layoutInCell="1" allowOverlap="1">
            <wp:simplePos x="0" y="0"/>
            <wp:positionH relativeFrom="column">
              <wp:posOffset>1174115</wp:posOffset>
            </wp:positionH>
            <wp:positionV relativeFrom="paragraph">
              <wp:posOffset>74930</wp:posOffset>
            </wp:positionV>
            <wp:extent cx="2882265" cy="2162175"/>
            <wp:effectExtent l="0" t="0" r="13335" b="9525"/>
            <wp:wrapTopAndBottom/>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13"/>
                    <a:stretch>
                      <a:fillRect/>
                    </a:stretch>
                  </pic:blipFill>
                  <pic:spPr>
                    <a:xfrm>
                      <a:off x="0" y="0"/>
                      <a:ext cx="2882265" cy="2162175"/>
                    </a:xfrm>
                    <a:prstGeom prst="rect">
                      <a:avLst/>
                    </a:prstGeom>
                    <a:noFill/>
                    <a:ln>
                      <a:noFill/>
                    </a:ln>
                  </pic:spPr>
                </pic:pic>
              </a:graphicData>
            </a:graphic>
          </wp:anchor>
        </w:drawing>
      </w:r>
      <w:r>
        <w:rPr>
          <w:rFonts w:hint="eastAsia" w:ascii="Times New Roman" w:hAnsi="Times New Roman" w:cs="Times New Roman" w:eastAsiaTheme="minorEastAsia"/>
          <w:b/>
          <w:szCs w:val="21"/>
          <w:lang w:val="en-US" w:eastAsia="zh-CN"/>
        </w:rPr>
        <w:t>图3.4-1  医疗废物转运箱示意图</w:t>
      </w:r>
    </w:p>
    <w:p w14:paraId="37D830DF">
      <w:pPr>
        <w:snapToGrid w:val="0"/>
        <w:spacing w:before="241" w:beforeLines="50"/>
        <w:jc w:val="center"/>
        <w:rPr>
          <w:rFonts w:hint="eastAsia" w:ascii="Times New Roman" w:hAnsi="Times New Roman" w:cs="Times New Roman" w:eastAsiaTheme="minorEastAsia"/>
          <w:b/>
          <w:szCs w:val="21"/>
          <w:lang w:val="en-US" w:eastAsia="zh-CN"/>
        </w:rPr>
      </w:pPr>
    </w:p>
    <w:p w14:paraId="078FE3B3">
      <w:pPr>
        <w:adjustRightInd w:val="0"/>
        <w:snapToGrid w:val="0"/>
        <w:spacing w:before="250"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表3.4-2  医疗废物转运箱性能指标一览表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4"/>
        <w:gridCol w:w="3654"/>
        <w:gridCol w:w="2834"/>
      </w:tblGrid>
      <w:tr w14:paraId="5622E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4" w:type="dxa"/>
            <w:vAlign w:val="center"/>
          </w:tcPr>
          <w:p w14:paraId="272F04E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规格</w:t>
            </w:r>
          </w:p>
        </w:tc>
        <w:tc>
          <w:tcPr>
            <w:tcW w:w="3654" w:type="dxa"/>
            <w:vAlign w:val="center"/>
          </w:tcPr>
          <w:p w14:paraId="7E42C00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600mm×500mm×400mm</w:t>
            </w:r>
          </w:p>
        </w:tc>
        <w:tc>
          <w:tcPr>
            <w:tcW w:w="2834" w:type="dxa"/>
            <w:vAlign w:val="center"/>
          </w:tcPr>
          <w:p w14:paraId="4F17D23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500mm×400mm×300</w:t>
            </w:r>
          </w:p>
        </w:tc>
      </w:tr>
      <w:tr w14:paraId="73509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4" w:type="dxa"/>
            <w:vAlign w:val="center"/>
          </w:tcPr>
          <w:p w14:paraId="5EED782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原料</w:t>
            </w:r>
          </w:p>
        </w:tc>
        <w:tc>
          <w:tcPr>
            <w:tcW w:w="3654" w:type="dxa"/>
            <w:vAlign w:val="center"/>
          </w:tcPr>
          <w:p w14:paraId="60D81D2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高分子高密度硬质塑料</w:t>
            </w:r>
          </w:p>
        </w:tc>
        <w:tc>
          <w:tcPr>
            <w:tcW w:w="2834" w:type="dxa"/>
            <w:vAlign w:val="center"/>
          </w:tcPr>
          <w:p w14:paraId="3D89E57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高分子高密度硬质塑料</w:t>
            </w:r>
          </w:p>
        </w:tc>
      </w:tr>
      <w:tr w14:paraId="28F6D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4" w:type="dxa"/>
            <w:vAlign w:val="center"/>
          </w:tcPr>
          <w:p w14:paraId="6628E52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牢度</w:t>
            </w:r>
          </w:p>
        </w:tc>
        <w:tc>
          <w:tcPr>
            <w:tcW w:w="3654" w:type="dxa"/>
            <w:vAlign w:val="center"/>
          </w:tcPr>
          <w:p w14:paraId="00EC87A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防渗、防破裂、可重复使用</w:t>
            </w:r>
          </w:p>
        </w:tc>
        <w:tc>
          <w:tcPr>
            <w:tcW w:w="2834" w:type="dxa"/>
            <w:vAlign w:val="center"/>
          </w:tcPr>
          <w:p w14:paraId="502308E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防渗、防破裂、可重复使用</w:t>
            </w:r>
          </w:p>
        </w:tc>
      </w:tr>
      <w:tr w14:paraId="22AC0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4" w:type="dxa"/>
            <w:vAlign w:val="center"/>
          </w:tcPr>
          <w:p w14:paraId="1CB4508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颜色</w:t>
            </w:r>
          </w:p>
        </w:tc>
        <w:tc>
          <w:tcPr>
            <w:tcW w:w="3654" w:type="dxa"/>
            <w:vAlign w:val="center"/>
          </w:tcPr>
          <w:p w14:paraId="3EB23FC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黄色</w:t>
            </w:r>
          </w:p>
        </w:tc>
        <w:tc>
          <w:tcPr>
            <w:tcW w:w="2834" w:type="dxa"/>
            <w:vAlign w:val="center"/>
          </w:tcPr>
          <w:p w14:paraId="5215B25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黄色</w:t>
            </w:r>
          </w:p>
        </w:tc>
      </w:tr>
      <w:tr w14:paraId="6B144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4" w:type="dxa"/>
            <w:vAlign w:val="center"/>
          </w:tcPr>
          <w:p w14:paraId="3A8A70F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标识</w:t>
            </w:r>
          </w:p>
        </w:tc>
        <w:tc>
          <w:tcPr>
            <w:tcW w:w="3654" w:type="dxa"/>
            <w:vAlign w:val="center"/>
          </w:tcPr>
          <w:p w14:paraId="0614CF3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符合国标</w:t>
            </w:r>
          </w:p>
        </w:tc>
        <w:tc>
          <w:tcPr>
            <w:tcW w:w="2834" w:type="dxa"/>
            <w:vAlign w:val="center"/>
          </w:tcPr>
          <w:p w14:paraId="1C5EDF1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符合国标</w:t>
            </w:r>
          </w:p>
        </w:tc>
      </w:tr>
      <w:tr w14:paraId="4F103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4" w:type="dxa"/>
            <w:vAlign w:val="center"/>
          </w:tcPr>
          <w:p w14:paraId="34FE23E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性能描述</w:t>
            </w:r>
          </w:p>
        </w:tc>
        <w:tc>
          <w:tcPr>
            <w:tcW w:w="6488" w:type="dxa"/>
            <w:gridSpan w:val="2"/>
            <w:vAlign w:val="center"/>
          </w:tcPr>
          <w:p w14:paraId="0B121213">
            <w:pPr>
              <w:autoSpaceDE w:val="0"/>
              <w:autoSpaceDN w:val="0"/>
              <w:spacing w:line="300" w:lineRule="exact"/>
              <w:jc w:val="left"/>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①箱体箱盖整体密闭，能牢固扣紧，扣紧后不分离；</w:t>
            </w:r>
          </w:p>
          <w:p w14:paraId="19A7F87C">
            <w:pPr>
              <w:autoSpaceDE w:val="0"/>
              <w:autoSpaceDN w:val="0"/>
              <w:spacing w:line="300" w:lineRule="exact"/>
              <w:jc w:val="left"/>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②表面光滑平整、无裂缝，边缘无毛刺，箱底配有牙槽，具有防滑作用；</w:t>
            </w:r>
          </w:p>
          <w:p w14:paraId="5B46944B">
            <w:pPr>
              <w:autoSpaceDE w:val="0"/>
              <w:autoSpaceDN w:val="0"/>
              <w:spacing w:line="300" w:lineRule="exact"/>
              <w:jc w:val="left"/>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③箱底承重，变形量下弯不超过</w:t>
            </w:r>
            <w:r>
              <w:rPr>
                <w:rFonts w:hint="default" w:ascii="Times New Roman" w:hAnsi="Times New Roman" w:cs="Times New Roman" w:eastAsiaTheme="minorEastAsia"/>
                <w:szCs w:val="21"/>
                <w:lang w:val="en-US" w:eastAsia="zh-CN"/>
              </w:rPr>
              <w:t>10mm</w:t>
            </w:r>
            <w:r>
              <w:rPr>
                <w:rFonts w:hint="eastAsia" w:ascii="Times New Roman" w:hAnsi="Times New Roman" w:cs="Times New Roman" w:eastAsiaTheme="minorEastAsia"/>
                <w:szCs w:val="21"/>
                <w:lang w:val="en-US" w:eastAsia="zh-CN"/>
              </w:rPr>
              <w:t>；</w:t>
            </w:r>
          </w:p>
          <w:p w14:paraId="7F140DC1">
            <w:pPr>
              <w:autoSpaceDE w:val="0"/>
              <w:autoSpaceDN w:val="0"/>
              <w:spacing w:line="300" w:lineRule="exact"/>
              <w:jc w:val="left"/>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④收缩变形率：箱体对面线变化率不大于</w:t>
            </w:r>
            <w:r>
              <w:rPr>
                <w:rFonts w:hint="default"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lang w:val="en-US" w:eastAsia="zh-CN"/>
              </w:rPr>
              <w:t>；</w:t>
            </w:r>
          </w:p>
          <w:p w14:paraId="329A8145">
            <w:pPr>
              <w:autoSpaceDE w:val="0"/>
              <w:autoSpaceDN w:val="0"/>
              <w:spacing w:line="300" w:lineRule="exact"/>
              <w:jc w:val="left"/>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⑤</w:t>
            </w:r>
            <w:r>
              <w:rPr>
                <w:rFonts w:hint="default" w:ascii="Times New Roman" w:hAnsi="Times New Roman" w:cs="Times New Roman" w:eastAsiaTheme="minorEastAsia"/>
                <w:szCs w:val="21"/>
                <w:lang w:val="en-US" w:eastAsia="zh-CN"/>
              </w:rPr>
              <w:t>1.5m</w:t>
            </w:r>
            <w:r>
              <w:rPr>
                <w:rFonts w:hint="eastAsia" w:ascii="Times New Roman" w:hAnsi="Times New Roman" w:cs="Times New Roman" w:eastAsiaTheme="minorEastAsia"/>
                <w:szCs w:val="21"/>
                <w:lang w:val="en-US" w:eastAsia="zh-CN"/>
              </w:rPr>
              <w:t>高度垂直跌落水泥地面，</w:t>
            </w:r>
            <w:r>
              <w:rPr>
                <w:rFonts w:hint="default" w:ascii="Times New Roman" w:hAnsi="Times New Roman" w:cs="Times New Roman" w:eastAsiaTheme="minorEastAsia"/>
                <w:szCs w:val="21"/>
                <w:lang w:val="en-US" w:eastAsia="zh-CN"/>
              </w:rPr>
              <w:t>3</w:t>
            </w:r>
            <w:r>
              <w:rPr>
                <w:rFonts w:hint="eastAsia" w:ascii="Times New Roman" w:hAnsi="Times New Roman" w:cs="Times New Roman" w:eastAsiaTheme="minorEastAsia"/>
                <w:szCs w:val="21"/>
                <w:lang w:val="en-US" w:eastAsia="zh-CN"/>
              </w:rPr>
              <w:t>次无裂缝；</w:t>
            </w:r>
          </w:p>
          <w:p w14:paraId="6A094698">
            <w:pPr>
              <w:autoSpaceDE w:val="0"/>
              <w:autoSpaceDN w:val="0"/>
              <w:spacing w:line="300" w:lineRule="exact"/>
              <w:jc w:val="left"/>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⑥堆码强度，加载</w:t>
            </w:r>
            <w:r>
              <w:rPr>
                <w:rFonts w:hint="default" w:ascii="Times New Roman" w:hAnsi="Times New Roman" w:cs="Times New Roman" w:eastAsiaTheme="minorEastAsia"/>
                <w:szCs w:val="21"/>
                <w:lang w:val="en-US" w:eastAsia="zh-CN"/>
              </w:rPr>
              <w:t>250kg</w:t>
            </w:r>
            <w:r>
              <w:rPr>
                <w:rFonts w:hint="eastAsia" w:ascii="Times New Roman" w:hAnsi="Times New Roman" w:cs="Times New Roman" w:eastAsiaTheme="minorEastAsia"/>
                <w:szCs w:val="21"/>
                <w:lang w:val="en-US" w:eastAsia="zh-CN"/>
              </w:rPr>
              <w:t>承压</w:t>
            </w:r>
            <w:r>
              <w:rPr>
                <w:rFonts w:hint="default" w:ascii="Times New Roman" w:hAnsi="Times New Roman" w:cs="Times New Roman" w:eastAsiaTheme="minorEastAsia"/>
                <w:szCs w:val="21"/>
                <w:lang w:val="en-US" w:eastAsia="zh-CN"/>
              </w:rPr>
              <w:t>72h</w:t>
            </w:r>
            <w:r>
              <w:rPr>
                <w:rFonts w:hint="eastAsia" w:ascii="Times New Roman" w:hAnsi="Times New Roman" w:cs="Times New Roman" w:eastAsiaTheme="minorEastAsia"/>
                <w:szCs w:val="21"/>
                <w:lang w:val="en-US" w:eastAsia="zh-CN"/>
              </w:rPr>
              <w:t>，箱体高度变化率不大于</w:t>
            </w:r>
            <w:r>
              <w:rPr>
                <w:rFonts w:hint="default" w:ascii="Times New Roman" w:hAnsi="Times New Roman" w:cs="Times New Roman" w:eastAsiaTheme="minorEastAsia"/>
                <w:szCs w:val="21"/>
                <w:lang w:val="en-US" w:eastAsia="zh-CN"/>
              </w:rPr>
              <w:t>2.0%</w:t>
            </w:r>
            <w:r>
              <w:rPr>
                <w:rFonts w:hint="eastAsia" w:ascii="Times New Roman" w:hAnsi="Times New Roman" w:cs="Times New Roman" w:eastAsiaTheme="minorEastAsia"/>
                <w:szCs w:val="21"/>
                <w:lang w:val="en-US" w:eastAsia="zh-CN"/>
              </w:rPr>
              <w:t>；</w:t>
            </w:r>
          </w:p>
          <w:p w14:paraId="7500D1B1">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⑦悬挂强度，箱体均匀负重</w:t>
            </w:r>
            <w:r>
              <w:rPr>
                <w:rFonts w:hint="default" w:ascii="Times New Roman" w:hAnsi="Times New Roman" w:cs="Times New Roman" w:eastAsiaTheme="minorEastAsia"/>
                <w:szCs w:val="21"/>
                <w:lang w:val="en-US" w:eastAsia="zh-CN"/>
              </w:rPr>
              <w:t>60kg</w:t>
            </w:r>
            <w:r>
              <w:rPr>
                <w:rFonts w:hint="eastAsia" w:ascii="Times New Roman" w:hAnsi="Times New Roman" w:cs="Times New Roman" w:eastAsiaTheme="minorEastAsia"/>
                <w:szCs w:val="21"/>
                <w:lang w:val="en-US" w:eastAsia="zh-CN"/>
              </w:rPr>
              <w:t>，吊起后无裂纹。</w:t>
            </w:r>
          </w:p>
        </w:tc>
      </w:tr>
    </w:tbl>
    <w:p w14:paraId="3606B0C0">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2）包装袋</w:t>
      </w:r>
    </w:p>
    <w:p w14:paraId="08482DD6">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采用聚乙烯材质，桶状结构，袋口设有伸缩式扎绳，包装袋的规格为</w:t>
      </w:r>
      <w:r>
        <w:rPr>
          <w:rFonts w:hint="default" w:ascii="Times New Roman" w:hAnsi="Times New Roman" w:cs="Times New Roman" w:eastAsiaTheme="minorEastAsia"/>
          <w:sz w:val="24"/>
          <w:lang w:val="en-US" w:eastAsia="zh-CN"/>
        </w:rPr>
        <w:t>Φ450mm×500mm</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L</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×0.15mm</w:t>
      </w:r>
      <w:r>
        <w:rPr>
          <w:rFonts w:hint="eastAsia" w:ascii="Times New Roman" w:hAnsi="Times New Roman" w:cs="Times New Roman" w:eastAsiaTheme="minorEastAsia"/>
          <w:sz w:val="24"/>
          <w:lang w:val="en-US" w:eastAsia="zh-CN"/>
        </w:rPr>
        <w:t>（厚）（低密度聚乙烯）和</w:t>
      </w:r>
      <w:r>
        <w:rPr>
          <w:rFonts w:hint="default" w:ascii="Times New Roman" w:hAnsi="Times New Roman" w:cs="Times New Roman" w:eastAsiaTheme="minorEastAsia"/>
          <w:sz w:val="24"/>
          <w:lang w:val="en-US" w:eastAsia="zh-CN"/>
        </w:rPr>
        <w:t>Φ450mm×500mm</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L</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×0.08mm</w:t>
      </w:r>
      <w:r>
        <w:rPr>
          <w:rFonts w:hint="eastAsia" w:ascii="Times New Roman" w:hAnsi="Times New Roman" w:cs="Times New Roman" w:eastAsiaTheme="minorEastAsia"/>
          <w:sz w:val="24"/>
          <w:lang w:val="en-US" w:eastAsia="zh-CN"/>
        </w:rPr>
        <w:t>（厚）（中、高密度聚乙烯）两种。包装袋为一次性使用，直接和医疗废物一起进入医疗废物处置机处置。</w:t>
      </w:r>
    </w:p>
    <w:p w14:paraId="52CCB3BF">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表3.4-3  包装袋外观标准</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2B3B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6B097DB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项目</w:t>
            </w:r>
          </w:p>
        </w:tc>
        <w:tc>
          <w:tcPr>
            <w:tcW w:w="4261" w:type="dxa"/>
          </w:tcPr>
          <w:p w14:paraId="34C5FD9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指标</w:t>
            </w:r>
          </w:p>
        </w:tc>
      </w:tr>
      <w:tr w14:paraId="1AA93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1F30FCE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划痕、气泡、穿孔、破裂</w:t>
            </w:r>
          </w:p>
        </w:tc>
        <w:tc>
          <w:tcPr>
            <w:tcW w:w="4261" w:type="dxa"/>
          </w:tcPr>
          <w:p w14:paraId="09B0B6B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不允许</w:t>
            </w:r>
          </w:p>
        </w:tc>
      </w:tr>
      <w:tr w14:paraId="1EA07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50215EC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晶点、僵块＞2mm</w:t>
            </w:r>
          </w:p>
        </w:tc>
        <w:tc>
          <w:tcPr>
            <w:tcW w:w="4261" w:type="dxa"/>
          </w:tcPr>
          <w:p w14:paraId="1A1B8C3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不允许</w:t>
            </w:r>
          </w:p>
        </w:tc>
      </w:tr>
      <w:tr w14:paraId="0C5EB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6067048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＜2mm分散度</w:t>
            </w:r>
          </w:p>
        </w:tc>
        <w:tc>
          <w:tcPr>
            <w:tcW w:w="4261" w:type="dxa"/>
          </w:tcPr>
          <w:p w14:paraId="39A66C1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≤5个/10×10cm</w:t>
            </w:r>
            <w:r>
              <w:rPr>
                <w:rFonts w:hint="eastAsia" w:ascii="Times New Roman" w:hAnsi="Times New Roman" w:cs="Times New Roman" w:eastAsiaTheme="minorEastAsia"/>
                <w:szCs w:val="21"/>
                <w:vertAlign w:val="superscript"/>
                <w:lang w:val="en-US" w:eastAsia="zh-CN"/>
              </w:rPr>
              <w:t>2</w:t>
            </w:r>
          </w:p>
        </w:tc>
      </w:tr>
      <w:tr w14:paraId="04FF5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004178C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杂质＞2mm</w:t>
            </w:r>
          </w:p>
        </w:tc>
        <w:tc>
          <w:tcPr>
            <w:tcW w:w="4261" w:type="dxa"/>
          </w:tcPr>
          <w:p w14:paraId="7823B34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不允许</w:t>
            </w:r>
          </w:p>
        </w:tc>
      </w:tr>
      <w:tr w14:paraId="52F23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263C13B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＜2mm分散度</w:t>
            </w:r>
          </w:p>
        </w:tc>
        <w:tc>
          <w:tcPr>
            <w:tcW w:w="4261" w:type="dxa"/>
          </w:tcPr>
          <w:p w14:paraId="021F13C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≤2个/10×10cm</w:t>
            </w:r>
            <w:r>
              <w:rPr>
                <w:rFonts w:hint="eastAsia" w:ascii="Times New Roman" w:hAnsi="Times New Roman" w:cs="Times New Roman" w:eastAsiaTheme="minorEastAsia"/>
                <w:szCs w:val="21"/>
                <w:vertAlign w:val="superscript"/>
                <w:lang w:val="en-US" w:eastAsia="zh-CN"/>
              </w:rPr>
              <w:t>2</w:t>
            </w:r>
          </w:p>
        </w:tc>
      </w:tr>
    </w:tbl>
    <w:p w14:paraId="4371F833">
      <w:pPr>
        <w:adjustRightInd w:val="0"/>
        <w:snapToGrid w:val="0"/>
        <w:spacing w:before="250"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表3.4-4  包装袋物理标准</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343F9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vAlign w:val="center"/>
          </w:tcPr>
          <w:p w14:paraId="38C8C78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项目</w:t>
            </w:r>
          </w:p>
        </w:tc>
        <w:tc>
          <w:tcPr>
            <w:tcW w:w="5682" w:type="dxa"/>
            <w:gridSpan w:val="2"/>
            <w:vAlign w:val="center"/>
          </w:tcPr>
          <w:p w14:paraId="5429865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指标</w:t>
            </w:r>
          </w:p>
        </w:tc>
      </w:tr>
      <w:tr w14:paraId="1FCEF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vAlign w:val="center"/>
          </w:tcPr>
          <w:p w14:paraId="32E00EE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841" w:type="dxa"/>
            <w:vAlign w:val="center"/>
          </w:tcPr>
          <w:p w14:paraId="426D585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低密度聚乙烯</w:t>
            </w:r>
          </w:p>
        </w:tc>
        <w:tc>
          <w:tcPr>
            <w:tcW w:w="2841" w:type="dxa"/>
            <w:vAlign w:val="center"/>
          </w:tcPr>
          <w:p w14:paraId="1F1600B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中、高密度聚乙烯</w:t>
            </w:r>
          </w:p>
        </w:tc>
      </w:tr>
      <w:tr w14:paraId="3B43B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27637F3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拉伸强度（纵、横向）%≥</w:t>
            </w:r>
          </w:p>
        </w:tc>
        <w:tc>
          <w:tcPr>
            <w:tcW w:w="2841" w:type="dxa"/>
            <w:vAlign w:val="center"/>
          </w:tcPr>
          <w:p w14:paraId="47555A1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20</w:t>
            </w:r>
          </w:p>
        </w:tc>
        <w:tc>
          <w:tcPr>
            <w:tcW w:w="2841" w:type="dxa"/>
            <w:vAlign w:val="center"/>
          </w:tcPr>
          <w:p w14:paraId="0198187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25</w:t>
            </w:r>
          </w:p>
        </w:tc>
      </w:tr>
      <w:tr w14:paraId="4B846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0784F1C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断裂伸长率（纵、横向）</w:t>
            </w:r>
            <w:r>
              <w:rPr>
                <w:rFonts w:hint="default" w:ascii="Times New Roman" w:hAnsi="Times New Roman" w:cs="Times New Roman" w:eastAsiaTheme="minorEastAsia"/>
                <w:szCs w:val="21"/>
                <w:lang w:val="en-US" w:eastAsia="zh-CN"/>
              </w:rPr>
              <w:t>%≥</w:t>
            </w:r>
          </w:p>
        </w:tc>
        <w:tc>
          <w:tcPr>
            <w:tcW w:w="2841" w:type="dxa"/>
            <w:vAlign w:val="center"/>
          </w:tcPr>
          <w:p w14:paraId="65AF307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450</w:t>
            </w:r>
          </w:p>
        </w:tc>
        <w:tc>
          <w:tcPr>
            <w:tcW w:w="2841" w:type="dxa"/>
            <w:vAlign w:val="center"/>
          </w:tcPr>
          <w:p w14:paraId="566880F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250</w:t>
            </w:r>
          </w:p>
        </w:tc>
      </w:tr>
      <w:tr w14:paraId="77CC8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4C331D7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落膘冲击质量</w:t>
            </w:r>
            <w:r>
              <w:rPr>
                <w:rFonts w:hint="default" w:ascii="Times New Roman" w:hAnsi="Times New Roman" w:cs="Times New Roman" w:eastAsiaTheme="minorEastAsia"/>
                <w:szCs w:val="21"/>
                <w:lang w:val="en-US" w:eastAsia="zh-CN"/>
              </w:rPr>
              <w:t>g</w:t>
            </w:r>
          </w:p>
        </w:tc>
        <w:tc>
          <w:tcPr>
            <w:tcW w:w="2841" w:type="dxa"/>
            <w:vAlign w:val="center"/>
          </w:tcPr>
          <w:p w14:paraId="4069EB3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190</w:t>
            </w:r>
          </w:p>
        </w:tc>
        <w:tc>
          <w:tcPr>
            <w:tcW w:w="2841" w:type="dxa"/>
            <w:vAlign w:val="center"/>
          </w:tcPr>
          <w:p w14:paraId="38770BB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270</w:t>
            </w:r>
          </w:p>
        </w:tc>
      </w:tr>
      <w:tr w14:paraId="6E113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41E5581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热封强度</w:t>
            </w:r>
            <w:r>
              <w:rPr>
                <w:rFonts w:hint="default" w:ascii="Times New Roman" w:hAnsi="Times New Roman" w:cs="Times New Roman" w:eastAsiaTheme="minorEastAsia"/>
                <w:szCs w:val="21"/>
                <w:lang w:val="en-US" w:eastAsia="zh-CN"/>
              </w:rPr>
              <w:t>N/15mm≥</w:t>
            </w:r>
          </w:p>
        </w:tc>
        <w:tc>
          <w:tcPr>
            <w:tcW w:w="2841" w:type="dxa"/>
            <w:vAlign w:val="center"/>
          </w:tcPr>
          <w:p w14:paraId="2ED2EBE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w:t>
            </w:r>
          </w:p>
        </w:tc>
        <w:tc>
          <w:tcPr>
            <w:tcW w:w="2841" w:type="dxa"/>
            <w:vAlign w:val="center"/>
          </w:tcPr>
          <w:p w14:paraId="10D99D7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w:t>
            </w:r>
          </w:p>
        </w:tc>
      </w:tr>
    </w:tbl>
    <w:p w14:paraId="16BF5635">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3）利器盒</w:t>
      </w:r>
    </w:p>
    <w:p w14:paraId="0455A972">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整体采用</w:t>
      </w:r>
      <w:r>
        <w:rPr>
          <w:rFonts w:hint="default" w:ascii="Times New Roman" w:hAnsi="Times New Roman" w:cs="Times New Roman" w:eastAsiaTheme="minorEastAsia"/>
          <w:sz w:val="24"/>
          <w:lang w:val="en-US" w:eastAsia="zh-CN"/>
        </w:rPr>
        <w:t>3mm</w:t>
      </w:r>
      <w:r>
        <w:rPr>
          <w:rFonts w:hint="eastAsia" w:ascii="Times New Roman" w:hAnsi="Times New Roman" w:cs="Times New Roman" w:eastAsiaTheme="minorEastAsia"/>
          <w:sz w:val="24"/>
          <w:lang w:val="en-US" w:eastAsia="zh-CN"/>
        </w:rPr>
        <w:t>厚硬质聚乙烯材料制成，外形尺寸为</w:t>
      </w:r>
      <w:r>
        <w:rPr>
          <w:rFonts w:hint="default" w:ascii="Times New Roman" w:hAnsi="Times New Roman" w:cs="Times New Roman" w:eastAsiaTheme="minorEastAsia"/>
          <w:sz w:val="24"/>
          <w:lang w:val="en-US" w:eastAsia="zh-CN"/>
        </w:rPr>
        <w:t>200mm</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L</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×100mm</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W</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×80mm</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H</w:t>
      </w:r>
      <w:r>
        <w:rPr>
          <w:rFonts w:hint="eastAsia" w:ascii="Times New Roman" w:hAnsi="Times New Roman" w:cs="Times New Roman" w:eastAsiaTheme="minorEastAsia"/>
          <w:sz w:val="24"/>
          <w:lang w:val="en-US" w:eastAsia="zh-CN"/>
        </w:rPr>
        <w:t>），带密封盖结构，采用胶条粘封的密封方式，保证非破坏情况下不能打开。利器盒整体为黄色，在盒体侧面注明“损伤性废物”。利器盒能防刺穿，并在装满利器的状态下，从</w:t>
      </w:r>
      <w:r>
        <w:rPr>
          <w:rFonts w:hint="default" w:ascii="Times New Roman" w:hAnsi="Times New Roman" w:cs="Times New Roman" w:eastAsiaTheme="minorEastAsia"/>
          <w:sz w:val="24"/>
          <w:lang w:val="en-US" w:eastAsia="zh-CN"/>
        </w:rPr>
        <w:t>1.5m</w:t>
      </w:r>
      <w:r>
        <w:rPr>
          <w:rFonts w:hint="eastAsia" w:ascii="Times New Roman" w:hAnsi="Times New Roman" w:cs="Times New Roman" w:eastAsiaTheme="minorEastAsia"/>
          <w:sz w:val="24"/>
          <w:lang w:val="en-US" w:eastAsia="zh-CN"/>
        </w:rPr>
        <w:t>高度连续</w:t>
      </w:r>
      <w:r>
        <w:rPr>
          <w:rFonts w:hint="default" w:ascii="Times New Roman" w:hAnsi="Times New Roman" w:cs="Times New Roman" w:eastAsiaTheme="minorEastAsia"/>
          <w:sz w:val="24"/>
          <w:lang w:val="en-US" w:eastAsia="zh-CN"/>
        </w:rPr>
        <w:t>3</w:t>
      </w:r>
      <w:r>
        <w:rPr>
          <w:rFonts w:hint="eastAsia" w:ascii="Times New Roman" w:hAnsi="Times New Roman" w:cs="Times New Roman" w:eastAsiaTheme="minorEastAsia"/>
          <w:sz w:val="24"/>
          <w:lang w:val="en-US" w:eastAsia="zh-CN"/>
        </w:rPr>
        <w:t>次垂直跌落到水泥地上，不出现破裂和被刺穿等情况。利器盒为一次性使用，直接和医疗废物一起进入医疗废物处置系统。</w:t>
      </w:r>
    </w:p>
    <w:p w14:paraId="01DF1E80">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4）医疗废物专用运输车</w:t>
      </w:r>
    </w:p>
    <w:p w14:paraId="354EAC30">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医疗废物运输车的外形见图3.4-2，性能要求列于表3.4-</w:t>
      </w:r>
      <w:r>
        <w:rPr>
          <w:rFonts w:hint="eastAsia" w:ascii="Times New Roman" w:hAnsi="Times New Roman" w:cs="Times New Roman"/>
          <w:sz w:val="24"/>
          <w:lang w:val="en-US" w:eastAsia="zh-CN"/>
        </w:rPr>
        <w:t>5</w:t>
      </w:r>
      <w:r>
        <w:rPr>
          <w:rFonts w:hint="eastAsia" w:ascii="Times New Roman" w:hAnsi="Times New Roman" w:cs="Times New Roman" w:eastAsiaTheme="minorEastAsia"/>
          <w:sz w:val="24"/>
          <w:lang w:val="en-US" w:eastAsia="zh-CN"/>
        </w:rPr>
        <w:t>。</w:t>
      </w:r>
    </w:p>
    <w:p w14:paraId="7067F913">
      <w:pPr>
        <w:snapToGrid w:val="0"/>
        <w:spacing w:before="241" w:beforeLines="50"/>
        <w:jc w:val="center"/>
        <w:rPr>
          <w:rFonts w:hint="eastAsia"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drawing>
          <wp:anchor distT="0" distB="0" distL="114300" distR="114300" simplePos="0" relativeHeight="251663360" behindDoc="0" locked="0" layoutInCell="1" allowOverlap="1">
            <wp:simplePos x="0" y="0"/>
            <wp:positionH relativeFrom="column">
              <wp:posOffset>787400</wp:posOffset>
            </wp:positionH>
            <wp:positionV relativeFrom="paragraph">
              <wp:posOffset>109855</wp:posOffset>
            </wp:positionV>
            <wp:extent cx="3243580" cy="2475865"/>
            <wp:effectExtent l="0" t="0" r="13970" b="635"/>
            <wp:wrapTopAndBottom/>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14"/>
                    <a:stretch>
                      <a:fillRect/>
                    </a:stretch>
                  </pic:blipFill>
                  <pic:spPr>
                    <a:xfrm>
                      <a:off x="0" y="0"/>
                      <a:ext cx="3243580" cy="2475865"/>
                    </a:xfrm>
                    <a:prstGeom prst="rect">
                      <a:avLst/>
                    </a:prstGeom>
                    <a:noFill/>
                    <a:ln>
                      <a:noFill/>
                    </a:ln>
                  </pic:spPr>
                </pic:pic>
              </a:graphicData>
            </a:graphic>
          </wp:anchor>
        </w:drawing>
      </w:r>
      <w:r>
        <w:rPr>
          <w:rFonts w:hint="eastAsia" w:ascii="Times New Roman" w:hAnsi="Times New Roman" w:cs="Times New Roman" w:eastAsiaTheme="minorEastAsia"/>
          <w:b/>
          <w:szCs w:val="21"/>
          <w:lang w:val="en-US" w:eastAsia="zh-CN"/>
        </w:rPr>
        <w:t>图3.</w:t>
      </w:r>
      <w:r>
        <w:rPr>
          <w:rFonts w:hint="eastAsia" w:ascii="Times New Roman" w:hAnsi="Times New Roman" w:cs="Times New Roman"/>
          <w:b/>
          <w:szCs w:val="21"/>
          <w:lang w:val="en-US" w:eastAsia="zh-CN"/>
        </w:rPr>
        <w:t>4</w:t>
      </w:r>
      <w:r>
        <w:rPr>
          <w:rFonts w:hint="eastAsia" w:ascii="Times New Roman" w:hAnsi="Times New Roman" w:cs="Times New Roman" w:eastAsiaTheme="minorEastAsia"/>
          <w:b/>
          <w:szCs w:val="21"/>
          <w:lang w:val="en-US" w:eastAsia="zh-CN"/>
        </w:rPr>
        <w:t>-2  医疗废物运输车示意图</w:t>
      </w:r>
    </w:p>
    <w:p w14:paraId="17E5047D">
      <w:pPr>
        <w:pStyle w:val="17"/>
        <w:rPr>
          <w:rFonts w:hint="default"/>
          <w:lang w:val="en-US" w:eastAsia="zh-CN"/>
        </w:rPr>
      </w:pPr>
    </w:p>
    <w:p w14:paraId="596AFA00">
      <w:pPr>
        <w:adjustRightInd w:val="0"/>
        <w:snapToGrid w:val="0"/>
        <w:spacing w:before="250"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表3.4-5  医疗废物运输车性能指标一览表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6"/>
        <w:gridCol w:w="7096"/>
      </w:tblGrid>
      <w:tr w14:paraId="2762E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6" w:type="dxa"/>
            <w:vAlign w:val="center"/>
          </w:tcPr>
          <w:p w14:paraId="04AEBEC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整车</w:t>
            </w:r>
          </w:p>
        </w:tc>
        <w:tc>
          <w:tcPr>
            <w:tcW w:w="7096" w:type="dxa"/>
            <w:vAlign w:val="center"/>
          </w:tcPr>
          <w:p w14:paraId="152E467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驾驶室与货箱完全隔开，有侧门，便于装卸。</w:t>
            </w:r>
          </w:p>
        </w:tc>
      </w:tr>
      <w:tr w14:paraId="64A57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6" w:type="dxa"/>
            <w:vAlign w:val="center"/>
          </w:tcPr>
          <w:p w14:paraId="63985EF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配备</w:t>
            </w:r>
          </w:p>
        </w:tc>
        <w:tc>
          <w:tcPr>
            <w:tcW w:w="7096" w:type="dxa"/>
            <w:vAlign w:val="center"/>
          </w:tcPr>
          <w:p w14:paraId="777A221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用专用箱存放发生意外事故后防止污染扩散的用品、消毒器械及消毒剂、收集工具及包装袋、人员卫生防护用品等。</w:t>
            </w:r>
          </w:p>
        </w:tc>
      </w:tr>
      <w:tr w14:paraId="27BBB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6" w:type="dxa"/>
            <w:vAlign w:val="center"/>
          </w:tcPr>
          <w:p w14:paraId="181F63C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车厢</w:t>
            </w:r>
          </w:p>
        </w:tc>
        <w:tc>
          <w:tcPr>
            <w:tcW w:w="7096" w:type="dxa"/>
            <w:vAlign w:val="center"/>
          </w:tcPr>
          <w:p w14:paraId="4EF64C1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按装载比重</w:t>
            </w:r>
            <w:r>
              <w:rPr>
                <w:rFonts w:hint="default" w:ascii="Times New Roman" w:hAnsi="Times New Roman" w:cs="Times New Roman" w:eastAsiaTheme="minorEastAsia"/>
                <w:szCs w:val="21"/>
                <w:lang w:val="en-US" w:eastAsia="zh-CN"/>
              </w:rPr>
              <w:t>250kg/m</w:t>
            </w:r>
            <w:r>
              <w:rPr>
                <w:rFonts w:hint="eastAsia" w:ascii="Times New Roman" w:hAnsi="Times New Roman" w:cs="Times New Roman" w:eastAsiaTheme="minorEastAsia"/>
                <w:szCs w:val="21"/>
                <w:vertAlign w:val="superscript"/>
                <w:lang w:val="en-US" w:eastAsia="zh-CN"/>
              </w:rPr>
              <w:t>3</w:t>
            </w:r>
            <w:r>
              <w:rPr>
                <w:rFonts w:hint="eastAsia" w:ascii="Times New Roman" w:hAnsi="Times New Roman" w:cs="Times New Roman" w:eastAsiaTheme="minorEastAsia"/>
                <w:szCs w:val="21"/>
                <w:lang w:val="en-US" w:eastAsia="zh-CN"/>
              </w:rPr>
              <w:t>设计，有效载重量约</w:t>
            </w:r>
            <w:r>
              <w:rPr>
                <w:rFonts w:hint="default" w:ascii="Times New Roman" w:hAnsi="Times New Roman" w:cs="Times New Roman" w:eastAsiaTheme="minorEastAsia"/>
                <w:szCs w:val="21"/>
                <w:lang w:val="en-US" w:eastAsia="zh-CN"/>
              </w:rPr>
              <w:t>1</w:t>
            </w:r>
            <w:r>
              <w:rPr>
                <w:rFonts w:hint="eastAsia" w:ascii="Times New Roman" w:hAnsi="Times New Roman" w:cs="Times New Roman" w:eastAsiaTheme="minorEastAsia"/>
                <w:szCs w:val="21"/>
                <w:lang w:val="en-US" w:eastAsia="zh-CN"/>
              </w:rPr>
              <w:t>吨。</w:t>
            </w:r>
          </w:p>
        </w:tc>
      </w:tr>
      <w:tr w14:paraId="62F75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6" w:type="dxa"/>
            <w:vAlign w:val="center"/>
          </w:tcPr>
          <w:p w14:paraId="4ACA8E6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内部材料</w:t>
            </w:r>
          </w:p>
        </w:tc>
        <w:tc>
          <w:tcPr>
            <w:tcW w:w="7096" w:type="dxa"/>
            <w:vAlign w:val="center"/>
          </w:tcPr>
          <w:p w14:paraId="523AA74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采用防水、耐腐蚀、便于消毒和清洗的材料。</w:t>
            </w:r>
          </w:p>
        </w:tc>
      </w:tr>
      <w:tr w14:paraId="5AE0F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6" w:type="dxa"/>
            <w:vAlign w:val="center"/>
          </w:tcPr>
          <w:p w14:paraId="3FFBB33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内部表面</w:t>
            </w:r>
          </w:p>
        </w:tc>
        <w:tc>
          <w:tcPr>
            <w:tcW w:w="7096" w:type="dxa"/>
            <w:vAlign w:val="center"/>
          </w:tcPr>
          <w:p w14:paraId="108AE19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平整、具有一定强度，底部及周边圆滑，不留死角。</w:t>
            </w:r>
          </w:p>
        </w:tc>
      </w:tr>
      <w:tr w14:paraId="187CF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6" w:type="dxa"/>
            <w:shd w:val="clear" w:color="auto" w:fill="auto"/>
            <w:vAlign w:val="center"/>
          </w:tcPr>
          <w:p w14:paraId="6AE7DB1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车厢性能</w:t>
            </w:r>
          </w:p>
        </w:tc>
        <w:tc>
          <w:tcPr>
            <w:tcW w:w="7096" w:type="dxa"/>
            <w:shd w:val="clear" w:color="auto" w:fill="auto"/>
            <w:vAlign w:val="center"/>
          </w:tcPr>
          <w:p w14:paraId="3C7EE87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具有良好的密封性能，能防液体外渗，车厢底部设置有良好气密性的排水孔，能够有效收集和排出污水。</w:t>
            </w:r>
          </w:p>
        </w:tc>
      </w:tr>
      <w:tr w14:paraId="0BBA4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6" w:type="dxa"/>
            <w:vAlign w:val="center"/>
          </w:tcPr>
          <w:p w14:paraId="367E988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固定装置</w:t>
            </w:r>
          </w:p>
        </w:tc>
        <w:tc>
          <w:tcPr>
            <w:tcW w:w="7096" w:type="dxa"/>
            <w:vAlign w:val="center"/>
          </w:tcPr>
          <w:p w14:paraId="79EB78B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能防止紧急起停或事故时转运箱翻转，车厢后门及侧门装配牢固的门锁。</w:t>
            </w:r>
          </w:p>
        </w:tc>
      </w:tr>
      <w:tr w14:paraId="1E667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6" w:type="dxa"/>
            <w:vAlign w:val="center"/>
          </w:tcPr>
          <w:p w14:paraId="2F879D6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车厢颜色</w:t>
            </w:r>
          </w:p>
        </w:tc>
        <w:tc>
          <w:tcPr>
            <w:tcW w:w="7096" w:type="dxa"/>
            <w:vAlign w:val="center"/>
          </w:tcPr>
          <w:p w14:paraId="1331A53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外部为白色并标有醒目的警示标识。</w:t>
            </w:r>
          </w:p>
        </w:tc>
      </w:tr>
    </w:tbl>
    <w:p w14:paraId="1E35DE39">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（2）医疗废物的运输</w:t>
      </w:r>
    </w:p>
    <w:p w14:paraId="193EC104">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医疗废物运输设备主要为医疗废物专用运输车。根据运输量，按照同一运输线路上尽量用一辆车的原则。</w:t>
      </w:r>
    </w:p>
    <w:p w14:paraId="7C133D9C">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1）医疗废物运输车辆的要求</w:t>
      </w:r>
    </w:p>
    <w:p w14:paraId="4861C645">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医疗废物运送应当使用按照《医疗废物转运车技术要求（试行）》（</w:t>
      </w:r>
      <w:r>
        <w:rPr>
          <w:rFonts w:hint="default" w:ascii="Times New Roman" w:hAnsi="Times New Roman" w:cs="Times New Roman" w:eastAsiaTheme="minorEastAsia"/>
          <w:sz w:val="24"/>
          <w:lang w:val="en-US" w:eastAsia="zh-CN"/>
        </w:rPr>
        <w:t>GB19217-2003</w:t>
      </w:r>
      <w:r>
        <w:rPr>
          <w:rFonts w:hint="eastAsia" w:ascii="Times New Roman" w:hAnsi="Times New Roman" w:cs="Times New Roman" w:eastAsiaTheme="minorEastAsia"/>
          <w:sz w:val="24"/>
          <w:lang w:val="en-US" w:eastAsia="zh-CN"/>
        </w:rPr>
        <w:t>）标准制造的专用车辆。根据《医疗废物转运车技术要求》，应选用冷藏运输车，载重质量</w:t>
      </w:r>
      <w:r>
        <w:rPr>
          <w:rFonts w:hint="default" w:ascii="Times New Roman" w:hAnsi="Times New Roman" w:cs="Times New Roman" w:eastAsiaTheme="minorEastAsia"/>
          <w:sz w:val="24"/>
          <w:lang w:val="en-US" w:eastAsia="zh-CN"/>
        </w:rPr>
        <w:t>1000</w:t>
      </w:r>
      <w:r>
        <w:rPr>
          <w:rFonts w:hint="eastAsia" w:ascii="Times New Roman" w:hAnsi="Times New Roman" w:cs="Times New Roman" w:eastAsiaTheme="minorEastAsia"/>
          <w:sz w:val="24"/>
          <w:lang w:val="en-US" w:eastAsia="zh-CN"/>
        </w:rPr>
        <w:t>千克，并在每辆医疗废物转运车上安装</w:t>
      </w:r>
      <w:r>
        <w:rPr>
          <w:rFonts w:hint="default" w:ascii="Times New Roman" w:hAnsi="Times New Roman" w:cs="Times New Roman" w:eastAsiaTheme="minorEastAsia"/>
          <w:sz w:val="24"/>
          <w:lang w:val="en-US" w:eastAsia="zh-CN"/>
        </w:rPr>
        <w:t>GPS</w:t>
      </w:r>
      <w:r>
        <w:rPr>
          <w:rFonts w:hint="eastAsia" w:ascii="Times New Roman" w:hAnsi="Times New Roman" w:cs="Times New Roman" w:eastAsiaTheme="minorEastAsia"/>
          <w:sz w:val="24"/>
          <w:lang w:val="en-US" w:eastAsia="zh-CN"/>
        </w:rPr>
        <w:t>定位系统。</w:t>
      </w:r>
    </w:p>
    <w:p w14:paraId="3A4A675B">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A</w:t>
      </w:r>
      <w:r>
        <w:rPr>
          <w:rFonts w:hint="eastAsia" w:ascii="Times New Roman" w:hAnsi="Times New Roman" w:cs="Times New Roman" w:eastAsiaTheme="minorEastAsia"/>
          <w:sz w:val="24"/>
          <w:lang w:val="en-US" w:eastAsia="zh-CN"/>
        </w:rPr>
        <w:t>、车内应配备：①医疗废物集中处置技术规范文本；②《危险废物转移联单》（医疗废物专用）；③《医疗废物运送登记卡》；④运送路线图；⑤通讯设备；⑥医疗废物产生单位及其管理人员名单与电话号码；⑦事故应急预案及联络单位和人员的名单、电话号码；⑧收集医疗废物的工具、消毒器具与药品；⑨备用的医疗废物专用袋和利器盒；⑩备用的人员防护用器；⑪专业收运人员。</w:t>
      </w:r>
    </w:p>
    <w:p w14:paraId="751B9BE9">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B</w:t>
      </w:r>
      <w:r>
        <w:rPr>
          <w:rFonts w:hint="eastAsia" w:ascii="Times New Roman" w:hAnsi="Times New Roman" w:cs="Times New Roman" w:eastAsiaTheme="minorEastAsia"/>
          <w:sz w:val="24"/>
          <w:lang w:val="en-US" w:eastAsia="zh-CN"/>
        </w:rPr>
        <w:t>、图形和文字标识</w:t>
      </w:r>
    </w:p>
    <w:p w14:paraId="434DDE43">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①医疗废物运送车辆必须在车辆前部和后部、车辆两侧设置专用警示标识：见</w:t>
      </w:r>
      <w:r>
        <w:rPr>
          <w:rFonts w:hint="default" w:ascii="Times New Roman" w:hAnsi="Times New Roman" w:cs="Times New Roman" w:eastAsiaTheme="minorEastAsia"/>
          <w:sz w:val="24"/>
          <w:lang w:val="en-US" w:eastAsia="zh-CN"/>
        </w:rPr>
        <w:t>GB19217-2003</w:t>
      </w:r>
      <w:r>
        <w:rPr>
          <w:rFonts w:hint="eastAsia" w:ascii="Times New Roman" w:hAnsi="Times New Roman" w:cs="Times New Roman" w:eastAsiaTheme="minorEastAsia"/>
          <w:sz w:val="24"/>
          <w:lang w:val="en-US" w:eastAsia="zh-CN"/>
        </w:rPr>
        <w:t>附录</w:t>
      </w:r>
      <w:r>
        <w:rPr>
          <w:rFonts w:hint="default" w:ascii="Times New Roman" w:hAnsi="Times New Roman" w:cs="Times New Roman" w:eastAsiaTheme="minorEastAsia"/>
          <w:sz w:val="24"/>
          <w:lang w:val="en-US" w:eastAsia="zh-CN"/>
        </w:rPr>
        <w:t>A</w:t>
      </w:r>
      <w:r>
        <w:rPr>
          <w:rFonts w:hint="eastAsia" w:ascii="Times New Roman" w:hAnsi="Times New Roman" w:cs="Times New Roman" w:eastAsiaTheme="minorEastAsia"/>
          <w:sz w:val="24"/>
          <w:lang w:val="en-US" w:eastAsia="zh-CN"/>
        </w:rPr>
        <w:t>医疗废物转运车标志。②运送车辆驾驶室两侧喷涂医疗废物处置单位的名称和运送车辆编号。</w:t>
      </w:r>
    </w:p>
    <w:p w14:paraId="556B5A04">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医疗废物运送车辆如需改作其他用途，应经彻底消毒处置，并经环保部门同意，取消车辆的医疗废物运送车辆编号，按照公安交通管理规定重新办理车辆用途变更手续</w:t>
      </w:r>
    </w:p>
    <w:p w14:paraId="03C131F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C</w:t>
      </w:r>
      <w:r>
        <w:rPr>
          <w:rFonts w:hint="eastAsia" w:ascii="Times New Roman" w:hAnsi="Times New Roman" w:cs="Times New Roman" w:eastAsiaTheme="minorEastAsia"/>
          <w:sz w:val="24"/>
          <w:lang w:val="en-US" w:eastAsia="zh-CN"/>
        </w:rPr>
        <w:t>、消毒和清洗要求</w:t>
      </w:r>
    </w:p>
    <w:p w14:paraId="2DB49827">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医疗废物处置单位必须设置医疗废物运送车辆清洗场所和污水收集消毒处理设施。专用车每次运送完毕，应在厂内对车厢内壁进行消毒，喷洒消毒液后密封至少</w:t>
      </w:r>
      <w:r>
        <w:rPr>
          <w:rFonts w:hint="default" w:ascii="Times New Roman" w:hAnsi="Times New Roman" w:cs="Times New Roman" w:eastAsiaTheme="minorEastAsia"/>
          <w:sz w:val="24"/>
          <w:lang w:val="en-US" w:eastAsia="zh-CN"/>
        </w:rPr>
        <w:t>30</w:t>
      </w:r>
      <w:r>
        <w:rPr>
          <w:rFonts w:hint="eastAsia" w:ascii="Times New Roman" w:hAnsi="Times New Roman" w:cs="Times New Roman" w:eastAsiaTheme="minorEastAsia"/>
          <w:sz w:val="24"/>
          <w:lang w:val="en-US" w:eastAsia="zh-CN"/>
        </w:rPr>
        <w:t>分钟。周转箱应在每次运送完毕进行消毒、清洗。医疗废物运送车辆应至少</w:t>
      </w:r>
      <w:r>
        <w:rPr>
          <w:rFonts w:hint="default" w:ascii="Times New Roman" w:hAnsi="Times New Roman" w:cs="Times New Roman" w:eastAsiaTheme="minorEastAsia"/>
          <w:sz w:val="24"/>
          <w:lang w:val="en-US" w:eastAsia="zh-CN"/>
        </w:rPr>
        <w:t>2</w:t>
      </w:r>
      <w:r>
        <w:rPr>
          <w:rFonts w:hint="eastAsia" w:ascii="Times New Roman" w:hAnsi="Times New Roman" w:cs="Times New Roman" w:eastAsiaTheme="minorEastAsia"/>
          <w:sz w:val="24"/>
          <w:lang w:val="en-US" w:eastAsia="zh-CN"/>
        </w:rPr>
        <w:t>天清洗一次，或当车厢内壁或外表面被污染后，应立刻进行清洗。禁止在社会车辆清洗场所清洗医疗废物运送车辆。清洗污水应收集入污水消毒处理设施，禁止任意向环境排放清洗污水。车辆清洗晾干后方可再次投入使用。</w:t>
      </w:r>
    </w:p>
    <w:p w14:paraId="40F303CE">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2）医疗废物收集运输路线</w:t>
      </w:r>
    </w:p>
    <w:p w14:paraId="1D202AF8">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根据喀什地区莎车县各医院和医疗卫生机构的分布、医疗废物产尘量、交通等情况和交通管理部门所能提供的特殊政策（如：单行、禁行、停车等）制定医疗废物收集运输线路图。制定收集运输线路图的总原则是尽量避开上下班高峰期和交通拥堵通路、尽量避免道路重复、尽量使运输车的配备与医疗废物产生量相符，保证安全性，兼顾经济性，保证各医院和医疗卫生机构每天产生的医疗废物能安全、</w:t>
      </w:r>
      <w:r>
        <w:rPr>
          <w:rFonts w:hint="eastAsia" w:ascii="Times New Roman" w:hAnsi="Times New Roman" w:cs="Times New Roman"/>
          <w:sz w:val="24"/>
          <w:lang w:val="en-US" w:eastAsia="zh-CN"/>
        </w:rPr>
        <w:t>准</w:t>
      </w:r>
      <w:r>
        <w:rPr>
          <w:rFonts w:hint="eastAsia" w:ascii="Times New Roman" w:hAnsi="Times New Roman" w:cs="Times New Roman" w:eastAsiaTheme="minorEastAsia"/>
          <w:sz w:val="24"/>
          <w:lang w:val="en-US" w:eastAsia="zh-CN"/>
        </w:rPr>
        <w:t>时、全部转运至处理处置场所。</w:t>
      </w:r>
    </w:p>
    <w:p w14:paraId="613E26CE">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3）医疗废物收集运输管理</w:t>
      </w:r>
    </w:p>
    <w:p w14:paraId="0030E613">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A</w:t>
      </w:r>
      <w:r>
        <w:rPr>
          <w:rFonts w:hint="eastAsia" w:ascii="Times New Roman" w:hAnsi="Times New Roman" w:cs="Times New Roman" w:eastAsiaTheme="minorEastAsia"/>
          <w:sz w:val="24"/>
          <w:lang w:val="en-US" w:eastAsia="zh-CN"/>
        </w:rPr>
        <w:t>、危险废物转移联单管理</w:t>
      </w:r>
    </w:p>
    <w:p w14:paraId="76A842E8">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医疗废物应执行危险废物转移联单制度，其目的在于记录医疗废物从产生、运输到处置整个过程的行踪，在这个过程中应当对危险废物进行登记，登记内容应当包括危废的来源、种类、重量、交接时间、处置方法、最终去向以及经办人签名等项目，登记资料至少保存</w:t>
      </w:r>
      <w:r>
        <w:rPr>
          <w:rFonts w:hint="default" w:ascii="Times New Roman" w:hAnsi="Times New Roman" w:cs="Times New Roman" w:eastAsiaTheme="minorEastAsia"/>
          <w:sz w:val="24"/>
          <w:lang w:val="en-US" w:eastAsia="zh-CN"/>
        </w:rPr>
        <w:t>5</w:t>
      </w:r>
      <w:r>
        <w:rPr>
          <w:rFonts w:hint="eastAsia" w:ascii="Times New Roman" w:hAnsi="Times New Roman" w:cs="Times New Roman" w:eastAsiaTheme="minorEastAsia"/>
          <w:sz w:val="24"/>
          <w:lang w:val="en-US" w:eastAsia="zh-CN"/>
        </w:rPr>
        <w:t>年。在医废运输的过程中，必须严格执行转移联单与废物流向一致的原则，并且处置中心应在废物运输车辆进厂时严格检验，要求废物运输车上的废物来源、种类、数量与实际情况相符。</w:t>
      </w:r>
    </w:p>
    <w:p w14:paraId="53E07CEF">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B</w:t>
      </w:r>
      <w:r>
        <w:rPr>
          <w:rFonts w:hint="eastAsia" w:ascii="Times New Roman" w:hAnsi="Times New Roman" w:cs="Times New Roman" w:eastAsiaTheme="minorEastAsia"/>
          <w:sz w:val="24"/>
          <w:lang w:val="en-US" w:eastAsia="zh-CN"/>
        </w:rPr>
        <w:t>、医疗废物收集运输过程中的管理措施</w:t>
      </w:r>
    </w:p>
    <w:p w14:paraId="723C39F6">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医疗废物运输车辆应采用医疗废物专用转运车，保证运输中医疗废物处于密闭状态。转运车和转运箱完成一次运输周转后必须清洗、消毒。对运输医疗废物的车辆必须定期进行检查，及时发现安全隐患，确保运输的安全。负责运输的司机必须通过培训，了解相关的安全知识。</w:t>
      </w:r>
    </w:p>
    <w:p w14:paraId="2860EF96">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事先需做出周密的运输计划和行驶路线，其中应包括废物泄漏情况下的有效应急措施。车上应配备通讯设备、处置中心联络人员名单及其电话号码，以备发生事故时及时抢救和处理。医疗废物的收集与运输的管理除了依据危险废物相关法规外，还应执行《道路危险货物运输管理规定》《危险货物道路运输规则》《道路运输危险货物车辆标志》等相关道路运输法规和规范。</w:t>
      </w:r>
    </w:p>
    <w:p w14:paraId="521285CC">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（3）医疗废物的贮存</w:t>
      </w:r>
    </w:p>
    <w:p w14:paraId="1620F062">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医疗废物具有毒性、感染性等特点，只有对其进行全程监控，才能达到有效处理，因此医疗废物的收集和运输由处置方派专用密闭运输车收集运输。收集装置采用特制带盖聚乙烯转运箱，转运箱内衬双层</w:t>
      </w:r>
      <w:r>
        <w:rPr>
          <w:rFonts w:hint="default" w:ascii="Times New Roman" w:hAnsi="Times New Roman" w:cs="Times New Roman" w:eastAsiaTheme="minorEastAsia"/>
          <w:sz w:val="24"/>
          <w:lang w:val="en-US" w:eastAsia="zh-CN"/>
        </w:rPr>
        <w:t>0.8</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1mm</w:t>
      </w:r>
      <w:r>
        <w:rPr>
          <w:rFonts w:hint="eastAsia" w:ascii="Times New Roman" w:hAnsi="Times New Roman" w:cs="Times New Roman" w:eastAsiaTheme="minorEastAsia"/>
          <w:sz w:val="24"/>
          <w:lang w:val="en-US" w:eastAsia="zh-CN"/>
        </w:rPr>
        <w:t>厚的塑料袋。转运箱定点放置于医院的住院部、门诊楼等，并设置医疗废物警示标识，各医院和医疗卫生机构由专人将医疗废物收集倾倒于转运箱内。处置方每天派专用收集运输车到各县市医院或医疗卫生机构收集运输医疗废物，用空转运箱替换装满医疗废物的重转运箱。各医院和医疗卫生机构自行按照《医疗废物集中处置技术规范（试行）》的要求设置医疗废物转运箱的贮存库房。</w:t>
      </w:r>
    </w:p>
    <w:p w14:paraId="0BE0238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由专用收集运输车收集运至处置场所的医疗废物经过磅登记、计算机条形码扫描核对后进入医疗废物车间的汽车卸箱区，移交给医疗废物暂存间分类暂存。</w:t>
      </w:r>
    </w:p>
    <w:p w14:paraId="6FE1BB2C">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感染性、损伤性、病理性及药物性废物当天在焚烧厂</w:t>
      </w:r>
      <w:r>
        <w:rPr>
          <w:rFonts w:hint="eastAsia" w:ascii="Times New Roman" w:hAnsi="Times New Roman" w:cs="Times New Roman"/>
          <w:sz w:val="24"/>
          <w:lang w:val="en-US" w:eastAsia="zh-CN"/>
        </w:rPr>
        <w:t>及时</w:t>
      </w:r>
      <w:r>
        <w:rPr>
          <w:rFonts w:hint="eastAsia" w:ascii="Times New Roman" w:hAnsi="Times New Roman" w:cs="Times New Roman" w:eastAsiaTheme="minorEastAsia"/>
          <w:sz w:val="24"/>
          <w:lang w:val="en-US" w:eastAsia="zh-CN"/>
        </w:rPr>
        <w:t>处理，暂存间地面需作防渗防腐处理。</w:t>
      </w:r>
    </w:p>
    <w:p w14:paraId="33FA2C6F">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4</w:t>
      </w:r>
      <w:r>
        <w:rPr>
          <w:rFonts w:hint="eastAsia" w:ascii="Times New Roman" w:hAnsi="Times New Roman" w:cs="Times New Roman" w:eastAsiaTheme="minorEastAsia"/>
          <w:sz w:val="24"/>
          <w:lang w:val="en-US" w:eastAsia="zh-CN"/>
        </w:rPr>
        <w:t>）转运工具消毒清洗</w:t>
      </w:r>
    </w:p>
    <w:p w14:paraId="07B24718">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医疗废物运输车进入处置车间的汽车卸箱区卸箱后，直接进入紧邻的汽车消毒区消毒。汽车卸箱区、消毒区进出口设有气幕密封门，防止消毒过程中产生的气溶胶逸出；消毒区出口设有汽车车轮消毒水槽，对车轮进行消毒。对卸空后的转运箱采用人工消毒清洗。空转运箱先放在浓度约</w:t>
      </w:r>
      <w:r>
        <w:rPr>
          <w:rFonts w:hint="default" w:ascii="Times New Roman" w:hAnsi="Times New Roman" w:cs="Times New Roman" w:eastAsiaTheme="minorEastAsia"/>
          <w:sz w:val="24"/>
          <w:lang w:val="en-US" w:eastAsia="zh-CN"/>
        </w:rPr>
        <w:t>15</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30mg/L</w:t>
      </w:r>
      <w:r>
        <w:rPr>
          <w:rFonts w:hint="eastAsia" w:ascii="Times New Roman" w:hAnsi="Times New Roman" w:cs="Times New Roman" w:eastAsiaTheme="minorEastAsia"/>
          <w:sz w:val="24"/>
          <w:lang w:val="en-US" w:eastAsia="zh-CN"/>
        </w:rPr>
        <w:t>的次氯酸钠消毒溶液中浸泡</w:t>
      </w:r>
      <w:r>
        <w:rPr>
          <w:rFonts w:hint="default" w:ascii="Times New Roman" w:hAnsi="Times New Roman" w:cs="Times New Roman" w:eastAsiaTheme="minorEastAsia"/>
          <w:sz w:val="24"/>
          <w:lang w:val="en-US" w:eastAsia="zh-CN"/>
        </w:rPr>
        <w:t>25min</w:t>
      </w:r>
      <w:r>
        <w:rPr>
          <w:rFonts w:hint="eastAsia" w:ascii="Times New Roman" w:hAnsi="Times New Roman" w:cs="Times New Roman" w:eastAsiaTheme="minorEastAsia"/>
          <w:sz w:val="24"/>
          <w:lang w:val="en-US" w:eastAsia="zh-CN"/>
        </w:rPr>
        <w:t>，然后用高压水枪进行冲洗。消毒灭菌检测：消毒后的转运箱应进行每批次的化学指示剂检测，每周用生物指示剂抽查灭菌效果，同时每季度由疾控中心采用细菌培养法检测消毒灭菌效果。</w:t>
      </w:r>
    </w:p>
    <w:p w14:paraId="1FB958E3">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医疗废物转运箱经消毒清洗后可重复使用（其使用寿命平均为</w:t>
      </w:r>
      <w:r>
        <w:rPr>
          <w:rFonts w:hint="default" w:ascii="Times New Roman" w:hAnsi="Times New Roman" w:cs="Times New Roman" w:eastAsiaTheme="minorEastAsia"/>
          <w:sz w:val="24"/>
          <w:lang w:val="en-US" w:eastAsia="zh-CN"/>
        </w:rPr>
        <w:t>1</w:t>
      </w:r>
      <w:r>
        <w:rPr>
          <w:rFonts w:hint="eastAsia" w:ascii="Times New Roman" w:hAnsi="Times New Roman" w:cs="Times New Roman" w:eastAsiaTheme="minorEastAsia"/>
          <w:sz w:val="24"/>
          <w:lang w:val="en-US" w:eastAsia="zh-CN"/>
        </w:rPr>
        <w:t>年）。经消毒后的清洁转运箱送入存放间待用。</w:t>
      </w:r>
    </w:p>
    <w:p w14:paraId="2461FF03">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48" w:name="_Toc17382"/>
      <w:r>
        <w:rPr>
          <w:rFonts w:hint="eastAsia" w:ascii="Times New Roman" w:hAnsi="Times New Roman" w:cs="Times New Roman" w:eastAsiaTheme="minorEastAsia"/>
          <w:kern w:val="0"/>
          <w:sz w:val="24"/>
          <w:szCs w:val="24"/>
          <w:lang w:val="en-US" w:eastAsia="zh-CN"/>
        </w:rPr>
        <w:t>3.4.2医疗废物处理工艺方案</w:t>
      </w:r>
      <w:bookmarkEnd w:id="148"/>
    </w:p>
    <w:p w14:paraId="7B72847B">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（1）医疗废物处理技术选择</w:t>
      </w:r>
    </w:p>
    <w:p w14:paraId="7DAAF824">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医疗废物处理技术主要分为焚烧技术与非焚烧技术。医疗废物焚烧技术是高温热处理技术，是指将医疗废物置于焚烧炉内，在一定的过量空气和温度（</w:t>
      </w:r>
      <w:r>
        <w:rPr>
          <w:rFonts w:hint="default" w:ascii="Times New Roman" w:hAnsi="Times New Roman" w:cs="Times New Roman" w:eastAsiaTheme="minorEastAsia"/>
          <w:sz w:val="24"/>
          <w:lang w:val="en-US" w:eastAsia="zh-CN"/>
        </w:rPr>
        <w:t>850-1100℃</w:t>
      </w:r>
      <w:r>
        <w:rPr>
          <w:rFonts w:hint="eastAsia" w:ascii="Times New Roman" w:hAnsi="Times New Roman" w:cs="Times New Roman" w:eastAsiaTheme="minorEastAsia"/>
          <w:sz w:val="24"/>
          <w:lang w:val="en-US" w:eastAsia="zh-CN"/>
        </w:rPr>
        <w:t>）条件下，有机组分经过燃烧氧化反应达到稳定化的过程，可大大减少医疗废物的体积和重量。医疗废物焚烧处置设施一般包括燃炉或炉窑、二燃室、烟道气净化装置、废 水处理设备等单元。常见的焚烧炉主要有热解炉、固定床焚烧炉和回转窑等。</w:t>
      </w:r>
    </w:p>
    <w:p w14:paraId="4E21D967">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医疗废物非焚烧技术是指采用焚烧以外的方法对医疗废物进行消毒处理的过程，主要适用于处理感染性和损伤性医疗废物。医疗废物非焚烧处理技术主要有高温蒸汽消毒、化学消毒、微波消毒、高温蒸汽＋微波消毒、电子束辐照消毒以及高压臭氧消毒等。医疗废物非焚烧处理主要包括破碎、消毒、干燥等过程。医疗废物非焚烧处理过程产生的尾气含有</w:t>
      </w:r>
      <w:r>
        <w:rPr>
          <w:rFonts w:hint="default" w:ascii="Times New Roman" w:hAnsi="Times New Roman" w:cs="Times New Roman" w:eastAsiaTheme="minorEastAsia"/>
          <w:sz w:val="24"/>
          <w:lang w:val="en-US" w:eastAsia="zh-CN"/>
        </w:rPr>
        <w:t>VOC</w:t>
      </w:r>
      <w:r>
        <w:rPr>
          <w:rFonts w:hint="eastAsia" w:ascii="Times New Roman" w:hAnsi="Times New Roman" w:cs="Times New Roman"/>
          <w:sz w:val="24"/>
          <w:lang w:val="en-US" w:eastAsia="zh-CN"/>
        </w:rPr>
        <w:t>s</w:t>
      </w:r>
      <w:r>
        <w:rPr>
          <w:rFonts w:hint="eastAsia" w:ascii="Times New Roman" w:hAnsi="Times New Roman" w:cs="Times New Roman" w:eastAsiaTheme="minorEastAsia"/>
          <w:sz w:val="24"/>
          <w:lang w:val="en-US" w:eastAsia="zh-CN"/>
        </w:rPr>
        <w:t>、恶臭等污染物，还可能存在一定数量的细菌病毒。</w:t>
      </w:r>
    </w:p>
    <w:p w14:paraId="12A83058">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表</w:t>
      </w:r>
      <w:r>
        <w:rPr>
          <w:rFonts w:hint="default" w:ascii="Times New Roman" w:hAnsi="Times New Roman" w:cs="Times New Roman" w:eastAsiaTheme="minorEastAsia"/>
          <w:sz w:val="24"/>
          <w:lang w:val="en-US" w:eastAsia="zh-CN"/>
        </w:rPr>
        <w:t>3.</w:t>
      </w:r>
      <w:r>
        <w:rPr>
          <w:rFonts w:hint="eastAsia" w:ascii="Times New Roman" w:hAnsi="Times New Roman" w:cs="Times New Roman" w:eastAsiaTheme="minorEastAsia"/>
          <w:sz w:val="24"/>
          <w:lang w:val="en-US" w:eastAsia="zh-CN"/>
        </w:rPr>
        <w:t>4</w:t>
      </w:r>
      <w:r>
        <w:rPr>
          <w:rFonts w:hint="default" w:ascii="Times New Roman" w:hAnsi="Times New Roman" w:cs="Times New Roman" w:eastAsiaTheme="minorEastAsia"/>
          <w:sz w:val="24"/>
          <w:lang w:val="en-US" w:eastAsia="zh-CN"/>
        </w:rPr>
        <w:t>-</w:t>
      </w:r>
      <w:r>
        <w:rPr>
          <w:rFonts w:hint="eastAsia" w:ascii="Times New Roman" w:hAnsi="Times New Roman" w:cs="Times New Roman"/>
          <w:sz w:val="24"/>
          <w:lang w:val="en-US" w:eastAsia="zh-CN"/>
        </w:rPr>
        <w:t>6</w:t>
      </w:r>
      <w:r>
        <w:rPr>
          <w:rFonts w:hint="eastAsia" w:ascii="Times New Roman" w:hAnsi="Times New Roman" w:cs="Times New Roman" w:eastAsiaTheme="minorEastAsia"/>
          <w:sz w:val="24"/>
          <w:lang w:val="en-US" w:eastAsia="zh-CN"/>
        </w:rPr>
        <w:t>列出了高温焚烧、化学消毒、蒸汽消毒、电磁波灭菌等方法优缺点，表</w:t>
      </w:r>
      <w:r>
        <w:rPr>
          <w:rFonts w:hint="default" w:ascii="Times New Roman" w:hAnsi="Times New Roman" w:cs="Times New Roman" w:eastAsiaTheme="minorEastAsia"/>
          <w:sz w:val="24"/>
          <w:lang w:val="en-US" w:eastAsia="zh-CN"/>
        </w:rPr>
        <w:t>3.</w:t>
      </w:r>
      <w:r>
        <w:rPr>
          <w:rFonts w:hint="eastAsia" w:ascii="Times New Roman" w:hAnsi="Times New Roman" w:cs="Times New Roman" w:eastAsiaTheme="minorEastAsia"/>
          <w:sz w:val="24"/>
          <w:lang w:val="en-US" w:eastAsia="zh-CN"/>
        </w:rPr>
        <w:t>4</w:t>
      </w:r>
      <w:r>
        <w:rPr>
          <w:rFonts w:hint="default" w:ascii="Times New Roman" w:hAnsi="Times New Roman" w:cs="Times New Roman" w:eastAsiaTheme="minorEastAsia"/>
          <w:sz w:val="24"/>
          <w:lang w:val="en-US" w:eastAsia="zh-CN"/>
        </w:rPr>
        <w:t>-</w:t>
      </w:r>
      <w:r>
        <w:rPr>
          <w:rFonts w:hint="eastAsia" w:ascii="Times New Roman" w:hAnsi="Times New Roman" w:cs="Times New Roman"/>
          <w:sz w:val="24"/>
          <w:lang w:val="en-US" w:eastAsia="zh-CN"/>
        </w:rPr>
        <w:t>7</w:t>
      </w:r>
      <w:r>
        <w:rPr>
          <w:rFonts w:hint="eastAsia" w:ascii="Times New Roman" w:hAnsi="Times New Roman" w:cs="Times New Roman" w:eastAsiaTheme="minorEastAsia"/>
          <w:sz w:val="24"/>
          <w:lang w:val="en-US" w:eastAsia="zh-CN"/>
        </w:rPr>
        <w:t>列出了上述技术对不同种类医疗废物的适应性。</w:t>
      </w:r>
    </w:p>
    <w:p w14:paraId="711E54D4">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医疗废物非焚烧处置技术具有可间歇运行、运行费用低、适应性强、二次污染少、不产生二噁英等污染物、易于操作管理、工艺运行效果稳定等优点，适用于小规模的医疗废物处置，特别是</w:t>
      </w:r>
      <w:r>
        <w:rPr>
          <w:rFonts w:hint="default" w:ascii="Times New Roman" w:hAnsi="Times New Roman" w:cs="Times New Roman" w:eastAsiaTheme="minorEastAsia"/>
          <w:sz w:val="24"/>
          <w:lang w:val="en-US" w:eastAsia="zh-CN"/>
        </w:rPr>
        <w:t>3</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5t/d</w:t>
      </w:r>
      <w:r>
        <w:rPr>
          <w:rFonts w:hint="eastAsia" w:ascii="Times New Roman" w:hAnsi="Times New Roman" w:cs="Times New Roman" w:eastAsiaTheme="minorEastAsia"/>
          <w:sz w:val="24"/>
          <w:lang w:val="en-US" w:eastAsia="zh-CN"/>
        </w:rPr>
        <w:t>规模的处置设施。医疗废物非焚烧处置技术不适用于处理药物性废物、化学性废物和一部分病理性废物。</w:t>
      </w:r>
    </w:p>
    <w:p w14:paraId="0536A5D5">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本项目采取高温焚烧技术，医疗废物处理规模为2</w:t>
      </w:r>
      <w:r>
        <w:rPr>
          <w:rFonts w:hint="default" w:ascii="Times New Roman" w:hAnsi="Times New Roman" w:cs="Times New Roman" w:eastAsiaTheme="minorEastAsia"/>
          <w:sz w:val="24"/>
          <w:lang w:val="en-US" w:eastAsia="zh-CN"/>
        </w:rPr>
        <w:t>t/d</w:t>
      </w:r>
      <w:r>
        <w:rPr>
          <w:rFonts w:hint="eastAsia" w:ascii="Times New Roman" w:hAnsi="Times New Roman" w:cs="Times New Roman" w:eastAsiaTheme="minorEastAsia"/>
          <w:sz w:val="24"/>
          <w:lang w:val="en-US" w:eastAsia="zh-CN"/>
        </w:rPr>
        <w:t>，可弥补非焚烧处置技术无法处置病理性、药物性和化学性医疗废物的不足，增加医疗废物收集处置种类，减缓莎车县及附近县收运处置不便、处置渠道不畅等问题。</w:t>
      </w:r>
    </w:p>
    <w:p w14:paraId="3288F3C1">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焚烧处理技术主要优点是体积和重量显著减少，废物毁形明显；适合于所有类型医疗废物及大规模应用；运行稳定，消毒灭菌及污染物去除效果好；潜在热能可回收利用；技术比较成熟。虽然存在投资及运行成本高，且需要配置完善的尾气净化系统等不足，在国内得到了广泛应用。</w:t>
      </w:r>
    </w:p>
    <w:p w14:paraId="18A7C85D">
      <w:pPr>
        <w:adjustRightInd w:val="0"/>
        <w:snapToGrid w:val="0"/>
        <w:spacing w:line="500" w:lineRule="exact"/>
        <w:ind w:firstLine="480" w:firstLineChars="200"/>
        <w:jc w:val="left"/>
        <w:rPr>
          <w:rFonts w:hint="eastAsia" w:ascii="Times New Roman" w:hAnsi="Times New Roman" w:eastAsia="华文中宋" w:cs="Times New Roman"/>
          <w:sz w:val="24"/>
          <w:highlight w:val="none"/>
          <w:lang w:val="en-US" w:eastAsia="zh-CN"/>
        </w:rPr>
      </w:pPr>
      <w:r>
        <w:rPr>
          <w:rFonts w:hint="eastAsia" w:ascii="Times New Roman" w:hAnsi="Times New Roman" w:eastAsia="华文中宋" w:cs="Times New Roman"/>
          <w:sz w:val="24"/>
          <w:highlight w:val="none"/>
          <w:lang w:val="en-US" w:eastAsia="zh-CN"/>
        </w:rPr>
        <w:t>综上所述，本项目医疗废物的处理采用焚烧处理技术。</w:t>
      </w:r>
    </w:p>
    <w:p w14:paraId="11FB6139">
      <w:pPr>
        <w:adjustRightInd w:val="0"/>
        <w:snapToGrid w:val="0"/>
        <w:spacing w:before="250"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表3.4-6  常见医疗废物处理方法的优缺点比较</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1"/>
        <w:gridCol w:w="3825"/>
        <w:gridCol w:w="3806"/>
      </w:tblGrid>
      <w:tr w14:paraId="5CB24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 w:type="dxa"/>
            <w:vAlign w:val="center"/>
          </w:tcPr>
          <w:p w14:paraId="4AE880D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技术</w:t>
            </w:r>
          </w:p>
        </w:tc>
        <w:tc>
          <w:tcPr>
            <w:tcW w:w="3825" w:type="dxa"/>
            <w:vAlign w:val="center"/>
          </w:tcPr>
          <w:p w14:paraId="043BC6B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优点</w:t>
            </w:r>
          </w:p>
        </w:tc>
        <w:tc>
          <w:tcPr>
            <w:tcW w:w="3806" w:type="dxa"/>
            <w:vAlign w:val="center"/>
          </w:tcPr>
          <w:p w14:paraId="582950A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缺点</w:t>
            </w:r>
          </w:p>
        </w:tc>
      </w:tr>
      <w:tr w14:paraId="06CA4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 w:type="dxa"/>
            <w:vAlign w:val="center"/>
          </w:tcPr>
          <w:p w14:paraId="2E27C85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高温焚烧</w:t>
            </w:r>
          </w:p>
        </w:tc>
        <w:tc>
          <w:tcPr>
            <w:tcW w:w="3825" w:type="dxa"/>
            <w:vAlign w:val="center"/>
          </w:tcPr>
          <w:p w14:paraId="2D08095B">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r>
              <w:rPr>
                <w:rFonts w:hint="eastAsia" w:ascii="Times New Roman" w:hAnsi="Times New Roman" w:cs="Times New Roman" w:eastAsiaTheme="minorEastAsia"/>
                <w:szCs w:val="21"/>
                <w:lang w:val="en-US" w:eastAsia="zh-CN"/>
              </w:rPr>
              <w:t>减容（</w:t>
            </w:r>
            <w:r>
              <w:rPr>
                <w:rFonts w:hint="default" w:ascii="Times New Roman" w:hAnsi="Times New Roman" w:cs="Times New Roman" w:eastAsiaTheme="minorEastAsia"/>
                <w:szCs w:val="21"/>
                <w:lang w:val="en-US" w:eastAsia="zh-CN"/>
              </w:rPr>
              <w:t>95%</w:t>
            </w:r>
            <w:r>
              <w:rPr>
                <w:rFonts w:hint="eastAsia" w:ascii="Times New Roman" w:hAnsi="Times New Roman" w:cs="Times New Roman" w:eastAsiaTheme="minorEastAsia"/>
                <w:szCs w:val="21"/>
                <w:lang w:val="en-US" w:eastAsia="zh-CN"/>
              </w:rPr>
              <w:t>）及减量（</w:t>
            </w:r>
            <w:r>
              <w:rPr>
                <w:rFonts w:hint="default" w:ascii="Times New Roman" w:hAnsi="Times New Roman" w:cs="Times New Roman" w:eastAsiaTheme="minorEastAsia"/>
                <w:szCs w:val="21"/>
                <w:lang w:val="en-US" w:eastAsia="zh-CN"/>
              </w:rPr>
              <w:t>90%</w:t>
            </w:r>
            <w:r>
              <w:rPr>
                <w:rFonts w:hint="eastAsia" w:ascii="Times New Roman" w:hAnsi="Times New Roman" w:cs="Times New Roman" w:eastAsiaTheme="minorEastAsia"/>
                <w:szCs w:val="21"/>
                <w:lang w:val="en-US" w:eastAsia="zh-CN"/>
              </w:rPr>
              <w:t>）效果最佳</w:t>
            </w:r>
          </w:p>
          <w:p w14:paraId="08D71986">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w:t>
            </w:r>
            <w:r>
              <w:rPr>
                <w:rFonts w:hint="eastAsia" w:ascii="Times New Roman" w:hAnsi="Times New Roman" w:cs="Times New Roman" w:eastAsiaTheme="minorEastAsia"/>
                <w:szCs w:val="21"/>
                <w:lang w:val="en-US" w:eastAsia="zh-CN"/>
              </w:rPr>
              <w:t>）操作正常时消毒彻底</w:t>
            </w:r>
          </w:p>
          <w:p w14:paraId="4030DCAF">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w:t>
            </w:r>
            <w:r>
              <w:rPr>
                <w:rFonts w:hint="eastAsia" w:ascii="Times New Roman" w:hAnsi="Times New Roman" w:cs="Times New Roman" w:eastAsiaTheme="minorEastAsia"/>
                <w:szCs w:val="21"/>
                <w:lang w:val="en-US" w:eastAsia="zh-CN"/>
              </w:rPr>
              <w:t>）可处理所有种类医疗废物</w:t>
            </w:r>
          </w:p>
          <w:p w14:paraId="36DC230A">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w:t>
            </w:r>
            <w:r>
              <w:rPr>
                <w:rFonts w:hint="eastAsia" w:ascii="Times New Roman" w:hAnsi="Times New Roman" w:cs="Times New Roman" w:eastAsiaTheme="minorEastAsia"/>
                <w:szCs w:val="21"/>
                <w:lang w:val="en-US" w:eastAsia="zh-CN"/>
              </w:rPr>
              <w:t>）集中处理的规模可大型化</w:t>
            </w:r>
          </w:p>
        </w:tc>
        <w:tc>
          <w:tcPr>
            <w:tcW w:w="3806" w:type="dxa"/>
            <w:vAlign w:val="center"/>
          </w:tcPr>
          <w:p w14:paraId="51BD518B">
            <w:pPr>
              <w:autoSpaceDE w:val="0"/>
              <w:autoSpaceDN w:val="0"/>
              <w:spacing w:line="300" w:lineRule="exact"/>
              <w:jc w:val="left"/>
              <w:rPr>
                <w:rFonts w:hint="eastAsia"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r>
              <w:rPr>
                <w:rFonts w:hint="eastAsia" w:ascii="Times New Roman" w:hAnsi="Times New Roman" w:cs="Times New Roman" w:eastAsiaTheme="minorEastAsia"/>
                <w:szCs w:val="21"/>
                <w:lang w:val="en-US" w:eastAsia="zh-CN"/>
              </w:rPr>
              <w:t>）不可燃物无法减容，例如灰、金属等</w:t>
            </w:r>
          </w:p>
          <w:p w14:paraId="740C5194">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w:t>
            </w:r>
            <w:r>
              <w:rPr>
                <w:rFonts w:hint="eastAsia" w:ascii="Times New Roman" w:hAnsi="Times New Roman" w:cs="Times New Roman" w:eastAsiaTheme="minorEastAsia"/>
                <w:szCs w:val="21"/>
                <w:lang w:val="en-US" w:eastAsia="zh-CN"/>
              </w:rPr>
              <w:t>）若环境因素会使操作相当复杂</w:t>
            </w:r>
          </w:p>
          <w:p w14:paraId="366585FD">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w:t>
            </w:r>
            <w:r>
              <w:rPr>
                <w:rFonts w:hint="eastAsia" w:ascii="Times New Roman" w:hAnsi="Times New Roman" w:cs="Times New Roman" w:eastAsiaTheme="minorEastAsia"/>
                <w:szCs w:val="21"/>
                <w:lang w:val="en-US" w:eastAsia="zh-CN"/>
              </w:rPr>
              <w:t>）需要辅助燃料</w:t>
            </w:r>
          </w:p>
        </w:tc>
      </w:tr>
      <w:tr w14:paraId="1A982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 w:type="dxa"/>
            <w:vAlign w:val="center"/>
          </w:tcPr>
          <w:p w14:paraId="671C42C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化学消毒法</w:t>
            </w:r>
          </w:p>
        </w:tc>
        <w:tc>
          <w:tcPr>
            <w:tcW w:w="3825" w:type="dxa"/>
            <w:vAlign w:val="center"/>
          </w:tcPr>
          <w:p w14:paraId="30AA1BD3">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r>
              <w:rPr>
                <w:rFonts w:hint="eastAsia" w:ascii="Times New Roman" w:hAnsi="Times New Roman" w:cs="Times New Roman" w:eastAsiaTheme="minorEastAsia"/>
                <w:szCs w:val="21"/>
                <w:lang w:val="en-US" w:eastAsia="zh-CN"/>
              </w:rPr>
              <w:t xml:space="preserve">）减容 </w:t>
            </w:r>
            <w:r>
              <w:rPr>
                <w:rFonts w:hint="default" w:ascii="Times New Roman" w:hAnsi="Times New Roman" w:cs="Times New Roman" w:eastAsiaTheme="minorEastAsia"/>
                <w:szCs w:val="21"/>
                <w:lang w:val="en-US" w:eastAsia="zh-CN"/>
              </w:rPr>
              <w:t>80%</w:t>
            </w:r>
            <w:r>
              <w:rPr>
                <w:rFonts w:hint="eastAsia" w:ascii="Times New Roman" w:hAnsi="Times New Roman" w:cs="Times New Roman" w:eastAsiaTheme="minorEastAsia"/>
                <w:szCs w:val="21"/>
                <w:lang w:val="en-US" w:eastAsia="zh-CN"/>
              </w:rPr>
              <w:t>，但是质量微增</w:t>
            </w:r>
          </w:p>
          <w:p w14:paraId="130C866A">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w:t>
            </w:r>
            <w:r>
              <w:rPr>
                <w:rFonts w:hint="eastAsia" w:ascii="Times New Roman" w:hAnsi="Times New Roman" w:cs="Times New Roman" w:eastAsiaTheme="minorEastAsia"/>
                <w:szCs w:val="21"/>
                <w:lang w:val="en-US" w:eastAsia="zh-CN"/>
              </w:rPr>
              <w:t>）废弃物的外观及形式将有所改变</w:t>
            </w:r>
          </w:p>
        </w:tc>
        <w:tc>
          <w:tcPr>
            <w:tcW w:w="3806" w:type="dxa"/>
            <w:vAlign w:val="center"/>
          </w:tcPr>
          <w:p w14:paraId="52719B84">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r>
              <w:rPr>
                <w:rFonts w:hint="eastAsia" w:ascii="Times New Roman" w:hAnsi="Times New Roman" w:cs="Times New Roman" w:eastAsiaTheme="minorEastAsia"/>
                <w:szCs w:val="21"/>
                <w:lang w:val="en-US" w:eastAsia="zh-CN"/>
              </w:rPr>
              <w:t>）废液中含有高浓度的氯化物</w:t>
            </w:r>
          </w:p>
          <w:p w14:paraId="70E26B0E">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w:t>
            </w:r>
            <w:r>
              <w:rPr>
                <w:rFonts w:hint="eastAsia" w:ascii="Times New Roman" w:hAnsi="Times New Roman" w:cs="Times New Roman" w:eastAsiaTheme="minorEastAsia"/>
                <w:szCs w:val="21"/>
                <w:lang w:val="en-US" w:eastAsia="zh-CN"/>
              </w:rPr>
              <w:t>）废液中含有高浓度的金属和有机物质</w:t>
            </w:r>
          </w:p>
          <w:p w14:paraId="7979F08D">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w:t>
            </w:r>
            <w:r>
              <w:rPr>
                <w:rFonts w:hint="eastAsia" w:ascii="Times New Roman" w:hAnsi="Times New Roman" w:cs="Times New Roman" w:eastAsiaTheme="minorEastAsia"/>
                <w:szCs w:val="21"/>
                <w:lang w:val="en-US" w:eastAsia="zh-CN"/>
              </w:rPr>
              <w:t>）无法保证完全消毒</w:t>
            </w:r>
          </w:p>
          <w:p w14:paraId="53D6E15A">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w:t>
            </w:r>
            <w:r>
              <w:rPr>
                <w:rFonts w:hint="eastAsia" w:ascii="Times New Roman" w:hAnsi="Times New Roman" w:cs="Times New Roman" w:eastAsiaTheme="minorEastAsia"/>
                <w:szCs w:val="21"/>
                <w:lang w:val="en-US" w:eastAsia="zh-CN"/>
              </w:rPr>
              <w:t>）化学疗法废弃物、放射性废弃物、病理废弃物无法使用本方法</w:t>
            </w:r>
          </w:p>
        </w:tc>
      </w:tr>
      <w:tr w14:paraId="0D677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 w:type="dxa"/>
            <w:vAlign w:val="center"/>
          </w:tcPr>
          <w:p w14:paraId="6975DB4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高温蒸汽消毒</w:t>
            </w:r>
          </w:p>
        </w:tc>
        <w:tc>
          <w:tcPr>
            <w:tcW w:w="3825" w:type="dxa"/>
            <w:vAlign w:val="center"/>
          </w:tcPr>
          <w:p w14:paraId="5BEAECFD">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一般而言需求的空间较小、操作简单，运作、维护所需成本较低，资本较低，减容</w:t>
            </w:r>
            <w:r>
              <w:rPr>
                <w:rFonts w:hint="default" w:ascii="Times New Roman" w:hAnsi="Times New Roman" w:cs="Times New Roman" w:eastAsiaTheme="minorEastAsia"/>
                <w:szCs w:val="21"/>
                <w:lang w:val="en-US" w:eastAsia="zh-CN"/>
              </w:rPr>
              <w:t>80%</w:t>
            </w:r>
            <w:r>
              <w:rPr>
                <w:rFonts w:hint="eastAsia" w:ascii="Times New Roman" w:hAnsi="Times New Roman" w:cs="Times New Roman" w:eastAsiaTheme="minorEastAsia"/>
                <w:szCs w:val="21"/>
                <w:lang w:val="en-US" w:eastAsia="zh-CN"/>
              </w:rPr>
              <w:t>，但是质量微增</w:t>
            </w:r>
          </w:p>
        </w:tc>
        <w:tc>
          <w:tcPr>
            <w:tcW w:w="3806" w:type="dxa"/>
            <w:vAlign w:val="center"/>
          </w:tcPr>
          <w:p w14:paraId="6E3C9230">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r>
              <w:rPr>
                <w:rFonts w:hint="eastAsia" w:ascii="Times New Roman" w:hAnsi="Times New Roman" w:cs="Times New Roman" w:eastAsiaTheme="minorEastAsia"/>
                <w:szCs w:val="21"/>
                <w:lang w:val="en-US" w:eastAsia="zh-CN"/>
              </w:rPr>
              <w:t>）容量小、处理规模小</w:t>
            </w:r>
          </w:p>
          <w:p w14:paraId="50937357">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w:t>
            </w:r>
            <w:r>
              <w:rPr>
                <w:rFonts w:hint="eastAsia" w:ascii="Times New Roman" w:hAnsi="Times New Roman" w:cs="Times New Roman" w:eastAsiaTheme="minorEastAsia"/>
                <w:szCs w:val="21"/>
                <w:lang w:val="en-US" w:eastAsia="zh-CN"/>
              </w:rPr>
              <w:t>）有臭味和排水的问题</w:t>
            </w:r>
          </w:p>
          <w:p w14:paraId="00845CD4">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w:t>
            </w:r>
            <w:r>
              <w:rPr>
                <w:rFonts w:hint="eastAsia" w:ascii="Times New Roman" w:hAnsi="Times New Roman" w:cs="Times New Roman" w:eastAsiaTheme="minorEastAsia"/>
                <w:szCs w:val="21"/>
                <w:lang w:val="en-US" w:eastAsia="zh-CN"/>
              </w:rPr>
              <w:t>）废弃物外观不变</w:t>
            </w:r>
          </w:p>
          <w:p w14:paraId="035F90F3">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w:t>
            </w:r>
            <w:r>
              <w:rPr>
                <w:rFonts w:hint="eastAsia" w:ascii="Times New Roman" w:hAnsi="Times New Roman" w:cs="Times New Roman" w:eastAsiaTheme="minorEastAsia"/>
                <w:szCs w:val="21"/>
                <w:lang w:val="en-US" w:eastAsia="zh-CN"/>
              </w:rPr>
              <w:t>）病理废弃物、液态废弃物、手术切割物挥发性化学物质不适用</w:t>
            </w:r>
          </w:p>
        </w:tc>
      </w:tr>
      <w:tr w14:paraId="59BB3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 w:type="dxa"/>
            <w:vAlign w:val="center"/>
          </w:tcPr>
          <w:p w14:paraId="07331EC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电磁波灭菌</w:t>
            </w:r>
          </w:p>
        </w:tc>
        <w:tc>
          <w:tcPr>
            <w:tcW w:w="3825" w:type="dxa"/>
            <w:vAlign w:val="center"/>
          </w:tcPr>
          <w:p w14:paraId="55A201C3">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消毒时可移动或固定，减容</w:t>
            </w:r>
            <w:r>
              <w:rPr>
                <w:rFonts w:hint="default" w:ascii="Times New Roman" w:hAnsi="Times New Roman" w:cs="Times New Roman" w:eastAsiaTheme="minorEastAsia"/>
                <w:szCs w:val="21"/>
                <w:lang w:val="en-US" w:eastAsia="zh-CN"/>
              </w:rPr>
              <w:t>80%</w:t>
            </w:r>
            <w:r>
              <w:rPr>
                <w:rFonts w:hint="eastAsia" w:ascii="Times New Roman" w:hAnsi="Times New Roman" w:cs="Times New Roman" w:eastAsiaTheme="minorEastAsia"/>
                <w:szCs w:val="21"/>
                <w:lang w:val="en-US" w:eastAsia="zh-CN"/>
              </w:rPr>
              <w:t>，但是质量增加，无法辨识的废弃物</w:t>
            </w:r>
          </w:p>
        </w:tc>
        <w:tc>
          <w:tcPr>
            <w:tcW w:w="3806" w:type="dxa"/>
            <w:vAlign w:val="center"/>
          </w:tcPr>
          <w:p w14:paraId="69C4C6F9">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r>
              <w:rPr>
                <w:rFonts w:hint="eastAsia" w:ascii="Times New Roman" w:hAnsi="Times New Roman" w:cs="Times New Roman" w:eastAsiaTheme="minorEastAsia"/>
                <w:szCs w:val="21"/>
                <w:lang w:val="en-US" w:eastAsia="zh-CN"/>
              </w:rPr>
              <w:t>）不能完全消毒，只能视为杀菌的过程</w:t>
            </w:r>
          </w:p>
          <w:p w14:paraId="7F45B1F2">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w:t>
            </w:r>
            <w:r>
              <w:rPr>
                <w:rFonts w:hint="eastAsia" w:ascii="Times New Roman" w:hAnsi="Times New Roman" w:cs="Times New Roman" w:eastAsiaTheme="minorEastAsia"/>
                <w:szCs w:val="21"/>
                <w:lang w:val="en-US" w:eastAsia="zh-CN"/>
              </w:rPr>
              <w:t>）增加的蒸汽会造成重量的增加</w:t>
            </w:r>
          </w:p>
          <w:p w14:paraId="780E8EAC">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w:t>
            </w:r>
            <w:r>
              <w:rPr>
                <w:rFonts w:hint="eastAsia" w:ascii="Times New Roman" w:hAnsi="Times New Roman" w:cs="Times New Roman" w:eastAsiaTheme="minorEastAsia"/>
                <w:szCs w:val="21"/>
                <w:lang w:val="en-US" w:eastAsia="zh-CN"/>
              </w:rPr>
              <w:t>）病理废弃物、低放射性废弃物或化学疗 法废弃物不适用</w:t>
            </w:r>
          </w:p>
        </w:tc>
      </w:tr>
    </w:tbl>
    <w:p w14:paraId="37344CFA">
      <w:pPr>
        <w:adjustRightInd w:val="0"/>
        <w:snapToGrid w:val="0"/>
        <w:spacing w:before="250"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表3.4-7  各种医疗废物处理方法对废物的适应性</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6"/>
        <w:gridCol w:w="1305"/>
        <w:gridCol w:w="1110"/>
        <w:gridCol w:w="735"/>
        <w:gridCol w:w="810"/>
        <w:gridCol w:w="1530"/>
        <w:gridCol w:w="1496"/>
      </w:tblGrid>
      <w:tr w14:paraId="5990A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6" w:type="dxa"/>
            <w:vAlign w:val="center"/>
          </w:tcPr>
          <w:p w14:paraId="255D34D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技术</w:t>
            </w:r>
          </w:p>
        </w:tc>
        <w:tc>
          <w:tcPr>
            <w:tcW w:w="1305" w:type="dxa"/>
            <w:vAlign w:val="center"/>
          </w:tcPr>
          <w:p w14:paraId="101AD7B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感染性废物</w:t>
            </w:r>
          </w:p>
        </w:tc>
        <w:tc>
          <w:tcPr>
            <w:tcW w:w="1110" w:type="dxa"/>
            <w:vAlign w:val="center"/>
          </w:tcPr>
          <w:p w14:paraId="4905F2A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解剖废物</w:t>
            </w:r>
          </w:p>
        </w:tc>
        <w:tc>
          <w:tcPr>
            <w:tcW w:w="735" w:type="dxa"/>
            <w:vAlign w:val="center"/>
          </w:tcPr>
          <w:p w14:paraId="273240C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锐器</w:t>
            </w:r>
          </w:p>
        </w:tc>
        <w:tc>
          <w:tcPr>
            <w:tcW w:w="810" w:type="dxa"/>
            <w:vAlign w:val="center"/>
          </w:tcPr>
          <w:p w14:paraId="64DD7E7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药品</w:t>
            </w:r>
          </w:p>
        </w:tc>
        <w:tc>
          <w:tcPr>
            <w:tcW w:w="1530" w:type="dxa"/>
            <w:vAlign w:val="center"/>
          </w:tcPr>
          <w:p w14:paraId="2A92B67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细胞毒类废物</w:t>
            </w:r>
          </w:p>
        </w:tc>
        <w:tc>
          <w:tcPr>
            <w:tcW w:w="1496" w:type="dxa"/>
            <w:vAlign w:val="center"/>
          </w:tcPr>
          <w:p w14:paraId="3EBAB72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化学药剂废物</w:t>
            </w:r>
          </w:p>
        </w:tc>
      </w:tr>
      <w:tr w14:paraId="58E49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6" w:type="dxa"/>
            <w:vAlign w:val="center"/>
          </w:tcPr>
          <w:p w14:paraId="31F7C6D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高温焚烧</w:t>
            </w:r>
          </w:p>
        </w:tc>
        <w:tc>
          <w:tcPr>
            <w:tcW w:w="1305" w:type="dxa"/>
            <w:vAlign w:val="center"/>
          </w:tcPr>
          <w:p w14:paraId="709C138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1110" w:type="dxa"/>
            <w:vAlign w:val="center"/>
          </w:tcPr>
          <w:p w14:paraId="413C98D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735" w:type="dxa"/>
            <w:vAlign w:val="center"/>
          </w:tcPr>
          <w:p w14:paraId="75D0884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810" w:type="dxa"/>
            <w:vAlign w:val="center"/>
          </w:tcPr>
          <w:p w14:paraId="74CC883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1530" w:type="dxa"/>
            <w:vAlign w:val="center"/>
          </w:tcPr>
          <w:p w14:paraId="7A2A560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1496" w:type="dxa"/>
            <w:vAlign w:val="center"/>
          </w:tcPr>
          <w:p w14:paraId="7A3FD0D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r>
      <w:tr w14:paraId="491DE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6" w:type="dxa"/>
            <w:vAlign w:val="center"/>
          </w:tcPr>
          <w:p w14:paraId="124F09B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化学消毒法</w:t>
            </w:r>
          </w:p>
        </w:tc>
        <w:tc>
          <w:tcPr>
            <w:tcW w:w="1305" w:type="dxa"/>
            <w:vAlign w:val="center"/>
          </w:tcPr>
          <w:p w14:paraId="3ECA503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1110" w:type="dxa"/>
            <w:vAlign w:val="center"/>
          </w:tcPr>
          <w:p w14:paraId="679451A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735" w:type="dxa"/>
            <w:vAlign w:val="center"/>
          </w:tcPr>
          <w:p w14:paraId="5A63E27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810" w:type="dxa"/>
            <w:vAlign w:val="center"/>
          </w:tcPr>
          <w:p w14:paraId="06D1FBE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1530" w:type="dxa"/>
            <w:vAlign w:val="center"/>
          </w:tcPr>
          <w:p w14:paraId="39DC865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1496" w:type="dxa"/>
            <w:vAlign w:val="center"/>
          </w:tcPr>
          <w:p w14:paraId="697D8C9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r>
      <w:tr w14:paraId="08DAF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6" w:type="dxa"/>
            <w:vAlign w:val="center"/>
          </w:tcPr>
          <w:p w14:paraId="47B3DA8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高温蒸汽消毒</w:t>
            </w:r>
          </w:p>
        </w:tc>
        <w:tc>
          <w:tcPr>
            <w:tcW w:w="1305" w:type="dxa"/>
            <w:vAlign w:val="center"/>
          </w:tcPr>
          <w:p w14:paraId="1ACD341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1110" w:type="dxa"/>
            <w:vAlign w:val="center"/>
          </w:tcPr>
          <w:p w14:paraId="26795FC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735" w:type="dxa"/>
            <w:vAlign w:val="center"/>
          </w:tcPr>
          <w:p w14:paraId="669F08B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810" w:type="dxa"/>
            <w:vAlign w:val="center"/>
          </w:tcPr>
          <w:p w14:paraId="5EAB39C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1530" w:type="dxa"/>
            <w:vAlign w:val="center"/>
          </w:tcPr>
          <w:p w14:paraId="02C1B6A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1496" w:type="dxa"/>
            <w:vAlign w:val="center"/>
          </w:tcPr>
          <w:p w14:paraId="0FF750D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r>
      <w:tr w14:paraId="2BD27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6" w:type="dxa"/>
            <w:vAlign w:val="center"/>
          </w:tcPr>
          <w:p w14:paraId="3D673FF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电磁波灭菌</w:t>
            </w:r>
          </w:p>
        </w:tc>
        <w:tc>
          <w:tcPr>
            <w:tcW w:w="1305" w:type="dxa"/>
            <w:vAlign w:val="center"/>
          </w:tcPr>
          <w:p w14:paraId="78EC413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1110" w:type="dxa"/>
            <w:vAlign w:val="center"/>
          </w:tcPr>
          <w:p w14:paraId="44651C1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735" w:type="dxa"/>
            <w:vAlign w:val="center"/>
          </w:tcPr>
          <w:p w14:paraId="3E6E1BC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810" w:type="dxa"/>
            <w:vAlign w:val="center"/>
          </w:tcPr>
          <w:p w14:paraId="4E7FC42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1530" w:type="dxa"/>
            <w:vAlign w:val="center"/>
          </w:tcPr>
          <w:p w14:paraId="1DD127C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1496" w:type="dxa"/>
            <w:vAlign w:val="center"/>
          </w:tcPr>
          <w:p w14:paraId="2F97224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r>
      <w:tr w14:paraId="685A7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7"/>
            <w:vAlign w:val="center"/>
          </w:tcPr>
          <w:p w14:paraId="39759ED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注：○表示可以处理，×表示不可以处理</w:t>
            </w:r>
          </w:p>
        </w:tc>
      </w:tr>
    </w:tbl>
    <w:p w14:paraId="587A334B">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（2）医疗废物焚烧处理技术选择</w:t>
      </w:r>
    </w:p>
    <w:p w14:paraId="7E41A09E">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医疗废物焚烧处理技术主要有回转窑焚烧技术、固定床焚烧技术及热解气化焚烧技术。</w:t>
      </w:r>
    </w:p>
    <w:p w14:paraId="21F855C9">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1</w:t>
      </w:r>
      <w:r>
        <w:rPr>
          <w:rFonts w:hint="eastAsia" w:ascii="Times New Roman" w:hAnsi="Times New Roman" w:cs="Times New Roman" w:eastAsiaTheme="minorEastAsia"/>
          <w:sz w:val="24"/>
          <w:lang w:val="en-US" w:eastAsia="zh-CN"/>
        </w:rPr>
        <w:t>）回转窑焚烧技术</w:t>
      </w:r>
    </w:p>
    <w:p w14:paraId="721F9598">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回转窑焚烧技术成熟，适合各种不同物态（固态、液态、半固态）及形状（颗粒、粉、块状）的废物处理，二次污染少，但因其一次性投资大，用于焚烧医疗废物时运行费用高，主要应用于规模大于</w:t>
      </w:r>
      <w:r>
        <w:rPr>
          <w:rFonts w:hint="default" w:ascii="Times New Roman" w:hAnsi="Times New Roman" w:cs="Times New Roman" w:eastAsiaTheme="minorEastAsia"/>
          <w:sz w:val="24"/>
          <w:lang w:val="en-US" w:eastAsia="zh-CN"/>
        </w:rPr>
        <w:t>10t/d</w:t>
      </w:r>
      <w:r>
        <w:rPr>
          <w:rFonts w:hint="eastAsia" w:ascii="Times New Roman" w:hAnsi="Times New Roman" w:cs="Times New Roman" w:eastAsiaTheme="minorEastAsia"/>
          <w:sz w:val="24"/>
          <w:lang w:val="en-US" w:eastAsia="zh-CN"/>
        </w:rPr>
        <w:t>的医疗废物处置或者危险废物和医疗废物统筹处置的项目。具有处置效果好、适应性强、运行稳定等特点，适合较大的城市和地区的医疗废物集中处置。在焚烧技术中，回转窑技术处置效果最好，较适合连续运转，但处置费用较高。</w:t>
      </w:r>
    </w:p>
    <w:p w14:paraId="7D6EB9C2">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2</w:t>
      </w:r>
      <w:r>
        <w:rPr>
          <w:rFonts w:hint="eastAsia" w:ascii="Times New Roman" w:hAnsi="Times New Roman" w:cs="Times New Roman" w:eastAsiaTheme="minorEastAsia"/>
          <w:sz w:val="24"/>
          <w:lang w:val="en-US" w:eastAsia="zh-CN"/>
        </w:rPr>
        <w:t>）固定床焚烧技术</w:t>
      </w:r>
    </w:p>
    <w:p w14:paraId="20A3DA77">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固定床焚烧技术适用于处理感染性、损伤性、化学性和药物性的废物，对于一般体积不大的病理性废物也有一定的适应性，但由于一燃室温度低，因此对于体积较大的病理性废物或药物性废物，会产生焚烧不完全的现象，使其应用受到了一定的影响。固定床焚烧炉适合处置量为</w:t>
      </w:r>
      <w:r>
        <w:rPr>
          <w:rFonts w:hint="default" w:ascii="Times New Roman" w:hAnsi="Times New Roman" w:cs="Times New Roman" w:eastAsiaTheme="minorEastAsia"/>
          <w:sz w:val="24"/>
          <w:lang w:val="en-US" w:eastAsia="zh-CN"/>
        </w:rPr>
        <w:t>1.5</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8.0t/d</w:t>
      </w:r>
      <w:r>
        <w:rPr>
          <w:rFonts w:hint="eastAsia" w:ascii="Times New Roman" w:hAnsi="Times New Roman" w:cs="Times New Roman" w:eastAsiaTheme="minorEastAsia"/>
          <w:sz w:val="24"/>
          <w:lang w:val="en-US" w:eastAsia="zh-CN"/>
        </w:rPr>
        <w:t>的中小规模医疗废物焚烧，具有投资少，操作简单，运行稳定，处置成本低等特点，但缺少完善成熟的烟气净化系统，会对周围环境产生二次污染。</w:t>
      </w:r>
    </w:p>
    <w:p w14:paraId="321B7F6B">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3</w:t>
      </w:r>
      <w:r>
        <w:rPr>
          <w:rFonts w:hint="eastAsia" w:ascii="Times New Roman" w:hAnsi="Times New Roman" w:cs="Times New Roman" w:eastAsiaTheme="minorEastAsia"/>
          <w:sz w:val="24"/>
          <w:lang w:val="en-US" w:eastAsia="zh-CN"/>
        </w:rPr>
        <w:t>）热解气化焚烧技术</w:t>
      </w:r>
    </w:p>
    <w:p w14:paraId="0DF97422">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我国目前生产并投入运行的城市医疗废物焚烧炉也较多采用热解气化焚烧技术。热解气化焚烧处置技术在处置效果和处置成本方面均有较大优点，具有燃烬率高、辅助燃料消耗量小、产生的烟气量少、烟气中污染物浓度低、后处置的负荷较小、粉尘夹带很少等优点。</w:t>
      </w:r>
    </w:p>
    <w:p w14:paraId="35A0790B">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sz w:val="24"/>
          <w:lang w:val="en-US" w:eastAsia="zh-CN"/>
        </w:rPr>
        <w:t>4</w:t>
      </w:r>
      <w:r>
        <w:rPr>
          <w:rFonts w:hint="eastAsia" w:ascii="Times New Roman" w:hAnsi="Times New Roman" w:cs="Times New Roman" w:eastAsiaTheme="minorEastAsia"/>
          <w:sz w:val="24"/>
          <w:lang w:val="en-US" w:eastAsia="zh-CN"/>
        </w:rPr>
        <w:t xml:space="preserve">）焚烧技术的选择 </w:t>
      </w:r>
    </w:p>
    <w:p w14:paraId="35142911">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本项目拟处置的医疗废物主要包括药物性废物、化学性废物及部分病理性废物，而企业现有</w:t>
      </w:r>
      <w:r>
        <w:rPr>
          <w:rFonts w:hint="eastAsia" w:ascii="Times New Roman" w:hAnsi="Times New Roman" w:cs="Times New Roman" w:eastAsiaTheme="minorEastAsia"/>
          <w:sz w:val="24"/>
          <w:lang w:val="en-US" w:eastAsia="zh-CN"/>
        </w:rPr>
        <w:t>高温蒸汽灭菌</w:t>
      </w:r>
      <w:r>
        <w:rPr>
          <w:rFonts w:hint="eastAsia" w:ascii="Times New Roman" w:hAnsi="Times New Roman" w:cs="Times New Roman"/>
          <w:sz w:val="24"/>
          <w:lang w:val="en-US" w:eastAsia="zh-CN"/>
        </w:rPr>
        <w:t>工艺</w:t>
      </w:r>
      <w:r>
        <w:rPr>
          <w:rFonts w:hint="default" w:ascii="Times New Roman" w:hAnsi="Times New Roman" w:cs="Times New Roman" w:eastAsiaTheme="minorEastAsia"/>
          <w:sz w:val="24"/>
          <w:lang w:val="en-US" w:eastAsia="zh-CN"/>
        </w:rPr>
        <w:t>存在明显处置局限性，其工艺特性决定了无法对上述三类危险医疗废物进行有效、合规处置，难以满足项目处置需求。</w:t>
      </w:r>
    </w:p>
    <w:p w14:paraId="652C3108">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从区域现有处置技术适配性来看，回转窑焚烧技术虽具备全品类医疗废物处置能力，但该技术处置规模较大，结合本项目服务范围内病理性、药物性及化学性医疗废物的实际产生量分析，其产生量远未达到回转窑焚烧技术的最低经济处置规模，若选用该技术，不仅会造成设备闲置、资源浪费，还会大幅增加处置成本，不符合项目经济性及实用性原则。</w:t>
      </w:r>
    </w:p>
    <w:p w14:paraId="21A811F0">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此外，固定床焚烧技术因自身废气治理工艺不完善，尾气处理效果难以达到现行医疗废物焚烧污染控制相关标准，存在废气排放超标风险，无法满足项目环保合规要求。</w:t>
      </w:r>
    </w:p>
    <w:p w14:paraId="5494811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综合以上技术适配性、处置规模匹配度、环保合规性及项目所在地及周边医疗废物产生量、处置需求等多方面因素，为实现各类目标医疗废物的安全、高效、合规处置，同时兼顾项目经济性与实用性，因此本项目选用处理规模为2t/d的热裂解气化焚烧技术，该技术处置规模适中，可精准匹配本项目医疗废物产生量，且能有效处置药物性、化学性及病理性废物，废气治理工艺成熟可靠，可确保尾气排放达标，全面契合项目处置需求及环保要求。</w:t>
      </w:r>
    </w:p>
    <w:p w14:paraId="66A09DA4">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149" w:name="_Toc25723"/>
      <w:r>
        <w:rPr>
          <w:rFonts w:hint="eastAsia" w:ascii="Times New Roman" w:hAnsi="Times New Roman" w:cs="Times New Roman" w:eastAsiaTheme="minorEastAsia"/>
          <w:kern w:val="0"/>
          <w:sz w:val="24"/>
          <w:szCs w:val="24"/>
          <w:lang w:val="en-US" w:eastAsia="zh-CN"/>
        </w:rPr>
        <w:t>3.4.3工艺流程分析</w:t>
      </w:r>
      <w:bookmarkEnd w:id="149"/>
    </w:p>
    <w:p w14:paraId="3F0D00F5">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本项目为热解连续焚烧炉处理系统，该系统处置医疗废物。</w:t>
      </w:r>
    </w:p>
    <w:p w14:paraId="0BC2B17C">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焚烧系统包含以下子系统：自动上料系统、焚烧系统、急冷系统、尾气净化系统、辅助燃烧系统、送排风系统、压缩空气供应系统、软化水系统、自动控制系统、防爆系统和应急系统等。</w:t>
      </w:r>
    </w:p>
    <w:p w14:paraId="7F0BD8F8">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本项目医疗垃圾总体处理工艺为：医疗垃圾接收、临时贮存、烧、烟气治理、灰渣飞灰处理。</w:t>
      </w:r>
    </w:p>
    <w:p w14:paraId="5E782C87">
      <w:pPr>
        <w:adjustRightInd w:val="0"/>
        <w:snapToGrid w:val="0"/>
        <w:spacing w:line="500" w:lineRule="exact"/>
        <w:ind w:firstLine="482" w:firstLineChars="200"/>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工艺流程说明：</w:t>
      </w:r>
    </w:p>
    <w:p w14:paraId="3C8C590D">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（1）废物储存与预处理系统</w:t>
      </w:r>
    </w:p>
    <w:p w14:paraId="0C6A3BAF">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医疗废弃物运输车进处理中心后沿专用输送路线至医疗废物卸车区</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医疗废物原则上是随到随烧。如不能及时焚烧，放在医疗废物贮存间，在5℃以下冷藏，但不得超过3天。</w:t>
      </w:r>
    </w:p>
    <w:p w14:paraId="2054BEF5">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（2）进料系统</w:t>
      </w:r>
    </w:p>
    <w:p w14:paraId="7039A2A4">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医疗废物称重后由进料提升机提至热解气化炉顶部，从投料口投入热解气化炉中。</w:t>
      </w:r>
    </w:p>
    <w:p w14:paraId="71935450">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①技术说明</w:t>
      </w:r>
    </w:p>
    <w:p w14:paraId="15EA1688">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自动上料系统由装料斗（料斗底座及料斗）、自动提升系统和热解炉气体隔离阀、泄爆式进料盖等部分组成。</w:t>
      </w:r>
    </w:p>
    <w:p w14:paraId="38F80CF3">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本设计的上料机构采用地坑式设计，确保料斗进料口可与地面保持一致。机械料斗采用可脱卸式。</w:t>
      </w:r>
    </w:p>
    <w:p w14:paraId="1D6C0C64">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自动提升系统由投料导轨、投料电机、提升上下限等构成，可实现现场操作和中央控制操作等操作方式。</w:t>
      </w:r>
    </w:p>
    <w:p w14:paraId="16BF664A">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进料系统由密闭罩密封，密闭罩内的气体由热解系统中鼓风机送入二燃室进行助燃。</w:t>
      </w:r>
    </w:p>
    <w:p w14:paraId="4ACE1390">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废物进料量可调节，并有过载保护装置和异常运行停止装置，在整个进料过程中有保护装置，整个进料过程不会有废物外泄。</w:t>
      </w:r>
    </w:p>
    <w:p w14:paraId="1C9B46F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②系统特性</w:t>
      </w:r>
    </w:p>
    <w:p w14:paraId="26C4C045">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主体材质</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Q</w:t>
      </w:r>
      <w:r>
        <w:rPr>
          <w:rFonts w:hint="eastAsia" w:ascii="Times New Roman" w:hAnsi="Times New Roman" w:cs="Times New Roman" w:eastAsiaTheme="minorEastAsia"/>
          <w:sz w:val="24"/>
          <w:lang w:val="en-US" w:eastAsia="zh-CN"/>
        </w:rPr>
        <w:t>345R；</w:t>
      </w:r>
    </w:p>
    <w:p w14:paraId="098B7A91">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上料系统安全、简洁实用、具有可靠的机械性能、故障率低，易维护，能实现连续批进料</w:t>
      </w:r>
      <w:r>
        <w:rPr>
          <w:rFonts w:hint="eastAsia" w:ascii="Times New Roman" w:hAnsi="Times New Roman" w:cs="Times New Roman" w:eastAsiaTheme="minorEastAsia"/>
          <w:sz w:val="24"/>
          <w:lang w:val="en-US" w:eastAsia="zh-CN"/>
        </w:rPr>
        <w:t>；</w:t>
      </w:r>
    </w:p>
    <w:p w14:paraId="0A3A2F34">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入料区周围干净整洁，无二次污染产生，能对医疗废物外溢出的污水进行收集处理</w:t>
      </w:r>
      <w:r>
        <w:rPr>
          <w:rFonts w:hint="eastAsia" w:ascii="Times New Roman" w:hAnsi="Times New Roman" w:cs="Times New Roman" w:eastAsiaTheme="minorEastAsia"/>
          <w:sz w:val="24"/>
          <w:lang w:val="en-US" w:eastAsia="zh-CN"/>
        </w:rPr>
        <w:t>；</w:t>
      </w:r>
    </w:p>
    <w:p w14:paraId="438F47ED">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进料料斗即可以直接提升废物周转箱</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同时也可提升散装的废物或体积较大的废物</w:t>
      </w:r>
      <w:r>
        <w:rPr>
          <w:rFonts w:hint="eastAsia" w:ascii="Times New Roman" w:hAnsi="Times New Roman" w:cs="Times New Roman" w:eastAsiaTheme="minorEastAsia"/>
          <w:sz w:val="24"/>
          <w:lang w:val="en-US" w:eastAsia="zh-CN"/>
        </w:rPr>
        <w:t>；</w:t>
      </w:r>
    </w:p>
    <w:p w14:paraId="54F09D9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不允许操作人员与医疗废物的直接接触，有效降低劳动强度，保障操作人员身体健康</w:t>
      </w:r>
      <w:r>
        <w:rPr>
          <w:rFonts w:hint="eastAsia" w:ascii="Times New Roman" w:hAnsi="Times New Roman" w:cs="Times New Roman" w:eastAsiaTheme="minorEastAsia"/>
          <w:sz w:val="24"/>
          <w:lang w:val="en-US" w:eastAsia="zh-CN"/>
        </w:rPr>
        <w:t>；</w:t>
      </w:r>
    </w:p>
    <w:p w14:paraId="0F05DCEF">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进料口的尺寸可以满足业主提供的统一收集桶投料的要求</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且周围有保护及报警装置，防止废物散落出料斗，无扬灰</w:t>
      </w:r>
      <w:r>
        <w:rPr>
          <w:rFonts w:hint="eastAsia" w:ascii="Times New Roman" w:hAnsi="Times New Roman" w:cs="Times New Roman" w:eastAsiaTheme="minorEastAsia"/>
          <w:sz w:val="24"/>
          <w:lang w:val="en-US" w:eastAsia="zh-CN"/>
        </w:rPr>
        <w:t>；</w:t>
      </w:r>
    </w:p>
    <w:p w14:paraId="2A7FE90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进料炉门需采用玻璃纤维密封+水封两层密封结构，避免气体泄漏</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炉体密封良好。</w:t>
      </w:r>
    </w:p>
    <w:p w14:paraId="598BFE66">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（3）</w:t>
      </w:r>
      <w:r>
        <w:rPr>
          <w:rFonts w:hint="default" w:ascii="Times New Roman" w:hAnsi="Times New Roman" w:cs="Times New Roman" w:eastAsiaTheme="minorEastAsia"/>
          <w:sz w:val="24"/>
          <w:highlight w:val="none"/>
          <w:lang w:val="en-US" w:eastAsia="zh-CN"/>
        </w:rPr>
        <w:t>焚烧系统</w:t>
      </w:r>
    </w:p>
    <w:p w14:paraId="53C97EB5">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焚烧系统主要包括热解气化炉、燃烧炉及残渣处理系统</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富氧亚熔融</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，此部分为系统的核心部件。</w:t>
      </w:r>
    </w:p>
    <w:p w14:paraId="70E14BD6">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焚烧系统主要由两个单元组成，即热解气化炉</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一燃室</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、燃烧炉焚烧室</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二燃室</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。一燃室是使废物在缺氧条件下的热解气化区。当废物由助燃器点火开始燃烧时</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由于供给的氧量只有燃烧的化学计量所需氧量的20%~30%</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所以已燃烧的废物释放的热能在一燃室内逐步将填装的废物在炉腔内干燥、裂解、燃烧和燃尽，各种化合物的长分子链逐步被打破成为短分子链</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变成可燃气体，可燃气体的主要</w:t>
      </w:r>
      <w:r>
        <w:rPr>
          <w:rFonts w:hint="eastAsia" w:ascii="Times New Roman" w:hAnsi="Times New Roman" w:cs="Times New Roman"/>
          <w:sz w:val="24"/>
          <w:highlight w:val="none"/>
          <w:lang w:val="en-US" w:eastAsia="zh-CN"/>
        </w:rPr>
        <w:t>成分</w:t>
      </w:r>
      <w:r>
        <w:rPr>
          <w:rFonts w:hint="default" w:ascii="Times New Roman" w:hAnsi="Times New Roman" w:cs="Times New Roman" w:eastAsiaTheme="minorEastAsia"/>
          <w:sz w:val="24"/>
          <w:highlight w:val="none"/>
          <w:lang w:val="en-US" w:eastAsia="zh-CN"/>
        </w:rPr>
        <w:t>是</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CO、H</w:t>
      </w:r>
      <w:r>
        <w:rPr>
          <w:rFonts w:hint="eastAsia" w:ascii="Times New Roman" w:hAnsi="Times New Roman" w:cs="Times New Roman" w:eastAsiaTheme="minorEastAsia"/>
          <w:sz w:val="24"/>
          <w:highlight w:val="none"/>
          <w:vertAlign w:val="subscript"/>
          <w:lang w:val="en-US" w:eastAsia="zh-CN"/>
        </w:rPr>
        <w:t>2</w:t>
      </w:r>
      <w:r>
        <w:rPr>
          <w:rFonts w:hint="default" w:ascii="Times New Roman" w:hAnsi="Times New Roman" w:cs="Times New Roman" w:eastAsiaTheme="minorEastAsia"/>
          <w:sz w:val="24"/>
          <w:highlight w:val="none"/>
          <w:lang w:val="en-US" w:eastAsia="zh-CN"/>
        </w:rPr>
        <w:t>、CH</w:t>
      </w:r>
      <w:r>
        <w:rPr>
          <w:rFonts w:hint="default" w:ascii="Times New Roman" w:hAnsi="Times New Roman" w:cs="Times New Roman" w:eastAsiaTheme="minorEastAsia"/>
          <w:sz w:val="24"/>
          <w:highlight w:val="none"/>
          <w:vertAlign w:val="subscript"/>
          <w:lang w:val="en-US" w:eastAsia="zh-CN"/>
        </w:rPr>
        <w:t>4</w:t>
      </w:r>
      <w:r>
        <w:rPr>
          <w:rFonts w:hint="default" w:ascii="Times New Roman" w:hAnsi="Times New Roman" w:cs="Times New Roman" w:eastAsiaTheme="minorEastAsia"/>
          <w:sz w:val="24"/>
          <w:highlight w:val="none"/>
          <w:lang w:val="en-US" w:eastAsia="zh-CN"/>
        </w:rPr>
        <w:t>、C</w:t>
      </w:r>
      <w:r>
        <w:rPr>
          <w:rFonts w:hint="eastAsia" w:ascii="Times New Roman" w:hAnsi="Times New Roman" w:cs="Times New Roman" w:eastAsiaTheme="minorEastAsia"/>
          <w:sz w:val="24"/>
          <w:highlight w:val="none"/>
          <w:vertAlign w:val="subscript"/>
          <w:lang w:val="en-US" w:eastAsia="zh-CN"/>
        </w:rPr>
        <w:t>2</w:t>
      </w:r>
      <w:r>
        <w:rPr>
          <w:rFonts w:hint="default" w:ascii="Times New Roman" w:hAnsi="Times New Roman" w:cs="Times New Roman" w:eastAsiaTheme="minorEastAsia"/>
          <w:sz w:val="24"/>
          <w:highlight w:val="none"/>
          <w:lang w:val="en-US" w:eastAsia="zh-CN"/>
        </w:rPr>
        <w:t>H</w:t>
      </w:r>
      <w:r>
        <w:rPr>
          <w:rFonts w:hint="default" w:ascii="Times New Roman" w:hAnsi="Times New Roman" w:cs="Times New Roman" w:eastAsiaTheme="minorEastAsia"/>
          <w:sz w:val="24"/>
          <w:highlight w:val="none"/>
          <w:vertAlign w:val="subscript"/>
          <w:lang w:val="en-US" w:eastAsia="zh-CN"/>
        </w:rPr>
        <w:t>6</w:t>
      </w:r>
      <w:r>
        <w:rPr>
          <w:rFonts w:hint="default" w:ascii="Times New Roman" w:hAnsi="Times New Roman" w:cs="Times New Roman" w:eastAsiaTheme="minorEastAsia"/>
          <w:sz w:val="24"/>
          <w:highlight w:val="none"/>
          <w:lang w:val="en-US" w:eastAsia="zh-CN"/>
        </w:rPr>
        <w:t>、C</w:t>
      </w:r>
      <w:r>
        <w:rPr>
          <w:rFonts w:hint="eastAsia" w:ascii="Times New Roman" w:hAnsi="Times New Roman" w:cs="Times New Roman" w:eastAsiaTheme="minorEastAsia"/>
          <w:sz w:val="24"/>
          <w:highlight w:val="none"/>
          <w:vertAlign w:val="subscript"/>
          <w:lang w:val="en-US" w:eastAsia="zh-CN"/>
        </w:rPr>
        <w:t>6</w:t>
      </w:r>
      <w:r>
        <w:rPr>
          <w:rFonts w:hint="default" w:ascii="Times New Roman" w:hAnsi="Times New Roman" w:cs="Times New Roman" w:eastAsiaTheme="minorEastAsia"/>
          <w:sz w:val="24"/>
          <w:highlight w:val="none"/>
          <w:lang w:val="en-US" w:eastAsia="zh-CN"/>
        </w:rPr>
        <w:t>H</w:t>
      </w:r>
      <w:r>
        <w:rPr>
          <w:rFonts w:hint="default" w:ascii="Times New Roman" w:hAnsi="Times New Roman" w:cs="Times New Roman" w:eastAsiaTheme="minorEastAsia"/>
          <w:sz w:val="24"/>
          <w:highlight w:val="none"/>
          <w:vertAlign w:val="subscript"/>
          <w:lang w:val="en-US" w:eastAsia="zh-CN"/>
        </w:rPr>
        <w:t>8</w:t>
      </w:r>
      <w:r>
        <w:rPr>
          <w:rFonts w:hint="default" w:ascii="Times New Roman" w:hAnsi="Times New Roman" w:cs="Times New Roman" w:eastAsiaTheme="minorEastAsia"/>
          <w:sz w:val="24"/>
          <w:highlight w:val="none"/>
          <w:lang w:val="en-US" w:eastAsia="zh-CN"/>
        </w:rPr>
        <w:t>、挥发性硫，可燃性氯等。二燃室是将一燃室产生的可燃气体和经预热的新鲜空气混合燃烧的过程，在整个过程中燃烧的均为气态物质。二燃室的温度通常控制在850℃~1100℃之间，烟气在二燃室的停留时间为2秒以上，在这种环境下，绝</w:t>
      </w:r>
      <w:r>
        <w:rPr>
          <w:rFonts w:hint="eastAsia" w:ascii="Times New Roman" w:hAnsi="Times New Roman" w:cs="Times New Roman" w:eastAsiaTheme="minorEastAsia"/>
          <w:sz w:val="24"/>
          <w:highlight w:val="none"/>
          <w:lang w:val="en-US" w:eastAsia="zh-CN"/>
        </w:rPr>
        <w:t>大部分有毒有害气体被彻底破坏转化成</w:t>
      </w:r>
      <w:r>
        <w:rPr>
          <w:rFonts w:hint="default" w:ascii="Times New Roman" w:hAnsi="Times New Roman" w:cs="Times New Roman" w:eastAsiaTheme="minorEastAsia"/>
          <w:sz w:val="24"/>
          <w:highlight w:val="none"/>
          <w:lang w:val="en-US" w:eastAsia="zh-CN"/>
        </w:rPr>
        <w:t>CO</w:t>
      </w:r>
      <w:r>
        <w:rPr>
          <w:rFonts w:hint="default" w:ascii="Times New Roman" w:hAnsi="Times New Roman" w:cs="Times New Roman" w:eastAsiaTheme="minorEastAsia"/>
          <w:sz w:val="24"/>
          <w:highlight w:val="none"/>
          <w:vertAlign w:val="subscript"/>
          <w:lang w:val="en-US" w:eastAsia="zh-CN"/>
        </w:rPr>
        <w:t>2</w:t>
      </w:r>
      <w:r>
        <w:rPr>
          <w:rFonts w:hint="eastAsia" w:ascii="Times New Roman" w:hAnsi="Times New Roman" w:cs="Times New Roman" w:eastAsiaTheme="minorEastAsia"/>
          <w:sz w:val="24"/>
          <w:highlight w:val="none"/>
          <w:lang w:val="en-US" w:eastAsia="zh-CN"/>
        </w:rPr>
        <w:t>及各种相应的酸性气体。代表反应式如下：</w:t>
      </w:r>
    </w:p>
    <w:p w14:paraId="673FCBED">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乙烯C</w:t>
      </w:r>
      <w:r>
        <w:rPr>
          <w:rFonts w:hint="eastAsia" w:ascii="Times New Roman" w:hAnsi="Times New Roman" w:cs="Times New Roman" w:eastAsiaTheme="minorEastAsia"/>
          <w:sz w:val="24"/>
          <w:vertAlign w:val="subscript"/>
          <w:lang w:val="en-US" w:eastAsia="zh-CN"/>
        </w:rPr>
        <w:t>2</w:t>
      </w:r>
      <w:r>
        <w:rPr>
          <w:rFonts w:hint="eastAsia" w:ascii="Times New Roman" w:hAnsi="Times New Roman" w:cs="Times New Roman" w:eastAsiaTheme="minorEastAsia"/>
          <w:sz w:val="24"/>
          <w:lang w:val="en-US" w:eastAsia="zh-CN"/>
        </w:rPr>
        <w:t>H</w:t>
      </w:r>
      <w:r>
        <w:rPr>
          <w:rFonts w:hint="eastAsia" w:ascii="Times New Roman" w:hAnsi="Times New Roman" w:cs="Times New Roman" w:eastAsiaTheme="minorEastAsia"/>
          <w:sz w:val="24"/>
          <w:vertAlign w:val="subscript"/>
          <w:lang w:val="en-US" w:eastAsia="zh-CN"/>
        </w:rPr>
        <w:t>4</w:t>
      </w:r>
      <w:r>
        <w:rPr>
          <w:rFonts w:hint="eastAsia" w:ascii="Times New Roman" w:hAnsi="Times New Roman" w:cs="Times New Roman" w:eastAsiaTheme="minorEastAsia"/>
          <w:sz w:val="24"/>
          <w:lang w:val="en-US" w:eastAsia="zh-CN"/>
        </w:rPr>
        <w:t>+3O</w:t>
      </w:r>
      <w:r>
        <w:rPr>
          <w:rFonts w:hint="eastAsia" w:ascii="Times New Roman" w:hAnsi="Times New Roman" w:cs="Times New Roman" w:eastAsiaTheme="minorEastAsia"/>
          <w:sz w:val="24"/>
          <w:vertAlign w:val="subscript"/>
          <w:lang w:val="en-US" w:eastAsia="zh-CN"/>
        </w:rPr>
        <w:t>2</w:t>
      </w:r>
      <w:r>
        <w:rPr>
          <w:rFonts w:hint="eastAsia" w:ascii="Times New Roman" w:hAnsi="Times New Roman" w:cs="Times New Roman" w:eastAsiaTheme="minorEastAsia"/>
          <w:sz w:val="24"/>
          <w:lang w:val="en-US" w:eastAsia="zh-CN"/>
        </w:rPr>
        <w:t>→2CO</w:t>
      </w:r>
      <w:r>
        <w:rPr>
          <w:rFonts w:hint="eastAsia" w:ascii="Times New Roman" w:hAnsi="Times New Roman" w:cs="Times New Roman" w:eastAsiaTheme="minorEastAsia"/>
          <w:sz w:val="24"/>
          <w:vertAlign w:val="subscript"/>
          <w:lang w:val="en-US" w:eastAsia="zh-CN"/>
        </w:rPr>
        <w:t>2</w:t>
      </w:r>
      <w:r>
        <w:rPr>
          <w:rFonts w:hint="eastAsia" w:ascii="Times New Roman" w:hAnsi="Times New Roman" w:cs="Times New Roman" w:eastAsiaTheme="minorEastAsia"/>
          <w:sz w:val="24"/>
          <w:lang w:val="en-US" w:eastAsia="zh-CN"/>
        </w:rPr>
        <w:t>+2H</w:t>
      </w:r>
      <w:r>
        <w:rPr>
          <w:rFonts w:hint="eastAsia" w:ascii="Times New Roman" w:hAnsi="Times New Roman" w:cs="Times New Roman" w:eastAsiaTheme="minorEastAsia"/>
          <w:sz w:val="24"/>
          <w:vertAlign w:val="subscript"/>
          <w:lang w:val="en-US" w:eastAsia="zh-CN"/>
        </w:rPr>
        <w:t>2</w:t>
      </w:r>
      <w:r>
        <w:rPr>
          <w:rFonts w:hint="eastAsia" w:ascii="Times New Roman" w:hAnsi="Times New Roman" w:cs="Times New Roman" w:eastAsiaTheme="minorEastAsia"/>
          <w:sz w:val="24"/>
          <w:lang w:val="en-US" w:eastAsia="zh-CN"/>
        </w:rPr>
        <w:t>O</w:t>
      </w:r>
    </w:p>
    <w:p w14:paraId="2C5BC41C">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氯化物2C</w:t>
      </w:r>
      <w:r>
        <w:rPr>
          <w:rFonts w:hint="eastAsia" w:ascii="Times New Roman" w:hAnsi="Times New Roman" w:cs="Times New Roman" w:eastAsiaTheme="minorEastAsia"/>
          <w:sz w:val="24"/>
          <w:vertAlign w:val="subscript"/>
          <w:lang w:val="en-US" w:eastAsia="zh-CN"/>
        </w:rPr>
        <w:t>2</w:t>
      </w:r>
      <w:r>
        <w:rPr>
          <w:rFonts w:hint="eastAsia" w:ascii="Times New Roman" w:hAnsi="Times New Roman" w:cs="Times New Roman" w:eastAsiaTheme="minorEastAsia"/>
          <w:sz w:val="24"/>
          <w:lang w:val="en-US" w:eastAsia="zh-CN"/>
        </w:rPr>
        <w:t>H</w:t>
      </w:r>
      <w:r>
        <w:rPr>
          <w:rFonts w:hint="eastAsia" w:ascii="Times New Roman" w:hAnsi="Times New Roman" w:cs="Times New Roman" w:eastAsiaTheme="minorEastAsia"/>
          <w:sz w:val="24"/>
          <w:vertAlign w:val="subscript"/>
          <w:lang w:val="en-US" w:eastAsia="zh-CN"/>
        </w:rPr>
        <w:t>3</w:t>
      </w:r>
      <w:r>
        <w:rPr>
          <w:rFonts w:hint="eastAsia" w:ascii="Times New Roman" w:hAnsi="Times New Roman" w:cs="Times New Roman" w:eastAsiaTheme="minorEastAsia"/>
          <w:sz w:val="24"/>
          <w:lang w:val="en-US" w:eastAsia="zh-CN"/>
        </w:rPr>
        <w:t>Cl+5O</w:t>
      </w:r>
      <w:r>
        <w:rPr>
          <w:rFonts w:hint="eastAsia" w:ascii="Times New Roman" w:hAnsi="Times New Roman" w:cs="Times New Roman" w:eastAsiaTheme="minorEastAsia"/>
          <w:sz w:val="24"/>
          <w:vertAlign w:val="subscript"/>
          <w:lang w:val="en-US" w:eastAsia="zh-CN"/>
        </w:rPr>
        <w:t>2</w:t>
      </w:r>
      <w:r>
        <w:rPr>
          <w:rFonts w:hint="eastAsia" w:ascii="Times New Roman" w:hAnsi="Times New Roman" w:cs="Times New Roman" w:eastAsiaTheme="minorEastAsia"/>
          <w:sz w:val="24"/>
          <w:lang w:val="en-US" w:eastAsia="zh-CN"/>
        </w:rPr>
        <w:t>→</w:t>
      </w:r>
      <w:r>
        <w:rPr>
          <w:rFonts w:hint="eastAsia" w:ascii="Times New Roman" w:hAnsi="Times New Roman" w:cs="Times New Roman"/>
          <w:sz w:val="24"/>
          <w:lang w:val="en-US" w:eastAsia="zh-CN"/>
        </w:rPr>
        <w:t>4</w:t>
      </w:r>
      <w:r>
        <w:rPr>
          <w:rFonts w:hint="eastAsia" w:ascii="Times New Roman" w:hAnsi="Times New Roman" w:cs="Times New Roman" w:eastAsiaTheme="minorEastAsia"/>
          <w:sz w:val="24"/>
          <w:lang w:val="en-US" w:eastAsia="zh-CN"/>
        </w:rPr>
        <w:t>CO</w:t>
      </w:r>
      <w:r>
        <w:rPr>
          <w:rFonts w:hint="eastAsia" w:ascii="Times New Roman" w:hAnsi="Times New Roman" w:cs="Times New Roman" w:eastAsiaTheme="minorEastAsia"/>
          <w:sz w:val="24"/>
          <w:vertAlign w:val="subscript"/>
          <w:lang w:val="en-US" w:eastAsia="zh-CN"/>
        </w:rPr>
        <w:t>2</w:t>
      </w:r>
      <w:r>
        <w:rPr>
          <w:rFonts w:hint="eastAsia" w:ascii="Times New Roman" w:hAnsi="Times New Roman" w:cs="Times New Roman" w:eastAsiaTheme="minorEastAsia"/>
          <w:sz w:val="24"/>
          <w:lang w:val="en-US" w:eastAsia="zh-CN"/>
        </w:rPr>
        <w:t>+2H</w:t>
      </w:r>
      <w:r>
        <w:rPr>
          <w:rFonts w:hint="eastAsia" w:ascii="Times New Roman" w:hAnsi="Times New Roman" w:cs="Times New Roman" w:eastAsiaTheme="minorEastAsia"/>
          <w:sz w:val="24"/>
          <w:vertAlign w:val="subscript"/>
          <w:lang w:val="en-US" w:eastAsia="zh-CN"/>
        </w:rPr>
        <w:t>2</w:t>
      </w:r>
      <w:r>
        <w:rPr>
          <w:rFonts w:hint="eastAsia" w:ascii="Times New Roman" w:hAnsi="Times New Roman" w:cs="Times New Roman" w:eastAsiaTheme="minorEastAsia"/>
          <w:sz w:val="24"/>
          <w:lang w:val="en-US" w:eastAsia="zh-CN"/>
        </w:rPr>
        <w:t>O+2HCl</w:t>
      </w:r>
    </w:p>
    <w:p w14:paraId="29F556C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焚烧炉结构由一燃室和二燃室</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喷燃炉、燃烧炉</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组成。热解气化炉内的废物经点火控氧热解</w:t>
      </w:r>
      <w:r>
        <w:rPr>
          <w:rFonts w:hint="eastAsia" w:ascii="Times New Roman" w:hAnsi="Times New Roman" w:cs="Times New Roman" w:eastAsiaTheme="minorEastAsia"/>
          <w:sz w:val="24"/>
          <w:lang w:val="en-US" w:eastAsia="zh-CN"/>
        </w:rPr>
        <w:t>汽化后</w:t>
      </w:r>
      <w:r>
        <w:rPr>
          <w:rFonts w:hint="default" w:ascii="Times New Roman" w:hAnsi="Times New Roman" w:cs="Times New Roman" w:eastAsiaTheme="minorEastAsia"/>
          <w:sz w:val="24"/>
          <w:lang w:val="en-US" w:eastAsia="zh-CN"/>
        </w:rPr>
        <w:t>，产生可燃性气体，该可燃性气体被导入喷燃炉、燃烧炉高温燃烧。喷燃炉、燃烧炉内设置有角度的二次空气进口及足够的容积，使可燃性气体旋转燃烧，提高烟气停留时间，燃烧炉中心温度大于850℃，滞留时间不低于2秒。设备运行状态始终处于微负压。</w:t>
      </w:r>
    </w:p>
    <w:p w14:paraId="44BDEF73">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设备单位对焚烧炉系统各组成部分</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热解炉、燃烧炉、烟气处理等</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的基本结构、重要尺寸与焚烧系统的烟气流速、烟气量、停留时间、处置效果进行精密的计算和优化，保证焚烧效果优化。</w:t>
      </w:r>
    </w:p>
    <w:p w14:paraId="5FFB586D">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热解气化炉</w:t>
      </w:r>
      <w:r>
        <w:rPr>
          <w:rFonts w:hint="eastAsia" w:ascii="Times New Roman" w:hAnsi="Times New Roman" w:cs="Times New Roman" w:eastAsiaTheme="minorEastAsia"/>
          <w:sz w:val="24"/>
          <w:lang w:val="en-US" w:eastAsia="zh-CN"/>
        </w:rPr>
        <w:t>：</w:t>
      </w:r>
    </w:p>
    <w:p w14:paraId="63AD9F60">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热解气化炉又称一燃室，是使废物在缺氧条件下的热解气化区。热解炉配备点火燃烧系统，点火时间很短，约30秒。热解炉设计有点火着火控制区，保证可实现自动点火。</w:t>
      </w:r>
    </w:p>
    <w:p w14:paraId="4FDAC5A5">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①设计参数</w:t>
      </w:r>
    </w:p>
    <w:p w14:paraId="0DCE9698">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主要材料厚度</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约8mm</w:t>
      </w:r>
      <w:r>
        <w:rPr>
          <w:rFonts w:hint="eastAsia" w:ascii="Times New Roman" w:hAnsi="Times New Roman" w:cs="Times New Roman" w:eastAsiaTheme="minorEastAsia"/>
          <w:sz w:val="24"/>
          <w:lang w:val="en-US" w:eastAsia="zh-CN"/>
        </w:rPr>
        <w:t>；</w:t>
      </w:r>
    </w:p>
    <w:p w14:paraId="21A3A810">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各层的温度</w:t>
      </w:r>
      <w:r>
        <w:rPr>
          <w:rFonts w:hint="eastAsia" w:ascii="Times New Roman" w:hAnsi="Times New Roman" w:cs="Times New Roman" w:eastAsiaTheme="minorEastAsia"/>
          <w:sz w:val="24"/>
          <w:lang w:val="en-US" w:eastAsia="zh-CN"/>
        </w:rPr>
        <w:t>：</w:t>
      </w:r>
    </w:p>
    <w:p w14:paraId="7779DFA3">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a）</w:t>
      </w:r>
      <w:r>
        <w:rPr>
          <w:rFonts w:hint="default" w:ascii="Times New Roman" w:hAnsi="Times New Roman" w:cs="Times New Roman" w:eastAsiaTheme="minorEastAsia"/>
          <w:sz w:val="24"/>
          <w:lang w:val="en-US" w:eastAsia="zh-CN"/>
        </w:rPr>
        <w:t>灰化层</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1100℃~1300℃</w:t>
      </w:r>
      <w:r>
        <w:rPr>
          <w:rFonts w:hint="eastAsia" w:ascii="Times New Roman" w:hAnsi="Times New Roman" w:cs="Times New Roman" w:eastAsiaTheme="minorEastAsia"/>
          <w:sz w:val="24"/>
          <w:lang w:val="en-US" w:eastAsia="zh-CN"/>
        </w:rPr>
        <w:t>；</w:t>
      </w:r>
    </w:p>
    <w:p w14:paraId="20ACFEED">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b）</w:t>
      </w:r>
      <w:r>
        <w:rPr>
          <w:rFonts w:hint="default" w:ascii="Times New Roman" w:hAnsi="Times New Roman" w:cs="Times New Roman" w:eastAsiaTheme="minorEastAsia"/>
          <w:sz w:val="24"/>
          <w:lang w:val="en-US" w:eastAsia="zh-CN"/>
        </w:rPr>
        <w:t>赤热层</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800°C~1100℃</w:t>
      </w:r>
      <w:r>
        <w:rPr>
          <w:rFonts w:hint="eastAsia" w:ascii="Times New Roman" w:hAnsi="Times New Roman" w:cs="Times New Roman" w:eastAsiaTheme="minorEastAsia"/>
          <w:sz w:val="24"/>
          <w:lang w:val="en-US" w:eastAsia="zh-CN"/>
        </w:rPr>
        <w:t>；</w:t>
      </w:r>
    </w:p>
    <w:p w14:paraId="737F347C">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c）</w:t>
      </w:r>
      <w:r>
        <w:rPr>
          <w:rFonts w:hint="default" w:ascii="Times New Roman" w:hAnsi="Times New Roman" w:cs="Times New Roman" w:eastAsiaTheme="minorEastAsia"/>
          <w:sz w:val="24"/>
          <w:lang w:val="en-US" w:eastAsia="zh-CN"/>
        </w:rPr>
        <w:t>流动化层</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400°C~850℃</w:t>
      </w:r>
      <w:r>
        <w:rPr>
          <w:rFonts w:hint="eastAsia" w:ascii="Times New Roman" w:hAnsi="Times New Roman" w:cs="Times New Roman" w:eastAsiaTheme="minorEastAsia"/>
          <w:sz w:val="24"/>
          <w:lang w:val="en-US" w:eastAsia="zh-CN"/>
        </w:rPr>
        <w:t>；</w:t>
      </w:r>
    </w:p>
    <w:p w14:paraId="05540114">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d）</w:t>
      </w:r>
      <w:r>
        <w:rPr>
          <w:rFonts w:hint="default" w:ascii="Times New Roman" w:hAnsi="Times New Roman" w:cs="Times New Roman" w:eastAsiaTheme="minorEastAsia"/>
          <w:sz w:val="24"/>
          <w:lang w:val="en-US" w:eastAsia="zh-CN"/>
        </w:rPr>
        <w:t>传热层</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100°C~600℃</w:t>
      </w:r>
      <w:r>
        <w:rPr>
          <w:rFonts w:hint="eastAsia" w:ascii="Times New Roman" w:hAnsi="Times New Roman" w:cs="Times New Roman" w:eastAsiaTheme="minorEastAsia"/>
          <w:sz w:val="24"/>
          <w:lang w:val="en-US" w:eastAsia="zh-CN"/>
        </w:rPr>
        <w:t>；</w:t>
      </w:r>
    </w:p>
    <w:p w14:paraId="097892E3">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e）</w:t>
      </w:r>
      <w:r>
        <w:rPr>
          <w:rFonts w:hint="default" w:ascii="Times New Roman" w:hAnsi="Times New Roman" w:cs="Times New Roman" w:eastAsiaTheme="minorEastAsia"/>
          <w:sz w:val="24"/>
          <w:lang w:val="en-US" w:eastAsia="zh-CN"/>
        </w:rPr>
        <w:t>气化层</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80°C~500℃</w:t>
      </w:r>
      <w:r>
        <w:rPr>
          <w:rFonts w:hint="eastAsia" w:ascii="Times New Roman" w:hAnsi="Times New Roman" w:cs="Times New Roman" w:eastAsiaTheme="minorEastAsia"/>
          <w:sz w:val="24"/>
          <w:lang w:val="en-US" w:eastAsia="zh-CN"/>
        </w:rPr>
        <w:t>；</w:t>
      </w:r>
    </w:p>
    <w:p w14:paraId="70A32585">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温度保障措施：采用系统模糊控制技术进行控制；</w:t>
      </w:r>
    </w:p>
    <w:p w14:paraId="4883740C">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设备使用寿命：焚烧炉本体使用寿命不低于</w:t>
      </w:r>
      <w:r>
        <w:rPr>
          <w:rFonts w:hint="default" w:ascii="Times New Roman" w:hAnsi="Times New Roman" w:cs="Times New Roman" w:eastAsiaTheme="minorEastAsia"/>
          <w:sz w:val="24"/>
          <w:lang w:val="en-US" w:eastAsia="zh-CN"/>
        </w:rPr>
        <w:t>15</w:t>
      </w:r>
      <w:r>
        <w:rPr>
          <w:rFonts w:hint="eastAsia" w:ascii="Times New Roman" w:hAnsi="Times New Roman" w:cs="Times New Roman" w:eastAsiaTheme="minorEastAsia"/>
          <w:sz w:val="24"/>
          <w:lang w:val="en-US" w:eastAsia="zh-CN"/>
        </w:rPr>
        <w:t>年。</w:t>
      </w:r>
    </w:p>
    <w:p w14:paraId="1567552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②技术特性</w:t>
      </w:r>
    </w:p>
    <w:p w14:paraId="06E0DD45">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w:t>
      </w:r>
      <w:r>
        <w:rPr>
          <w:rFonts w:hint="default" w:ascii="Times New Roman" w:hAnsi="Times New Roman" w:cs="Times New Roman" w:eastAsiaTheme="minorEastAsia"/>
          <w:sz w:val="24"/>
          <w:lang w:val="en-US" w:eastAsia="zh-CN"/>
        </w:rPr>
        <w:t>关键部位的可靠性</w:t>
      </w:r>
    </w:p>
    <w:p w14:paraId="446F06A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采用先进的热解处理方式，技术成熟</w:t>
      </w:r>
      <w:r>
        <w:rPr>
          <w:rFonts w:hint="eastAsia" w:ascii="Times New Roman" w:hAnsi="Times New Roman" w:cs="Times New Roman" w:eastAsiaTheme="minorEastAsia"/>
          <w:sz w:val="24"/>
          <w:lang w:val="en-US" w:eastAsia="zh-CN"/>
        </w:rPr>
        <w:t>；</w:t>
      </w:r>
    </w:p>
    <w:p w14:paraId="13BA6847">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热解气化炉处于低温气化状态，对炉体的负担和损伤小，炉体寿命长</w:t>
      </w:r>
      <w:r>
        <w:rPr>
          <w:rFonts w:hint="eastAsia" w:ascii="Times New Roman" w:hAnsi="Times New Roman" w:cs="Times New Roman" w:eastAsiaTheme="minorEastAsia"/>
          <w:sz w:val="24"/>
          <w:lang w:val="en-US" w:eastAsia="zh-CN"/>
        </w:rPr>
        <w:t>；</w:t>
      </w:r>
    </w:p>
    <w:p w14:paraId="4FCD6AEA">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热解气化炉热解段时废物热解，无明火，不会发生结焦现象</w:t>
      </w:r>
      <w:r>
        <w:rPr>
          <w:rFonts w:hint="eastAsia" w:ascii="Times New Roman" w:hAnsi="Times New Roman" w:cs="Times New Roman" w:eastAsiaTheme="minorEastAsia"/>
          <w:sz w:val="24"/>
          <w:lang w:val="en-US" w:eastAsia="zh-CN"/>
        </w:rPr>
        <w:t>；</w:t>
      </w:r>
    </w:p>
    <w:p w14:paraId="484DA6B0">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一燃室</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热解气化炉</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采用低温、静态热解，有效防止结焦</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漆面光洁、牢固、无明显挂漆、漆粒</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表面处理件光滑，无锈蚀</w:t>
      </w:r>
      <w:r>
        <w:rPr>
          <w:rFonts w:hint="eastAsia" w:ascii="Times New Roman" w:hAnsi="Times New Roman" w:cs="Times New Roman" w:eastAsiaTheme="minorEastAsia"/>
          <w:sz w:val="24"/>
          <w:lang w:val="en-US" w:eastAsia="zh-CN"/>
        </w:rPr>
        <w:t>；</w:t>
      </w:r>
    </w:p>
    <w:p w14:paraId="1CD44661">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热解气化炉采用底部及底部周围小孔均匀布风，能有效防止液体或未充分燃烧的废物溢漏</w:t>
      </w:r>
      <w:r>
        <w:rPr>
          <w:rFonts w:hint="eastAsia" w:ascii="Times New Roman" w:hAnsi="Times New Roman" w:cs="Times New Roman" w:eastAsiaTheme="minorEastAsia"/>
          <w:sz w:val="24"/>
          <w:lang w:val="en-US" w:eastAsia="zh-CN"/>
        </w:rPr>
        <w:t>；</w:t>
      </w:r>
    </w:p>
    <w:p w14:paraId="539FE0AD">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热解炉采用亚熔融方式处理残余残渣</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能保证未充分燃烧的废物不通过炉床溢漏进炉渣</w:t>
      </w:r>
      <w:r>
        <w:rPr>
          <w:rFonts w:hint="eastAsia" w:ascii="Times New Roman" w:hAnsi="Times New Roman" w:cs="Times New Roman" w:eastAsiaTheme="minorEastAsia"/>
          <w:sz w:val="24"/>
          <w:lang w:val="en-US" w:eastAsia="zh-CN"/>
        </w:rPr>
        <w:t>；</w:t>
      </w:r>
    </w:p>
    <w:p w14:paraId="3714D1F8">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供风孔采取免清洗设计，能避免因积灰或结垢而堵塞</w:t>
      </w:r>
      <w:r>
        <w:rPr>
          <w:rFonts w:hint="eastAsia" w:ascii="Times New Roman" w:hAnsi="Times New Roman" w:cs="Times New Roman" w:eastAsiaTheme="minorEastAsia"/>
          <w:sz w:val="24"/>
          <w:lang w:val="en-US" w:eastAsia="zh-CN"/>
        </w:rPr>
        <w:t>；</w:t>
      </w:r>
    </w:p>
    <w:p w14:paraId="6817B3CC">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焚烧炉应选择碳钢、不锈钢、耐火材料等组合，以确保处置系统长期正常运在运行中无结焦、物料</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搭桥、起拱、突然</w:t>
      </w:r>
      <w:r>
        <w:rPr>
          <w:rFonts w:hint="eastAsia" w:ascii="Times New Roman" w:hAnsi="Times New Roman" w:cs="Times New Roman" w:eastAsiaTheme="minorEastAsia"/>
          <w:sz w:val="24"/>
          <w:lang w:val="en-US" w:eastAsia="zh-CN"/>
        </w:rPr>
        <w:t>塌落”</w:t>
      </w:r>
      <w:r>
        <w:rPr>
          <w:rFonts w:hint="default" w:ascii="Times New Roman" w:hAnsi="Times New Roman" w:cs="Times New Roman" w:eastAsiaTheme="minorEastAsia"/>
          <w:sz w:val="24"/>
          <w:lang w:val="en-US" w:eastAsia="zh-CN"/>
        </w:rPr>
        <w:t>等现象。</w:t>
      </w:r>
    </w:p>
    <w:p w14:paraId="213FAA8B">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2）</w:t>
      </w:r>
      <w:r>
        <w:rPr>
          <w:rFonts w:hint="default" w:ascii="Times New Roman" w:hAnsi="Times New Roman" w:cs="Times New Roman" w:eastAsiaTheme="minorEastAsia"/>
          <w:sz w:val="24"/>
          <w:lang w:val="en-US" w:eastAsia="zh-CN"/>
        </w:rPr>
        <w:t>耐冲击负荷能力</w:t>
      </w:r>
    </w:p>
    <w:p w14:paraId="41AA5859">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采用二连动热解气化亚熔融炉方式，可实施24小时连续运转或交替运转</w:t>
      </w:r>
      <w:r>
        <w:rPr>
          <w:rFonts w:hint="eastAsia" w:ascii="Times New Roman" w:hAnsi="Times New Roman" w:cs="Times New Roman" w:eastAsiaTheme="minorEastAsia"/>
          <w:sz w:val="24"/>
          <w:lang w:val="en-US" w:eastAsia="zh-CN"/>
        </w:rPr>
        <w:t>；</w:t>
      </w:r>
    </w:p>
    <w:p w14:paraId="030906CD">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全自动控制热解、气化速率，自动化水平高、运行稳定</w:t>
      </w:r>
      <w:r>
        <w:rPr>
          <w:rFonts w:hint="eastAsia" w:ascii="Times New Roman" w:hAnsi="Times New Roman" w:cs="Times New Roman" w:eastAsiaTheme="minorEastAsia"/>
          <w:sz w:val="24"/>
          <w:lang w:val="en-US" w:eastAsia="zh-CN"/>
        </w:rPr>
        <w:t>；</w:t>
      </w:r>
    </w:p>
    <w:p w14:paraId="74A7D31C">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用隔套水冷结构冷却热解炉温度，可迅速降温</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表面温度&lt;50℃</w:t>
      </w:r>
      <w:r>
        <w:rPr>
          <w:rFonts w:hint="eastAsia" w:ascii="Times New Roman" w:hAnsi="Times New Roman" w:cs="Times New Roman" w:eastAsiaTheme="minorEastAsia"/>
          <w:sz w:val="24"/>
          <w:lang w:val="en-US" w:eastAsia="zh-CN"/>
        </w:rPr>
        <w:t>；</w:t>
      </w:r>
    </w:p>
    <w:p w14:paraId="05473233">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3）</w:t>
      </w:r>
      <w:r>
        <w:rPr>
          <w:rFonts w:hint="default" w:ascii="Times New Roman" w:hAnsi="Times New Roman" w:cs="Times New Roman" w:eastAsiaTheme="minorEastAsia"/>
          <w:sz w:val="24"/>
          <w:lang w:val="en-US" w:eastAsia="zh-CN"/>
        </w:rPr>
        <w:t>设备负荷的上下限参数</w:t>
      </w:r>
    </w:p>
    <w:p w14:paraId="299A1248">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焚烧炉所采用耐火材料的使用温度&gt;1300℃，满足焚烧炉燃烧气氛的要求，质量应满足所选择耐火材料对应的技术标准</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能够承受焚烧炉工作状态的交变热应力</w:t>
      </w:r>
      <w:r>
        <w:rPr>
          <w:rFonts w:hint="eastAsia" w:ascii="Times New Roman" w:hAnsi="Times New Roman" w:cs="Times New Roman" w:eastAsiaTheme="minorEastAsia"/>
          <w:sz w:val="24"/>
          <w:lang w:val="en-US" w:eastAsia="zh-CN"/>
        </w:rPr>
        <w:t>；</w:t>
      </w:r>
    </w:p>
    <w:p w14:paraId="196D3C5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热值区间</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3000~4000kcal/kg</w:t>
      </w:r>
    </w:p>
    <w:p w14:paraId="268D7D12">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4）设计接口</w:t>
      </w:r>
    </w:p>
    <w:p w14:paraId="360778A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气化炉内设计有脉冲结构</w:t>
      </w:r>
      <w:r>
        <w:rPr>
          <w:rFonts w:hint="eastAsia" w:ascii="Times New Roman" w:hAnsi="Times New Roman" w:cs="Times New Roman" w:eastAsiaTheme="minorEastAsia"/>
          <w:sz w:val="24"/>
          <w:lang w:val="en-US" w:eastAsia="zh-CN"/>
        </w:rPr>
        <w:t>；</w:t>
      </w:r>
    </w:p>
    <w:p w14:paraId="173F915E">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气化炉供风增加吹氧口设计，供用户配接氧气装置</w:t>
      </w:r>
      <w:r>
        <w:rPr>
          <w:rFonts w:hint="eastAsia" w:ascii="Times New Roman" w:hAnsi="Times New Roman" w:cs="Times New Roman" w:eastAsiaTheme="minorEastAsia"/>
          <w:sz w:val="24"/>
          <w:lang w:val="en-US" w:eastAsia="zh-CN"/>
        </w:rPr>
        <w:t>；</w:t>
      </w:r>
    </w:p>
    <w:p w14:paraId="3FC3B173">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气化炉布风孔设计根据计算最终确定，在考虑实际情况下，建议</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侧面直径8</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9mm，底部直径7.5mm。</w:t>
      </w:r>
    </w:p>
    <w:p w14:paraId="60E247BF">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燃烧炉</w:t>
      </w:r>
      <w:r>
        <w:rPr>
          <w:rFonts w:hint="eastAsia" w:ascii="Times New Roman" w:hAnsi="Times New Roman" w:cs="Times New Roman" w:eastAsiaTheme="minorEastAsia"/>
          <w:sz w:val="24"/>
          <w:lang w:val="en-US" w:eastAsia="zh-CN"/>
        </w:rPr>
        <w:t>：</w:t>
      </w:r>
    </w:p>
    <w:p w14:paraId="087EC661">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①设计参数</w:t>
      </w:r>
    </w:p>
    <w:p w14:paraId="4CA48D04">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二燃室燃烧温度</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850℃</w:t>
      </w:r>
      <w:r>
        <w:rPr>
          <w:rFonts w:hint="eastAsia" w:ascii="Times New Roman" w:hAnsi="Times New Roman" w:cs="Times New Roman" w:eastAsiaTheme="minorEastAsia"/>
          <w:sz w:val="24"/>
          <w:lang w:val="en-US" w:eastAsia="zh-CN"/>
        </w:rPr>
        <w:t>；</w:t>
      </w:r>
    </w:p>
    <w:p w14:paraId="3CC58AC8">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二燃室气体滞留时间</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2秒</w:t>
      </w:r>
      <w:r>
        <w:rPr>
          <w:rFonts w:hint="eastAsia" w:ascii="Times New Roman" w:hAnsi="Times New Roman" w:cs="Times New Roman" w:eastAsiaTheme="minorEastAsia"/>
          <w:sz w:val="24"/>
          <w:lang w:val="en-US" w:eastAsia="zh-CN"/>
        </w:rPr>
        <w:t>；</w:t>
      </w:r>
    </w:p>
    <w:p w14:paraId="103E704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二燃室出口烟气含氧量</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干烟气</w:t>
      </w:r>
      <w:r>
        <w:rPr>
          <w:rFonts w:hint="eastAsia" w:ascii="Times New Roman" w:hAnsi="Times New Roman" w:cs="Times New Roman" w:eastAsiaTheme="minorEastAsia"/>
          <w:sz w:val="24"/>
          <w:lang w:val="en-US" w:eastAsia="zh-CN"/>
        </w:rPr>
        <w:t>）：6%～15%；</w:t>
      </w:r>
    </w:p>
    <w:p w14:paraId="78EBC4B1">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设备使用寿命</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本体使用寿命不低于15年</w:t>
      </w:r>
      <w:r>
        <w:rPr>
          <w:rFonts w:hint="eastAsia" w:ascii="Times New Roman" w:hAnsi="Times New Roman" w:cs="Times New Roman" w:eastAsiaTheme="minorEastAsia"/>
          <w:sz w:val="24"/>
          <w:lang w:val="en-US" w:eastAsia="zh-CN"/>
        </w:rPr>
        <w:t>；</w:t>
      </w:r>
    </w:p>
    <w:p w14:paraId="679BF1C1">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耐冲击负荷能力</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850℃~1150℃</w:t>
      </w:r>
      <w:r>
        <w:rPr>
          <w:rFonts w:hint="eastAsia" w:ascii="Times New Roman" w:hAnsi="Times New Roman" w:cs="Times New Roman" w:eastAsiaTheme="minorEastAsia"/>
          <w:sz w:val="24"/>
          <w:lang w:val="en-US" w:eastAsia="zh-CN"/>
        </w:rPr>
        <w:t>；</w:t>
      </w:r>
    </w:p>
    <w:p w14:paraId="2D6FE89C">
      <w:pPr>
        <w:adjustRightInd w:val="0"/>
        <w:snapToGrid w:val="0"/>
        <w:spacing w:line="500" w:lineRule="exact"/>
        <w:ind w:firstLine="480" w:firstLineChars="200"/>
        <w:jc w:val="left"/>
        <w:rPr>
          <w:rFonts w:hint="default" w:ascii="Times New Roman" w:hAnsi="Times New Roman" w:eastAsia="华文中宋" w:cs="Times New Roman"/>
          <w:sz w:val="24"/>
          <w:lang w:val="en-US" w:eastAsia="zh-CN"/>
        </w:rPr>
      </w:pPr>
      <w:r>
        <w:rPr>
          <w:rFonts w:hint="default" w:ascii="Times New Roman" w:hAnsi="Times New Roman" w:eastAsia="华文中宋" w:cs="Times New Roman"/>
          <w:sz w:val="24"/>
          <w:lang w:val="en-US" w:eastAsia="zh-CN"/>
        </w:rPr>
        <w:t>②技术特性</w:t>
      </w:r>
    </w:p>
    <w:p w14:paraId="7F7D5DE3">
      <w:pPr>
        <w:adjustRightInd w:val="0"/>
        <w:snapToGrid w:val="0"/>
        <w:spacing w:line="500" w:lineRule="exact"/>
        <w:ind w:firstLine="480" w:firstLineChars="200"/>
        <w:jc w:val="left"/>
        <w:rPr>
          <w:rFonts w:hint="default" w:ascii="Times New Roman" w:hAnsi="Times New Roman" w:eastAsia="华文中宋" w:cs="Times New Roman"/>
          <w:sz w:val="24"/>
          <w:lang w:val="en-US" w:eastAsia="zh-CN"/>
        </w:rPr>
      </w:pPr>
      <w:r>
        <w:rPr>
          <w:rFonts w:hint="eastAsia" w:ascii="Times New Roman" w:hAnsi="Times New Roman" w:eastAsia="华文中宋" w:cs="Times New Roman"/>
          <w:sz w:val="24"/>
          <w:lang w:val="en-US" w:eastAsia="zh-CN"/>
        </w:rPr>
        <w:t>1）</w:t>
      </w:r>
      <w:r>
        <w:rPr>
          <w:rFonts w:hint="default" w:ascii="Times New Roman" w:hAnsi="Times New Roman" w:eastAsia="华文中宋" w:cs="Times New Roman"/>
          <w:sz w:val="24"/>
          <w:lang w:val="en-US" w:eastAsia="zh-CN"/>
        </w:rPr>
        <w:t>3T参数的确定</w:t>
      </w:r>
    </w:p>
    <w:p w14:paraId="4026FFC9">
      <w:pPr>
        <w:adjustRightInd w:val="0"/>
        <w:snapToGrid w:val="0"/>
        <w:spacing w:line="500" w:lineRule="exact"/>
        <w:ind w:firstLine="480" w:firstLineChars="200"/>
        <w:jc w:val="left"/>
        <w:rPr>
          <w:rFonts w:hint="default" w:ascii="Times New Roman" w:hAnsi="Times New Roman" w:eastAsia="华文中宋" w:cs="Times New Roman"/>
          <w:sz w:val="24"/>
          <w:lang w:val="en-US" w:eastAsia="zh-CN"/>
        </w:rPr>
      </w:pPr>
      <w:r>
        <w:rPr>
          <w:rFonts w:hint="default" w:ascii="Times New Roman" w:hAnsi="Times New Roman" w:eastAsia="华文中宋" w:cs="Times New Roman"/>
          <w:sz w:val="24"/>
          <w:lang w:val="en-US" w:eastAsia="zh-CN"/>
        </w:rPr>
        <w:t>二燃室的温度通常控制在850℃以上</w:t>
      </w:r>
      <w:r>
        <w:rPr>
          <w:rFonts w:hint="eastAsia" w:ascii="Times New Roman" w:hAnsi="Times New Roman" w:eastAsia="华文中宋" w:cs="Times New Roman"/>
          <w:sz w:val="24"/>
          <w:lang w:val="en-US" w:eastAsia="zh-CN"/>
        </w:rPr>
        <w:t>，</w:t>
      </w:r>
      <w:r>
        <w:rPr>
          <w:rFonts w:hint="default" w:ascii="Times New Roman" w:hAnsi="Times New Roman" w:eastAsia="华文中宋" w:cs="Times New Roman"/>
          <w:sz w:val="24"/>
          <w:lang w:val="en-US" w:eastAsia="zh-CN"/>
        </w:rPr>
        <w:t>烟气在二燃室的停留时间为2秒以上</w:t>
      </w:r>
      <w:r>
        <w:rPr>
          <w:rFonts w:hint="eastAsia" w:ascii="Times New Roman" w:hAnsi="Times New Roman" w:eastAsia="华文中宋" w:cs="Times New Roman"/>
          <w:sz w:val="24"/>
          <w:lang w:val="en-US" w:eastAsia="zh-CN"/>
        </w:rPr>
        <w:t>，</w:t>
      </w:r>
      <w:r>
        <w:rPr>
          <w:rFonts w:hint="default" w:ascii="Times New Roman" w:hAnsi="Times New Roman" w:eastAsia="华文中宋" w:cs="Times New Roman"/>
          <w:sz w:val="24"/>
          <w:lang w:val="en-US" w:eastAsia="zh-CN"/>
        </w:rPr>
        <w:t>在这种环境下，绝大部分有毒有害气体被彻底破坏转化成CO及各种相应的酸性气体，代表反应式如下</w:t>
      </w:r>
      <w:r>
        <w:rPr>
          <w:rFonts w:hint="eastAsia" w:ascii="Times New Roman" w:hAnsi="Times New Roman" w:eastAsia="华文中宋" w:cs="Times New Roman"/>
          <w:sz w:val="24"/>
          <w:lang w:val="en-US" w:eastAsia="zh-CN"/>
        </w:rPr>
        <w:t>：</w:t>
      </w:r>
    </w:p>
    <w:p w14:paraId="74F1E74E">
      <w:pPr>
        <w:adjustRightInd w:val="0"/>
        <w:snapToGrid w:val="0"/>
        <w:spacing w:line="500" w:lineRule="exact"/>
        <w:ind w:firstLine="480" w:firstLineChars="200"/>
        <w:jc w:val="left"/>
        <w:rPr>
          <w:rFonts w:hint="default" w:ascii="Times New Roman" w:hAnsi="Times New Roman" w:eastAsia="华文中宋" w:cs="Times New Roman"/>
          <w:sz w:val="24"/>
          <w:lang w:val="en-US" w:eastAsia="zh-CN"/>
        </w:rPr>
      </w:pPr>
      <w:r>
        <w:rPr>
          <w:rFonts w:hint="default" w:ascii="Times New Roman" w:hAnsi="Times New Roman" w:eastAsia="华文中宋" w:cs="Times New Roman"/>
          <w:sz w:val="24"/>
          <w:lang w:val="en-US" w:eastAsia="zh-CN"/>
        </w:rPr>
        <w:t>乙烯CH</w:t>
      </w:r>
      <w:r>
        <w:rPr>
          <w:rFonts w:hint="default" w:ascii="Times New Roman" w:hAnsi="Times New Roman" w:eastAsia="华文中宋" w:cs="Times New Roman"/>
          <w:sz w:val="24"/>
          <w:vertAlign w:val="subscript"/>
          <w:lang w:val="en-US" w:eastAsia="zh-CN"/>
        </w:rPr>
        <w:t>4</w:t>
      </w:r>
      <w:r>
        <w:rPr>
          <w:rFonts w:hint="default" w:ascii="Times New Roman" w:hAnsi="Times New Roman" w:eastAsia="华文中宋" w:cs="Times New Roman"/>
          <w:sz w:val="24"/>
          <w:lang w:val="en-US" w:eastAsia="zh-CN"/>
        </w:rPr>
        <w:t>+3</w:t>
      </w:r>
      <w:r>
        <w:rPr>
          <w:rFonts w:hint="eastAsia" w:ascii="Times New Roman" w:hAnsi="Times New Roman" w:eastAsia="华文中宋" w:cs="Times New Roman"/>
          <w:sz w:val="24"/>
          <w:lang w:val="en-US" w:eastAsia="zh-CN"/>
        </w:rPr>
        <w:t>O</w:t>
      </w:r>
      <w:r>
        <w:rPr>
          <w:rFonts w:hint="default" w:ascii="Times New Roman" w:hAnsi="Times New Roman" w:eastAsia="华文中宋" w:cs="Times New Roman"/>
          <w:sz w:val="24"/>
          <w:vertAlign w:val="subscript"/>
          <w:lang w:val="en-US" w:eastAsia="zh-CN"/>
        </w:rPr>
        <w:t>2</w:t>
      </w:r>
      <w:r>
        <w:rPr>
          <w:rFonts w:hint="default" w:ascii="Times New Roman" w:hAnsi="Times New Roman" w:eastAsia="华文中宋" w:cs="Times New Roman"/>
          <w:sz w:val="24"/>
          <w:lang w:val="en-US" w:eastAsia="zh-CN"/>
        </w:rPr>
        <w:t>→2C</w:t>
      </w:r>
      <w:r>
        <w:rPr>
          <w:rFonts w:hint="eastAsia" w:ascii="Times New Roman" w:hAnsi="Times New Roman" w:eastAsia="华文中宋" w:cs="Times New Roman"/>
          <w:sz w:val="24"/>
          <w:lang w:val="en-US" w:eastAsia="zh-CN"/>
        </w:rPr>
        <w:t>O</w:t>
      </w:r>
      <w:r>
        <w:rPr>
          <w:rFonts w:hint="eastAsia" w:ascii="Times New Roman" w:hAnsi="Times New Roman" w:eastAsia="华文中宋" w:cs="Times New Roman"/>
          <w:sz w:val="24"/>
          <w:vertAlign w:val="subscript"/>
          <w:lang w:val="en-US" w:eastAsia="zh-CN"/>
        </w:rPr>
        <w:t>2</w:t>
      </w:r>
      <w:r>
        <w:rPr>
          <w:rFonts w:hint="default" w:ascii="Times New Roman" w:hAnsi="Times New Roman" w:eastAsia="华文中宋" w:cs="Times New Roman"/>
          <w:sz w:val="24"/>
          <w:lang w:val="en-US" w:eastAsia="zh-CN"/>
        </w:rPr>
        <w:t>+2H</w:t>
      </w:r>
      <w:r>
        <w:rPr>
          <w:rFonts w:hint="eastAsia" w:ascii="Times New Roman" w:hAnsi="Times New Roman" w:eastAsia="华文中宋" w:cs="Times New Roman"/>
          <w:sz w:val="24"/>
          <w:vertAlign w:val="subscript"/>
          <w:lang w:val="en-US" w:eastAsia="zh-CN"/>
        </w:rPr>
        <w:t>2</w:t>
      </w:r>
      <w:r>
        <w:rPr>
          <w:rFonts w:hint="eastAsia" w:ascii="Times New Roman" w:hAnsi="Times New Roman" w:eastAsia="华文中宋" w:cs="Times New Roman"/>
          <w:sz w:val="24"/>
          <w:lang w:val="en-US" w:eastAsia="zh-CN"/>
        </w:rPr>
        <w:t>O</w:t>
      </w:r>
    </w:p>
    <w:p w14:paraId="04D9B5F8">
      <w:pPr>
        <w:adjustRightInd w:val="0"/>
        <w:snapToGrid w:val="0"/>
        <w:spacing w:line="500" w:lineRule="exact"/>
        <w:ind w:firstLine="480" w:firstLineChars="200"/>
        <w:jc w:val="left"/>
        <w:rPr>
          <w:rFonts w:hint="default" w:ascii="Times New Roman" w:hAnsi="Times New Roman" w:eastAsia="华文中宋" w:cs="Times New Roman"/>
          <w:sz w:val="24"/>
          <w:lang w:val="en-US" w:eastAsia="zh-CN"/>
        </w:rPr>
      </w:pPr>
      <w:r>
        <w:rPr>
          <w:rFonts w:hint="default" w:ascii="Times New Roman" w:hAnsi="Times New Roman" w:eastAsia="华文中宋" w:cs="Times New Roman"/>
          <w:sz w:val="24"/>
          <w:lang w:val="en-US" w:eastAsia="zh-CN"/>
        </w:rPr>
        <w:t>氯化物2C</w:t>
      </w:r>
      <w:r>
        <w:rPr>
          <w:rFonts w:hint="default" w:ascii="Times New Roman" w:hAnsi="Times New Roman" w:eastAsia="华文中宋" w:cs="Times New Roman"/>
          <w:sz w:val="24"/>
          <w:vertAlign w:val="subscript"/>
          <w:lang w:val="en-US" w:eastAsia="zh-CN"/>
        </w:rPr>
        <w:t>2</w:t>
      </w:r>
      <w:r>
        <w:rPr>
          <w:rFonts w:hint="default" w:ascii="Times New Roman" w:hAnsi="Times New Roman" w:eastAsia="华文中宋" w:cs="Times New Roman"/>
          <w:sz w:val="24"/>
          <w:lang w:val="en-US" w:eastAsia="zh-CN"/>
        </w:rPr>
        <w:t>H</w:t>
      </w:r>
      <w:r>
        <w:rPr>
          <w:rFonts w:hint="eastAsia" w:ascii="Times New Roman" w:hAnsi="Times New Roman" w:eastAsia="华文中宋" w:cs="Times New Roman"/>
          <w:sz w:val="24"/>
          <w:vertAlign w:val="subscript"/>
          <w:lang w:val="en-US" w:eastAsia="zh-CN"/>
        </w:rPr>
        <w:t>3</w:t>
      </w:r>
      <w:r>
        <w:rPr>
          <w:rFonts w:hint="default" w:ascii="Times New Roman" w:hAnsi="Times New Roman" w:eastAsia="华文中宋" w:cs="Times New Roman"/>
          <w:sz w:val="24"/>
          <w:lang w:val="en-US" w:eastAsia="zh-CN"/>
        </w:rPr>
        <w:t>CH</w:t>
      </w:r>
      <w:r>
        <w:rPr>
          <w:rFonts w:hint="eastAsia" w:ascii="Times New Roman" w:hAnsi="Times New Roman" w:eastAsia="华文中宋" w:cs="Times New Roman"/>
          <w:sz w:val="24"/>
          <w:lang w:val="en-US" w:eastAsia="zh-CN"/>
        </w:rPr>
        <w:t>+</w:t>
      </w:r>
      <w:r>
        <w:rPr>
          <w:rFonts w:hint="default" w:ascii="Times New Roman" w:hAnsi="Times New Roman" w:eastAsia="华文中宋" w:cs="Times New Roman"/>
          <w:sz w:val="24"/>
          <w:lang w:val="en-US" w:eastAsia="zh-CN"/>
        </w:rPr>
        <w:t>5</w:t>
      </w:r>
      <w:r>
        <w:rPr>
          <w:rFonts w:hint="eastAsia" w:ascii="Times New Roman" w:hAnsi="Times New Roman" w:eastAsia="华文中宋" w:cs="Times New Roman"/>
          <w:sz w:val="24"/>
          <w:lang w:val="en-US" w:eastAsia="zh-CN"/>
        </w:rPr>
        <w:t>O</w:t>
      </w:r>
      <w:r>
        <w:rPr>
          <w:rFonts w:hint="default" w:ascii="Times New Roman" w:hAnsi="Times New Roman" w:eastAsia="华文中宋" w:cs="Times New Roman"/>
          <w:sz w:val="24"/>
          <w:vertAlign w:val="subscript"/>
          <w:lang w:val="en-US" w:eastAsia="zh-CN"/>
        </w:rPr>
        <w:t>2</w:t>
      </w:r>
      <w:r>
        <w:rPr>
          <w:rFonts w:hint="default" w:ascii="Times New Roman" w:hAnsi="Times New Roman" w:eastAsia="华文中宋" w:cs="Times New Roman"/>
          <w:sz w:val="24"/>
          <w:lang w:val="en-US" w:eastAsia="zh-CN"/>
        </w:rPr>
        <w:t>→</w:t>
      </w:r>
      <w:r>
        <w:rPr>
          <w:rFonts w:hint="eastAsia" w:ascii="Times New Roman" w:hAnsi="Times New Roman" w:eastAsia="华文中宋" w:cs="Times New Roman"/>
          <w:sz w:val="24"/>
          <w:lang w:val="en-US" w:eastAsia="zh-CN"/>
        </w:rPr>
        <w:t>4</w:t>
      </w:r>
      <w:r>
        <w:rPr>
          <w:rFonts w:hint="default" w:ascii="Times New Roman" w:hAnsi="Times New Roman" w:eastAsia="华文中宋" w:cs="Times New Roman"/>
          <w:sz w:val="24"/>
          <w:lang w:val="en-US" w:eastAsia="zh-CN"/>
        </w:rPr>
        <w:t>C</w:t>
      </w:r>
      <w:r>
        <w:rPr>
          <w:rFonts w:hint="eastAsia" w:ascii="Times New Roman" w:hAnsi="Times New Roman" w:eastAsia="华文中宋" w:cs="Times New Roman"/>
          <w:sz w:val="24"/>
          <w:lang w:val="en-US" w:eastAsia="zh-CN"/>
        </w:rPr>
        <w:t>O</w:t>
      </w:r>
      <w:r>
        <w:rPr>
          <w:rFonts w:hint="default" w:ascii="Times New Roman" w:hAnsi="Times New Roman" w:eastAsia="华文中宋" w:cs="Times New Roman"/>
          <w:sz w:val="24"/>
          <w:vertAlign w:val="subscript"/>
          <w:lang w:val="en-US" w:eastAsia="zh-CN"/>
        </w:rPr>
        <w:t>2</w:t>
      </w:r>
      <w:r>
        <w:rPr>
          <w:rFonts w:hint="default" w:ascii="Times New Roman" w:hAnsi="Times New Roman" w:eastAsia="华文中宋" w:cs="Times New Roman"/>
          <w:sz w:val="24"/>
          <w:lang w:val="en-US" w:eastAsia="zh-CN"/>
        </w:rPr>
        <w:t>+2H</w:t>
      </w:r>
      <w:r>
        <w:rPr>
          <w:rFonts w:hint="eastAsia" w:ascii="Times New Roman" w:hAnsi="Times New Roman" w:eastAsia="华文中宋" w:cs="Times New Roman"/>
          <w:sz w:val="24"/>
          <w:vertAlign w:val="subscript"/>
          <w:lang w:val="en-US" w:eastAsia="zh-CN"/>
        </w:rPr>
        <w:t>2</w:t>
      </w:r>
      <w:r>
        <w:rPr>
          <w:rFonts w:hint="eastAsia" w:ascii="Times New Roman" w:hAnsi="Times New Roman" w:eastAsia="华文中宋" w:cs="Times New Roman"/>
          <w:sz w:val="24"/>
          <w:lang w:val="en-US" w:eastAsia="zh-CN"/>
        </w:rPr>
        <w:t>O</w:t>
      </w:r>
      <w:r>
        <w:rPr>
          <w:rFonts w:hint="default" w:ascii="Times New Roman" w:hAnsi="Times New Roman" w:eastAsia="华文中宋" w:cs="Times New Roman"/>
          <w:sz w:val="24"/>
          <w:lang w:val="en-US" w:eastAsia="zh-CN"/>
        </w:rPr>
        <w:t>+2HCI</w:t>
      </w:r>
    </w:p>
    <w:p w14:paraId="42142030">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w:t>
      </w:r>
      <w:r>
        <w:rPr>
          <w:rFonts w:hint="default" w:ascii="Times New Roman" w:hAnsi="Times New Roman" w:cs="Times New Roman" w:eastAsiaTheme="minorEastAsia"/>
          <w:sz w:val="24"/>
          <w:highlight w:val="none"/>
          <w:lang w:val="en-US" w:eastAsia="zh-CN"/>
        </w:rPr>
        <w:t>关键部件的可靠性</w:t>
      </w:r>
    </w:p>
    <w:p w14:paraId="31482FFF">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燃烧炉所需二次燃烧空气由电脑自动控制</w:t>
      </w:r>
      <w:r>
        <w:rPr>
          <w:rFonts w:hint="eastAsia" w:ascii="Times New Roman" w:hAnsi="Times New Roman" w:cs="Times New Roman" w:eastAsiaTheme="minorEastAsia"/>
          <w:sz w:val="24"/>
          <w:highlight w:val="none"/>
          <w:lang w:val="en-US" w:eastAsia="zh-CN"/>
        </w:rPr>
        <w:t>；</w:t>
      </w:r>
    </w:p>
    <w:p w14:paraId="40CA86D9">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喷燃炉内的燃烧火焰在燃烧炉内通过旋回流，促进氧化</w:t>
      </w:r>
      <w:r>
        <w:rPr>
          <w:rFonts w:hint="eastAsia" w:ascii="Times New Roman" w:hAnsi="Times New Roman" w:cs="Times New Roman" w:eastAsiaTheme="minorEastAsia"/>
          <w:sz w:val="24"/>
          <w:highlight w:val="none"/>
          <w:lang w:val="en-US" w:eastAsia="zh-CN"/>
        </w:rPr>
        <w:t>；</w:t>
      </w:r>
    </w:p>
    <w:p w14:paraId="4E649E27">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通过稳定的燃烧</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全自动温度控制</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，控制烟气中CO的浓度</w:t>
      </w:r>
      <w:r>
        <w:rPr>
          <w:rFonts w:hint="eastAsia" w:ascii="Times New Roman" w:hAnsi="Times New Roman" w:cs="Times New Roman" w:eastAsiaTheme="minorEastAsia"/>
          <w:sz w:val="24"/>
          <w:highlight w:val="none"/>
          <w:lang w:val="en-US" w:eastAsia="zh-CN"/>
        </w:rPr>
        <w:t>；</w:t>
      </w:r>
    </w:p>
    <w:p w14:paraId="1C639C61">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焚烧炉观察孔的设置能通观炉内燃烧，炉料状况。</w:t>
      </w:r>
    </w:p>
    <w:p w14:paraId="59E85AA4">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（4）烟气净化及排放系统</w:t>
      </w:r>
    </w:p>
    <w:p w14:paraId="27385E41">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本项目选择采用湿干法组合净化工艺尾气净化工艺，即</w:t>
      </w:r>
      <w:r>
        <w:rPr>
          <w:rFonts w:hint="eastAsia"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3T+E</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燃烧控制+SNCR脱硝+旋风除尘+急冷塔+干法脱酸（消石灰喷射）+活性炭喷射+布袋除尘器+湿法喷淋脱酸（5%氢氧化钠）”</w:t>
      </w:r>
      <w:r>
        <w:rPr>
          <w:rFonts w:hint="default" w:ascii="Times New Roman" w:hAnsi="Times New Roman" w:cs="Times New Roman" w:eastAsiaTheme="minorEastAsia"/>
          <w:sz w:val="24"/>
          <w:highlight w:val="none"/>
          <w:lang w:val="en-US" w:eastAsia="zh-CN"/>
        </w:rPr>
        <w:t>的工艺。能有效对烟气中各类污染物进行控制，并保证能够达到排放标准。</w:t>
      </w:r>
    </w:p>
    <w:p w14:paraId="1F3B7202">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烟气经炉内脱硝，然后进入急冷塔，在1秒钟内烟气从550℃左右骤降至180℃，可避免二噁英在200~500℃之间再次合成。</w:t>
      </w:r>
    </w:p>
    <w:p w14:paraId="67EAD374">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在干法反应塔内喷入消石灰粉末和活性炭粉末</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在塔内和布袋表面中进行酸碱中和反应，可以有效</w:t>
      </w:r>
      <w:r>
        <w:rPr>
          <w:rFonts w:hint="eastAsia" w:ascii="Times New Roman" w:hAnsi="Times New Roman" w:cs="Times New Roman" w:eastAsiaTheme="minorEastAsia"/>
          <w:sz w:val="24"/>
          <w:lang w:val="en-US" w:eastAsia="zh-CN"/>
        </w:rPr>
        <w:t>地</w:t>
      </w:r>
      <w:r>
        <w:rPr>
          <w:rFonts w:hint="default" w:ascii="Times New Roman" w:hAnsi="Times New Roman" w:cs="Times New Roman" w:eastAsiaTheme="minorEastAsia"/>
          <w:sz w:val="24"/>
          <w:lang w:val="en-US" w:eastAsia="zh-CN"/>
        </w:rPr>
        <w:t>去除烟气中的酸性物质，活性炭对烟气中的重金属和二噁英类物质进行吸附，去除悬浮颗粒物</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如粉尘、干法脱酸反应生成物、被活性炭吸附的重金属及二噁英类物质等</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。经布袋除尘器的烟气再进入湿式</w:t>
      </w:r>
      <w:r>
        <w:rPr>
          <w:rFonts w:hint="eastAsia" w:ascii="Times New Roman" w:hAnsi="Times New Roman" w:cs="Times New Roman" w:eastAsiaTheme="minorEastAsia"/>
          <w:sz w:val="24"/>
          <w:lang w:val="en-US" w:eastAsia="zh-CN"/>
        </w:rPr>
        <w:t>喷淋</w:t>
      </w:r>
      <w:r>
        <w:rPr>
          <w:rFonts w:hint="default" w:ascii="Times New Roman" w:hAnsi="Times New Roman" w:cs="Times New Roman" w:eastAsiaTheme="minorEastAsia"/>
          <w:sz w:val="24"/>
          <w:lang w:val="en-US" w:eastAsia="zh-CN"/>
        </w:rPr>
        <w:t>塔脱酸。最终确保烟气污染物达标后由</w:t>
      </w:r>
      <w:r>
        <w:rPr>
          <w:rFonts w:hint="eastAsia" w:ascii="Times New Roman" w:hAnsi="Times New Roman" w:cs="Times New Roman" w:eastAsiaTheme="minorEastAsia"/>
          <w:sz w:val="24"/>
          <w:lang w:val="en-US" w:eastAsia="zh-CN"/>
        </w:rPr>
        <w:t>烟囱</w:t>
      </w:r>
      <w:r>
        <w:rPr>
          <w:rFonts w:hint="default" w:ascii="Times New Roman" w:hAnsi="Times New Roman" w:cs="Times New Roman" w:eastAsiaTheme="minorEastAsia"/>
          <w:sz w:val="24"/>
          <w:lang w:val="en-US" w:eastAsia="zh-CN"/>
        </w:rPr>
        <w:t>排出。</w:t>
      </w:r>
    </w:p>
    <w:p w14:paraId="5E6AD635">
      <w:pPr>
        <w:adjustRightInd w:val="0"/>
        <w:snapToGrid w:val="0"/>
        <w:spacing w:line="500" w:lineRule="exact"/>
        <w:ind w:firstLine="482" w:firstLineChars="200"/>
        <w:jc w:val="left"/>
        <w:rPr>
          <w:rFonts w:hint="default" w:ascii="Times New Roman" w:hAnsi="Times New Roman" w:eastAsia="华文中宋" w:cs="Times New Roman"/>
          <w:b/>
          <w:bCs/>
          <w:sz w:val="24"/>
          <w:lang w:val="en-US" w:eastAsia="zh-CN"/>
        </w:rPr>
      </w:pPr>
      <w:r>
        <w:rPr>
          <w:rFonts w:hint="default" w:ascii="Times New Roman" w:hAnsi="Times New Roman" w:eastAsia="华文中宋" w:cs="Times New Roman"/>
          <w:b/>
          <w:bCs/>
          <w:sz w:val="24"/>
          <w:lang w:val="en-US" w:eastAsia="zh-CN"/>
        </w:rPr>
        <w:t>炉内脱硝系统</w:t>
      </w:r>
      <w:r>
        <w:rPr>
          <w:rFonts w:hint="eastAsia" w:ascii="Times New Roman" w:hAnsi="Times New Roman" w:eastAsia="华文中宋" w:cs="Times New Roman"/>
          <w:b/>
          <w:bCs/>
          <w:sz w:val="24"/>
          <w:lang w:val="en-US" w:eastAsia="zh-CN"/>
        </w:rPr>
        <w:t>：</w:t>
      </w:r>
    </w:p>
    <w:p w14:paraId="57047205">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脱硝工艺按选择性非催化还原法</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SNCR</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考虑。脱硝系统的效率按&gt;</w:t>
      </w:r>
      <w:r>
        <w:rPr>
          <w:rFonts w:hint="eastAsia" w:ascii="Times New Roman" w:hAnsi="Times New Roman" w:cs="Times New Roman"/>
          <w:sz w:val="24"/>
          <w:lang w:val="en-US" w:eastAsia="zh-CN"/>
        </w:rPr>
        <w:t>40</w:t>
      </w:r>
      <w:r>
        <w:rPr>
          <w:rFonts w:hint="default" w:ascii="Times New Roman" w:hAnsi="Times New Roman" w:cs="Times New Roman" w:eastAsiaTheme="minorEastAsia"/>
          <w:sz w:val="24"/>
          <w:lang w:val="en-US" w:eastAsia="zh-CN"/>
        </w:rPr>
        <w:t>%设计，脱硝还原剂采用尿素。</w:t>
      </w:r>
    </w:p>
    <w:p w14:paraId="1B521842">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拟建项目脱硝系统由尿素溶液制备储存系统、尿素溶液稀释与计量系统、尿素溶液分配与喷射系统组成。</w:t>
      </w:r>
    </w:p>
    <w:p w14:paraId="0FFFC85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①尿素溶液制备储存系统</w:t>
      </w:r>
    </w:p>
    <w:p w14:paraId="626B5F85">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运送至现场的袋装颗粒尿素储存在厂内药剂间，先送入尿素溶液制备罐，在搅拌机的作用下与罐中的按比例补充的新鲜除盐水充分溶解，配制成40%Wt浓度的尿素溶液，制备罐中的尿素溶液通过循环泵送入尿素溶液储罐</w:t>
      </w:r>
      <w:r>
        <w:rPr>
          <w:rFonts w:hint="eastAsia" w:ascii="Times New Roman" w:hAnsi="Times New Roman" w:cs="Times New Roman" w:eastAsiaTheme="minorEastAsia"/>
          <w:sz w:val="24"/>
          <w:lang w:val="en-US" w:eastAsia="zh-CN"/>
        </w:rPr>
        <w:t>（0.5</w:t>
      </w:r>
      <w:r>
        <w:rPr>
          <w:rFonts w:hint="default" w:ascii="Times New Roman" w:hAnsi="Times New Roman" w:cs="Times New Roman" w:eastAsiaTheme="minorEastAsia"/>
          <w:sz w:val="24"/>
          <w:lang w:val="en-US" w:eastAsia="zh-CN"/>
        </w:rPr>
        <w:t>m</w:t>
      </w:r>
      <w:r>
        <w:rPr>
          <w:rFonts w:hint="default" w:ascii="Times New Roman" w:hAnsi="Times New Roman" w:cs="Times New Roman" w:eastAsiaTheme="minorEastAsia"/>
          <w:sz w:val="24"/>
          <w:vertAlign w:val="superscript"/>
          <w:lang w:val="en-US" w:eastAsia="zh-CN"/>
        </w:rPr>
        <w:t>3</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中。</w:t>
      </w:r>
    </w:p>
    <w:p w14:paraId="0BD40074">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②尿素溶液稀释与计量系统通过供料泵输送至锅炉区域的尿素溶液在本系统中进行尿素溶液计量</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根据</w:t>
      </w:r>
      <w:r>
        <w:rPr>
          <w:rFonts w:hint="eastAsia" w:ascii="Times New Roman" w:hAnsi="Times New Roman" w:cs="Times New Roman" w:eastAsiaTheme="minorEastAsia"/>
          <w:sz w:val="24"/>
          <w:lang w:val="en-US" w:eastAsia="zh-CN"/>
        </w:rPr>
        <w:t>燃烧炉</w:t>
      </w:r>
      <w:r>
        <w:rPr>
          <w:rFonts w:hint="default" w:ascii="Times New Roman" w:hAnsi="Times New Roman" w:cs="Times New Roman" w:eastAsiaTheme="minorEastAsia"/>
          <w:sz w:val="24"/>
          <w:lang w:val="en-US" w:eastAsia="zh-CN"/>
        </w:rPr>
        <w:t>负荷调节尿素溶液供应量，多余尿素溶液通过环形回路返回尿素溶液储罐。</w:t>
      </w:r>
    </w:p>
    <w:p w14:paraId="092FCD55">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③尿素溶液分配系统</w:t>
      </w:r>
    </w:p>
    <w:p w14:paraId="5F5F835C">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尿素溶液通过分配系统分配到各层SNCR喷枪区域，根据运行需要，对需要不同控制的区域的SNCR喷枪分别进行流量分配</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每支管道上设置流量计、就地压力表及压力变送器等。</w:t>
      </w:r>
    </w:p>
    <w:p w14:paraId="6173870B">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④喷射系统</w:t>
      </w:r>
    </w:p>
    <w:p w14:paraId="55B86A3F">
      <w:pPr>
        <w:adjustRightInd w:val="0"/>
        <w:snapToGrid w:val="0"/>
        <w:spacing w:line="500" w:lineRule="exact"/>
        <w:ind w:firstLine="480" w:firstLineChars="200"/>
        <w:jc w:val="left"/>
        <w:rPr>
          <w:rFonts w:hint="default"/>
          <w:lang w:val="en-US" w:eastAsia="zh-CN"/>
        </w:rPr>
      </w:pPr>
      <w:r>
        <w:rPr>
          <w:rFonts w:hint="default" w:ascii="Times New Roman" w:hAnsi="Times New Roman" w:cs="Times New Roman" w:eastAsiaTheme="minorEastAsia"/>
          <w:sz w:val="24"/>
          <w:highlight w:val="none"/>
          <w:lang w:val="en-US" w:eastAsia="zh-CN"/>
        </w:rPr>
        <w:t>还原剂喷射系统设置一系列喷枪，用于扩散和混合尿素雾滴。喷枪采用墙式喷枪喷射器。根据锅炉炉内状况对喷嘴的几何特征、喷射的角度和速度、喷射液滴直径进行优化，通过改变还原剂扩散路径，达到最佳停留时间的目的。</w:t>
      </w:r>
    </w:p>
    <w:p w14:paraId="420450A2">
      <w:pPr>
        <w:adjustRightInd w:val="0"/>
        <w:snapToGrid w:val="0"/>
        <w:spacing w:line="500" w:lineRule="exact"/>
        <w:ind w:firstLine="482" w:firstLineChars="200"/>
        <w:jc w:val="left"/>
        <w:rPr>
          <w:rFonts w:hint="eastAsia" w:ascii="Times New Roman" w:hAnsi="Times New Roman" w:cs="Times New Roman"/>
          <w:b/>
          <w:bCs/>
          <w:sz w:val="24"/>
          <w:lang w:val="en-US" w:eastAsia="zh-CN"/>
        </w:rPr>
      </w:pPr>
      <w:r>
        <w:rPr>
          <w:rFonts w:hint="eastAsia" w:ascii="Times New Roman" w:hAnsi="Times New Roman" w:cs="Times New Roman"/>
          <w:b/>
          <w:bCs/>
          <w:sz w:val="24"/>
          <w:lang w:val="en-US" w:eastAsia="zh-CN"/>
        </w:rPr>
        <w:t>旋风除尘：</w:t>
      </w:r>
    </w:p>
    <w:p w14:paraId="54B118B4">
      <w:pPr>
        <w:adjustRightInd w:val="0"/>
        <w:snapToGrid w:val="0"/>
        <w:spacing w:line="500" w:lineRule="exact"/>
        <w:ind w:firstLine="480" w:firstLineChars="200"/>
        <w:jc w:val="left"/>
        <w:rPr>
          <w:rFonts w:hint="default"/>
          <w:lang w:val="en-US" w:eastAsia="zh-CN"/>
        </w:rPr>
      </w:pPr>
      <w:r>
        <w:rPr>
          <w:rFonts w:hint="eastAsia" w:ascii="Times New Roman" w:hAnsi="Times New Roman" w:cs="Times New Roman" w:eastAsiaTheme="minorEastAsia"/>
          <w:sz w:val="24"/>
          <w:highlight w:val="none"/>
          <w:lang w:val="en-US" w:eastAsia="zh-CN"/>
        </w:rPr>
        <w:t>二次燃烧室</w:t>
      </w:r>
      <w:r>
        <w:rPr>
          <w:rFonts w:hint="default" w:ascii="Times New Roman" w:hAnsi="Times New Roman" w:cs="Times New Roman" w:eastAsiaTheme="minorEastAsia"/>
          <w:sz w:val="24"/>
          <w:highlight w:val="none"/>
          <w:lang w:val="en-US" w:eastAsia="zh-CN"/>
        </w:rPr>
        <w:t>出来的烟气</w:t>
      </w:r>
      <w:r>
        <w:rPr>
          <w:rFonts w:hint="eastAsia" w:ascii="Times New Roman" w:hAnsi="Times New Roman" w:cs="Times New Roman" w:eastAsiaTheme="minorEastAsia"/>
          <w:sz w:val="24"/>
          <w:highlight w:val="none"/>
          <w:lang w:val="en-US" w:eastAsia="zh-CN"/>
        </w:rPr>
        <w:t>由</w:t>
      </w:r>
      <w:bookmarkStart w:id="150" w:name="OLE_LINK326"/>
      <w:r>
        <w:rPr>
          <w:rFonts w:hint="default" w:ascii="Times New Roman" w:hAnsi="Times New Roman" w:cs="Times New Roman" w:eastAsiaTheme="minorEastAsia"/>
          <w:sz w:val="24"/>
          <w:highlight w:val="none"/>
          <w:lang w:val="en-US" w:eastAsia="zh-CN"/>
        </w:rPr>
        <w:t>旋风除尘器</w:t>
      </w:r>
      <w:bookmarkEnd w:id="150"/>
      <w:r>
        <w:rPr>
          <w:rFonts w:hint="eastAsia" w:ascii="Times New Roman" w:hAnsi="Times New Roman" w:cs="Times New Roman" w:eastAsiaTheme="minorEastAsia"/>
          <w:sz w:val="24"/>
          <w:highlight w:val="none"/>
          <w:lang w:val="en-US" w:eastAsia="zh-CN"/>
        </w:rPr>
        <w:t>上部进入，</w:t>
      </w:r>
      <w:r>
        <w:rPr>
          <w:rFonts w:hint="default" w:ascii="Times New Roman" w:hAnsi="Times New Roman" w:cs="Times New Roman" w:eastAsiaTheme="minorEastAsia"/>
          <w:sz w:val="24"/>
          <w:highlight w:val="none"/>
          <w:lang w:val="en-US" w:eastAsia="zh-CN"/>
        </w:rPr>
        <w:t>进行初步除尘</w:t>
      </w:r>
      <w:r>
        <w:rPr>
          <w:rFonts w:hint="eastAsia" w:ascii="Times New Roman" w:hAnsi="Times New Roman" w:cs="Times New Roman" w:eastAsiaTheme="minorEastAsia"/>
          <w:sz w:val="24"/>
          <w:highlight w:val="none"/>
          <w:lang w:val="en-US" w:eastAsia="zh-CN"/>
        </w:rPr>
        <w:t>，下部设灰斗，定期人工出灰。</w:t>
      </w:r>
      <w:r>
        <w:rPr>
          <w:rFonts w:ascii="宋体" w:hAnsi="宋体" w:eastAsia="宋体" w:cs="宋体"/>
          <w:sz w:val="24"/>
          <w:szCs w:val="24"/>
        </w:rPr>
        <w:t>含尘废气切向进入筒锥结构形成高速旋流，粉尘受离心力作用向筒壁聚集并沿壁面落入</w:t>
      </w:r>
      <w:r>
        <w:rPr>
          <w:rFonts w:hint="eastAsia" w:ascii="宋体" w:hAnsi="宋体" w:eastAsia="宋体" w:cs="宋体"/>
          <w:sz w:val="24"/>
          <w:szCs w:val="24"/>
          <w:lang w:val="en-US" w:eastAsia="zh-CN"/>
        </w:rPr>
        <w:t>飞灰收集袋，飞灰收集袋与旋风除尘落灰口均为密封装置</w:t>
      </w:r>
      <w:r>
        <w:rPr>
          <w:rFonts w:hint="default" w:ascii="Times New Roman" w:hAnsi="Times New Roman" w:eastAsia="宋体" w:cs="Times New Roman"/>
          <w:sz w:val="24"/>
          <w:szCs w:val="24"/>
        </w:rPr>
        <w:t>；设备对10μm以上粉尘除尘效率较高，可预先截留烟气中大颗粒粉尘，减少后端覆膜布袋除尘器</w:t>
      </w:r>
      <w:r>
        <w:rPr>
          <w:rFonts w:ascii="宋体" w:hAnsi="宋体" w:eastAsia="宋体" w:cs="宋体"/>
          <w:sz w:val="24"/>
          <w:szCs w:val="24"/>
        </w:rPr>
        <w:t>的粉尘处理量，延长滤袋使用寿命，预除尘后含尘烟气再送入布袋除尘器深度处理，协同保障颗粒物稳定达标排放。</w:t>
      </w:r>
    </w:p>
    <w:p w14:paraId="15AEE2B2">
      <w:pPr>
        <w:adjustRightInd w:val="0"/>
        <w:snapToGrid w:val="0"/>
        <w:spacing w:line="500" w:lineRule="exact"/>
        <w:ind w:firstLine="482" w:firstLineChars="200"/>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急冷塔：</w:t>
      </w:r>
    </w:p>
    <w:p w14:paraId="3976DC77">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烟气进入急冷塔，在急冷塔中，高温烟气与雾化喷淋水雾直接接触，烟气可以在1秒钟内与水雾接触蒸发汽化，通过热交换，迅速放热由550℃降至180℃，有效避免</w:t>
      </w:r>
      <w:r>
        <w:rPr>
          <w:rFonts w:hint="eastAsia" w:ascii="Times New Roman" w:hAnsi="Times New Roman" w:cs="Times New Roman" w:eastAsiaTheme="minorEastAsia"/>
          <w:sz w:val="24"/>
          <w:lang w:val="en-US" w:eastAsia="zh-CN"/>
        </w:rPr>
        <w:t>二噁英</w:t>
      </w:r>
      <w:r>
        <w:rPr>
          <w:rFonts w:hint="default" w:ascii="Times New Roman" w:hAnsi="Times New Roman" w:cs="Times New Roman" w:eastAsiaTheme="minorEastAsia"/>
          <w:sz w:val="24"/>
          <w:lang w:val="en-US" w:eastAsia="zh-CN"/>
        </w:rPr>
        <w:t>类物质的再合成。</w:t>
      </w:r>
    </w:p>
    <w:p w14:paraId="56F650D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喷枪布置在急冷塔上方，喷雾方向与烟气流动方向一致。喷雾系统正常工作时，冷却水经过急冷水泵的变频控制调节到一定的压力和流量，经出口管路送到喷枪，在压缩空气的作用下雾化，产生非常细小的雾化颗粒，水雾在高温烟气中迅速蒸发，吸收其烟气的大量热量，使烟气温度迅速降低并维持在一定温度范围内。当出口测温元件检测到烟气温度与设定温度不符时，在控制器的控制下，变频器自动调节泵的转速</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加大或减少喷水量</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从而使烟气温度稳定在指定范围内。</w:t>
      </w:r>
    </w:p>
    <w:p w14:paraId="001A407C">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急冷塔</w:t>
      </w:r>
      <w:r>
        <w:rPr>
          <w:rFonts w:hint="default" w:ascii="Times New Roman" w:hAnsi="Times New Roman" w:cs="Times New Roman" w:eastAsiaTheme="minorEastAsia"/>
          <w:sz w:val="24"/>
          <w:lang w:val="en-US" w:eastAsia="zh-CN"/>
        </w:rPr>
        <w:t>雾化器采用二流体喷嘴，喷嘴材料采用耐高温的硬质合金316L，雾化器进口压缩空气压力为0.5Mpa，喷嘴进口水压为0.5Mpa，喷嘴冷却口不得有异物遮挡。</w:t>
      </w:r>
    </w:p>
    <w:p w14:paraId="09377C8D">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根据温度自动调节喷水量</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使用水泵与压缩空气雾化进水</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使喷水完全雾化、蒸发，不会使积灰形成泥浆或泥块，急冷塔内要定期清灰。</w:t>
      </w:r>
    </w:p>
    <w:p w14:paraId="1F571178">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采用二流体喷嘴，使用压缩空气雾化喷淋水，保证与烟气混合均匀</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采用空气幕防止喷嘴与烟气直接接触。</w:t>
      </w:r>
    </w:p>
    <w:p w14:paraId="1B345ED1">
      <w:pPr>
        <w:adjustRightInd w:val="0"/>
        <w:snapToGrid w:val="0"/>
        <w:spacing w:line="500" w:lineRule="exact"/>
        <w:ind w:firstLine="482" w:firstLineChars="200"/>
        <w:jc w:val="left"/>
        <w:rPr>
          <w:rFonts w:hint="default"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干法脱酸塔：</w:t>
      </w:r>
    </w:p>
    <w:p w14:paraId="6E71EE79">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烟气从急冷塔排出后进入了干法脱酸塔内，在干法反应塔内喷入消石灰和活性炭。</w:t>
      </w:r>
    </w:p>
    <w:p w14:paraId="7E92AC49">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在干法脱酸塔内投加消石灰。消石灰通过输送风机送烟道中，且消石灰仓出料口设置圆盘给料机，并对给料机的转速变频控制，调节进入反应塔的消石灰的量。</w:t>
      </w:r>
    </w:p>
    <w:p w14:paraId="3F9E0D7D">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从急冷塔出来的烟气与喷入的吸收剂充分混合反应。烟气夹带</w:t>
      </w:r>
      <w:r>
        <w:rPr>
          <w:rFonts w:hint="default" w:ascii="Times New Roman" w:hAnsi="Times New Roman" w:cs="Times New Roman" w:eastAsiaTheme="minorEastAsia"/>
          <w:sz w:val="24"/>
          <w:lang w:val="en-US" w:eastAsia="zh-CN"/>
        </w:rPr>
        <w:t>Ca(OH)2</w:t>
      </w:r>
      <w:r>
        <w:rPr>
          <w:rFonts w:hint="eastAsia" w:ascii="Times New Roman" w:hAnsi="Times New Roman" w:cs="Times New Roman" w:eastAsiaTheme="minorEastAsia"/>
          <w:sz w:val="24"/>
          <w:lang w:val="en-US" w:eastAsia="zh-CN"/>
        </w:rPr>
        <w:t>粉在向上流动的过程中，</w:t>
      </w:r>
      <w:r>
        <w:rPr>
          <w:rFonts w:hint="default" w:ascii="Times New Roman" w:hAnsi="Times New Roman" w:cs="Times New Roman" w:eastAsiaTheme="minorEastAsia"/>
          <w:sz w:val="24"/>
          <w:lang w:val="en-US" w:eastAsia="zh-CN"/>
        </w:rPr>
        <w:t>Ca(OH)</w:t>
      </w:r>
      <w:r>
        <w:rPr>
          <w:rFonts w:hint="default" w:ascii="Times New Roman" w:hAnsi="Times New Roman" w:cs="Times New Roman" w:eastAsiaTheme="minorEastAsia"/>
          <w:sz w:val="24"/>
          <w:vertAlign w:val="subscript"/>
          <w:lang w:val="en-US" w:eastAsia="zh-CN"/>
        </w:rPr>
        <w:t>2</w:t>
      </w:r>
      <w:r>
        <w:rPr>
          <w:rFonts w:hint="eastAsia" w:ascii="Times New Roman" w:hAnsi="Times New Roman" w:cs="Times New Roman" w:eastAsiaTheme="minorEastAsia"/>
          <w:sz w:val="24"/>
          <w:lang w:val="en-US" w:eastAsia="zh-CN"/>
        </w:rPr>
        <w:t>和烟气中的</w:t>
      </w:r>
      <w:r>
        <w:rPr>
          <w:rFonts w:hint="default" w:ascii="Times New Roman" w:hAnsi="Times New Roman" w:cs="Times New Roman" w:eastAsiaTheme="minorEastAsia"/>
          <w:sz w:val="24"/>
          <w:lang w:val="en-US" w:eastAsia="zh-CN"/>
        </w:rPr>
        <w:t>SO</w:t>
      </w:r>
      <w:r>
        <w:rPr>
          <w:rFonts w:hint="default" w:ascii="Times New Roman" w:hAnsi="Times New Roman" w:cs="Times New Roman" w:eastAsiaTheme="minorEastAsia"/>
          <w:sz w:val="24"/>
          <w:vertAlign w:val="subscript"/>
          <w:lang w:val="en-US" w:eastAsia="zh-CN"/>
        </w:rPr>
        <w:t>2</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SO</w:t>
      </w:r>
      <w:r>
        <w:rPr>
          <w:rFonts w:hint="default" w:ascii="Times New Roman" w:hAnsi="Times New Roman" w:cs="Times New Roman" w:eastAsiaTheme="minorEastAsia"/>
          <w:sz w:val="24"/>
          <w:vertAlign w:val="subscript"/>
          <w:lang w:val="en-US" w:eastAsia="zh-CN"/>
        </w:rPr>
        <w:t>3</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HCl</w:t>
      </w:r>
      <w:r>
        <w:rPr>
          <w:rFonts w:hint="eastAsia" w:ascii="Times New Roman" w:hAnsi="Times New Roman" w:cs="Times New Roman" w:eastAsiaTheme="minorEastAsia"/>
          <w:sz w:val="24"/>
          <w:lang w:val="en-US" w:eastAsia="zh-CN"/>
        </w:rPr>
        <w:t>和</w:t>
      </w:r>
      <w:r>
        <w:rPr>
          <w:rFonts w:hint="default" w:ascii="Times New Roman" w:hAnsi="Times New Roman" w:cs="Times New Roman" w:eastAsiaTheme="minorEastAsia"/>
          <w:sz w:val="24"/>
          <w:lang w:val="en-US" w:eastAsia="zh-CN"/>
        </w:rPr>
        <w:t>HF</w:t>
      </w:r>
      <w:r>
        <w:rPr>
          <w:rFonts w:hint="eastAsia" w:ascii="Times New Roman" w:hAnsi="Times New Roman" w:cs="Times New Roman" w:eastAsiaTheme="minorEastAsia"/>
          <w:sz w:val="24"/>
          <w:lang w:val="en-US" w:eastAsia="zh-CN"/>
        </w:rPr>
        <w:t>等发生化学反应，生成</w:t>
      </w:r>
      <w:r>
        <w:rPr>
          <w:rFonts w:hint="default" w:ascii="Times New Roman" w:hAnsi="Times New Roman" w:cs="Times New Roman" w:eastAsiaTheme="minorEastAsia"/>
          <w:sz w:val="24"/>
          <w:lang w:val="en-US" w:eastAsia="zh-CN"/>
        </w:rPr>
        <w:t>CaSO</w:t>
      </w:r>
      <w:r>
        <w:rPr>
          <w:rFonts w:hint="default" w:ascii="Times New Roman" w:hAnsi="Times New Roman" w:cs="Times New Roman" w:eastAsiaTheme="minorEastAsia"/>
          <w:sz w:val="24"/>
          <w:vertAlign w:val="subscript"/>
          <w:lang w:val="en-US" w:eastAsia="zh-CN"/>
        </w:rPr>
        <w:t>3</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CaSO</w:t>
      </w:r>
      <w:r>
        <w:rPr>
          <w:rFonts w:hint="default" w:ascii="Times New Roman" w:hAnsi="Times New Roman" w:cs="Times New Roman" w:eastAsiaTheme="minorEastAsia"/>
          <w:sz w:val="24"/>
          <w:vertAlign w:val="subscript"/>
          <w:lang w:val="en-US" w:eastAsia="zh-CN"/>
        </w:rPr>
        <w:t>4</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CaCl</w:t>
      </w:r>
      <w:r>
        <w:rPr>
          <w:rFonts w:hint="default" w:ascii="Times New Roman" w:hAnsi="Times New Roman" w:cs="Times New Roman" w:eastAsiaTheme="minorEastAsia"/>
          <w:sz w:val="24"/>
          <w:vertAlign w:val="subscript"/>
          <w:lang w:val="en-US" w:eastAsia="zh-CN"/>
        </w:rPr>
        <w:t>2</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CaF</w:t>
      </w:r>
      <w:r>
        <w:rPr>
          <w:rFonts w:hint="default" w:ascii="Times New Roman" w:hAnsi="Times New Roman" w:cs="Times New Roman" w:eastAsiaTheme="minorEastAsia"/>
          <w:sz w:val="24"/>
          <w:vertAlign w:val="subscript"/>
          <w:lang w:val="en-US" w:eastAsia="zh-CN"/>
        </w:rPr>
        <w:t>2</w:t>
      </w:r>
      <w:r>
        <w:rPr>
          <w:rFonts w:hint="eastAsia" w:ascii="Times New Roman" w:hAnsi="Times New Roman" w:cs="Times New Roman" w:eastAsiaTheme="minorEastAsia"/>
          <w:sz w:val="24"/>
          <w:lang w:val="en-US" w:eastAsia="zh-CN"/>
        </w:rPr>
        <w:t>等。同时烟气中有</w:t>
      </w:r>
      <w:r>
        <w:rPr>
          <w:rFonts w:hint="default" w:ascii="Times New Roman" w:hAnsi="Times New Roman" w:cs="Times New Roman" w:eastAsiaTheme="minorEastAsia"/>
          <w:sz w:val="24"/>
          <w:lang w:val="en-US" w:eastAsia="zh-CN"/>
        </w:rPr>
        <w:t>CO</w:t>
      </w:r>
      <w:r>
        <w:rPr>
          <w:rFonts w:hint="default" w:ascii="Times New Roman" w:hAnsi="Times New Roman" w:cs="Times New Roman" w:eastAsiaTheme="minorEastAsia"/>
          <w:sz w:val="24"/>
          <w:vertAlign w:val="subscript"/>
          <w:lang w:val="en-US" w:eastAsia="zh-CN"/>
        </w:rPr>
        <w:t>2</w:t>
      </w:r>
      <w:r>
        <w:rPr>
          <w:rFonts w:hint="eastAsia" w:ascii="Times New Roman" w:hAnsi="Times New Roman" w:cs="Times New Roman" w:eastAsiaTheme="minorEastAsia"/>
          <w:sz w:val="24"/>
          <w:lang w:val="en-US" w:eastAsia="zh-CN"/>
        </w:rPr>
        <w:t>存在，还会消耗一部分</w:t>
      </w:r>
      <w:r>
        <w:rPr>
          <w:rFonts w:hint="default" w:ascii="Times New Roman" w:hAnsi="Times New Roman" w:cs="Times New Roman" w:eastAsiaTheme="minorEastAsia"/>
          <w:sz w:val="24"/>
          <w:lang w:val="en-US" w:eastAsia="zh-CN"/>
        </w:rPr>
        <w:t>Ca(OH)</w:t>
      </w:r>
      <w:r>
        <w:rPr>
          <w:rFonts w:hint="default" w:ascii="Times New Roman" w:hAnsi="Times New Roman" w:cs="Times New Roman" w:eastAsiaTheme="minorEastAsia"/>
          <w:sz w:val="24"/>
          <w:vertAlign w:val="subscript"/>
          <w:lang w:val="en-US" w:eastAsia="zh-CN"/>
        </w:rPr>
        <w:t>2</w:t>
      </w:r>
      <w:r>
        <w:rPr>
          <w:rFonts w:hint="eastAsia" w:ascii="Times New Roman" w:hAnsi="Times New Roman" w:cs="Times New Roman" w:eastAsiaTheme="minorEastAsia"/>
          <w:sz w:val="24"/>
          <w:lang w:val="en-US" w:eastAsia="zh-CN"/>
        </w:rPr>
        <w:t>生成</w:t>
      </w:r>
      <w:r>
        <w:rPr>
          <w:rFonts w:hint="default" w:ascii="Times New Roman" w:hAnsi="Times New Roman" w:cs="Times New Roman" w:eastAsiaTheme="minorEastAsia"/>
          <w:sz w:val="24"/>
          <w:lang w:val="en-US" w:eastAsia="zh-CN"/>
        </w:rPr>
        <w:t>CaCO</w:t>
      </w:r>
      <w:r>
        <w:rPr>
          <w:rFonts w:hint="default" w:ascii="Times New Roman" w:hAnsi="Times New Roman" w:cs="Times New Roman" w:eastAsiaTheme="minorEastAsia"/>
          <w:sz w:val="24"/>
          <w:vertAlign w:val="subscript"/>
          <w:lang w:val="en-US" w:eastAsia="zh-CN"/>
        </w:rPr>
        <w:t>3</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最后附在袋式除尘器滤袋壁上，然后随布袋除尘器清灰落入灰斗中，同除尘器落灰一同排出</w:t>
      </w:r>
      <w:r>
        <w:rPr>
          <w:rFonts w:hint="eastAsia" w:ascii="Times New Roman" w:hAnsi="Times New Roman" w:cs="Times New Roman" w:eastAsiaTheme="minorEastAsia"/>
          <w:sz w:val="24"/>
          <w:lang w:val="en-US" w:eastAsia="zh-CN"/>
        </w:rPr>
        <w:t>。</w:t>
      </w:r>
    </w:p>
    <w:p w14:paraId="32A9A593">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由于焚烧烟气中通常含有一定浓度的</w:t>
      </w:r>
      <w:r>
        <w:rPr>
          <w:rFonts w:hint="eastAsia" w:ascii="Times New Roman" w:hAnsi="Times New Roman" w:cs="Times New Roman" w:eastAsiaTheme="minorEastAsia"/>
          <w:sz w:val="24"/>
          <w:lang w:val="en-US" w:eastAsia="zh-CN"/>
        </w:rPr>
        <w:t>二噁英</w:t>
      </w:r>
      <w:r>
        <w:rPr>
          <w:rFonts w:hint="default" w:ascii="Times New Roman" w:hAnsi="Times New Roman" w:cs="Times New Roman" w:eastAsiaTheme="minorEastAsia"/>
          <w:sz w:val="24"/>
          <w:lang w:val="en-US" w:eastAsia="zh-CN"/>
        </w:rPr>
        <w:t>、重金属等危害物，而重金属污染物源于焚烧过程中以气态形式存在</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因此随着烟气温度的降低重金属凝结成粒状物被捕集而去除。熔点温度较低的重金属元素无法充分凝结，但在飞灰表面催化作用下会形成熔点温度较高且较易凝结的氧化物或氯化物</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特别是汞和镉大部分吸附在飞灰颗粒上而被捕集下来。因此系统中考虑通过喷入活性炭的方式来吸附烟气中的二噁英及重金属。</w:t>
      </w:r>
    </w:p>
    <w:p w14:paraId="0FD3F41D">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活性炭储存在活性炭仓内，由活性炭仓底部带计量的变频下料螺旋进入输送管道，通过活性炭输送风机将活性炭输送至布袋除尘器进口烟气管道中，对烟气流向喷入粒度为200目左右的活性炭粉，依靠烟气气流使其散播于烟气中，在烟气管中延长两者接触时间</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吸附重金属及二噁英的活性炭颗粒最后附在袋式除尘器滤袋壁上，然后随布袋除尘器清灰落入灰斗中，同除尘器落灰一同排出。</w:t>
      </w:r>
    </w:p>
    <w:p w14:paraId="4915F7A9">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消石灰加入装置：</w:t>
      </w:r>
    </w:p>
    <w:p w14:paraId="5FAC541D">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①技术参数</w:t>
      </w:r>
    </w:p>
    <w:p w14:paraId="526ACF18">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组成：消石灰储存仓、消石灰保温体、消石灰输送装置。</w:t>
      </w:r>
    </w:p>
    <w:p w14:paraId="59C43F82">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②性能特点</w:t>
      </w:r>
    </w:p>
    <w:p w14:paraId="58246E82">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喷射装置喷入的消石灰在尾气系统中应有良好的分散性，要能使消石灰粉与尾气有充分的接触时间和接触机会，以提高酸气中和的效果；</w:t>
      </w:r>
    </w:p>
    <w:p w14:paraId="76E3F3E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反应部位设置在干法反应塔内，通过烟道上的混合器，使吸收剂均匀地混合于干法反应塔内并发生中和反应，随后在布袋除尘器袋壁上沉积，形成粉网，使未反应吸收剂继续中和烟气中气态酸性物质，最后达标排放。</w:t>
      </w:r>
    </w:p>
    <w:p w14:paraId="5B3E4171">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采用负压操作，内加搅拌装置；</w:t>
      </w:r>
    </w:p>
    <w:p w14:paraId="04585877">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操作简单，易于维护；</w:t>
      </w:r>
    </w:p>
    <w:p w14:paraId="263D4869">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消石灰的喷射为连续式；</w:t>
      </w:r>
    </w:p>
    <w:p w14:paraId="4FCA10E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消石灰的喷射量应连续可调；</w:t>
      </w:r>
    </w:p>
    <w:p w14:paraId="3BD6F9EC">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消石灰仓的容积要适当，以避免频繁加料，并有料位显示装置，避免断料；</w:t>
      </w:r>
    </w:p>
    <w:p w14:paraId="33B3EEFC">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为达到多级处理酸性气体的效果，建议用鼓风机把</w:t>
      </w:r>
      <w:r>
        <w:rPr>
          <w:rFonts w:hint="default" w:ascii="Times New Roman" w:hAnsi="Times New Roman" w:cs="Times New Roman" w:eastAsiaTheme="minorEastAsia"/>
          <w:sz w:val="24"/>
          <w:lang w:val="en-US" w:eastAsia="zh-CN"/>
        </w:rPr>
        <w:t>200</w:t>
      </w:r>
      <w:r>
        <w:rPr>
          <w:rFonts w:hint="eastAsia" w:ascii="Times New Roman" w:hAnsi="Times New Roman" w:cs="Times New Roman" w:eastAsiaTheme="minorEastAsia"/>
          <w:sz w:val="24"/>
          <w:lang w:val="en-US" w:eastAsia="zh-CN"/>
        </w:rPr>
        <w:t>目的石灰粉吹进急冷后的烟气管道中，形成在管路和布袋中与酸性气体中和的效果；</w:t>
      </w:r>
    </w:p>
    <w:p w14:paraId="6A786115">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消石灰输送装置采用罗茨风机，具有流量小、风压大等特点。</w:t>
      </w:r>
    </w:p>
    <w:p w14:paraId="2E89BC9F">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活性炭加入装置：</w:t>
      </w:r>
    </w:p>
    <w:p w14:paraId="4AAB91DF">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该系统去除二噁英和重金属的方法为喷入活性炭粉末，以吸附及去除废气中的</w:t>
      </w:r>
      <w:r>
        <w:rPr>
          <w:rFonts w:hint="default" w:ascii="Times New Roman" w:hAnsi="Times New Roman" w:cs="Times New Roman" w:eastAsiaTheme="minorEastAsia"/>
          <w:sz w:val="24"/>
          <w:lang w:val="en-US" w:eastAsia="zh-CN"/>
        </w:rPr>
        <w:t>PCDDS/PCDFS</w:t>
      </w:r>
      <w:r>
        <w:rPr>
          <w:rFonts w:hint="eastAsia" w:ascii="Times New Roman" w:hAnsi="Times New Roman" w:cs="Times New Roman" w:eastAsiaTheme="minorEastAsia"/>
          <w:sz w:val="24"/>
          <w:lang w:val="en-US" w:eastAsia="zh-CN"/>
        </w:rPr>
        <w:t>，同时对汞金属等重金属具有较优的吸附功能，是较佳的选择。</w:t>
      </w:r>
    </w:p>
    <w:p w14:paraId="150575F9">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装置采用先进的在线、无堵塞切风输送原理，无级调整碱粉浓度。反应部设置在急冷塔与布袋除尘器之间，通过烟道上的混合器，使吸收剂均匀地混合于烟气中并产生中和反应，随后在布袋除尘器袋壁上沉积，形成粉网，使未反应吸收剂继续中和烟气中气态酸性物质，最后达标排放。</w:t>
      </w:r>
    </w:p>
    <w:p w14:paraId="3D601A4F">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①技术参数</w:t>
      </w:r>
    </w:p>
    <w:p w14:paraId="776C5910">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组成：活性炭储存仓、活性炭保温体、活性炭输送装置。</w:t>
      </w:r>
    </w:p>
    <w:p w14:paraId="00E89F9E">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②性能特点</w:t>
      </w:r>
    </w:p>
    <w:p w14:paraId="0EF40A37">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采用连续加料喷射装置；</w:t>
      </w:r>
    </w:p>
    <w:p w14:paraId="22A7094A">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活性炭喷射量连续可调；</w:t>
      </w:r>
    </w:p>
    <w:p w14:paraId="6D1612F0">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可最大限度地吸收产生的二噁英和汞等重金属；</w:t>
      </w:r>
    </w:p>
    <w:p w14:paraId="36189A34">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可吸收其他的残留物；</w:t>
      </w:r>
    </w:p>
    <w:p w14:paraId="1EC68EE1">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操作简单，易于维护。</w:t>
      </w:r>
    </w:p>
    <w:p w14:paraId="251AA520">
      <w:pPr>
        <w:adjustRightInd w:val="0"/>
        <w:snapToGrid w:val="0"/>
        <w:spacing w:line="500" w:lineRule="exact"/>
        <w:ind w:firstLine="482" w:firstLineChars="200"/>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布袋除尘系统：</w:t>
      </w:r>
    </w:p>
    <w:p w14:paraId="62F5F277">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经干法脱酸后的烟气进入布袋除尘器中去除烟气中的灰尘。</w:t>
      </w:r>
    </w:p>
    <w:p w14:paraId="210E93E8">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①设备设计</w:t>
      </w:r>
    </w:p>
    <w:p w14:paraId="248963E9">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采用箱式机构，分室工作，分室反吹方式，可以在不影响焚烧运行的情况下进行维修，设备的漏风率</w:t>
      </w:r>
      <w:r>
        <w:rPr>
          <w:rFonts w:hint="default" w:ascii="Times New Roman" w:hAnsi="Times New Roman" w:cs="Times New Roman" w:eastAsiaTheme="minorEastAsia"/>
          <w:sz w:val="24"/>
          <w:lang w:val="en-US" w:eastAsia="zh-CN"/>
        </w:rPr>
        <w:t>≤4%</w:t>
      </w:r>
      <w:r>
        <w:rPr>
          <w:rFonts w:hint="eastAsia" w:ascii="Times New Roman" w:hAnsi="Times New Roman" w:cs="Times New Roman" w:eastAsiaTheme="minorEastAsia"/>
          <w:sz w:val="24"/>
          <w:lang w:val="en-US" w:eastAsia="zh-CN"/>
        </w:rPr>
        <w:t>；</w:t>
      </w:r>
    </w:p>
    <w:p w14:paraId="6EEFF17D">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运行安全可靠，除尘效率高可达</w:t>
      </w:r>
      <w:r>
        <w:rPr>
          <w:rFonts w:hint="default" w:ascii="Times New Roman" w:hAnsi="Times New Roman" w:cs="Times New Roman" w:eastAsiaTheme="minorEastAsia"/>
          <w:sz w:val="24"/>
          <w:lang w:val="en-US" w:eastAsia="zh-CN"/>
        </w:rPr>
        <w:t>99.</w:t>
      </w:r>
      <w:r>
        <w:rPr>
          <w:rFonts w:hint="eastAsia" w:ascii="Times New Roman" w:hAnsi="Times New Roman" w:cs="Times New Roman"/>
          <w:sz w:val="24"/>
          <w:lang w:val="en-US" w:eastAsia="zh-CN"/>
        </w:rPr>
        <w:t>5</w:t>
      </w: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以上，设备阻力</w:t>
      </w:r>
      <w:r>
        <w:rPr>
          <w:rFonts w:hint="default" w:ascii="Times New Roman" w:hAnsi="Times New Roman" w:cs="Times New Roman" w:eastAsiaTheme="minorEastAsia"/>
          <w:sz w:val="24"/>
          <w:lang w:val="en-US" w:eastAsia="zh-CN"/>
        </w:rPr>
        <w:t>≤1500Pa</w:t>
      </w:r>
      <w:r>
        <w:rPr>
          <w:rFonts w:hint="eastAsia" w:ascii="Times New Roman" w:hAnsi="Times New Roman" w:cs="Times New Roman" w:eastAsiaTheme="minorEastAsia"/>
          <w:sz w:val="24"/>
          <w:lang w:val="en-US" w:eastAsia="zh-CN"/>
        </w:rPr>
        <w:t>；</w:t>
      </w:r>
    </w:p>
    <w:p w14:paraId="38EB8FE6">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设备外部采用岩棉和彩钢板保温，内外喷涂防腐涂料；</w:t>
      </w:r>
    </w:p>
    <w:p w14:paraId="693EE86D">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灰斗内设有防飞板结装置；</w:t>
      </w:r>
    </w:p>
    <w:p w14:paraId="1E6C1E07">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滤袋清灰系统，采用压缩空气脉冲反吹；</w:t>
      </w:r>
    </w:p>
    <w:p w14:paraId="5E6FBCDA">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滤袋上端采用弹簧涨圈型式，要求密封性能好，更换布袋快捷简单，实现机外换袋；</w:t>
      </w:r>
    </w:p>
    <w:p w14:paraId="709C07CE">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采用在线喷吹清灰，喷吹一次即可达到彻底清灰的目的。</w:t>
      </w:r>
    </w:p>
    <w:p w14:paraId="52E0352D">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②设备性能</w:t>
      </w:r>
    </w:p>
    <w:p w14:paraId="7F360B59">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布袋除尘系统采用在线清灰方式，分室工作，分室反吹方式，漏风率</w:t>
      </w:r>
      <w:r>
        <w:rPr>
          <w:rFonts w:hint="default" w:ascii="Times New Roman" w:hAnsi="Times New Roman" w:cs="Times New Roman" w:eastAsiaTheme="minorEastAsia"/>
          <w:sz w:val="24"/>
          <w:lang w:val="en-US" w:eastAsia="zh-CN"/>
        </w:rPr>
        <w:t>≤4%</w:t>
      </w:r>
      <w:r>
        <w:rPr>
          <w:rFonts w:hint="eastAsia" w:ascii="Times New Roman" w:hAnsi="Times New Roman" w:cs="Times New Roman" w:eastAsiaTheme="minorEastAsia"/>
          <w:sz w:val="24"/>
          <w:lang w:val="en-US" w:eastAsia="zh-CN"/>
        </w:rPr>
        <w:t>；</w:t>
      </w:r>
    </w:p>
    <w:p w14:paraId="05C7A8C1">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系统安全可靠、除尘效率高，系统阻力小；</w:t>
      </w:r>
    </w:p>
    <w:p w14:paraId="77254080">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布袋除尘器采用电伴热保温，防止低温腐蚀；</w:t>
      </w:r>
    </w:p>
    <w:p w14:paraId="73EC4509">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布袋滤袋骨架采用镀锌制品，布袋采用</w:t>
      </w:r>
      <w:r>
        <w:rPr>
          <w:rFonts w:hint="default" w:ascii="Times New Roman" w:hAnsi="Times New Roman" w:cs="Times New Roman" w:eastAsiaTheme="minorEastAsia"/>
          <w:sz w:val="24"/>
          <w:lang w:val="en-US" w:eastAsia="zh-CN"/>
        </w:rPr>
        <w:t xml:space="preserve">PTFE+PTFE </w:t>
      </w:r>
      <w:r>
        <w:rPr>
          <w:rFonts w:hint="eastAsia" w:ascii="Times New Roman" w:hAnsi="Times New Roman" w:cs="Times New Roman" w:eastAsiaTheme="minorEastAsia"/>
          <w:sz w:val="24"/>
          <w:lang w:val="en-US" w:eastAsia="zh-CN"/>
        </w:rPr>
        <w:t>覆膜材质，可以防酸腐蚀；</w:t>
      </w:r>
    </w:p>
    <w:p w14:paraId="6F0DEF19">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灰渣存储仓采取必要的保温措施以保证里面存放的飞灰不会出现受潮和板结现象；</w:t>
      </w:r>
    </w:p>
    <w:p w14:paraId="3F4B73FA">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空气反吹用压缩空气系统；</w:t>
      </w:r>
    </w:p>
    <w:p w14:paraId="268EDDC9">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采用分室除尘，采用顶部更换方式，布袋更换方便；</w:t>
      </w:r>
    </w:p>
    <w:p w14:paraId="13E16458">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正常使用温度范围</w:t>
      </w:r>
      <w:r>
        <w:rPr>
          <w:rFonts w:hint="default" w:ascii="Times New Roman" w:hAnsi="Times New Roman" w:cs="Times New Roman" w:eastAsiaTheme="minorEastAsia"/>
          <w:sz w:val="24"/>
          <w:lang w:val="en-US" w:eastAsia="zh-CN"/>
        </w:rPr>
        <w:t>160~200℃</w:t>
      </w:r>
      <w:r>
        <w:rPr>
          <w:rFonts w:hint="eastAsia" w:ascii="Times New Roman" w:hAnsi="Times New Roman" w:cs="Times New Roman" w:eastAsiaTheme="minorEastAsia"/>
          <w:sz w:val="24"/>
          <w:lang w:val="en-US" w:eastAsia="zh-CN"/>
        </w:rPr>
        <w:t>；</w:t>
      </w:r>
    </w:p>
    <w:p w14:paraId="2E5B052C">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lang w:val="en-US" w:eastAsia="zh-CN"/>
        </w:rPr>
        <w:t>布袋除尘</w:t>
      </w:r>
      <w:r>
        <w:rPr>
          <w:rFonts w:hint="eastAsia" w:ascii="Times New Roman" w:hAnsi="Times New Roman" w:cs="Times New Roman" w:eastAsiaTheme="minorEastAsia"/>
          <w:sz w:val="24"/>
          <w:highlight w:val="none"/>
          <w:lang w:val="en-US" w:eastAsia="zh-CN"/>
        </w:rPr>
        <w:t>器采用全自动控制。</w:t>
      </w:r>
    </w:p>
    <w:p w14:paraId="04270FD1">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布袋除尘系统设计参数见表</w:t>
      </w:r>
      <w:r>
        <w:rPr>
          <w:rFonts w:hint="default" w:ascii="Times New Roman" w:hAnsi="Times New Roman" w:cs="Times New Roman" w:eastAsiaTheme="minorEastAsia"/>
          <w:sz w:val="24"/>
          <w:highlight w:val="none"/>
          <w:lang w:val="en-US" w:eastAsia="zh-CN"/>
        </w:rPr>
        <w:t>3.</w:t>
      </w:r>
      <w:r>
        <w:rPr>
          <w:rFonts w:hint="eastAsia" w:ascii="Times New Roman" w:hAnsi="Times New Roman" w:cs="Times New Roman" w:eastAsiaTheme="minorEastAsia"/>
          <w:sz w:val="24"/>
          <w:highlight w:val="none"/>
          <w:lang w:val="en-US" w:eastAsia="zh-CN"/>
        </w:rPr>
        <w:t>4</w:t>
      </w:r>
      <w:r>
        <w:rPr>
          <w:rFonts w:hint="default" w:ascii="Times New Roman" w:hAnsi="Times New Roman" w:cs="Times New Roman" w:eastAsiaTheme="minorEastAsia"/>
          <w:sz w:val="24"/>
          <w:highlight w:val="none"/>
          <w:lang w:val="en-US" w:eastAsia="zh-CN"/>
        </w:rPr>
        <w:t>-</w:t>
      </w:r>
      <w:r>
        <w:rPr>
          <w:rFonts w:hint="eastAsia" w:ascii="Times New Roman" w:hAnsi="Times New Roman" w:cs="Times New Roman" w:eastAsiaTheme="minorEastAsia"/>
          <w:sz w:val="24"/>
          <w:highlight w:val="none"/>
          <w:lang w:val="en-US" w:eastAsia="zh-CN"/>
        </w:rPr>
        <w:t>8。</w:t>
      </w:r>
    </w:p>
    <w:p w14:paraId="40C75F0F">
      <w:pPr>
        <w:adjustRightInd w:val="0"/>
        <w:snapToGrid w:val="0"/>
        <w:spacing w:before="250" w:beforeLines="50"/>
        <w:jc w:val="center"/>
        <w:rPr>
          <w:rFonts w:hint="eastAsia" w:ascii="Times New Roman" w:hAnsi="Times New Roman" w:cs="Times New Roman" w:eastAsiaTheme="minorEastAsia"/>
          <w:b/>
          <w:szCs w:val="21"/>
          <w:highlight w:val="none"/>
          <w:lang w:val="en-US" w:eastAsia="zh-CN"/>
        </w:rPr>
      </w:pPr>
      <w:r>
        <w:rPr>
          <w:rFonts w:hint="eastAsia" w:ascii="Times New Roman" w:hAnsi="Times New Roman" w:cs="Times New Roman" w:eastAsiaTheme="minorEastAsia"/>
          <w:b/>
          <w:szCs w:val="21"/>
          <w:highlight w:val="none"/>
          <w:lang w:val="en-US" w:eastAsia="zh-CN"/>
        </w:rPr>
        <w:t>3.4-8  布袋除尘系统参数设计</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1"/>
        <w:gridCol w:w="2409"/>
        <w:gridCol w:w="2131"/>
        <w:gridCol w:w="2131"/>
      </w:tblGrid>
      <w:tr w14:paraId="04F32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tcPr>
          <w:p w14:paraId="4B57EB50">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烟气进口温度</w:t>
            </w:r>
          </w:p>
        </w:tc>
        <w:tc>
          <w:tcPr>
            <w:tcW w:w="2409" w:type="dxa"/>
          </w:tcPr>
          <w:p w14:paraId="62D64CBA">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≤180℃</w:t>
            </w:r>
          </w:p>
        </w:tc>
        <w:tc>
          <w:tcPr>
            <w:tcW w:w="2131" w:type="dxa"/>
          </w:tcPr>
          <w:p w14:paraId="6782204B">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除尘效率</w:t>
            </w:r>
          </w:p>
        </w:tc>
        <w:tc>
          <w:tcPr>
            <w:tcW w:w="2131" w:type="dxa"/>
          </w:tcPr>
          <w:p w14:paraId="573B0C93">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99.5%</w:t>
            </w:r>
          </w:p>
        </w:tc>
      </w:tr>
      <w:tr w14:paraId="1A1C0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tcPr>
          <w:p w14:paraId="6B3372A2">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烟气出口温度</w:t>
            </w:r>
          </w:p>
        </w:tc>
        <w:tc>
          <w:tcPr>
            <w:tcW w:w="2409" w:type="dxa"/>
          </w:tcPr>
          <w:p w14:paraId="5C4CEA3B">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150℃</w:t>
            </w:r>
          </w:p>
        </w:tc>
        <w:tc>
          <w:tcPr>
            <w:tcW w:w="2131" w:type="dxa"/>
          </w:tcPr>
          <w:p w14:paraId="381B351A">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出口烟气量</w:t>
            </w:r>
          </w:p>
        </w:tc>
        <w:tc>
          <w:tcPr>
            <w:tcW w:w="2131" w:type="dxa"/>
          </w:tcPr>
          <w:p w14:paraId="3CD36804">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2281Nm</w:t>
            </w:r>
            <w:r>
              <w:rPr>
                <w:rFonts w:hint="eastAsia" w:ascii="Times New Roman" w:hAnsi="Times New Roman" w:eastAsia="华文中宋" w:cs="Times New Roman"/>
                <w:szCs w:val="21"/>
                <w:highlight w:val="none"/>
                <w:vertAlign w:val="superscript"/>
                <w:lang w:val="en-US" w:eastAsia="zh-CN"/>
              </w:rPr>
              <w:t>3</w:t>
            </w:r>
            <w:r>
              <w:rPr>
                <w:rFonts w:hint="eastAsia" w:ascii="Times New Roman" w:hAnsi="Times New Roman" w:eastAsia="华文中宋" w:cs="Times New Roman"/>
                <w:szCs w:val="21"/>
                <w:highlight w:val="none"/>
                <w:lang w:val="en-US" w:eastAsia="zh-CN"/>
              </w:rPr>
              <w:t>/hr</w:t>
            </w:r>
          </w:p>
        </w:tc>
      </w:tr>
      <w:tr w14:paraId="59363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tcPr>
          <w:p w14:paraId="2CC145B6">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进口含尘浓度</w:t>
            </w:r>
          </w:p>
        </w:tc>
        <w:tc>
          <w:tcPr>
            <w:tcW w:w="2409" w:type="dxa"/>
          </w:tcPr>
          <w:p w14:paraId="30059AB8">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1000mg/m</w:t>
            </w:r>
            <w:r>
              <w:rPr>
                <w:rFonts w:hint="eastAsia" w:ascii="Times New Roman" w:hAnsi="Times New Roman" w:eastAsia="华文中宋" w:cs="Times New Roman"/>
                <w:szCs w:val="21"/>
                <w:highlight w:val="none"/>
                <w:vertAlign w:val="superscript"/>
                <w:lang w:val="en-US" w:eastAsia="zh-CN"/>
              </w:rPr>
              <w:t>3</w:t>
            </w:r>
          </w:p>
        </w:tc>
        <w:tc>
          <w:tcPr>
            <w:tcW w:w="2131" w:type="dxa"/>
          </w:tcPr>
          <w:p w14:paraId="203C9151">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出口含尘浓度</w:t>
            </w:r>
          </w:p>
        </w:tc>
        <w:tc>
          <w:tcPr>
            <w:tcW w:w="2131" w:type="dxa"/>
          </w:tcPr>
          <w:p w14:paraId="2A62B413">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≤20mg/m</w:t>
            </w:r>
            <w:r>
              <w:rPr>
                <w:rFonts w:hint="eastAsia" w:ascii="Times New Roman" w:hAnsi="Times New Roman" w:eastAsia="华文中宋" w:cs="Times New Roman"/>
                <w:szCs w:val="21"/>
                <w:highlight w:val="none"/>
                <w:vertAlign w:val="superscript"/>
                <w:lang w:val="en-US" w:eastAsia="zh-CN"/>
              </w:rPr>
              <w:t>3</w:t>
            </w:r>
          </w:p>
        </w:tc>
      </w:tr>
      <w:tr w14:paraId="15B54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tcPr>
          <w:p w14:paraId="2344E525">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过滤面积</w:t>
            </w:r>
          </w:p>
        </w:tc>
        <w:tc>
          <w:tcPr>
            <w:tcW w:w="2409" w:type="dxa"/>
          </w:tcPr>
          <w:p w14:paraId="0FC0EAFC">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36m</w:t>
            </w:r>
            <w:r>
              <w:rPr>
                <w:rFonts w:hint="eastAsia" w:ascii="Times New Roman" w:hAnsi="Times New Roman" w:eastAsia="华文中宋" w:cs="Times New Roman"/>
                <w:szCs w:val="21"/>
                <w:highlight w:val="none"/>
                <w:vertAlign w:val="superscript"/>
                <w:lang w:val="en-US" w:eastAsia="zh-CN"/>
              </w:rPr>
              <w:t>2</w:t>
            </w:r>
          </w:p>
        </w:tc>
        <w:tc>
          <w:tcPr>
            <w:tcW w:w="2131" w:type="dxa"/>
          </w:tcPr>
          <w:p w14:paraId="58ED23DC">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烟气阻力</w:t>
            </w:r>
          </w:p>
        </w:tc>
        <w:tc>
          <w:tcPr>
            <w:tcW w:w="2131" w:type="dxa"/>
          </w:tcPr>
          <w:p w14:paraId="485754B1">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1500Pa</w:t>
            </w:r>
          </w:p>
        </w:tc>
      </w:tr>
      <w:tr w14:paraId="4DAEF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51" w:type="dxa"/>
          </w:tcPr>
          <w:p w14:paraId="1B63BB8E">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骨架材质</w:t>
            </w:r>
          </w:p>
        </w:tc>
        <w:tc>
          <w:tcPr>
            <w:tcW w:w="2409" w:type="dxa"/>
          </w:tcPr>
          <w:p w14:paraId="3054FF17">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Q235B+30mm镀锌防腐</w:t>
            </w:r>
          </w:p>
        </w:tc>
        <w:tc>
          <w:tcPr>
            <w:tcW w:w="2131" w:type="dxa"/>
          </w:tcPr>
          <w:p w14:paraId="6725378E">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滤料</w:t>
            </w:r>
          </w:p>
        </w:tc>
        <w:tc>
          <w:tcPr>
            <w:tcW w:w="2131" w:type="dxa"/>
          </w:tcPr>
          <w:p w14:paraId="152DB4D8">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PTFE+PTFE覆膜</w:t>
            </w:r>
          </w:p>
        </w:tc>
      </w:tr>
    </w:tbl>
    <w:p w14:paraId="0423CD75">
      <w:pPr>
        <w:adjustRightInd w:val="0"/>
        <w:snapToGrid w:val="0"/>
        <w:spacing w:line="500" w:lineRule="exact"/>
        <w:ind w:firstLine="482" w:firstLineChars="200"/>
        <w:jc w:val="left"/>
        <w:rPr>
          <w:rFonts w:hint="default" w:ascii="Times New Roman" w:hAnsi="Times New Roman" w:cs="Times New Roman" w:eastAsiaTheme="minorEastAsia"/>
          <w:b/>
          <w:bCs/>
          <w:sz w:val="24"/>
          <w:highlight w:val="none"/>
          <w:lang w:val="en-US" w:eastAsia="zh-CN"/>
        </w:rPr>
      </w:pPr>
      <w:r>
        <w:rPr>
          <w:rFonts w:hint="eastAsia" w:ascii="Times New Roman" w:hAnsi="Times New Roman" w:cs="Times New Roman" w:eastAsiaTheme="minorEastAsia"/>
          <w:b/>
          <w:bCs/>
          <w:sz w:val="24"/>
          <w:highlight w:val="none"/>
          <w:lang w:val="en-US" w:eastAsia="zh-CN"/>
        </w:rPr>
        <w:t>湿法脱酸系统：</w:t>
      </w:r>
    </w:p>
    <w:p w14:paraId="19689AAF">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highlight w:val="none"/>
          <w:lang w:val="en-US" w:eastAsia="zh-CN"/>
        </w:rPr>
        <w:t>湿法脱酸是在湿式洗涤塔中多级喷淋洗涤烟气，使烟气中的</w:t>
      </w:r>
      <w:r>
        <w:rPr>
          <w:rFonts w:hint="default" w:ascii="Times New Roman" w:hAnsi="Times New Roman" w:cs="Times New Roman" w:eastAsiaTheme="minorEastAsia"/>
          <w:sz w:val="24"/>
          <w:highlight w:val="none"/>
          <w:lang w:val="en-US" w:eastAsia="zh-CN"/>
        </w:rPr>
        <w:t>SO</w:t>
      </w:r>
      <w:r>
        <w:rPr>
          <w:rFonts w:hint="default" w:ascii="Times New Roman" w:hAnsi="Times New Roman" w:cs="Times New Roman" w:eastAsiaTheme="minorEastAsia"/>
          <w:sz w:val="24"/>
          <w:highlight w:val="none"/>
          <w:vertAlign w:val="subscript"/>
          <w:lang w:val="en-US" w:eastAsia="zh-CN"/>
        </w:rPr>
        <w:t>2</w:t>
      </w:r>
      <w:r>
        <w:rPr>
          <w:rFonts w:hint="eastAsia" w:ascii="Times New Roman" w:hAnsi="Times New Roman" w:cs="Times New Roman" w:eastAsiaTheme="minorEastAsia"/>
          <w:sz w:val="24"/>
          <w:highlight w:val="none"/>
          <w:lang w:val="en-US" w:eastAsia="zh-CN"/>
        </w:rPr>
        <w:t>和</w:t>
      </w:r>
      <w:r>
        <w:rPr>
          <w:rFonts w:hint="default" w:ascii="Times New Roman" w:hAnsi="Times New Roman" w:cs="Times New Roman" w:eastAsiaTheme="minorEastAsia"/>
          <w:sz w:val="24"/>
          <w:highlight w:val="none"/>
          <w:lang w:val="en-US" w:eastAsia="zh-CN"/>
        </w:rPr>
        <w:t>HCl</w:t>
      </w:r>
      <w:r>
        <w:rPr>
          <w:rFonts w:hint="eastAsia" w:ascii="Times New Roman" w:hAnsi="Times New Roman" w:cs="Times New Roman" w:eastAsiaTheme="minorEastAsia"/>
          <w:sz w:val="24"/>
          <w:highlight w:val="none"/>
          <w:lang w:val="en-US" w:eastAsia="zh-CN"/>
        </w:rPr>
        <w:t>与碱性循环水中和，喷入一定量的碱液确保循环液的</w:t>
      </w:r>
      <w:r>
        <w:rPr>
          <w:rFonts w:hint="default" w:ascii="Times New Roman" w:hAnsi="Times New Roman" w:cs="Times New Roman" w:eastAsiaTheme="minorEastAsia"/>
          <w:sz w:val="24"/>
          <w:highlight w:val="none"/>
          <w:lang w:val="en-US" w:eastAsia="zh-CN"/>
        </w:rPr>
        <w:t>pH</w:t>
      </w:r>
      <w:r>
        <w:rPr>
          <w:rFonts w:hint="eastAsia" w:ascii="Times New Roman" w:hAnsi="Times New Roman" w:cs="Times New Roman" w:eastAsiaTheme="minorEastAsia"/>
          <w:sz w:val="24"/>
          <w:highlight w:val="none"/>
          <w:lang w:val="en-US" w:eastAsia="zh-CN"/>
        </w:rPr>
        <w:t>值在一定范围内，达到最佳脱酸效果。湿法吸收剂采用氢氧化钠。洗涤塔内装有塑料填料，以增加水与烟气的接触，提高效率，减小设备体积。喷</w:t>
      </w:r>
      <w:r>
        <w:rPr>
          <w:rFonts w:hint="eastAsia" w:ascii="Times New Roman" w:hAnsi="Times New Roman" w:cs="Times New Roman" w:eastAsiaTheme="minorEastAsia"/>
          <w:sz w:val="24"/>
          <w:lang w:val="en-US" w:eastAsia="zh-CN"/>
        </w:rPr>
        <w:t>淋水自上而下流经填料，在填料表面形成水膜，上升的烟气流经时与水膜充分接触，达到中和目的。</w:t>
      </w:r>
    </w:p>
    <w:p w14:paraId="0A4BC993">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碱液洗涤烟气，酸碱中和反应生成盐汇集到碱液池中，溶液中盐越积越多趋于饱和从而渐渐形成晶体析出，影响烟气的洗涤。向碱液中添加石灰乳，与碱液中的盐反应生成沉淀，经压滤与液体进行分离，滤液返回碱液池循环使用。</w:t>
      </w:r>
    </w:p>
    <w:p w14:paraId="58157EB3">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本湿式洗涤塔采用</w:t>
      </w:r>
      <w:r>
        <w:rPr>
          <w:rFonts w:hint="default" w:ascii="Times New Roman" w:hAnsi="Times New Roman" w:cs="Times New Roman" w:eastAsiaTheme="minorEastAsia"/>
          <w:sz w:val="24"/>
          <w:lang w:val="en-US" w:eastAsia="zh-CN"/>
        </w:rPr>
        <w:t>FRP</w:t>
      </w:r>
      <w:r>
        <w:rPr>
          <w:rFonts w:hint="eastAsia" w:ascii="Times New Roman" w:hAnsi="Times New Roman" w:cs="Times New Roman" w:eastAsiaTheme="minorEastAsia"/>
          <w:sz w:val="24"/>
          <w:lang w:val="en-US" w:eastAsia="zh-CN"/>
        </w:rPr>
        <w:t>制成，内设逆向填料吸收系统、喷淋系统、脱雾装置系统、下设供水箱、供水泵系统、进出风口、风机、风管、吸罩组成系统。</w:t>
      </w:r>
    </w:p>
    <w:p w14:paraId="0BE03955">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湿式洗涤塔采用高位喷淋，循环喷淋液可采用自来水或中水。</w:t>
      </w:r>
    </w:p>
    <w:p w14:paraId="7B80B711">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湿式洗涤塔结构采用塔体和水箱一体式，水箱设置液位和p</w:t>
      </w:r>
      <w:r>
        <w:rPr>
          <w:rFonts w:hint="default" w:ascii="Times New Roman" w:hAnsi="Times New Roman" w:cs="Times New Roman" w:eastAsiaTheme="minorEastAsia"/>
          <w:sz w:val="24"/>
          <w:lang w:val="en-US" w:eastAsia="zh-CN"/>
        </w:rPr>
        <w:t>H</w:t>
      </w:r>
      <w:r>
        <w:rPr>
          <w:rFonts w:hint="eastAsia" w:ascii="Times New Roman" w:hAnsi="Times New Roman" w:cs="Times New Roman" w:eastAsiaTheme="minorEastAsia"/>
          <w:sz w:val="24"/>
          <w:lang w:val="en-US" w:eastAsia="zh-CN"/>
        </w:rPr>
        <w:t>计，运行时设定排放液p</w:t>
      </w:r>
      <w:r>
        <w:rPr>
          <w:rFonts w:hint="default" w:ascii="Times New Roman" w:hAnsi="Times New Roman" w:cs="Times New Roman" w:eastAsiaTheme="minorEastAsia"/>
          <w:sz w:val="24"/>
          <w:lang w:val="en-US" w:eastAsia="zh-CN"/>
        </w:rPr>
        <w:t>H</w:t>
      </w:r>
      <w:r>
        <w:rPr>
          <w:rFonts w:hint="eastAsia" w:ascii="Times New Roman" w:hAnsi="Times New Roman" w:cs="Times New Roman" w:eastAsiaTheme="minorEastAsia"/>
          <w:sz w:val="24"/>
          <w:lang w:val="en-US" w:eastAsia="zh-CN"/>
        </w:rPr>
        <w:t>值，p</w:t>
      </w:r>
      <w:r>
        <w:rPr>
          <w:rFonts w:hint="default" w:ascii="Times New Roman" w:hAnsi="Times New Roman" w:cs="Times New Roman" w:eastAsiaTheme="minorEastAsia"/>
          <w:sz w:val="24"/>
          <w:lang w:val="en-US" w:eastAsia="zh-CN"/>
        </w:rPr>
        <w:t>H</w:t>
      </w:r>
      <w:r>
        <w:rPr>
          <w:rFonts w:hint="eastAsia" w:ascii="Times New Roman" w:hAnsi="Times New Roman" w:cs="Times New Roman" w:eastAsiaTheme="minorEastAsia"/>
          <w:sz w:val="24"/>
          <w:lang w:val="en-US" w:eastAsia="zh-CN"/>
        </w:rPr>
        <w:t>值达到设定值时，排放循环液，补充新的循环液。</w:t>
      </w:r>
    </w:p>
    <w:p w14:paraId="5DEAC144">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湿式洗涤塔与吸附塔内装填料，烟气呈发散状进入填料层，然后继续垂直往上通过填料层，酸性气体的吸收就发生在这个部位。通过带喷嘴的喷头将循环液扩散到整个塔截面，确保所有气体都能够与循环液充分接触。填料层下面的喷头用来确保烟气进入填料层之前达到露点温度。</w:t>
      </w:r>
    </w:p>
    <w:p w14:paraId="454576B6">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塔内填料层作为气液两相间接触构件的传质设备。填料塔底部装有填料支承板，填料以乱堆方式放置在支承板上。填料的上方安装填料压板，以防被上升气流吹动。喷淋液从塔顶经液体分布器喷淋到填料上，并沿填料表面流下。气体从塔底送入，经气体分布装置分布后，与液体呈逆流连续通过填料层的空隙，在填料表面上，气液两相密切接触进行传质。当液体沿填料层向下流动时，有时会出现壁流现象，壁流效应造成气液两相在填料层中分布不均，从而使传质效率下降。因此，喷淋塔内的填料层分为两段，中间设置再分布装置，经重新分布后喷淋到下层填料上。</w:t>
      </w:r>
    </w:p>
    <w:p w14:paraId="4316FE39">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为了避免气体携走喷淋液，在吸附塔顶部气水分离器，有效截留喷淋液。喷淋液循环使用，在使用过程中会有部分损失，位于塔底的循环水箱适时补充喷淋液。</w:t>
      </w:r>
    </w:p>
    <w:p w14:paraId="026B1B79">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气水分离器形式为波纹状除雾器，通过该除雾器可从烟气流中去除所有液滴。除雾器带有冲洗喷头，可间歇地喷入高压清洁水清洗除雾器，去除可能沉淀其上的盐类物质。冲洗的间隔和时间由一就地定时器或远程</w:t>
      </w:r>
      <w:r>
        <w:rPr>
          <w:rFonts w:hint="default" w:ascii="Times New Roman" w:hAnsi="Times New Roman" w:cs="Times New Roman" w:eastAsiaTheme="minorEastAsia"/>
          <w:sz w:val="24"/>
          <w:lang w:val="en-US" w:eastAsia="zh-CN"/>
        </w:rPr>
        <w:t>PLC</w:t>
      </w:r>
      <w:r>
        <w:rPr>
          <w:rFonts w:hint="eastAsia" w:ascii="Times New Roman" w:hAnsi="Times New Roman" w:cs="Times New Roman" w:eastAsiaTheme="minorEastAsia"/>
          <w:sz w:val="24"/>
          <w:lang w:val="en-US" w:eastAsia="zh-CN"/>
        </w:rPr>
        <w:t>程序控制。</w:t>
      </w:r>
    </w:p>
    <w:p w14:paraId="12A20B69">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烟气流速、烟气在塔内的停留时间、喷淋的喷淋效果、喷枪的布置和填料层的材质和布置均是脱酸塔设计的关键。</w:t>
      </w:r>
    </w:p>
    <w:p w14:paraId="7F90A6F5">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吸收塔配置循环水池，用于收集来自吸收塔内和烟气饱和器的循环碱液。循环泵从水池抽取循环碱液，供烟气饱和器和吸收塔使用。共有</w:t>
      </w:r>
      <w:r>
        <w:rPr>
          <w:rFonts w:hint="default" w:ascii="Times New Roman" w:hAnsi="Times New Roman" w:cs="Times New Roman" w:eastAsiaTheme="minorEastAsia"/>
          <w:sz w:val="24"/>
          <w:lang w:val="en-US" w:eastAsia="zh-CN"/>
        </w:rPr>
        <w:t>2</w:t>
      </w:r>
      <w:r>
        <w:rPr>
          <w:rFonts w:hint="eastAsia" w:ascii="Times New Roman" w:hAnsi="Times New Roman" w:cs="Times New Roman" w:eastAsiaTheme="minorEastAsia"/>
          <w:sz w:val="24"/>
          <w:lang w:val="en-US" w:eastAsia="zh-CN"/>
        </w:rPr>
        <w:t>台循环泵，一用一备。</w:t>
      </w:r>
    </w:p>
    <w:p w14:paraId="27C0DB46">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喷淋液循环系统由碱液池、p</w:t>
      </w:r>
      <w:r>
        <w:rPr>
          <w:rFonts w:hint="default" w:ascii="Times New Roman" w:hAnsi="Times New Roman" w:cs="Times New Roman" w:eastAsiaTheme="minorEastAsia"/>
          <w:sz w:val="24"/>
          <w:lang w:val="en-US" w:eastAsia="zh-CN"/>
        </w:rPr>
        <w:t>H</w:t>
      </w:r>
      <w:r>
        <w:rPr>
          <w:rFonts w:hint="eastAsia" w:ascii="Times New Roman" w:hAnsi="Times New Roman" w:cs="Times New Roman" w:eastAsiaTheme="minorEastAsia"/>
          <w:sz w:val="24"/>
          <w:lang w:val="en-US" w:eastAsia="zh-CN"/>
        </w:rPr>
        <w:t>计、洗涤喷淋泵及管路等组成。洗涤填料塔回水、药液均进入池内，经过滤、沉淀后，上清液进入循环碱液池，由洗涤喷淋泵提升至洗涤填料塔内。</w:t>
      </w:r>
    </w:p>
    <w:p w14:paraId="645A7181">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喷淋水经循环使用后，酸性气体被洗涤后变成盐溶于水中，喷淋水中盐分的浓度越来越高，需要定期排放。</w:t>
      </w:r>
    </w:p>
    <w:p w14:paraId="209CF7D5">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碱液通过碱液泵加入循环泵出口管道上。管道上装有碱液混合器。碱液的加入量由循环碱液p</w:t>
      </w:r>
      <w:r>
        <w:rPr>
          <w:rFonts w:hint="default" w:ascii="Times New Roman" w:hAnsi="Times New Roman" w:cs="Times New Roman" w:eastAsiaTheme="minorEastAsia"/>
          <w:sz w:val="24"/>
          <w:lang w:val="en-US" w:eastAsia="zh-CN"/>
        </w:rPr>
        <w:t>H</w:t>
      </w:r>
      <w:r>
        <w:rPr>
          <w:rFonts w:hint="eastAsia" w:ascii="Times New Roman" w:hAnsi="Times New Roman" w:cs="Times New Roman" w:eastAsiaTheme="minorEastAsia"/>
          <w:sz w:val="24"/>
          <w:lang w:val="en-US" w:eastAsia="zh-CN"/>
        </w:rPr>
        <w:t>值控制。</w:t>
      </w:r>
    </w:p>
    <w:p w14:paraId="121A94C7">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循环泵出口管道安装有循环液的排放管路，通过碱液溶解固体浓度（电导率）自动调节阀门开度来控制排污量。</w:t>
      </w:r>
    </w:p>
    <w:p w14:paraId="4FAFE913">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p</w:t>
      </w:r>
      <w:r>
        <w:rPr>
          <w:rFonts w:hint="default" w:ascii="Times New Roman" w:hAnsi="Times New Roman" w:cs="Times New Roman" w:eastAsiaTheme="minorEastAsia"/>
          <w:sz w:val="24"/>
          <w:lang w:val="en-US" w:eastAsia="zh-CN"/>
        </w:rPr>
        <w:t>H</w:t>
      </w:r>
      <w:r>
        <w:rPr>
          <w:rFonts w:hint="eastAsia" w:ascii="Times New Roman" w:hAnsi="Times New Roman" w:cs="Times New Roman" w:eastAsiaTheme="minorEastAsia"/>
          <w:sz w:val="24"/>
          <w:lang w:val="en-US" w:eastAsia="zh-CN"/>
        </w:rPr>
        <w:t>计在线监测冷却塔出水管碱浓度，控制投加药液的量，以保证循环液对碱浓度的要求，即酸性气体与药液中和后不腐蚀系统设备。</w:t>
      </w:r>
    </w:p>
    <w:p w14:paraId="1ABB3668">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5</w:t>
      </w:r>
      <w:r>
        <w:rPr>
          <w:rFonts w:hint="eastAsia" w:ascii="Times New Roman" w:hAnsi="Times New Roman" w:cs="Times New Roman" w:eastAsiaTheme="minorEastAsia"/>
          <w:sz w:val="24"/>
          <w:lang w:val="en-US" w:eastAsia="zh-CN"/>
        </w:rPr>
        <w:t>）出渣系统</w:t>
      </w:r>
    </w:p>
    <w:p w14:paraId="16BF111B">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本系统中的残渣处理系统采用液压侧面出渣方式，可确保密封、自动出渣。热解气化炉内设计有亚熔融系统，在自燃完成后，通过工艺切换到亚熔融状态，此时热解气化炉通过一定的控制转为高温亚熔融（</w:t>
      </w:r>
      <w:r>
        <w:rPr>
          <w:rFonts w:hint="default" w:ascii="Times New Roman" w:hAnsi="Times New Roman" w:cs="Times New Roman" w:eastAsiaTheme="minorEastAsia"/>
          <w:sz w:val="24"/>
          <w:lang w:val="en-US" w:eastAsia="zh-CN"/>
        </w:rPr>
        <w:t>1200℃</w:t>
      </w:r>
      <w:r>
        <w:rPr>
          <w:rFonts w:hint="eastAsia" w:ascii="Times New Roman" w:hAnsi="Times New Roman" w:cs="Times New Roman" w:eastAsiaTheme="minorEastAsia"/>
          <w:sz w:val="24"/>
          <w:lang w:val="en-US" w:eastAsia="zh-CN"/>
        </w:rPr>
        <w:t>），此时热解炉内由缺氧状态转变为富氧状态，通过</w:t>
      </w:r>
      <w:r>
        <w:rPr>
          <w:rFonts w:hint="default" w:ascii="Times New Roman" w:hAnsi="Times New Roman" w:cs="Times New Roman" w:eastAsiaTheme="minorEastAsia"/>
          <w:sz w:val="24"/>
          <w:lang w:val="en-US" w:eastAsia="zh-CN"/>
        </w:rPr>
        <w:t>4</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6</w:t>
      </w:r>
      <w:r>
        <w:rPr>
          <w:rFonts w:hint="eastAsia" w:ascii="Times New Roman" w:hAnsi="Times New Roman" w:cs="Times New Roman" w:eastAsiaTheme="minorEastAsia"/>
          <w:sz w:val="24"/>
          <w:lang w:val="en-US" w:eastAsia="zh-CN"/>
        </w:rPr>
        <w:t>小时（根据废物的性质变化确定）亚熔融时间，达到彻底无害化处理。确保残渣热灼减率</w:t>
      </w:r>
      <w:r>
        <w:rPr>
          <w:rFonts w:hint="default" w:ascii="Times New Roman" w:hAnsi="Times New Roman" w:cs="Times New Roman" w:eastAsiaTheme="minorEastAsia"/>
          <w:sz w:val="24"/>
          <w:lang w:val="en-US" w:eastAsia="zh-CN"/>
        </w:rPr>
        <w:t>&lt;5%</w:t>
      </w:r>
      <w:r>
        <w:rPr>
          <w:rFonts w:hint="eastAsia" w:ascii="Times New Roman" w:hAnsi="Times New Roman" w:cs="Times New Roman" w:eastAsiaTheme="minorEastAsia"/>
          <w:sz w:val="24"/>
          <w:lang w:val="en-US" w:eastAsia="zh-CN"/>
        </w:rPr>
        <w:t>；经无害化处理的残渣通过机械出渣系统出灰，出灰系统由出灰门、出灰车、出灰机械机构等部分组成。能够将焚烧后的固体灰渣自动卸载，不会因为灰渣的影响无法开启、关闭出渣装置，也不会停炉出渣。卸出的渣能及时送到存渣间。</w:t>
      </w:r>
    </w:p>
    <w:p w14:paraId="4E46C4A3">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结合前期设备的出灰设计，进行改善性设计，在出灰系统的设</w:t>
      </w:r>
      <w:r>
        <w:rPr>
          <w:rFonts w:hint="eastAsia" w:ascii="Times New Roman" w:hAnsi="Times New Roman" w:cs="Times New Roman"/>
          <w:sz w:val="24"/>
          <w:lang w:val="en-US" w:eastAsia="zh-CN"/>
        </w:rPr>
        <w:t>计中</w:t>
      </w:r>
      <w:r>
        <w:rPr>
          <w:rFonts w:hint="eastAsia" w:ascii="Times New Roman" w:hAnsi="Times New Roman" w:cs="Times New Roman" w:eastAsiaTheme="minorEastAsia"/>
          <w:sz w:val="24"/>
          <w:lang w:val="en-US" w:eastAsia="zh-CN"/>
        </w:rPr>
        <w:t>全面考虑设备出灰问题，包括：除尘、降温、出灰机基础及油缸、行程的设计以及灰渣的装卸、运输等因素。</w:t>
      </w:r>
    </w:p>
    <w:p w14:paraId="5522DD2F">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出灰门采用滑道式，确保开门的便捷。</w:t>
      </w:r>
    </w:p>
    <w:p w14:paraId="1162B6B7">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采用密闭出灰房设计，出灰房内设水喷头（灰渣冷却），排风口（通风），平板车出灰。</w:t>
      </w:r>
    </w:p>
    <w:p w14:paraId="2ADD9126">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工艺流程见图</w:t>
      </w:r>
      <w:r>
        <w:rPr>
          <w:rFonts w:hint="default" w:ascii="Times New Roman" w:hAnsi="Times New Roman" w:cs="Times New Roman" w:eastAsiaTheme="minorEastAsia"/>
          <w:sz w:val="24"/>
          <w:lang w:val="en-US" w:eastAsia="zh-CN"/>
        </w:rPr>
        <w:t>3.</w:t>
      </w:r>
      <w:r>
        <w:rPr>
          <w:rFonts w:hint="eastAsia" w:ascii="Times New Roman" w:hAnsi="Times New Roman" w:cs="Times New Roman" w:eastAsiaTheme="minorEastAsia"/>
          <w:sz w:val="24"/>
          <w:lang w:val="en-US" w:eastAsia="zh-CN"/>
        </w:rPr>
        <w:t>4-3。</w:t>
      </w:r>
    </w:p>
    <w:p w14:paraId="1D45B9AD"/>
    <w:p w14:paraId="602C881B">
      <w:pPr>
        <w:adjustRightInd w:val="0"/>
        <w:snapToGrid w:val="0"/>
        <w:spacing w:line="500" w:lineRule="exact"/>
        <w:ind w:firstLine="482" w:firstLineChars="200"/>
        <w:jc w:val="center"/>
        <w:rPr>
          <w:rFonts w:hint="default" w:ascii="Times New Roman" w:hAnsi="Times New Roman" w:cs="Times New Roman" w:eastAsiaTheme="minorEastAsia"/>
          <w:b/>
          <w:bCs/>
          <w:sz w:val="24"/>
          <w:highlight w:val="none"/>
          <w:lang w:val="en-US" w:eastAsia="zh-CN"/>
        </w:rPr>
      </w:pPr>
      <w:r>
        <w:rPr>
          <w:rFonts w:hint="eastAsia" w:ascii="Times New Roman" w:hAnsi="Times New Roman" w:cs="Times New Roman"/>
          <w:b/>
          <w:bCs/>
          <w:sz w:val="24"/>
          <w:highlight w:val="none"/>
          <w:lang w:val="en-US" w:eastAsia="zh-CN"/>
        </w:rPr>
        <w:t>图3.4-3  项目工艺流程图</w:t>
      </w:r>
    </w:p>
    <w:p w14:paraId="2E029853">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项目的产污环节统计详见表</w:t>
      </w:r>
      <w:r>
        <w:rPr>
          <w:rFonts w:hint="default" w:ascii="Times New Roman" w:hAnsi="Times New Roman" w:cs="Times New Roman" w:eastAsiaTheme="minorEastAsia"/>
          <w:sz w:val="24"/>
          <w:highlight w:val="none"/>
          <w:lang w:val="en-US" w:eastAsia="zh-CN"/>
        </w:rPr>
        <w:t>3.</w:t>
      </w:r>
      <w:r>
        <w:rPr>
          <w:rFonts w:hint="eastAsia" w:ascii="Times New Roman" w:hAnsi="Times New Roman" w:cs="Times New Roman"/>
          <w:sz w:val="24"/>
          <w:highlight w:val="none"/>
          <w:lang w:val="en-US" w:eastAsia="zh-CN"/>
        </w:rPr>
        <w:t>4-9</w:t>
      </w:r>
      <w:r>
        <w:rPr>
          <w:rFonts w:hint="eastAsia" w:ascii="Times New Roman" w:hAnsi="Times New Roman" w:cs="Times New Roman" w:eastAsiaTheme="minorEastAsia"/>
          <w:sz w:val="24"/>
          <w:highlight w:val="none"/>
          <w:lang w:val="en-US" w:eastAsia="zh-CN"/>
        </w:rPr>
        <w:t>。</w:t>
      </w:r>
    </w:p>
    <w:p w14:paraId="00BC3FA5">
      <w:pPr>
        <w:snapToGrid w:val="0"/>
        <w:spacing w:before="241" w:beforeLines="50"/>
        <w:jc w:val="center"/>
        <w:rPr>
          <w:rFonts w:hint="default"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表3.</w:t>
      </w:r>
      <w:r>
        <w:rPr>
          <w:rFonts w:hint="eastAsia" w:ascii="Times New Roman" w:hAnsi="Times New Roman" w:cs="Times New Roman"/>
          <w:b/>
          <w:szCs w:val="21"/>
          <w:lang w:val="en-US" w:eastAsia="zh-CN"/>
        </w:rPr>
        <w:t>4-9</w:t>
      </w:r>
      <w:r>
        <w:rPr>
          <w:rFonts w:hint="eastAsia" w:ascii="Times New Roman" w:hAnsi="Times New Roman" w:cs="Times New Roman" w:eastAsiaTheme="minorEastAsia"/>
          <w:b/>
          <w:szCs w:val="21"/>
          <w:lang w:val="en-US" w:eastAsia="zh-CN"/>
        </w:rPr>
        <w:t xml:space="preserve">  项目主要污染物产生环境一览表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5"/>
        <w:gridCol w:w="690"/>
        <w:gridCol w:w="2759"/>
        <w:gridCol w:w="4378"/>
      </w:tblGrid>
      <w:tr w14:paraId="1A51E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Align w:val="center"/>
          </w:tcPr>
          <w:p w14:paraId="0C570CE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类型</w:t>
            </w:r>
          </w:p>
        </w:tc>
        <w:tc>
          <w:tcPr>
            <w:tcW w:w="690" w:type="dxa"/>
            <w:vAlign w:val="center"/>
          </w:tcPr>
          <w:p w14:paraId="55A2623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序号</w:t>
            </w:r>
          </w:p>
        </w:tc>
        <w:tc>
          <w:tcPr>
            <w:tcW w:w="2759" w:type="dxa"/>
            <w:vAlign w:val="center"/>
          </w:tcPr>
          <w:p w14:paraId="30DCF83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污染源</w:t>
            </w:r>
          </w:p>
        </w:tc>
        <w:tc>
          <w:tcPr>
            <w:tcW w:w="4378" w:type="dxa"/>
            <w:vAlign w:val="center"/>
          </w:tcPr>
          <w:p w14:paraId="2405D62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污染物</w:t>
            </w:r>
          </w:p>
        </w:tc>
      </w:tr>
      <w:tr w14:paraId="7A3CF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Merge w:val="restart"/>
            <w:vAlign w:val="center"/>
          </w:tcPr>
          <w:p w14:paraId="592D023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废气</w:t>
            </w:r>
          </w:p>
        </w:tc>
        <w:tc>
          <w:tcPr>
            <w:tcW w:w="7827" w:type="dxa"/>
            <w:gridSpan w:val="3"/>
            <w:vAlign w:val="center"/>
          </w:tcPr>
          <w:p w14:paraId="366960B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有组织</w:t>
            </w:r>
          </w:p>
        </w:tc>
      </w:tr>
      <w:tr w14:paraId="3E75C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Merge w:val="continue"/>
            <w:vAlign w:val="center"/>
          </w:tcPr>
          <w:p w14:paraId="63EF9C7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0" w:type="dxa"/>
            <w:vAlign w:val="center"/>
          </w:tcPr>
          <w:p w14:paraId="29F948B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G1</w:t>
            </w:r>
          </w:p>
        </w:tc>
        <w:tc>
          <w:tcPr>
            <w:tcW w:w="2759" w:type="dxa"/>
            <w:vAlign w:val="center"/>
          </w:tcPr>
          <w:p w14:paraId="3216DEC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冷藏库（医废暂存库废气）</w:t>
            </w:r>
          </w:p>
        </w:tc>
        <w:tc>
          <w:tcPr>
            <w:tcW w:w="4378" w:type="dxa"/>
            <w:vAlign w:val="center"/>
          </w:tcPr>
          <w:p w14:paraId="6FFD7F7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H</w:t>
            </w:r>
            <w:r>
              <w:rPr>
                <w:rFonts w:hint="eastAsia" w:ascii="Times New Roman" w:hAnsi="Times New Roman" w:cs="Times New Roman" w:eastAsiaTheme="minorEastAsia"/>
                <w:szCs w:val="21"/>
                <w:vertAlign w:val="subscript"/>
                <w:lang w:val="en-US" w:eastAsia="zh-CN"/>
              </w:rPr>
              <w:t>2</w:t>
            </w:r>
            <w:r>
              <w:rPr>
                <w:rFonts w:hint="eastAsia" w:ascii="Times New Roman" w:hAnsi="Times New Roman" w:cs="Times New Roman" w:eastAsiaTheme="minorEastAsia"/>
                <w:szCs w:val="21"/>
                <w:lang w:val="en-US" w:eastAsia="zh-CN"/>
              </w:rPr>
              <w:t>S、NH</w:t>
            </w:r>
            <w:r>
              <w:rPr>
                <w:rFonts w:hint="eastAsia" w:ascii="Times New Roman" w:hAnsi="Times New Roman" w:cs="Times New Roman" w:eastAsiaTheme="minorEastAsia"/>
                <w:szCs w:val="21"/>
                <w:vertAlign w:val="subscript"/>
                <w:lang w:val="en-US" w:eastAsia="zh-CN"/>
              </w:rPr>
              <w:t>3</w:t>
            </w:r>
          </w:p>
        </w:tc>
      </w:tr>
      <w:tr w14:paraId="06F1B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Merge w:val="continue"/>
            <w:vAlign w:val="center"/>
          </w:tcPr>
          <w:p w14:paraId="13AA1C7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0" w:type="dxa"/>
            <w:vAlign w:val="center"/>
          </w:tcPr>
          <w:p w14:paraId="16E6524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G2</w:t>
            </w:r>
          </w:p>
        </w:tc>
        <w:tc>
          <w:tcPr>
            <w:tcW w:w="2759" w:type="dxa"/>
            <w:vAlign w:val="center"/>
          </w:tcPr>
          <w:p w14:paraId="23C6FDE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医疗废物焚烧工艺废气</w:t>
            </w:r>
          </w:p>
        </w:tc>
        <w:tc>
          <w:tcPr>
            <w:tcW w:w="4378" w:type="dxa"/>
            <w:vAlign w:val="center"/>
          </w:tcPr>
          <w:p w14:paraId="232931D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烟尘、SO</w:t>
            </w:r>
            <w:r>
              <w:rPr>
                <w:rFonts w:hint="eastAsia" w:ascii="Times New Roman" w:hAnsi="Times New Roman" w:cs="Times New Roman" w:eastAsiaTheme="minorEastAsia"/>
                <w:szCs w:val="21"/>
                <w:vertAlign w:val="subscript"/>
                <w:lang w:val="en-US" w:eastAsia="zh-CN"/>
              </w:rPr>
              <w:t>2</w:t>
            </w:r>
            <w:r>
              <w:rPr>
                <w:rFonts w:hint="eastAsia" w:ascii="Times New Roman" w:hAnsi="Times New Roman" w:cs="Times New Roman" w:eastAsiaTheme="minorEastAsia"/>
                <w:szCs w:val="21"/>
                <w:lang w:val="en-US" w:eastAsia="zh-CN"/>
              </w:rPr>
              <w:t>、NOx、HCl、HF、重金属（Hg、Cd、Pb、As、Cr等）和二噁英</w:t>
            </w:r>
          </w:p>
        </w:tc>
      </w:tr>
      <w:tr w14:paraId="1A3D8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5" w:type="dxa"/>
            <w:vMerge w:val="continue"/>
            <w:vAlign w:val="center"/>
          </w:tcPr>
          <w:p w14:paraId="25C0EF3C">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0" w:type="dxa"/>
            <w:vAlign w:val="center"/>
          </w:tcPr>
          <w:p w14:paraId="4199933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G3</w:t>
            </w:r>
          </w:p>
        </w:tc>
        <w:tc>
          <w:tcPr>
            <w:tcW w:w="2759" w:type="dxa"/>
            <w:shd w:val="clear" w:color="auto" w:fill="auto"/>
            <w:vAlign w:val="center"/>
          </w:tcPr>
          <w:p w14:paraId="6DFC48CA">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污水处理站废气</w:t>
            </w:r>
            <w:r>
              <w:rPr>
                <w:rFonts w:hint="eastAsia" w:ascii="Times New Roman" w:hAnsi="Times New Roman" w:cs="Times New Roman"/>
                <w:szCs w:val="21"/>
                <w:lang w:val="en-US" w:eastAsia="zh-CN"/>
              </w:rPr>
              <w:t>（现有工程）</w:t>
            </w:r>
          </w:p>
        </w:tc>
        <w:tc>
          <w:tcPr>
            <w:tcW w:w="4378" w:type="dxa"/>
            <w:shd w:val="clear" w:color="auto" w:fill="auto"/>
            <w:vAlign w:val="center"/>
          </w:tcPr>
          <w:p w14:paraId="186A9740">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H</w:t>
            </w:r>
            <w:r>
              <w:rPr>
                <w:rFonts w:hint="eastAsia" w:ascii="Times New Roman" w:hAnsi="Times New Roman" w:cs="Times New Roman" w:eastAsiaTheme="minorEastAsia"/>
                <w:szCs w:val="21"/>
                <w:vertAlign w:val="subscript"/>
                <w:lang w:val="en-US" w:eastAsia="zh-CN"/>
              </w:rPr>
              <w:t>2</w:t>
            </w:r>
            <w:r>
              <w:rPr>
                <w:rFonts w:hint="eastAsia" w:ascii="Times New Roman" w:hAnsi="Times New Roman" w:cs="Times New Roman" w:eastAsiaTheme="minorEastAsia"/>
                <w:szCs w:val="21"/>
                <w:lang w:val="en-US" w:eastAsia="zh-CN"/>
              </w:rPr>
              <w:t>S、NH</w:t>
            </w:r>
            <w:r>
              <w:rPr>
                <w:rFonts w:hint="eastAsia" w:ascii="Times New Roman" w:hAnsi="Times New Roman" w:cs="Times New Roman" w:eastAsiaTheme="minorEastAsia"/>
                <w:szCs w:val="21"/>
                <w:vertAlign w:val="subscript"/>
                <w:lang w:val="en-US" w:eastAsia="zh-CN"/>
              </w:rPr>
              <w:t>3</w:t>
            </w:r>
          </w:p>
        </w:tc>
      </w:tr>
      <w:tr w14:paraId="5FF3E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Merge w:val="continue"/>
            <w:vAlign w:val="center"/>
          </w:tcPr>
          <w:p w14:paraId="7FDBFA1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0" w:type="dxa"/>
            <w:vAlign w:val="center"/>
          </w:tcPr>
          <w:p w14:paraId="556232B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G4</w:t>
            </w:r>
          </w:p>
        </w:tc>
        <w:tc>
          <w:tcPr>
            <w:tcW w:w="2759" w:type="dxa"/>
            <w:shd w:val="clear" w:color="auto" w:fill="auto"/>
            <w:vAlign w:val="center"/>
          </w:tcPr>
          <w:p w14:paraId="095CA3F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炉渣间贮存粉尘</w:t>
            </w:r>
          </w:p>
        </w:tc>
        <w:tc>
          <w:tcPr>
            <w:tcW w:w="4378" w:type="dxa"/>
            <w:shd w:val="clear" w:color="auto" w:fill="auto"/>
            <w:vAlign w:val="center"/>
          </w:tcPr>
          <w:p w14:paraId="5B495E73">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烟尘</w:t>
            </w:r>
          </w:p>
        </w:tc>
      </w:tr>
      <w:tr w14:paraId="2BAA0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Merge w:val="restart"/>
            <w:vAlign w:val="center"/>
          </w:tcPr>
          <w:p w14:paraId="76213AA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废水</w:t>
            </w:r>
          </w:p>
        </w:tc>
        <w:tc>
          <w:tcPr>
            <w:tcW w:w="690" w:type="dxa"/>
            <w:vAlign w:val="center"/>
          </w:tcPr>
          <w:p w14:paraId="2691C27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W1</w:t>
            </w:r>
          </w:p>
        </w:tc>
        <w:tc>
          <w:tcPr>
            <w:tcW w:w="2759" w:type="dxa"/>
            <w:vAlign w:val="center"/>
          </w:tcPr>
          <w:p w14:paraId="39FB9A7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循环冷却系统定期排水</w:t>
            </w:r>
          </w:p>
        </w:tc>
        <w:tc>
          <w:tcPr>
            <w:tcW w:w="4378" w:type="dxa"/>
            <w:vAlign w:val="center"/>
          </w:tcPr>
          <w:p w14:paraId="0E92C22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COD</w:t>
            </w:r>
          </w:p>
        </w:tc>
      </w:tr>
      <w:tr w14:paraId="4DEB3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5" w:type="dxa"/>
            <w:vMerge w:val="continue"/>
            <w:vAlign w:val="center"/>
          </w:tcPr>
          <w:p w14:paraId="6680CDB3">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0" w:type="dxa"/>
            <w:vAlign w:val="center"/>
          </w:tcPr>
          <w:p w14:paraId="3205078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W2</w:t>
            </w:r>
          </w:p>
        </w:tc>
        <w:tc>
          <w:tcPr>
            <w:tcW w:w="2759" w:type="dxa"/>
            <w:vAlign w:val="center"/>
          </w:tcPr>
          <w:p w14:paraId="2698674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软水制备废水</w:t>
            </w:r>
          </w:p>
        </w:tc>
        <w:tc>
          <w:tcPr>
            <w:tcW w:w="4378" w:type="dxa"/>
            <w:vAlign w:val="center"/>
          </w:tcPr>
          <w:p w14:paraId="2FD26BB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硬度</w:t>
            </w:r>
          </w:p>
        </w:tc>
      </w:tr>
      <w:tr w14:paraId="4633A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Merge w:val="continue"/>
            <w:vAlign w:val="center"/>
          </w:tcPr>
          <w:p w14:paraId="76D7548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0" w:type="dxa"/>
            <w:vAlign w:val="center"/>
          </w:tcPr>
          <w:p w14:paraId="1741C0A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W3</w:t>
            </w:r>
          </w:p>
        </w:tc>
        <w:tc>
          <w:tcPr>
            <w:tcW w:w="2759" w:type="dxa"/>
            <w:vAlign w:val="center"/>
          </w:tcPr>
          <w:p w14:paraId="72A4BBC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碱液喷淋装置定期排水</w:t>
            </w:r>
          </w:p>
        </w:tc>
        <w:tc>
          <w:tcPr>
            <w:tcW w:w="4378" w:type="dxa"/>
            <w:vAlign w:val="center"/>
          </w:tcPr>
          <w:p w14:paraId="18437DB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SS、COD、NH</w:t>
            </w:r>
            <w:r>
              <w:rPr>
                <w:rFonts w:hint="eastAsia" w:ascii="Times New Roman" w:hAnsi="Times New Roman" w:cs="Times New Roman" w:eastAsiaTheme="minorEastAsia"/>
                <w:szCs w:val="21"/>
                <w:vertAlign w:val="subscript"/>
                <w:lang w:val="en-US" w:eastAsia="zh-CN"/>
              </w:rPr>
              <w:t>3</w:t>
            </w:r>
            <w:r>
              <w:rPr>
                <w:rFonts w:hint="eastAsia" w:ascii="Times New Roman" w:hAnsi="Times New Roman" w:cs="Times New Roman" w:eastAsiaTheme="minorEastAsia"/>
                <w:szCs w:val="21"/>
                <w:lang w:val="en-US" w:eastAsia="zh-CN"/>
              </w:rPr>
              <w:t>-N、BOD</w:t>
            </w:r>
            <w:r>
              <w:rPr>
                <w:rFonts w:hint="eastAsia" w:ascii="Times New Roman" w:hAnsi="Times New Roman" w:cs="Times New Roman" w:eastAsiaTheme="minorEastAsia"/>
                <w:szCs w:val="21"/>
                <w:vertAlign w:val="subscript"/>
                <w:lang w:val="en-US" w:eastAsia="zh-CN"/>
              </w:rPr>
              <w:t>5</w:t>
            </w:r>
            <w:r>
              <w:rPr>
                <w:rFonts w:hint="eastAsia" w:ascii="Times New Roman" w:hAnsi="Times New Roman" w:cs="Times New Roman" w:eastAsiaTheme="minorEastAsia"/>
                <w:szCs w:val="21"/>
                <w:lang w:val="en-US" w:eastAsia="zh-CN"/>
              </w:rPr>
              <w:t>、重金属</w:t>
            </w:r>
          </w:p>
        </w:tc>
      </w:tr>
      <w:tr w14:paraId="65D08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Merge w:val="continue"/>
            <w:vAlign w:val="center"/>
          </w:tcPr>
          <w:p w14:paraId="3E8E7D0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0" w:type="dxa"/>
            <w:vAlign w:val="center"/>
          </w:tcPr>
          <w:p w14:paraId="04826FC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W4</w:t>
            </w:r>
          </w:p>
        </w:tc>
        <w:tc>
          <w:tcPr>
            <w:tcW w:w="2759" w:type="dxa"/>
            <w:shd w:val="clear" w:color="auto" w:fill="auto"/>
            <w:vAlign w:val="center"/>
          </w:tcPr>
          <w:p w14:paraId="0D1BB6F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地面清洗废水</w:t>
            </w:r>
          </w:p>
        </w:tc>
        <w:tc>
          <w:tcPr>
            <w:tcW w:w="4378" w:type="dxa"/>
            <w:vAlign w:val="center"/>
          </w:tcPr>
          <w:p w14:paraId="7798C1A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SS、COD、BOD</w:t>
            </w:r>
            <w:r>
              <w:rPr>
                <w:rFonts w:hint="eastAsia" w:ascii="Times New Roman" w:hAnsi="Times New Roman" w:cs="Times New Roman" w:eastAsiaTheme="minorEastAsia"/>
                <w:szCs w:val="21"/>
                <w:vertAlign w:val="subscript"/>
                <w:lang w:val="en-US" w:eastAsia="zh-CN"/>
              </w:rPr>
              <w:t>5</w:t>
            </w:r>
            <w:r>
              <w:rPr>
                <w:rFonts w:hint="eastAsia" w:ascii="Times New Roman" w:hAnsi="Times New Roman" w:cs="Times New Roman" w:eastAsiaTheme="minorEastAsia"/>
                <w:szCs w:val="21"/>
                <w:lang w:val="en-US" w:eastAsia="zh-CN"/>
              </w:rPr>
              <w:t>、NH</w:t>
            </w:r>
            <w:r>
              <w:rPr>
                <w:rFonts w:hint="eastAsia" w:ascii="Times New Roman" w:hAnsi="Times New Roman" w:cs="Times New Roman" w:eastAsiaTheme="minorEastAsia"/>
                <w:szCs w:val="21"/>
                <w:vertAlign w:val="subscript"/>
                <w:lang w:val="en-US" w:eastAsia="zh-CN"/>
              </w:rPr>
              <w:t>3</w:t>
            </w:r>
            <w:r>
              <w:rPr>
                <w:rFonts w:hint="eastAsia" w:ascii="Times New Roman" w:hAnsi="Times New Roman" w:cs="Times New Roman" w:eastAsiaTheme="minorEastAsia"/>
                <w:szCs w:val="21"/>
                <w:lang w:val="en-US" w:eastAsia="zh-CN"/>
              </w:rPr>
              <w:t>-N、粪大肠菌群（个/L）、石油类</w:t>
            </w:r>
          </w:p>
        </w:tc>
      </w:tr>
      <w:tr w14:paraId="45953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Merge w:val="continue"/>
            <w:vAlign w:val="center"/>
          </w:tcPr>
          <w:p w14:paraId="5AC4DDB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0" w:type="dxa"/>
            <w:vAlign w:val="center"/>
          </w:tcPr>
          <w:p w14:paraId="796C317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W5</w:t>
            </w:r>
          </w:p>
        </w:tc>
        <w:tc>
          <w:tcPr>
            <w:tcW w:w="2759" w:type="dxa"/>
            <w:shd w:val="clear" w:color="auto" w:fill="auto"/>
            <w:vAlign w:val="center"/>
          </w:tcPr>
          <w:p w14:paraId="53BCEB1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周转箱清洗废水</w:t>
            </w:r>
          </w:p>
        </w:tc>
        <w:tc>
          <w:tcPr>
            <w:tcW w:w="4378" w:type="dxa"/>
            <w:vAlign w:val="center"/>
          </w:tcPr>
          <w:p w14:paraId="50031650">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SS、COD、BOD</w:t>
            </w:r>
            <w:r>
              <w:rPr>
                <w:rFonts w:hint="eastAsia" w:ascii="Times New Roman" w:hAnsi="Times New Roman" w:cs="Times New Roman" w:eastAsiaTheme="minorEastAsia"/>
                <w:szCs w:val="21"/>
                <w:vertAlign w:val="subscript"/>
                <w:lang w:val="en-US" w:eastAsia="zh-CN"/>
              </w:rPr>
              <w:t>5</w:t>
            </w:r>
            <w:r>
              <w:rPr>
                <w:rFonts w:hint="eastAsia" w:ascii="Times New Roman" w:hAnsi="Times New Roman" w:cs="Times New Roman" w:eastAsiaTheme="minorEastAsia"/>
                <w:szCs w:val="21"/>
                <w:lang w:val="en-US" w:eastAsia="zh-CN"/>
              </w:rPr>
              <w:t>、NH</w:t>
            </w:r>
            <w:r>
              <w:rPr>
                <w:rFonts w:hint="eastAsia" w:ascii="Times New Roman" w:hAnsi="Times New Roman" w:cs="Times New Roman" w:eastAsiaTheme="minorEastAsia"/>
                <w:szCs w:val="21"/>
                <w:vertAlign w:val="subscript"/>
                <w:lang w:val="en-US" w:eastAsia="zh-CN"/>
              </w:rPr>
              <w:t>3</w:t>
            </w:r>
            <w:r>
              <w:rPr>
                <w:rFonts w:hint="eastAsia" w:ascii="Times New Roman" w:hAnsi="Times New Roman" w:cs="Times New Roman" w:eastAsiaTheme="minorEastAsia"/>
                <w:szCs w:val="21"/>
                <w:lang w:val="en-US" w:eastAsia="zh-CN"/>
              </w:rPr>
              <w:t>-N、粪大肠菌群（个/L）</w:t>
            </w:r>
          </w:p>
        </w:tc>
      </w:tr>
      <w:tr w14:paraId="62543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Merge w:val="restart"/>
            <w:vAlign w:val="center"/>
          </w:tcPr>
          <w:p w14:paraId="741CEA9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噪声</w:t>
            </w:r>
          </w:p>
        </w:tc>
        <w:tc>
          <w:tcPr>
            <w:tcW w:w="690" w:type="dxa"/>
            <w:vAlign w:val="center"/>
          </w:tcPr>
          <w:p w14:paraId="1A976E7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N1</w:t>
            </w:r>
          </w:p>
        </w:tc>
        <w:tc>
          <w:tcPr>
            <w:tcW w:w="2759" w:type="dxa"/>
            <w:vMerge w:val="restart"/>
            <w:vAlign w:val="center"/>
          </w:tcPr>
          <w:p w14:paraId="63F37C1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设备运行</w:t>
            </w:r>
          </w:p>
        </w:tc>
        <w:tc>
          <w:tcPr>
            <w:tcW w:w="4378" w:type="dxa"/>
            <w:vMerge w:val="restart"/>
            <w:vAlign w:val="center"/>
          </w:tcPr>
          <w:p w14:paraId="5711A27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噪声</w:t>
            </w:r>
          </w:p>
        </w:tc>
      </w:tr>
      <w:tr w14:paraId="20696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Merge w:val="continue"/>
            <w:vAlign w:val="center"/>
          </w:tcPr>
          <w:p w14:paraId="30E6F92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0" w:type="dxa"/>
            <w:vAlign w:val="center"/>
          </w:tcPr>
          <w:p w14:paraId="57AD428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N2</w:t>
            </w:r>
          </w:p>
        </w:tc>
        <w:tc>
          <w:tcPr>
            <w:tcW w:w="2759" w:type="dxa"/>
            <w:vMerge w:val="continue"/>
            <w:vAlign w:val="center"/>
          </w:tcPr>
          <w:p w14:paraId="42FC4A07">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4378" w:type="dxa"/>
            <w:vMerge w:val="continue"/>
            <w:vAlign w:val="center"/>
          </w:tcPr>
          <w:p w14:paraId="2FEEC245">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250DD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Merge w:val="continue"/>
            <w:vAlign w:val="center"/>
          </w:tcPr>
          <w:p w14:paraId="154688C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0" w:type="dxa"/>
            <w:vAlign w:val="center"/>
          </w:tcPr>
          <w:p w14:paraId="282EFCB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N3</w:t>
            </w:r>
          </w:p>
        </w:tc>
        <w:tc>
          <w:tcPr>
            <w:tcW w:w="2759" w:type="dxa"/>
            <w:vMerge w:val="continue"/>
            <w:vAlign w:val="center"/>
          </w:tcPr>
          <w:p w14:paraId="1807606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4378" w:type="dxa"/>
            <w:vMerge w:val="continue"/>
            <w:vAlign w:val="center"/>
          </w:tcPr>
          <w:p w14:paraId="09C9310D">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5F71C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Merge w:val="continue"/>
            <w:vAlign w:val="center"/>
          </w:tcPr>
          <w:p w14:paraId="065B162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0" w:type="dxa"/>
            <w:vAlign w:val="center"/>
          </w:tcPr>
          <w:p w14:paraId="0753282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N4</w:t>
            </w:r>
          </w:p>
        </w:tc>
        <w:tc>
          <w:tcPr>
            <w:tcW w:w="2759" w:type="dxa"/>
            <w:vMerge w:val="continue"/>
            <w:vAlign w:val="center"/>
          </w:tcPr>
          <w:p w14:paraId="3D83377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4378" w:type="dxa"/>
            <w:vMerge w:val="continue"/>
            <w:vAlign w:val="center"/>
          </w:tcPr>
          <w:p w14:paraId="482613A9">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31195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Merge w:val="continue"/>
            <w:vAlign w:val="center"/>
          </w:tcPr>
          <w:p w14:paraId="664B444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0" w:type="dxa"/>
            <w:vAlign w:val="center"/>
          </w:tcPr>
          <w:p w14:paraId="7C2C135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N5</w:t>
            </w:r>
          </w:p>
        </w:tc>
        <w:tc>
          <w:tcPr>
            <w:tcW w:w="2759" w:type="dxa"/>
            <w:vMerge w:val="continue"/>
            <w:vAlign w:val="center"/>
          </w:tcPr>
          <w:p w14:paraId="4A3E3C6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4378" w:type="dxa"/>
            <w:vMerge w:val="continue"/>
            <w:vAlign w:val="center"/>
          </w:tcPr>
          <w:p w14:paraId="44C8C85E">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22819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Merge w:val="continue"/>
            <w:vAlign w:val="center"/>
          </w:tcPr>
          <w:p w14:paraId="139A31A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0" w:type="dxa"/>
            <w:vAlign w:val="center"/>
          </w:tcPr>
          <w:p w14:paraId="73CDEF3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N6</w:t>
            </w:r>
          </w:p>
        </w:tc>
        <w:tc>
          <w:tcPr>
            <w:tcW w:w="2759" w:type="dxa"/>
            <w:vMerge w:val="continue"/>
            <w:vAlign w:val="center"/>
          </w:tcPr>
          <w:p w14:paraId="363F507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4378" w:type="dxa"/>
            <w:vMerge w:val="continue"/>
            <w:vAlign w:val="center"/>
          </w:tcPr>
          <w:p w14:paraId="6BCC496A">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64DB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Merge w:val="continue"/>
            <w:vAlign w:val="center"/>
          </w:tcPr>
          <w:p w14:paraId="714920D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0" w:type="dxa"/>
            <w:vAlign w:val="center"/>
          </w:tcPr>
          <w:p w14:paraId="25FDA29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N7</w:t>
            </w:r>
          </w:p>
        </w:tc>
        <w:tc>
          <w:tcPr>
            <w:tcW w:w="2759" w:type="dxa"/>
            <w:vMerge w:val="continue"/>
            <w:vAlign w:val="center"/>
          </w:tcPr>
          <w:p w14:paraId="0482289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4378" w:type="dxa"/>
            <w:vMerge w:val="continue"/>
            <w:vAlign w:val="center"/>
          </w:tcPr>
          <w:p w14:paraId="25E28E92">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3C484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Merge w:val="continue"/>
            <w:vAlign w:val="center"/>
          </w:tcPr>
          <w:p w14:paraId="062CF37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0" w:type="dxa"/>
            <w:vAlign w:val="center"/>
          </w:tcPr>
          <w:p w14:paraId="0068642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N8</w:t>
            </w:r>
          </w:p>
        </w:tc>
        <w:tc>
          <w:tcPr>
            <w:tcW w:w="2759" w:type="dxa"/>
            <w:vMerge w:val="continue"/>
            <w:vAlign w:val="center"/>
          </w:tcPr>
          <w:p w14:paraId="04725B8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4378" w:type="dxa"/>
            <w:vMerge w:val="continue"/>
            <w:vAlign w:val="center"/>
          </w:tcPr>
          <w:p w14:paraId="51ACCC67">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59BC5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Merge w:val="restart"/>
            <w:vAlign w:val="center"/>
          </w:tcPr>
          <w:p w14:paraId="1A421BF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固废</w:t>
            </w:r>
          </w:p>
        </w:tc>
        <w:tc>
          <w:tcPr>
            <w:tcW w:w="690" w:type="dxa"/>
            <w:vAlign w:val="center"/>
          </w:tcPr>
          <w:p w14:paraId="664D7A1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S1</w:t>
            </w:r>
          </w:p>
        </w:tc>
        <w:tc>
          <w:tcPr>
            <w:tcW w:w="2759" w:type="dxa"/>
            <w:vAlign w:val="center"/>
          </w:tcPr>
          <w:p w14:paraId="1A5E9F5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热解炉</w:t>
            </w:r>
          </w:p>
        </w:tc>
        <w:tc>
          <w:tcPr>
            <w:tcW w:w="4378" w:type="dxa"/>
            <w:vAlign w:val="center"/>
          </w:tcPr>
          <w:p w14:paraId="279037C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炉渣</w:t>
            </w:r>
          </w:p>
        </w:tc>
      </w:tr>
      <w:tr w14:paraId="6DD78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Merge w:val="continue"/>
            <w:vAlign w:val="center"/>
          </w:tcPr>
          <w:p w14:paraId="2E51B23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0" w:type="dxa"/>
            <w:vAlign w:val="center"/>
          </w:tcPr>
          <w:p w14:paraId="5C3FA3F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S2</w:t>
            </w:r>
          </w:p>
        </w:tc>
        <w:tc>
          <w:tcPr>
            <w:tcW w:w="2759" w:type="dxa"/>
            <w:vAlign w:val="center"/>
          </w:tcPr>
          <w:p w14:paraId="609CD1C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烟气治理系统</w:t>
            </w:r>
          </w:p>
        </w:tc>
        <w:tc>
          <w:tcPr>
            <w:tcW w:w="4378" w:type="dxa"/>
            <w:vAlign w:val="center"/>
          </w:tcPr>
          <w:p w14:paraId="5D8FDB4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飞灰</w:t>
            </w:r>
          </w:p>
        </w:tc>
      </w:tr>
      <w:tr w14:paraId="07D7F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Merge w:val="continue"/>
            <w:vAlign w:val="center"/>
          </w:tcPr>
          <w:p w14:paraId="44927B0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0" w:type="dxa"/>
            <w:vAlign w:val="center"/>
          </w:tcPr>
          <w:p w14:paraId="5CF2802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S3</w:t>
            </w:r>
          </w:p>
        </w:tc>
        <w:tc>
          <w:tcPr>
            <w:tcW w:w="2759" w:type="dxa"/>
            <w:vAlign w:val="center"/>
          </w:tcPr>
          <w:p w14:paraId="4839B2F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烟气治理系统</w:t>
            </w:r>
          </w:p>
        </w:tc>
        <w:tc>
          <w:tcPr>
            <w:tcW w:w="4378" w:type="dxa"/>
            <w:vAlign w:val="center"/>
          </w:tcPr>
          <w:p w14:paraId="4E8209C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废活性炭</w:t>
            </w:r>
          </w:p>
        </w:tc>
      </w:tr>
      <w:tr w14:paraId="46462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5" w:type="dxa"/>
            <w:vMerge w:val="continue"/>
            <w:vAlign w:val="center"/>
          </w:tcPr>
          <w:p w14:paraId="6431A4FA">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0" w:type="dxa"/>
            <w:vAlign w:val="center"/>
          </w:tcPr>
          <w:p w14:paraId="185DA14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S4</w:t>
            </w:r>
          </w:p>
        </w:tc>
        <w:tc>
          <w:tcPr>
            <w:tcW w:w="2759" w:type="dxa"/>
            <w:vAlign w:val="center"/>
          </w:tcPr>
          <w:p w14:paraId="2F81815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软水制备系统反冲水装置</w:t>
            </w:r>
          </w:p>
        </w:tc>
        <w:tc>
          <w:tcPr>
            <w:tcW w:w="4378" w:type="dxa"/>
            <w:vAlign w:val="center"/>
          </w:tcPr>
          <w:p w14:paraId="68280FE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废离子交换树脂</w:t>
            </w:r>
          </w:p>
        </w:tc>
      </w:tr>
      <w:tr w14:paraId="2969A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Merge w:val="continue"/>
            <w:vAlign w:val="center"/>
          </w:tcPr>
          <w:p w14:paraId="23F3A7B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0" w:type="dxa"/>
            <w:vAlign w:val="center"/>
          </w:tcPr>
          <w:p w14:paraId="23CE810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S5</w:t>
            </w:r>
          </w:p>
        </w:tc>
        <w:tc>
          <w:tcPr>
            <w:tcW w:w="2759" w:type="dxa"/>
            <w:vAlign w:val="center"/>
          </w:tcPr>
          <w:p w14:paraId="49B4E32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污水处理系统</w:t>
            </w:r>
          </w:p>
        </w:tc>
        <w:tc>
          <w:tcPr>
            <w:tcW w:w="4378" w:type="dxa"/>
            <w:vAlign w:val="center"/>
          </w:tcPr>
          <w:p w14:paraId="530C06D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污水处理设施产生的污泥</w:t>
            </w:r>
          </w:p>
        </w:tc>
      </w:tr>
      <w:tr w14:paraId="1FB55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Merge w:val="continue"/>
            <w:vAlign w:val="center"/>
          </w:tcPr>
          <w:p w14:paraId="2459237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0" w:type="dxa"/>
            <w:vAlign w:val="center"/>
          </w:tcPr>
          <w:p w14:paraId="6835B67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S6</w:t>
            </w:r>
          </w:p>
        </w:tc>
        <w:tc>
          <w:tcPr>
            <w:tcW w:w="2759" w:type="dxa"/>
            <w:vAlign w:val="center"/>
          </w:tcPr>
          <w:p w14:paraId="46A11CC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生产工艺</w:t>
            </w:r>
          </w:p>
        </w:tc>
        <w:tc>
          <w:tcPr>
            <w:tcW w:w="4378" w:type="dxa"/>
            <w:vAlign w:val="center"/>
          </w:tcPr>
          <w:p w14:paraId="127168B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废滤袋、废转运箱、废手套</w:t>
            </w:r>
          </w:p>
        </w:tc>
      </w:tr>
      <w:tr w14:paraId="11A9C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Merge w:val="continue"/>
            <w:vAlign w:val="center"/>
          </w:tcPr>
          <w:p w14:paraId="52FDD753">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0" w:type="dxa"/>
            <w:vAlign w:val="center"/>
          </w:tcPr>
          <w:p w14:paraId="78A788B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S7</w:t>
            </w:r>
          </w:p>
        </w:tc>
        <w:tc>
          <w:tcPr>
            <w:tcW w:w="2759" w:type="dxa"/>
            <w:vAlign w:val="center"/>
          </w:tcPr>
          <w:p w14:paraId="0F32891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生产设备</w:t>
            </w:r>
          </w:p>
        </w:tc>
        <w:tc>
          <w:tcPr>
            <w:tcW w:w="4378" w:type="dxa"/>
            <w:vAlign w:val="center"/>
          </w:tcPr>
          <w:p w14:paraId="08D8BFE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废润滑油</w:t>
            </w:r>
          </w:p>
        </w:tc>
      </w:tr>
      <w:tr w14:paraId="29391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Merge w:val="continue"/>
            <w:vAlign w:val="center"/>
          </w:tcPr>
          <w:p w14:paraId="7BDE63C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0" w:type="dxa"/>
            <w:vAlign w:val="center"/>
          </w:tcPr>
          <w:p w14:paraId="5F65ED9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S8</w:t>
            </w:r>
          </w:p>
        </w:tc>
        <w:tc>
          <w:tcPr>
            <w:tcW w:w="2759" w:type="dxa"/>
            <w:vAlign w:val="center"/>
          </w:tcPr>
          <w:p w14:paraId="54E6AE1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原辅材料包装</w:t>
            </w:r>
          </w:p>
        </w:tc>
        <w:tc>
          <w:tcPr>
            <w:tcW w:w="4378" w:type="dxa"/>
            <w:vAlign w:val="center"/>
          </w:tcPr>
          <w:p w14:paraId="4DBC483A">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废包装袋</w:t>
            </w:r>
          </w:p>
        </w:tc>
      </w:tr>
    </w:tbl>
    <w:p w14:paraId="4710980D">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51" w:name="_Toc5616"/>
      <w:r>
        <w:rPr>
          <w:rFonts w:hint="eastAsia" w:ascii="Times New Roman" w:hAnsi="Times New Roman" w:cs="Times New Roman" w:eastAsiaTheme="minorEastAsia"/>
          <w:kern w:val="0"/>
          <w:sz w:val="24"/>
          <w:szCs w:val="24"/>
          <w:lang w:val="en-US" w:eastAsia="zh-CN"/>
        </w:rPr>
        <w:t>3.</w:t>
      </w:r>
      <w:r>
        <w:rPr>
          <w:rFonts w:hint="eastAsia" w:ascii="Times New Roman" w:hAnsi="Times New Roman" w:cs="Times New Roman"/>
          <w:kern w:val="0"/>
          <w:sz w:val="24"/>
          <w:szCs w:val="24"/>
          <w:lang w:val="en-US" w:eastAsia="zh-CN"/>
        </w:rPr>
        <w:t>4</w:t>
      </w:r>
      <w:r>
        <w:rPr>
          <w:rFonts w:hint="eastAsia" w:ascii="Times New Roman" w:hAnsi="Times New Roman" w:cs="Times New Roman" w:eastAsiaTheme="minorEastAsia"/>
          <w:kern w:val="0"/>
          <w:sz w:val="24"/>
          <w:szCs w:val="24"/>
          <w:lang w:val="en-US" w:eastAsia="zh-CN"/>
        </w:rPr>
        <w:t>.</w:t>
      </w:r>
      <w:r>
        <w:rPr>
          <w:rFonts w:hint="eastAsia" w:ascii="Times New Roman" w:hAnsi="Times New Roman" w:cs="Times New Roman"/>
          <w:kern w:val="0"/>
          <w:sz w:val="24"/>
          <w:szCs w:val="24"/>
          <w:lang w:val="en-US" w:eastAsia="zh-CN"/>
        </w:rPr>
        <w:t>4</w:t>
      </w:r>
      <w:r>
        <w:rPr>
          <w:rFonts w:hint="eastAsia" w:ascii="Times New Roman" w:hAnsi="Times New Roman" w:cs="Times New Roman" w:eastAsiaTheme="minorEastAsia"/>
          <w:kern w:val="0"/>
          <w:sz w:val="24"/>
          <w:szCs w:val="24"/>
          <w:lang w:val="en-US" w:eastAsia="zh-CN"/>
        </w:rPr>
        <w:t>主要物料平衡分析</w:t>
      </w:r>
      <w:bookmarkEnd w:id="151"/>
    </w:p>
    <w:p w14:paraId="477D66D6">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3.</w:t>
      </w:r>
      <w:r>
        <w:rPr>
          <w:rFonts w:hint="eastAsia" w:ascii="Times New Roman" w:hAnsi="Times New Roman" w:cs="Times New Roman"/>
          <w:b/>
          <w:bCs/>
          <w:sz w:val="24"/>
          <w:lang w:val="en-US" w:eastAsia="zh-CN"/>
        </w:rPr>
        <w:t>4</w:t>
      </w:r>
      <w:r>
        <w:rPr>
          <w:rFonts w:hint="eastAsia" w:ascii="Times New Roman" w:hAnsi="Times New Roman" w:cs="Times New Roman" w:eastAsiaTheme="minorEastAsia"/>
          <w:b/>
          <w:bCs/>
          <w:sz w:val="24"/>
          <w:lang w:val="en-US" w:eastAsia="zh-CN"/>
        </w:rPr>
        <w:t>.</w:t>
      </w:r>
      <w:r>
        <w:rPr>
          <w:rFonts w:hint="eastAsia" w:ascii="Times New Roman" w:hAnsi="Times New Roman" w:cs="Times New Roman"/>
          <w:b/>
          <w:bCs/>
          <w:sz w:val="24"/>
          <w:lang w:val="en-US" w:eastAsia="zh-CN"/>
        </w:rPr>
        <w:t>4</w:t>
      </w:r>
      <w:r>
        <w:rPr>
          <w:rFonts w:hint="eastAsia" w:ascii="Times New Roman" w:hAnsi="Times New Roman" w:cs="Times New Roman" w:eastAsiaTheme="minorEastAsia"/>
          <w:b/>
          <w:bCs/>
          <w:sz w:val="24"/>
          <w:lang w:val="en-US" w:eastAsia="zh-CN"/>
        </w:rPr>
        <w:t>.1物料平衡</w:t>
      </w:r>
    </w:p>
    <w:p w14:paraId="12F1B5C5">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根据物料衡算法的计算公式“投入=产品+损失”，经计算本项目各装置物料投入产出平衡分别见表3.</w:t>
      </w:r>
      <w:r>
        <w:rPr>
          <w:rFonts w:hint="eastAsia" w:ascii="Times New Roman" w:hAnsi="Times New Roman" w:cs="Times New Roman"/>
          <w:sz w:val="24"/>
          <w:highlight w:val="none"/>
          <w:lang w:val="en-US" w:eastAsia="zh-CN"/>
        </w:rPr>
        <w:t>4</w:t>
      </w:r>
      <w:r>
        <w:rPr>
          <w:rFonts w:hint="eastAsia"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10</w:t>
      </w:r>
      <w:r>
        <w:rPr>
          <w:rFonts w:hint="eastAsia" w:ascii="Times New Roman" w:hAnsi="Times New Roman" w:cs="Times New Roman" w:eastAsiaTheme="minorEastAsia"/>
          <w:sz w:val="24"/>
          <w:highlight w:val="none"/>
          <w:lang w:val="en-US" w:eastAsia="zh-CN"/>
        </w:rPr>
        <w:t>。</w:t>
      </w:r>
    </w:p>
    <w:p w14:paraId="1D7E2ACF">
      <w:pPr>
        <w:snapToGrid w:val="0"/>
        <w:spacing w:before="241" w:beforeLines="50"/>
        <w:jc w:val="center"/>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b/>
          <w:szCs w:val="21"/>
          <w:lang w:val="en-US" w:eastAsia="zh-CN"/>
        </w:rPr>
        <w:t>3.</w:t>
      </w:r>
      <w:r>
        <w:rPr>
          <w:rFonts w:hint="eastAsia" w:ascii="Times New Roman" w:hAnsi="Times New Roman" w:cs="Times New Roman"/>
          <w:b/>
          <w:szCs w:val="21"/>
          <w:lang w:val="en-US" w:eastAsia="zh-CN"/>
        </w:rPr>
        <w:t>4</w:t>
      </w:r>
      <w:r>
        <w:rPr>
          <w:rFonts w:hint="eastAsia" w:ascii="Times New Roman" w:hAnsi="Times New Roman" w:cs="Times New Roman" w:eastAsiaTheme="minorEastAsia"/>
          <w:b/>
          <w:szCs w:val="21"/>
          <w:lang w:val="en-US" w:eastAsia="zh-CN"/>
        </w:rPr>
        <w:t>-</w:t>
      </w:r>
      <w:r>
        <w:rPr>
          <w:rFonts w:hint="eastAsia" w:ascii="Times New Roman" w:hAnsi="Times New Roman" w:cs="Times New Roman"/>
          <w:b/>
          <w:szCs w:val="21"/>
          <w:lang w:val="en-US" w:eastAsia="zh-CN"/>
        </w:rPr>
        <w:t>10</w:t>
      </w:r>
      <w:r>
        <w:rPr>
          <w:rFonts w:hint="eastAsia" w:ascii="Times New Roman" w:hAnsi="Times New Roman" w:cs="Times New Roman" w:eastAsiaTheme="minorEastAsia"/>
          <w:b/>
          <w:szCs w:val="21"/>
          <w:lang w:val="en-US" w:eastAsia="zh-CN"/>
        </w:rPr>
        <w:t xml:space="preserve">  物料平衡表    单位：t/a</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1670"/>
        <w:gridCol w:w="1920"/>
        <w:gridCol w:w="651"/>
        <w:gridCol w:w="1882"/>
        <w:gridCol w:w="1729"/>
      </w:tblGrid>
      <w:tr w14:paraId="5ECCF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0" w:type="dxa"/>
            <w:gridSpan w:val="3"/>
            <w:vAlign w:val="center"/>
          </w:tcPr>
          <w:p w14:paraId="5E2E371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投入</w:t>
            </w:r>
          </w:p>
        </w:tc>
        <w:tc>
          <w:tcPr>
            <w:tcW w:w="4262" w:type="dxa"/>
            <w:gridSpan w:val="3"/>
            <w:vAlign w:val="center"/>
          </w:tcPr>
          <w:p w14:paraId="54CBDC7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产出</w:t>
            </w:r>
          </w:p>
        </w:tc>
      </w:tr>
      <w:tr w14:paraId="0A773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vAlign w:val="center"/>
          </w:tcPr>
          <w:p w14:paraId="2BF1CD3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序号</w:t>
            </w:r>
          </w:p>
        </w:tc>
        <w:tc>
          <w:tcPr>
            <w:tcW w:w="1670" w:type="dxa"/>
            <w:vAlign w:val="center"/>
          </w:tcPr>
          <w:p w14:paraId="473D79E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名称</w:t>
            </w:r>
          </w:p>
        </w:tc>
        <w:tc>
          <w:tcPr>
            <w:tcW w:w="1920" w:type="dxa"/>
            <w:vAlign w:val="center"/>
          </w:tcPr>
          <w:p w14:paraId="7D10E0A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数量</w:t>
            </w:r>
          </w:p>
        </w:tc>
        <w:tc>
          <w:tcPr>
            <w:tcW w:w="651" w:type="dxa"/>
            <w:vAlign w:val="center"/>
          </w:tcPr>
          <w:p w14:paraId="4C2ECF0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序号</w:t>
            </w:r>
          </w:p>
        </w:tc>
        <w:tc>
          <w:tcPr>
            <w:tcW w:w="1882" w:type="dxa"/>
            <w:vAlign w:val="center"/>
          </w:tcPr>
          <w:p w14:paraId="1D51101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名称</w:t>
            </w:r>
          </w:p>
        </w:tc>
        <w:tc>
          <w:tcPr>
            <w:tcW w:w="1729" w:type="dxa"/>
            <w:vAlign w:val="center"/>
          </w:tcPr>
          <w:p w14:paraId="6BBBF40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数量</w:t>
            </w:r>
          </w:p>
        </w:tc>
      </w:tr>
      <w:tr w14:paraId="7948A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vAlign w:val="center"/>
          </w:tcPr>
          <w:p w14:paraId="30A86F7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1</w:t>
            </w:r>
          </w:p>
        </w:tc>
        <w:tc>
          <w:tcPr>
            <w:tcW w:w="1670" w:type="dxa"/>
            <w:vAlign w:val="center"/>
          </w:tcPr>
          <w:p w14:paraId="22E594D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入炉垃圾</w:t>
            </w:r>
          </w:p>
        </w:tc>
        <w:tc>
          <w:tcPr>
            <w:tcW w:w="1920" w:type="dxa"/>
            <w:vAlign w:val="center"/>
          </w:tcPr>
          <w:p w14:paraId="4088CB5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730</w:t>
            </w:r>
          </w:p>
        </w:tc>
        <w:tc>
          <w:tcPr>
            <w:tcW w:w="651" w:type="dxa"/>
            <w:vAlign w:val="center"/>
          </w:tcPr>
          <w:p w14:paraId="17450EB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w:t>
            </w:r>
          </w:p>
        </w:tc>
        <w:tc>
          <w:tcPr>
            <w:tcW w:w="1882" w:type="dxa"/>
            <w:vAlign w:val="center"/>
          </w:tcPr>
          <w:p w14:paraId="29AA402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焚烧</w:t>
            </w:r>
            <w:r>
              <w:rPr>
                <w:rFonts w:hint="eastAsia" w:ascii="Times New Roman" w:hAnsi="Times New Roman" w:cs="Times New Roman"/>
                <w:szCs w:val="21"/>
                <w:highlight w:val="none"/>
                <w:lang w:val="en-US" w:eastAsia="zh-CN"/>
              </w:rPr>
              <w:t>废气排放</w:t>
            </w:r>
          </w:p>
        </w:tc>
        <w:tc>
          <w:tcPr>
            <w:tcW w:w="1729" w:type="dxa"/>
            <w:vAlign w:val="center"/>
          </w:tcPr>
          <w:p w14:paraId="421D4BC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2.217</w:t>
            </w:r>
          </w:p>
        </w:tc>
      </w:tr>
      <w:tr w14:paraId="51257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vAlign w:val="center"/>
          </w:tcPr>
          <w:p w14:paraId="07E3F492">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2</w:t>
            </w:r>
          </w:p>
        </w:tc>
        <w:tc>
          <w:tcPr>
            <w:tcW w:w="1670" w:type="dxa"/>
            <w:vAlign w:val="center"/>
          </w:tcPr>
          <w:p w14:paraId="36C3E7A3">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尿素</w:t>
            </w:r>
          </w:p>
        </w:tc>
        <w:tc>
          <w:tcPr>
            <w:tcW w:w="1920" w:type="dxa"/>
            <w:vAlign w:val="center"/>
          </w:tcPr>
          <w:p w14:paraId="26BB3BE2">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5</w:t>
            </w:r>
          </w:p>
        </w:tc>
        <w:tc>
          <w:tcPr>
            <w:tcW w:w="651" w:type="dxa"/>
            <w:shd w:val="clear" w:color="auto" w:fill="auto"/>
            <w:vAlign w:val="center"/>
          </w:tcPr>
          <w:p w14:paraId="3B5B8743">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2</w:t>
            </w:r>
          </w:p>
        </w:tc>
        <w:tc>
          <w:tcPr>
            <w:tcW w:w="1882" w:type="dxa"/>
            <w:shd w:val="clear" w:color="auto" w:fill="auto"/>
            <w:vAlign w:val="center"/>
          </w:tcPr>
          <w:p w14:paraId="59CCE8C4">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焚烧损失</w:t>
            </w:r>
          </w:p>
        </w:tc>
        <w:tc>
          <w:tcPr>
            <w:tcW w:w="1729" w:type="dxa"/>
            <w:shd w:val="clear" w:color="auto" w:fill="auto"/>
            <w:vAlign w:val="center"/>
          </w:tcPr>
          <w:p w14:paraId="3C1B10A7">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538.615</w:t>
            </w:r>
          </w:p>
        </w:tc>
      </w:tr>
      <w:tr w14:paraId="2DD8E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0" w:type="dxa"/>
            <w:vAlign w:val="center"/>
          </w:tcPr>
          <w:p w14:paraId="2F88C2B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3</w:t>
            </w:r>
          </w:p>
        </w:tc>
        <w:tc>
          <w:tcPr>
            <w:tcW w:w="1670" w:type="dxa"/>
            <w:vAlign w:val="center"/>
          </w:tcPr>
          <w:p w14:paraId="141B756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活性炭</w:t>
            </w:r>
          </w:p>
        </w:tc>
        <w:tc>
          <w:tcPr>
            <w:tcW w:w="1920" w:type="dxa"/>
            <w:vAlign w:val="center"/>
          </w:tcPr>
          <w:p w14:paraId="6D9A580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4.227</w:t>
            </w:r>
          </w:p>
        </w:tc>
        <w:tc>
          <w:tcPr>
            <w:tcW w:w="651" w:type="dxa"/>
            <w:shd w:val="clear" w:color="auto" w:fill="auto"/>
            <w:vAlign w:val="center"/>
          </w:tcPr>
          <w:p w14:paraId="3CA77155">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3</w:t>
            </w:r>
          </w:p>
        </w:tc>
        <w:tc>
          <w:tcPr>
            <w:tcW w:w="1882" w:type="dxa"/>
            <w:shd w:val="clear" w:color="auto" w:fill="auto"/>
            <w:vAlign w:val="center"/>
          </w:tcPr>
          <w:p w14:paraId="494358B0">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eastAsiaTheme="minorEastAsia"/>
                <w:szCs w:val="21"/>
                <w:highlight w:val="none"/>
                <w:lang w:val="en-US" w:eastAsia="zh-CN"/>
              </w:rPr>
              <w:t>炉渣</w:t>
            </w:r>
          </w:p>
        </w:tc>
        <w:tc>
          <w:tcPr>
            <w:tcW w:w="1729" w:type="dxa"/>
            <w:shd w:val="clear" w:color="auto" w:fill="auto"/>
            <w:vAlign w:val="center"/>
          </w:tcPr>
          <w:p w14:paraId="64A3A206">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lang w:val="en-US" w:eastAsia="zh-CN"/>
              </w:rPr>
              <w:t>182.5</w:t>
            </w:r>
          </w:p>
        </w:tc>
      </w:tr>
      <w:tr w14:paraId="360D8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vAlign w:val="center"/>
          </w:tcPr>
          <w:p w14:paraId="5C6020D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4</w:t>
            </w:r>
          </w:p>
        </w:tc>
        <w:tc>
          <w:tcPr>
            <w:tcW w:w="1670" w:type="dxa"/>
            <w:vAlign w:val="center"/>
          </w:tcPr>
          <w:p w14:paraId="3E3B87C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氢氧化钠</w:t>
            </w:r>
          </w:p>
        </w:tc>
        <w:tc>
          <w:tcPr>
            <w:tcW w:w="1920" w:type="dxa"/>
            <w:vAlign w:val="center"/>
          </w:tcPr>
          <w:p w14:paraId="713AE69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30</w:t>
            </w:r>
          </w:p>
        </w:tc>
        <w:tc>
          <w:tcPr>
            <w:tcW w:w="651" w:type="dxa"/>
            <w:shd w:val="clear" w:color="auto" w:fill="auto"/>
            <w:vAlign w:val="center"/>
          </w:tcPr>
          <w:p w14:paraId="49651EEB">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4</w:t>
            </w:r>
          </w:p>
        </w:tc>
        <w:tc>
          <w:tcPr>
            <w:tcW w:w="1882" w:type="dxa"/>
            <w:shd w:val="clear" w:color="auto" w:fill="auto"/>
            <w:vAlign w:val="center"/>
          </w:tcPr>
          <w:p w14:paraId="20E8E28C">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eastAsiaTheme="minorEastAsia"/>
                <w:szCs w:val="21"/>
                <w:highlight w:val="none"/>
                <w:lang w:val="en-US" w:eastAsia="zh-CN"/>
              </w:rPr>
              <w:t>飞灰</w:t>
            </w:r>
          </w:p>
        </w:tc>
        <w:tc>
          <w:tcPr>
            <w:tcW w:w="1729" w:type="dxa"/>
            <w:shd w:val="clear" w:color="auto" w:fill="auto"/>
            <w:vAlign w:val="center"/>
          </w:tcPr>
          <w:p w14:paraId="0D4948AC">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53.596</w:t>
            </w:r>
          </w:p>
        </w:tc>
      </w:tr>
      <w:tr w14:paraId="19F3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0" w:type="dxa"/>
            <w:vAlign w:val="center"/>
          </w:tcPr>
          <w:p w14:paraId="43875E5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5</w:t>
            </w:r>
          </w:p>
        </w:tc>
        <w:tc>
          <w:tcPr>
            <w:tcW w:w="1670" w:type="dxa"/>
            <w:vAlign w:val="center"/>
          </w:tcPr>
          <w:p w14:paraId="3D61737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消石灰</w:t>
            </w:r>
          </w:p>
        </w:tc>
        <w:tc>
          <w:tcPr>
            <w:tcW w:w="1920" w:type="dxa"/>
            <w:vAlign w:val="center"/>
          </w:tcPr>
          <w:p w14:paraId="21335CA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8</w:t>
            </w:r>
          </w:p>
        </w:tc>
        <w:tc>
          <w:tcPr>
            <w:tcW w:w="651" w:type="dxa"/>
            <w:shd w:val="clear" w:color="auto" w:fill="auto"/>
            <w:vAlign w:val="center"/>
          </w:tcPr>
          <w:p w14:paraId="3D3B586E">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5</w:t>
            </w:r>
          </w:p>
        </w:tc>
        <w:tc>
          <w:tcPr>
            <w:tcW w:w="1882" w:type="dxa"/>
            <w:shd w:val="clear" w:color="auto" w:fill="auto"/>
            <w:vAlign w:val="center"/>
          </w:tcPr>
          <w:p w14:paraId="7AE5DE3F">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eastAsiaTheme="minorEastAsia"/>
                <w:szCs w:val="21"/>
                <w:highlight w:val="none"/>
                <w:lang w:val="en-US" w:eastAsia="zh-CN"/>
              </w:rPr>
              <w:t>废活性炭</w:t>
            </w:r>
          </w:p>
        </w:tc>
        <w:tc>
          <w:tcPr>
            <w:tcW w:w="1729" w:type="dxa"/>
            <w:shd w:val="clear" w:color="auto" w:fill="auto"/>
            <w:vAlign w:val="center"/>
          </w:tcPr>
          <w:p w14:paraId="7C30578C">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0.303</w:t>
            </w:r>
          </w:p>
        </w:tc>
      </w:tr>
      <w:tr w14:paraId="0D62C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670" w:type="dxa"/>
            <w:vAlign w:val="center"/>
          </w:tcPr>
          <w:p w14:paraId="548A943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6</w:t>
            </w:r>
          </w:p>
        </w:tc>
        <w:tc>
          <w:tcPr>
            <w:tcW w:w="1670" w:type="dxa"/>
            <w:vAlign w:val="center"/>
          </w:tcPr>
          <w:p w14:paraId="4B4FA9A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冷藏库（医废暂存间）废气</w:t>
            </w:r>
          </w:p>
        </w:tc>
        <w:tc>
          <w:tcPr>
            <w:tcW w:w="1920" w:type="dxa"/>
            <w:vAlign w:val="center"/>
          </w:tcPr>
          <w:p w14:paraId="6F31072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0.0756</w:t>
            </w:r>
          </w:p>
        </w:tc>
        <w:tc>
          <w:tcPr>
            <w:tcW w:w="651" w:type="dxa"/>
            <w:vAlign w:val="center"/>
          </w:tcPr>
          <w:p w14:paraId="7496B29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6</w:t>
            </w:r>
          </w:p>
        </w:tc>
        <w:tc>
          <w:tcPr>
            <w:tcW w:w="1882" w:type="dxa"/>
            <w:vAlign w:val="center"/>
          </w:tcPr>
          <w:p w14:paraId="68CACB7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废水携带</w:t>
            </w:r>
          </w:p>
        </w:tc>
        <w:tc>
          <w:tcPr>
            <w:tcW w:w="1729" w:type="dxa"/>
            <w:vAlign w:val="center"/>
          </w:tcPr>
          <w:p w14:paraId="0EFBA59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0.072</w:t>
            </w:r>
          </w:p>
        </w:tc>
      </w:tr>
      <w:tr w14:paraId="0D4A2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340" w:type="dxa"/>
            <w:gridSpan w:val="2"/>
            <w:vAlign w:val="center"/>
          </w:tcPr>
          <w:p w14:paraId="7E2AC1A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合计</w:t>
            </w:r>
          </w:p>
        </w:tc>
        <w:tc>
          <w:tcPr>
            <w:tcW w:w="1920" w:type="dxa"/>
            <w:vAlign w:val="center"/>
          </w:tcPr>
          <w:p w14:paraId="4CAB7D8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777.303</w:t>
            </w:r>
          </w:p>
        </w:tc>
        <w:tc>
          <w:tcPr>
            <w:tcW w:w="2533" w:type="dxa"/>
            <w:gridSpan w:val="2"/>
            <w:vAlign w:val="center"/>
          </w:tcPr>
          <w:p w14:paraId="497D334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合计</w:t>
            </w:r>
          </w:p>
        </w:tc>
        <w:tc>
          <w:tcPr>
            <w:tcW w:w="1729" w:type="dxa"/>
            <w:vAlign w:val="center"/>
          </w:tcPr>
          <w:p w14:paraId="2CD44D5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777.303</w:t>
            </w:r>
          </w:p>
        </w:tc>
      </w:tr>
    </w:tbl>
    <w:p w14:paraId="241C2DE6">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3.</w:t>
      </w:r>
      <w:r>
        <w:rPr>
          <w:rFonts w:hint="eastAsia" w:ascii="Times New Roman" w:hAnsi="Times New Roman" w:cs="Times New Roman"/>
          <w:b/>
          <w:bCs/>
          <w:sz w:val="24"/>
          <w:lang w:val="en-US" w:eastAsia="zh-CN"/>
        </w:rPr>
        <w:t>4</w:t>
      </w:r>
      <w:r>
        <w:rPr>
          <w:rFonts w:hint="eastAsia" w:ascii="Times New Roman" w:hAnsi="Times New Roman" w:cs="Times New Roman" w:eastAsiaTheme="minorEastAsia"/>
          <w:b/>
          <w:bCs/>
          <w:sz w:val="24"/>
          <w:lang w:val="en-US" w:eastAsia="zh-CN"/>
        </w:rPr>
        <w:t>.</w:t>
      </w:r>
      <w:r>
        <w:rPr>
          <w:rFonts w:hint="eastAsia" w:ascii="Times New Roman" w:hAnsi="Times New Roman" w:cs="Times New Roman"/>
          <w:b/>
          <w:bCs/>
          <w:sz w:val="24"/>
          <w:lang w:val="en-US" w:eastAsia="zh-CN"/>
        </w:rPr>
        <w:t>4</w:t>
      </w:r>
      <w:r>
        <w:rPr>
          <w:rFonts w:hint="eastAsia" w:ascii="Times New Roman" w:hAnsi="Times New Roman" w:cs="Times New Roman" w:eastAsiaTheme="minorEastAsia"/>
          <w:b/>
          <w:bCs/>
          <w:sz w:val="24"/>
          <w:lang w:val="en-US" w:eastAsia="zh-CN"/>
        </w:rPr>
        <w:t>.2水平衡</w:t>
      </w:r>
    </w:p>
    <w:p w14:paraId="42A9644C">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本项目用水主要包括热解炉设备冷却水、烟气换热循环冷却水、急冷塔用水、烟气除酸碱液配置用水、地面清洗水、周转桶</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箱</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冲洗水、炉渣冷却用水。</w:t>
      </w:r>
    </w:p>
    <w:p w14:paraId="4F7598AC">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本项目废水可以分为循环系统、软化水系统和脱酸系统定排水、清洗废水。项目废水经废水处理站处理后，可达到《医疗机构水污染物排放标准》（GB18466-2005）、《城市污水再生利用工业用水水质》（GB/T 19923-2024）和《污水综合排放标准》（GB8978-1996）Ⅱ类标准较严限值后作为洗涤用水全部回用。</w:t>
      </w:r>
    </w:p>
    <w:p w14:paraId="01C51083">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因此全厂水平衡表见图3.</w:t>
      </w:r>
      <w:r>
        <w:rPr>
          <w:rFonts w:hint="eastAsia" w:ascii="Times New Roman" w:hAnsi="Times New Roman" w:cs="Times New Roman" w:eastAsiaTheme="minorEastAsia"/>
          <w:sz w:val="24"/>
          <w:lang w:val="en-US" w:eastAsia="zh-CN"/>
        </w:rPr>
        <w:t>4-4。</w:t>
      </w:r>
    </w:p>
    <w:p w14:paraId="6D462692">
      <w:pPr>
        <w:rPr>
          <w:rFonts w:hint="eastAsia" w:ascii="Times New Roman" w:hAnsi="Times New Roman" w:eastAsia="华文中宋" w:cs="Times New Roman"/>
          <w:sz w:val="24"/>
          <w:highlight w:val="red"/>
          <w:lang w:val="en-US" w:eastAsia="zh-CN"/>
        </w:rPr>
      </w:pPr>
    </w:p>
    <w:p w14:paraId="7F96BFEE">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图3.4-4  水平衡示意图  单位：m</w:t>
      </w:r>
      <w:r>
        <w:rPr>
          <w:rFonts w:hint="eastAsia" w:ascii="Times New Roman" w:hAnsi="Times New Roman" w:cs="Times New Roman" w:eastAsiaTheme="minorEastAsia"/>
          <w:b/>
          <w:szCs w:val="21"/>
          <w:vertAlign w:val="superscript"/>
          <w:lang w:val="en-US" w:eastAsia="zh-CN"/>
        </w:rPr>
        <w:t>3</w:t>
      </w:r>
      <w:r>
        <w:rPr>
          <w:rFonts w:hint="eastAsia" w:ascii="Times New Roman" w:hAnsi="Times New Roman" w:cs="Times New Roman" w:eastAsiaTheme="minorEastAsia"/>
          <w:b/>
          <w:szCs w:val="21"/>
          <w:lang w:val="en-US" w:eastAsia="zh-CN"/>
        </w:rPr>
        <w:t>/a</w:t>
      </w:r>
    </w:p>
    <w:p w14:paraId="40C2FD9A">
      <w:pPr>
        <w:pStyle w:val="3"/>
        <w:spacing w:before="120" w:after="120" w:line="500" w:lineRule="exact"/>
        <w:ind w:left="375" w:hanging="375" w:firstLineChars="0"/>
        <w:contextualSpacing/>
        <w:rPr>
          <w:rFonts w:hint="default" w:ascii="Times New Roman" w:hAnsi="Times New Roman" w:cs="Times New Roman" w:eastAsiaTheme="minorEastAsia"/>
          <w:snapToGrid w:val="0"/>
          <w:kern w:val="0"/>
          <w:sz w:val="28"/>
          <w:szCs w:val="28"/>
          <w:lang w:val="en-US" w:eastAsia="zh-CN"/>
        </w:rPr>
      </w:pPr>
      <w:bookmarkStart w:id="152" w:name="_Toc24223"/>
      <w:r>
        <w:rPr>
          <w:rFonts w:hint="eastAsia" w:ascii="Times New Roman" w:hAnsi="Times New Roman" w:cs="Times New Roman" w:eastAsiaTheme="minorEastAsia"/>
          <w:snapToGrid w:val="0"/>
          <w:kern w:val="0"/>
          <w:sz w:val="28"/>
          <w:szCs w:val="28"/>
          <w:lang w:val="en-US" w:eastAsia="zh-CN"/>
        </w:rPr>
        <w:t>3.5污染源及污染物排放分析</w:t>
      </w:r>
      <w:bookmarkEnd w:id="152"/>
    </w:p>
    <w:p w14:paraId="1BCFF919">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53" w:name="_Toc26968"/>
      <w:r>
        <w:rPr>
          <w:rFonts w:hint="eastAsia" w:ascii="Times New Roman" w:hAnsi="Times New Roman" w:cs="Times New Roman" w:eastAsiaTheme="minorEastAsia"/>
          <w:kern w:val="0"/>
          <w:sz w:val="24"/>
          <w:szCs w:val="24"/>
          <w:lang w:val="en-US" w:eastAsia="zh-CN"/>
        </w:rPr>
        <w:t>3.5.1废气污染源及污染排放</w:t>
      </w:r>
      <w:bookmarkEnd w:id="153"/>
    </w:p>
    <w:p w14:paraId="3D064CC9">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本项目废气主要是焚烧生产单元医疗垃圾焚烧废气</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冷库医疗垃圾贮存废气</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炉渣间贮存粉尘</w:t>
      </w:r>
      <w:r>
        <w:rPr>
          <w:rFonts w:hint="eastAsia" w:ascii="Times New Roman" w:hAnsi="Times New Roman" w:cs="Times New Roman" w:eastAsiaTheme="minorEastAsia"/>
          <w:sz w:val="24"/>
          <w:lang w:val="en-US" w:eastAsia="zh-CN"/>
        </w:rPr>
        <w:t>。</w:t>
      </w:r>
    </w:p>
    <w:p w14:paraId="0B2FB2F7">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w:t>
      </w:r>
      <w:r>
        <w:rPr>
          <w:rFonts w:hint="default" w:ascii="Times New Roman" w:hAnsi="Times New Roman" w:cs="Times New Roman" w:eastAsiaTheme="minorEastAsia"/>
          <w:sz w:val="24"/>
          <w:lang w:val="en-US" w:eastAsia="zh-CN"/>
        </w:rPr>
        <w:t>医疗垃圾焚烧工艺废气</w:t>
      </w:r>
    </w:p>
    <w:p w14:paraId="65A00C7D">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本项目排放废气主要来自焚烧系统。烟气中污染物主要为</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烟尘、SO</w:t>
      </w:r>
      <w:r>
        <w:rPr>
          <w:rFonts w:hint="default" w:ascii="Times New Roman" w:hAnsi="Times New Roman" w:cs="Times New Roman" w:eastAsiaTheme="minorEastAsia"/>
          <w:sz w:val="24"/>
          <w:vertAlign w:val="subscript"/>
          <w:lang w:val="en-US" w:eastAsia="zh-CN"/>
        </w:rPr>
        <w:t>2</w:t>
      </w:r>
      <w:r>
        <w:rPr>
          <w:rFonts w:hint="default" w:ascii="Times New Roman" w:hAnsi="Times New Roman" w:cs="Times New Roman" w:eastAsiaTheme="minorEastAsia"/>
          <w:sz w:val="24"/>
          <w:lang w:val="en-US" w:eastAsia="zh-CN"/>
        </w:rPr>
        <w:t>、NOx、HCI、HF、重金属</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Hg、Cd、Pb、As、Cr等</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和二噁英。</w:t>
      </w:r>
    </w:p>
    <w:p w14:paraId="680E39FA">
      <w:pPr>
        <w:adjustRightInd w:val="0"/>
        <w:snapToGrid w:val="0"/>
        <w:spacing w:line="500" w:lineRule="exact"/>
        <w:ind w:firstLine="482" w:firstLineChars="200"/>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烟尘：</w:t>
      </w:r>
    </w:p>
    <w:p w14:paraId="0FC4A9DB">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包括烟气中所夹带的不可燃物、燃烧产物和盐；</w:t>
      </w:r>
    </w:p>
    <w:p w14:paraId="52AC0AAB">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烟尘通过滤袋式除尘器除去，除尘效率99</w:t>
      </w:r>
      <w:r>
        <w:rPr>
          <w:rFonts w:hint="eastAsia" w:ascii="Times New Roman" w:hAnsi="Times New Roman" w:cs="Times New Roman"/>
          <w:sz w:val="24"/>
          <w:lang w:val="en-US" w:eastAsia="zh-CN"/>
        </w:rPr>
        <w:t>.5</w:t>
      </w:r>
      <w:r>
        <w:rPr>
          <w:rFonts w:hint="eastAsia" w:ascii="Times New Roman" w:hAnsi="Times New Roman" w:cs="Times New Roman" w:eastAsiaTheme="minorEastAsia"/>
          <w:sz w:val="24"/>
          <w:lang w:val="en-US" w:eastAsia="zh-CN"/>
        </w:rPr>
        <w:t>%。</w:t>
      </w:r>
    </w:p>
    <w:p w14:paraId="04559157">
      <w:pPr>
        <w:adjustRightInd w:val="0"/>
        <w:snapToGrid w:val="0"/>
        <w:spacing w:line="500" w:lineRule="exact"/>
        <w:ind w:firstLine="482" w:firstLineChars="200"/>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酸性气体：</w:t>
      </w:r>
    </w:p>
    <w:p w14:paraId="4CA1B544">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包括SO</w:t>
      </w:r>
      <w:r>
        <w:rPr>
          <w:rFonts w:hint="eastAsia" w:ascii="Times New Roman" w:hAnsi="Times New Roman" w:cs="Times New Roman" w:eastAsiaTheme="minorEastAsia"/>
          <w:sz w:val="24"/>
          <w:vertAlign w:val="subscript"/>
          <w:lang w:val="en-US" w:eastAsia="zh-CN"/>
        </w:rPr>
        <w:t>2</w:t>
      </w:r>
      <w:r>
        <w:rPr>
          <w:rFonts w:hint="eastAsia" w:ascii="Times New Roman" w:hAnsi="Times New Roman" w:cs="Times New Roman" w:eastAsiaTheme="minorEastAsia"/>
          <w:sz w:val="24"/>
          <w:lang w:val="en-US" w:eastAsia="zh-CN"/>
        </w:rPr>
        <w:t>、NOx、HCl和HF等。</w:t>
      </w:r>
    </w:p>
    <w:p w14:paraId="25A46F65">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SO</w:t>
      </w:r>
      <w:r>
        <w:rPr>
          <w:rFonts w:hint="eastAsia" w:ascii="Times New Roman" w:hAnsi="Times New Roman" w:cs="Times New Roman" w:eastAsiaTheme="minorEastAsia"/>
          <w:sz w:val="24"/>
          <w:vertAlign w:val="subscript"/>
          <w:lang w:val="en-US" w:eastAsia="zh-CN"/>
        </w:rPr>
        <w:t>2</w:t>
      </w:r>
      <w:r>
        <w:rPr>
          <w:rFonts w:hint="eastAsia" w:ascii="Times New Roman" w:hAnsi="Times New Roman" w:cs="Times New Roman" w:eastAsiaTheme="minorEastAsia"/>
          <w:sz w:val="24"/>
          <w:lang w:val="en-US" w:eastAsia="zh-CN"/>
        </w:rPr>
        <w:t>是由医疗垃圾中含有的少量硫及助燃柴油含有的少量硫在燃烧过程中与氧气反应形成的。</w:t>
      </w:r>
    </w:p>
    <w:p w14:paraId="307B79D8">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NOx</w:t>
      </w:r>
      <w:r>
        <w:rPr>
          <w:rFonts w:hint="eastAsia" w:ascii="Times New Roman" w:hAnsi="Times New Roman" w:cs="Times New Roman" w:eastAsiaTheme="minorEastAsia"/>
          <w:sz w:val="24"/>
          <w:lang w:val="en-US" w:eastAsia="zh-CN"/>
        </w:rPr>
        <w:t>是由废物中的含氮物质、空气中的氮气在高温条件下被空气中的氧气氧化而成。燃烧温度越高，空气过量，生成的氮氧化物就越高。</w:t>
      </w:r>
    </w:p>
    <w:p w14:paraId="739013E2">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HCl</w:t>
      </w:r>
      <w:r>
        <w:rPr>
          <w:rFonts w:hint="eastAsia" w:ascii="Times New Roman" w:hAnsi="Times New Roman" w:cs="Times New Roman" w:eastAsiaTheme="minorEastAsia"/>
          <w:sz w:val="24"/>
          <w:lang w:val="en-US" w:eastAsia="zh-CN"/>
        </w:rPr>
        <w:t>和</w:t>
      </w:r>
      <w:r>
        <w:rPr>
          <w:rFonts w:hint="default" w:ascii="Times New Roman" w:hAnsi="Times New Roman" w:cs="Times New Roman" w:eastAsiaTheme="minorEastAsia"/>
          <w:sz w:val="24"/>
          <w:lang w:val="en-US" w:eastAsia="zh-CN"/>
        </w:rPr>
        <w:t>HF</w:t>
      </w:r>
      <w:r>
        <w:rPr>
          <w:rFonts w:hint="eastAsia" w:ascii="Times New Roman" w:hAnsi="Times New Roman" w:cs="Times New Roman" w:eastAsiaTheme="minorEastAsia"/>
          <w:sz w:val="24"/>
          <w:lang w:val="en-US" w:eastAsia="zh-CN"/>
        </w:rPr>
        <w:t>主要是医疗废物中的含氯或氟塑料及树脂类、气溶胶类等含有机氯化物的物质在焚烧过程中产生。</w:t>
      </w:r>
    </w:p>
    <w:p w14:paraId="6EF8BEEA">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本项目采用干法脱酸和喷淋洗涤去除酸性气体。采用碱性物质中和对</w:t>
      </w:r>
      <w:r>
        <w:rPr>
          <w:rFonts w:hint="default" w:ascii="Times New Roman" w:hAnsi="Times New Roman" w:cs="Times New Roman" w:eastAsiaTheme="minorEastAsia"/>
          <w:sz w:val="24"/>
          <w:lang w:val="en-US" w:eastAsia="zh-CN"/>
        </w:rPr>
        <w:t>NOx</w:t>
      </w:r>
      <w:r>
        <w:rPr>
          <w:rFonts w:hint="eastAsia" w:ascii="Times New Roman" w:hAnsi="Times New Roman" w:cs="Times New Roman" w:eastAsiaTheme="minorEastAsia"/>
          <w:sz w:val="24"/>
          <w:lang w:val="en-US" w:eastAsia="zh-CN"/>
        </w:rPr>
        <w:t>有一定去除，同时本项目单独设置了</w:t>
      </w:r>
      <w:r>
        <w:rPr>
          <w:rFonts w:hint="default" w:ascii="Times New Roman" w:hAnsi="Times New Roman" w:cs="Times New Roman" w:eastAsiaTheme="minorEastAsia"/>
          <w:sz w:val="24"/>
          <w:lang w:val="en-US" w:eastAsia="zh-CN"/>
        </w:rPr>
        <w:t>SNCR</w:t>
      </w:r>
      <w:r>
        <w:rPr>
          <w:rFonts w:hint="eastAsia" w:ascii="Times New Roman" w:hAnsi="Times New Roman" w:cs="Times New Roman" w:eastAsiaTheme="minorEastAsia"/>
          <w:sz w:val="24"/>
          <w:lang w:val="en-US" w:eastAsia="zh-CN"/>
        </w:rPr>
        <w:t>脱硝措施。</w:t>
      </w:r>
    </w:p>
    <w:p w14:paraId="17C8A5E8">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重金属：</w:t>
      </w:r>
    </w:p>
    <w:p w14:paraId="7BAC1F59">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重金属主要包括</w:t>
      </w:r>
      <w:r>
        <w:rPr>
          <w:rFonts w:hint="default" w:ascii="Times New Roman" w:hAnsi="Times New Roman" w:cs="Times New Roman" w:eastAsiaTheme="minorEastAsia"/>
          <w:sz w:val="24"/>
          <w:lang w:val="en-US" w:eastAsia="zh-CN"/>
        </w:rPr>
        <w:t>Hg</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Cd</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Pb</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As</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Cr</w:t>
      </w:r>
      <w:r>
        <w:rPr>
          <w:rFonts w:hint="eastAsia" w:ascii="Times New Roman" w:hAnsi="Times New Roman" w:cs="Times New Roman" w:eastAsiaTheme="minorEastAsia"/>
          <w:sz w:val="24"/>
          <w:lang w:val="en-US" w:eastAsia="zh-CN"/>
        </w:rPr>
        <w:t>等。</w:t>
      </w:r>
    </w:p>
    <w:p w14:paraId="6DDDB25D">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主要是医疗废物中医用锐器和具有毒性、腐蚀性的废弃化学品等焚烧产生。重金属在焚烧过程中会蒸发且在低温烟道中可凝结成亚微米级悬浮物。</w:t>
      </w:r>
    </w:p>
    <w:p w14:paraId="22787FEC">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对重金属的治理是利用活性炭吸附烟气中的重金属，去除效率达到</w:t>
      </w:r>
      <w:r>
        <w:rPr>
          <w:rFonts w:hint="default" w:ascii="Times New Roman" w:hAnsi="Times New Roman" w:cs="Times New Roman" w:eastAsiaTheme="minorEastAsia"/>
          <w:sz w:val="24"/>
          <w:lang w:val="en-US" w:eastAsia="zh-CN"/>
        </w:rPr>
        <w:t>90%</w:t>
      </w:r>
      <w:r>
        <w:rPr>
          <w:rFonts w:hint="eastAsia" w:ascii="Times New Roman" w:hAnsi="Times New Roman" w:cs="Times New Roman" w:eastAsiaTheme="minorEastAsia"/>
          <w:sz w:val="24"/>
          <w:lang w:val="en-US" w:eastAsia="zh-CN"/>
        </w:rPr>
        <w:t>。</w:t>
      </w:r>
    </w:p>
    <w:p w14:paraId="298C283C">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二噁英：</w:t>
      </w:r>
    </w:p>
    <w:p w14:paraId="29044E2F">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医疗废物中含有氯元素的有机物很多，因此焚烧炉出口的烟气中常含有二噁英类物质。</w:t>
      </w:r>
    </w:p>
    <w:p w14:paraId="1E2783E2">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医疗废物在燃烧过程中产生的毒性很强的二噁英类物质，已被世界卫生组织列为一级致癌物质。多氯二苯并二噁英（</w:t>
      </w:r>
      <w:r>
        <w:rPr>
          <w:rFonts w:hint="default" w:ascii="Times New Roman" w:hAnsi="Times New Roman" w:cs="Times New Roman" w:eastAsiaTheme="minorEastAsia"/>
          <w:sz w:val="24"/>
          <w:lang w:val="en-US" w:eastAsia="zh-CN"/>
        </w:rPr>
        <w:t>PCDD</w:t>
      </w:r>
      <w:r>
        <w:rPr>
          <w:rFonts w:hint="eastAsia" w:ascii="Times New Roman" w:hAnsi="Times New Roman" w:cs="Times New Roman" w:eastAsiaTheme="minorEastAsia"/>
          <w:sz w:val="24"/>
          <w:lang w:val="en-US" w:eastAsia="zh-CN"/>
        </w:rPr>
        <w:t>）有</w:t>
      </w:r>
      <w:r>
        <w:rPr>
          <w:rFonts w:hint="default" w:ascii="Times New Roman" w:hAnsi="Times New Roman" w:cs="Times New Roman" w:eastAsiaTheme="minorEastAsia"/>
          <w:sz w:val="24"/>
          <w:lang w:val="en-US" w:eastAsia="zh-CN"/>
        </w:rPr>
        <w:t>75</w:t>
      </w:r>
      <w:r>
        <w:rPr>
          <w:rFonts w:hint="eastAsia" w:ascii="Times New Roman" w:hAnsi="Times New Roman" w:cs="Times New Roman" w:eastAsiaTheme="minorEastAsia"/>
          <w:sz w:val="24"/>
          <w:lang w:val="en-US" w:eastAsia="zh-CN"/>
        </w:rPr>
        <w:t>种异构体，其中以</w:t>
      </w:r>
      <w:r>
        <w:rPr>
          <w:rFonts w:hint="default" w:ascii="Times New Roman" w:hAnsi="Times New Roman" w:cs="Times New Roman" w:eastAsiaTheme="minorEastAsia"/>
          <w:sz w:val="24"/>
          <w:lang w:val="en-US" w:eastAsia="zh-CN"/>
        </w:rPr>
        <w:t>2</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3</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7</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7-</w:t>
      </w:r>
      <w:r>
        <w:rPr>
          <w:rFonts w:hint="eastAsia" w:ascii="Times New Roman" w:hAnsi="Times New Roman" w:cs="Times New Roman" w:eastAsiaTheme="minorEastAsia"/>
          <w:sz w:val="24"/>
          <w:lang w:val="en-US" w:eastAsia="zh-CN"/>
        </w:rPr>
        <w:t>四氯二苯并二噁英（</w:t>
      </w:r>
      <w:r>
        <w:rPr>
          <w:rFonts w:hint="default" w:ascii="Times New Roman" w:hAnsi="Times New Roman" w:cs="Times New Roman" w:eastAsiaTheme="minorEastAsia"/>
          <w:sz w:val="24"/>
          <w:lang w:val="en-US" w:eastAsia="zh-CN"/>
        </w:rPr>
        <w:t>2</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3</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7</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7-TCDD</w:t>
      </w:r>
      <w:r>
        <w:rPr>
          <w:rFonts w:hint="eastAsia" w:ascii="Times New Roman" w:hAnsi="Times New Roman" w:cs="Times New Roman" w:eastAsiaTheme="minorEastAsia"/>
          <w:sz w:val="24"/>
          <w:lang w:val="en-US" w:eastAsia="zh-CN"/>
        </w:rPr>
        <w:t>）的毒性为最强。</w:t>
      </w:r>
    </w:p>
    <w:p w14:paraId="3C93C343">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二噁英类主要是以气态或吸附在粒状污染物烟尘上存在于烟气中。</w:t>
      </w:r>
    </w:p>
    <w:p w14:paraId="169CEA86">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二噁英类形成的相关因素有温度、氧含量及金属催化物质（如</w:t>
      </w:r>
      <w:r>
        <w:rPr>
          <w:rFonts w:hint="default" w:ascii="Times New Roman" w:hAnsi="Times New Roman" w:cs="Times New Roman" w:eastAsiaTheme="minorEastAsia"/>
          <w:sz w:val="24"/>
          <w:lang w:val="en-US" w:eastAsia="zh-CN"/>
        </w:rPr>
        <w:t>Cu</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Ni</w:t>
      </w:r>
      <w:r>
        <w:rPr>
          <w:rFonts w:hint="eastAsia" w:ascii="Times New Roman" w:hAnsi="Times New Roman" w:cs="Times New Roman" w:eastAsiaTheme="minorEastAsia"/>
          <w:sz w:val="24"/>
          <w:lang w:val="en-US" w:eastAsia="zh-CN"/>
        </w:rPr>
        <w:t>）等。其中温度影响是较主要的因素。有关研究认为，当温度为</w:t>
      </w:r>
      <w:r>
        <w:rPr>
          <w:rFonts w:hint="default" w:ascii="Times New Roman" w:hAnsi="Times New Roman" w:cs="Times New Roman" w:eastAsiaTheme="minorEastAsia"/>
          <w:sz w:val="24"/>
          <w:lang w:val="en-US" w:eastAsia="zh-CN"/>
        </w:rPr>
        <w:t>340℃</w:t>
      </w:r>
      <w:r>
        <w:rPr>
          <w:rFonts w:hint="eastAsia" w:ascii="Times New Roman" w:hAnsi="Times New Roman" w:cs="Times New Roman" w:eastAsiaTheme="minorEastAsia"/>
          <w:sz w:val="24"/>
          <w:lang w:val="en-US" w:eastAsia="zh-CN"/>
        </w:rPr>
        <w:t>左右时，各类二噁英生成比率随温度上升而降低；通常焚烧炉炉内温度保持</w:t>
      </w:r>
      <w:r>
        <w:rPr>
          <w:rFonts w:hint="default" w:ascii="Times New Roman" w:hAnsi="Times New Roman" w:cs="Times New Roman" w:eastAsiaTheme="minorEastAsia"/>
          <w:sz w:val="24"/>
          <w:lang w:val="en-US" w:eastAsia="zh-CN"/>
        </w:rPr>
        <w:t>1100℃</w:t>
      </w:r>
      <w:r>
        <w:rPr>
          <w:rFonts w:hint="eastAsia" w:ascii="Times New Roman" w:hAnsi="Times New Roman" w:cs="Times New Roman" w:eastAsiaTheme="minorEastAsia"/>
          <w:sz w:val="24"/>
          <w:lang w:val="en-US" w:eastAsia="zh-CN"/>
        </w:rPr>
        <w:t>温度下烟气停留时间＞</w:t>
      </w:r>
      <w:r>
        <w:rPr>
          <w:rFonts w:hint="default" w:ascii="Times New Roman" w:hAnsi="Times New Roman" w:cs="Times New Roman" w:eastAsiaTheme="minorEastAsia"/>
          <w:sz w:val="24"/>
          <w:lang w:val="en-US" w:eastAsia="zh-CN"/>
        </w:rPr>
        <w:t>2s</w:t>
      </w:r>
      <w:r>
        <w:rPr>
          <w:rFonts w:hint="eastAsia" w:ascii="Times New Roman" w:hAnsi="Times New Roman" w:cs="Times New Roman" w:eastAsiaTheme="minorEastAsia"/>
          <w:sz w:val="24"/>
          <w:lang w:val="en-US" w:eastAsia="zh-CN"/>
        </w:rPr>
        <w:t>、燃烧室内烟气充分湍流，是国际上通行的二噁英抑制技术（</w:t>
      </w:r>
      <w:r>
        <w:rPr>
          <w:rFonts w:hint="default" w:ascii="Times New Roman" w:hAnsi="Times New Roman" w:cs="Times New Roman" w:eastAsiaTheme="minorEastAsia"/>
          <w:sz w:val="24"/>
          <w:lang w:val="en-US" w:eastAsia="zh-CN"/>
        </w:rPr>
        <w:t>“3T”</w:t>
      </w:r>
      <w:r>
        <w:rPr>
          <w:rFonts w:hint="eastAsia" w:ascii="Times New Roman" w:hAnsi="Times New Roman" w:cs="Times New Roman" w:eastAsiaTheme="minorEastAsia"/>
          <w:sz w:val="24"/>
          <w:lang w:val="en-US" w:eastAsia="zh-CN"/>
        </w:rPr>
        <w:t>），能有效抑制二噁英等有机污染物的生成。</w:t>
      </w:r>
    </w:p>
    <w:p w14:paraId="03B72F74">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根据项目资料，本项目热解焚烧炉烟囱引风机烟气量设计为2281</w:t>
      </w:r>
      <w:r>
        <w:rPr>
          <w:rFonts w:hint="default" w:ascii="Times New Roman" w:hAnsi="Times New Roman" w:cs="Times New Roman" w:eastAsiaTheme="minorEastAsia"/>
          <w:sz w:val="24"/>
          <w:lang w:val="en-US" w:eastAsia="zh-CN"/>
        </w:rPr>
        <w:t>Nm</w:t>
      </w:r>
      <w:r>
        <w:rPr>
          <w:rFonts w:hint="default" w:ascii="Times New Roman" w:hAnsi="Times New Roman" w:cs="Times New Roman" w:eastAsiaTheme="minorEastAsia"/>
          <w:sz w:val="24"/>
          <w:vertAlign w:val="superscript"/>
          <w:lang w:val="en-US" w:eastAsia="zh-CN"/>
        </w:rPr>
        <w:t>3</w:t>
      </w:r>
      <w:r>
        <w:rPr>
          <w:rFonts w:hint="default" w:ascii="Times New Roman" w:hAnsi="Times New Roman" w:cs="Times New Roman" w:eastAsiaTheme="minorEastAsia"/>
          <w:sz w:val="24"/>
          <w:lang w:val="en-US" w:eastAsia="zh-CN"/>
        </w:rPr>
        <w:t>/h</w:t>
      </w:r>
      <w:r>
        <w:rPr>
          <w:rFonts w:hint="eastAsia" w:ascii="Times New Roman" w:hAnsi="Times New Roman" w:cs="Times New Roman" w:eastAsiaTheme="minorEastAsia"/>
          <w:sz w:val="24"/>
          <w:lang w:val="en-US" w:eastAsia="zh-CN"/>
        </w:rPr>
        <w:t>，本次计算烟气污染物产生浓度参考《宝鸡市晶玖宇环境科技有限公司宝鸡市医疗废物集中处置厂提质扩能项目》中同类设备烟气结果。类比项目与本次项目类比可行性分析见表3.5-1。</w:t>
      </w:r>
    </w:p>
    <w:p w14:paraId="1B622218">
      <w:pPr>
        <w:snapToGrid w:val="0"/>
        <w:spacing w:before="241"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表3.</w:t>
      </w:r>
      <w:r>
        <w:rPr>
          <w:rFonts w:hint="eastAsia" w:ascii="Times New Roman" w:hAnsi="Times New Roman" w:cs="Times New Roman"/>
          <w:b/>
          <w:szCs w:val="21"/>
          <w:lang w:val="en-US" w:eastAsia="zh-CN"/>
        </w:rPr>
        <w:t>5</w:t>
      </w:r>
      <w:r>
        <w:rPr>
          <w:rFonts w:hint="eastAsia" w:ascii="Times New Roman" w:hAnsi="Times New Roman" w:cs="Times New Roman" w:eastAsiaTheme="minorEastAsia"/>
          <w:b/>
          <w:szCs w:val="21"/>
          <w:lang w:val="en-US" w:eastAsia="zh-CN"/>
        </w:rPr>
        <w:t>-1  类比可行性分析一览表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
        <w:gridCol w:w="3634"/>
        <w:gridCol w:w="2683"/>
        <w:gridCol w:w="1264"/>
      </w:tblGrid>
      <w:tr w14:paraId="69FEF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vAlign w:val="center"/>
          </w:tcPr>
          <w:p w14:paraId="442F9F2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类比内容</w:t>
            </w:r>
          </w:p>
        </w:tc>
        <w:tc>
          <w:tcPr>
            <w:tcW w:w="3634" w:type="dxa"/>
            <w:vAlign w:val="center"/>
          </w:tcPr>
          <w:p w14:paraId="1CECA58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宝鸡市晶玖宇环境科技有限公司宝鸡市医疗废物集中处置厂提质扩能项目</w:t>
            </w:r>
          </w:p>
        </w:tc>
        <w:tc>
          <w:tcPr>
            <w:tcW w:w="2683" w:type="dxa"/>
            <w:vAlign w:val="center"/>
          </w:tcPr>
          <w:p w14:paraId="402FDB7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拟建设项目</w:t>
            </w:r>
          </w:p>
        </w:tc>
        <w:tc>
          <w:tcPr>
            <w:tcW w:w="1264" w:type="dxa"/>
            <w:vAlign w:val="center"/>
          </w:tcPr>
          <w:p w14:paraId="3FEAC7B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类比结果</w:t>
            </w:r>
          </w:p>
        </w:tc>
      </w:tr>
      <w:tr w14:paraId="1EB39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vAlign w:val="center"/>
          </w:tcPr>
          <w:p w14:paraId="68C765B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处理规模（t/d）</w:t>
            </w:r>
          </w:p>
        </w:tc>
        <w:tc>
          <w:tcPr>
            <w:tcW w:w="3634" w:type="dxa"/>
            <w:vAlign w:val="center"/>
          </w:tcPr>
          <w:p w14:paraId="7C221A7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2.4</w:t>
            </w:r>
          </w:p>
        </w:tc>
        <w:tc>
          <w:tcPr>
            <w:tcW w:w="2683" w:type="dxa"/>
            <w:vAlign w:val="center"/>
          </w:tcPr>
          <w:p w14:paraId="5DACA93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2.0</w:t>
            </w:r>
          </w:p>
        </w:tc>
        <w:tc>
          <w:tcPr>
            <w:tcW w:w="1264" w:type="dxa"/>
            <w:vAlign w:val="center"/>
          </w:tcPr>
          <w:p w14:paraId="4AFCB3C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相似</w:t>
            </w:r>
          </w:p>
        </w:tc>
      </w:tr>
      <w:tr w14:paraId="2F83C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vAlign w:val="center"/>
          </w:tcPr>
          <w:p w14:paraId="2A820BC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处理对象</w:t>
            </w:r>
          </w:p>
        </w:tc>
        <w:tc>
          <w:tcPr>
            <w:tcW w:w="3634" w:type="dxa"/>
            <w:vAlign w:val="center"/>
          </w:tcPr>
          <w:p w14:paraId="3E01B92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全五类医疗废物</w:t>
            </w:r>
          </w:p>
        </w:tc>
        <w:tc>
          <w:tcPr>
            <w:tcW w:w="2683" w:type="dxa"/>
            <w:vAlign w:val="center"/>
          </w:tcPr>
          <w:p w14:paraId="59F5393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全五类医疗废物</w:t>
            </w:r>
          </w:p>
        </w:tc>
        <w:tc>
          <w:tcPr>
            <w:tcW w:w="1264" w:type="dxa"/>
            <w:vAlign w:val="center"/>
          </w:tcPr>
          <w:p w14:paraId="52CB348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相同</w:t>
            </w:r>
          </w:p>
        </w:tc>
      </w:tr>
      <w:tr w14:paraId="04FB0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vAlign w:val="center"/>
          </w:tcPr>
          <w:p w14:paraId="6A57D0F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处理工艺</w:t>
            </w:r>
          </w:p>
        </w:tc>
        <w:tc>
          <w:tcPr>
            <w:tcW w:w="3634" w:type="dxa"/>
            <w:vAlign w:val="center"/>
          </w:tcPr>
          <w:p w14:paraId="5C7BC23E">
            <w:pPr>
              <w:autoSpaceDE w:val="0"/>
              <w:autoSpaceDN w:val="0"/>
              <w:spacing w:line="300" w:lineRule="exact"/>
              <w:jc w:val="center"/>
              <w:rPr>
                <w:rFonts w:hint="default" w:ascii="Times New Roman" w:hAnsi="Times New Roman" w:cs="Times New Roman" w:eastAsiaTheme="minorEastAsia"/>
                <w:szCs w:val="21"/>
                <w:lang w:val="en-US" w:eastAsia="zh-CN"/>
              </w:rPr>
            </w:pPr>
            <w:bookmarkStart w:id="154" w:name="OLE_LINK249"/>
            <w:r>
              <w:rPr>
                <w:rFonts w:hint="default" w:ascii="Times New Roman" w:hAnsi="Times New Roman" w:cs="Times New Roman" w:eastAsiaTheme="minorEastAsia"/>
                <w:szCs w:val="21"/>
                <w:lang w:val="en-US" w:eastAsia="zh-CN"/>
              </w:rPr>
              <w:t>热解</w:t>
            </w:r>
            <w:r>
              <w:rPr>
                <w:rFonts w:hint="eastAsia" w:ascii="Times New Roman" w:hAnsi="Times New Roman" w:cs="Times New Roman" w:eastAsiaTheme="minorEastAsia"/>
                <w:szCs w:val="21"/>
                <w:lang w:val="en-US" w:eastAsia="zh-CN"/>
              </w:rPr>
              <w:t>气化</w:t>
            </w:r>
            <w:r>
              <w:rPr>
                <w:rFonts w:hint="default" w:ascii="Times New Roman" w:hAnsi="Times New Roman" w:cs="Times New Roman" w:eastAsiaTheme="minorEastAsia"/>
                <w:szCs w:val="21"/>
                <w:lang w:val="en-US" w:eastAsia="zh-CN"/>
              </w:rPr>
              <w:t>炉</w:t>
            </w:r>
            <w:r>
              <w:rPr>
                <w:rFonts w:hint="eastAsia" w:ascii="Times New Roman" w:hAnsi="Times New Roman" w:cs="Times New Roman" w:eastAsiaTheme="minorEastAsia"/>
                <w:szCs w:val="21"/>
                <w:lang w:val="en-US" w:eastAsia="zh-CN"/>
              </w:rPr>
              <w:t>+二燃室</w:t>
            </w:r>
            <w:bookmarkEnd w:id="154"/>
          </w:p>
        </w:tc>
        <w:tc>
          <w:tcPr>
            <w:tcW w:w="2683" w:type="dxa"/>
            <w:vAlign w:val="center"/>
          </w:tcPr>
          <w:p w14:paraId="3DE2E59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热解</w:t>
            </w:r>
            <w:r>
              <w:rPr>
                <w:rFonts w:hint="eastAsia" w:ascii="Times New Roman" w:hAnsi="Times New Roman" w:cs="Times New Roman" w:eastAsiaTheme="minorEastAsia"/>
                <w:szCs w:val="21"/>
                <w:lang w:val="en-US" w:eastAsia="zh-CN"/>
              </w:rPr>
              <w:t>气化</w:t>
            </w:r>
            <w:r>
              <w:rPr>
                <w:rFonts w:hint="default" w:ascii="Times New Roman" w:hAnsi="Times New Roman" w:cs="Times New Roman" w:eastAsiaTheme="minorEastAsia"/>
                <w:szCs w:val="21"/>
                <w:lang w:val="en-US" w:eastAsia="zh-CN"/>
              </w:rPr>
              <w:t>炉</w:t>
            </w:r>
            <w:r>
              <w:rPr>
                <w:rFonts w:hint="eastAsia" w:ascii="Times New Roman" w:hAnsi="Times New Roman" w:cs="Times New Roman" w:eastAsiaTheme="minorEastAsia"/>
                <w:szCs w:val="21"/>
                <w:lang w:val="en-US" w:eastAsia="zh-CN"/>
              </w:rPr>
              <w:t>+二燃室</w:t>
            </w:r>
          </w:p>
        </w:tc>
        <w:tc>
          <w:tcPr>
            <w:tcW w:w="1264" w:type="dxa"/>
            <w:vAlign w:val="center"/>
          </w:tcPr>
          <w:p w14:paraId="60B1A31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相同</w:t>
            </w:r>
          </w:p>
        </w:tc>
      </w:tr>
      <w:tr w14:paraId="2A9D3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vAlign w:val="center"/>
          </w:tcPr>
          <w:p w14:paraId="3E62144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烟气处理工艺</w:t>
            </w:r>
          </w:p>
        </w:tc>
        <w:tc>
          <w:tcPr>
            <w:tcW w:w="3634" w:type="dxa"/>
            <w:vAlign w:val="center"/>
          </w:tcPr>
          <w:p w14:paraId="188C529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SNCR脱硝+水冷旋风除尘器+急冷塔+干法脱酸（消石灰喷射）+活性炭喷射+布袋除尘器+湿法喷淋脱酸（5%氢氧化钠溶液）</w:t>
            </w:r>
          </w:p>
        </w:tc>
        <w:tc>
          <w:tcPr>
            <w:tcW w:w="2683" w:type="dxa"/>
            <w:vAlign w:val="center"/>
          </w:tcPr>
          <w:p w14:paraId="08091AE2">
            <w:pPr>
              <w:jc w:val="center"/>
              <w:rPr>
                <w:rFonts w:hint="default" w:ascii="Times New Roman" w:hAnsi="Times New Roman" w:cs="Times New Roman" w:eastAsiaTheme="minorEastAsia"/>
                <w:szCs w:val="21"/>
                <w:lang w:val="en-US" w:eastAsia="zh-CN"/>
              </w:rPr>
            </w:pPr>
            <w:r>
              <w:rPr>
                <w:rFonts w:hint="eastAsia"/>
                <w:sz w:val="21"/>
                <w:szCs w:val="21"/>
                <w:highlight w:val="none"/>
                <w:lang w:eastAsia="zh-CN"/>
              </w:rPr>
              <w:t>“</w:t>
            </w:r>
            <w:r>
              <w:rPr>
                <w:rFonts w:hint="eastAsia"/>
                <w:sz w:val="21"/>
                <w:szCs w:val="21"/>
                <w:highlight w:val="none"/>
                <w:lang w:val="en-US" w:eastAsia="zh-CN"/>
              </w:rPr>
              <w:t>3T+E</w:t>
            </w:r>
            <w:r>
              <w:rPr>
                <w:rFonts w:hint="eastAsia"/>
                <w:sz w:val="21"/>
                <w:szCs w:val="21"/>
                <w:highlight w:val="none"/>
                <w:lang w:eastAsia="zh-CN"/>
              </w:rPr>
              <w:t>”</w:t>
            </w:r>
            <w:r>
              <w:rPr>
                <w:rFonts w:hint="eastAsia"/>
                <w:sz w:val="21"/>
                <w:szCs w:val="21"/>
                <w:highlight w:val="none"/>
                <w:lang w:val="en-US" w:eastAsia="zh-CN"/>
              </w:rPr>
              <w:t>燃烧控制+</w:t>
            </w:r>
            <w:r>
              <w:rPr>
                <w:rFonts w:hint="eastAsia"/>
                <w:sz w:val="21"/>
                <w:szCs w:val="21"/>
                <w:highlight w:val="none"/>
              </w:rPr>
              <w:t>SNCR脱硝+</w:t>
            </w:r>
            <w:r>
              <w:rPr>
                <w:rFonts w:hint="eastAsia"/>
                <w:sz w:val="21"/>
                <w:szCs w:val="21"/>
                <w:highlight w:val="none"/>
                <w:lang w:val="en-US" w:eastAsia="zh-CN"/>
              </w:rPr>
              <w:t>旋风除尘+</w:t>
            </w:r>
            <w:r>
              <w:rPr>
                <w:rFonts w:hint="eastAsia"/>
                <w:sz w:val="21"/>
                <w:szCs w:val="21"/>
                <w:highlight w:val="none"/>
              </w:rPr>
              <w:t>急冷塔+干法脱酸（消石灰喷射）+活性炭喷射+布袋除尘器+湿法喷淋脱酸（5%氢氧化钠）</w:t>
            </w:r>
          </w:p>
        </w:tc>
        <w:tc>
          <w:tcPr>
            <w:tcW w:w="1264" w:type="dxa"/>
            <w:vAlign w:val="center"/>
          </w:tcPr>
          <w:p w14:paraId="446F83F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相似</w:t>
            </w:r>
          </w:p>
        </w:tc>
      </w:tr>
    </w:tbl>
    <w:p w14:paraId="13EB497E">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由表3.</w:t>
      </w:r>
      <w:r>
        <w:rPr>
          <w:rFonts w:hint="eastAsia" w:ascii="Times New Roman" w:hAnsi="Times New Roman" w:cs="Times New Roman"/>
          <w:sz w:val="24"/>
          <w:highlight w:val="none"/>
          <w:lang w:val="en-US" w:eastAsia="zh-CN"/>
        </w:rPr>
        <w:t>5</w:t>
      </w:r>
      <w:r>
        <w:rPr>
          <w:rFonts w:hint="eastAsia" w:ascii="Times New Roman" w:hAnsi="Times New Roman" w:cs="Times New Roman" w:eastAsiaTheme="minorEastAsia"/>
          <w:sz w:val="24"/>
          <w:highlight w:val="none"/>
          <w:lang w:val="en-US" w:eastAsia="zh-CN"/>
        </w:rPr>
        <w:t>-1可知，本项目与类比项目采用的焚烧设备处理工艺、处理对象、处理规模基本相同；采取的废气治理措施也基本相同，可以通过类比确定项目焚烧废气污染源强及治理后废气污染物排放情况。</w:t>
      </w:r>
    </w:p>
    <w:p w14:paraId="42E2BF5D">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sectPr>
          <w:footerReference r:id="rId5" w:type="default"/>
          <w:pgSz w:w="11906" w:h="16838"/>
          <w:pgMar w:top="1440" w:right="1800" w:bottom="1440" w:left="1800" w:header="851" w:footer="992" w:gutter="0"/>
          <w:pgNumType w:fmt="decimal"/>
          <w:cols w:space="425" w:num="1"/>
          <w:docGrid w:type="lines" w:linePitch="312" w:charSpace="0"/>
        </w:sectPr>
      </w:pPr>
    </w:p>
    <w:p w14:paraId="32468E53">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类比宝鸡市晶玖宇环境科技有限公司宝鸡市医疗废物集中处置厂提质扩能项目焚烧炉有组织废气污染物产生速率，经计算本项目烟气污染物产生及排放情况见表</w:t>
      </w:r>
      <w:r>
        <w:rPr>
          <w:rFonts w:hint="default" w:ascii="Times New Roman" w:hAnsi="Times New Roman" w:cs="Times New Roman" w:eastAsiaTheme="minorEastAsia"/>
          <w:sz w:val="24"/>
          <w:lang w:val="en-US" w:eastAsia="zh-CN"/>
        </w:rPr>
        <w:t>3.</w:t>
      </w:r>
      <w:r>
        <w:rPr>
          <w:rFonts w:hint="eastAsia" w:ascii="Times New Roman" w:hAnsi="Times New Roman" w:cs="Times New Roman" w:eastAsiaTheme="minorEastAsia"/>
          <w:sz w:val="24"/>
          <w:lang w:val="en-US" w:eastAsia="zh-CN"/>
        </w:rPr>
        <w:t>5</w:t>
      </w: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2。</w:t>
      </w:r>
    </w:p>
    <w:p w14:paraId="559054A1">
      <w:pPr>
        <w:snapToGrid w:val="0"/>
        <w:spacing w:before="241"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表3.</w:t>
      </w:r>
      <w:r>
        <w:rPr>
          <w:rFonts w:hint="eastAsia" w:ascii="Times New Roman" w:hAnsi="Times New Roman" w:cs="Times New Roman"/>
          <w:b/>
          <w:szCs w:val="21"/>
          <w:lang w:val="en-US" w:eastAsia="zh-CN"/>
        </w:rPr>
        <w:t>5</w:t>
      </w:r>
      <w:r>
        <w:rPr>
          <w:rFonts w:hint="eastAsia" w:ascii="Times New Roman" w:hAnsi="Times New Roman" w:cs="Times New Roman" w:eastAsiaTheme="minorEastAsia"/>
          <w:b/>
          <w:szCs w:val="21"/>
          <w:lang w:val="en-US" w:eastAsia="zh-CN"/>
        </w:rPr>
        <w:t>-</w:t>
      </w:r>
      <w:r>
        <w:rPr>
          <w:rFonts w:hint="eastAsia" w:ascii="Times New Roman" w:hAnsi="Times New Roman" w:cs="Times New Roman"/>
          <w:b/>
          <w:szCs w:val="21"/>
          <w:lang w:val="en-US" w:eastAsia="zh-CN"/>
        </w:rPr>
        <w:t>2</w:t>
      </w:r>
      <w:r>
        <w:rPr>
          <w:rFonts w:hint="eastAsia" w:ascii="Times New Roman" w:hAnsi="Times New Roman" w:cs="Times New Roman" w:eastAsiaTheme="minorEastAsia"/>
          <w:b/>
          <w:szCs w:val="21"/>
          <w:lang w:val="en-US" w:eastAsia="zh-CN"/>
        </w:rPr>
        <w:t xml:space="preserve">  本项目焚烧烟气中主要大气污染物产生浓度及产生量</w:t>
      </w:r>
    </w:p>
    <w:tbl>
      <w:tblPr>
        <w:tblStyle w:val="1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4"/>
        <w:gridCol w:w="1022"/>
        <w:gridCol w:w="1513"/>
        <w:gridCol w:w="1528"/>
        <w:gridCol w:w="1241"/>
        <w:gridCol w:w="995"/>
        <w:gridCol w:w="1405"/>
        <w:gridCol w:w="1650"/>
        <w:gridCol w:w="1568"/>
        <w:gridCol w:w="1240"/>
      </w:tblGrid>
      <w:tr w14:paraId="3E4B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07" w:type="pct"/>
            <w:vMerge w:val="restart"/>
            <w:vAlign w:val="center"/>
          </w:tcPr>
          <w:p w14:paraId="0B9A40C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污染物</w:t>
            </w:r>
          </w:p>
        </w:tc>
        <w:tc>
          <w:tcPr>
            <w:tcW w:w="360" w:type="pct"/>
            <w:vMerge w:val="restart"/>
            <w:vAlign w:val="center"/>
          </w:tcPr>
          <w:p w14:paraId="2C091C7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烟气量（m</w:t>
            </w:r>
            <w:r>
              <w:rPr>
                <w:rFonts w:hint="eastAsia" w:ascii="Times New Roman" w:hAnsi="Times New Roman" w:cs="Times New Roman" w:eastAsiaTheme="minorEastAsia"/>
                <w:szCs w:val="21"/>
                <w:vertAlign w:val="superscript"/>
                <w:lang w:val="en-US" w:eastAsia="zh-CN"/>
              </w:rPr>
              <w:t>3</w:t>
            </w:r>
            <w:r>
              <w:rPr>
                <w:rFonts w:hint="eastAsia" w:ascii="Times New Roman" w:hAnsi="Times New Roman" w:cs="Times New Roman" w:eastAsiaTheme="minorEastAsia"/>
                <w:szCs w:val="21"/>
                <w:lang w:val="en-US" w:eastAsia="zh-CN"/>
              </w:rPr>
              <w:t>/h）</w:t>
            </w:r>
          </w:p>
        </w:tc>
        <w:tc>
          <w:tcPr>
            <w:tcW w:w="534" w:type="pct"/>
            <w:vMerge w:val="restart"/>
            <w:vAlign w:val="center"/>
          </w:tcPr>
          <w:p w14:paraId="174305C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产生量（t/a）</w:t>
            </w:r>
          </w:p>
        </w:tc>
        <w:tc>
          <w:tcPr>
            <w:tcW w:w="539" w:type="pct"/>
            <w:vMerge w:val="restart"/>
            <w:vAlign w:val="center"/>
          </w:tcPr>
          <w:p w14:paraId="3652721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产生速率（kg/h）</w:t>
            </w:r>
          </w:p>
        </w:tc>
        <w:tc>
          <w:tcPr>
            <w:tcW w:w="438" w:type="pct"/>
            <w:vMerge w:val="restart"/>
            <w:vAlign w:val="center"/>
          </w:tcPr>
          <w:p w14:paraId="043F9A6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废气治理措施</w:t>
            </w:r>
          </w:p>
        </w:tc>
        <w:tc>
          <w:tcPr>
            <w:tcW w:w="351" w:type="pct"/>
            <w:vMerge w:val="restart"/>
            <w:vAlign w:val="center"/>
          </w:tcPr>
          <w:p w14:paraId="2396909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去除效率（%）</w:t>
            </w:r>
          </w:p>
        </w:tc>
        <w:tc>
          <w:tcPr>
            <w:tcW w:w="495" w:type="pct"/>
            <w:vMerge w:val="restart"/>
            <w:vAlign w:val="center"/>
          </w:tcPr>
          <w:p w14:paraId="15D1E8C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排放浓度（mg/m</w:t>
            </w:r>
            <w:r>
              <w:rPr>
                <w:rFonts w:hint="eastAsia" w:ascii="Times New Roman" w:hAnsi="Times New Roman" w:cs="Times New Roman" w:eastAsiaTheme="minorEastAsia"/>
                <w:szCs w:val="21"/>
                <w:vertAlign w:val="superscript"/>
                <w:lang w:val="en-US" w:eastAsia="zh-CN"/>
              </w:rPr>
              <w:t>3</w:t>
            </w:r>
            <w:r>
              <w:rPr>
                <w:rFonts w:hint="eastAsia" w:ascii="Times New Roman" w:hAnsi="Times New Roman" w:cs="Times New Roman" w:eastAsiaTheme="minorEastAsia"/>
                <w:szCs w:val="21"/>
                <w:lang w:val="en-US" w:eastAsia="zh-CN"/>
              </w:rPr>
              <w:t>）</w:t>
            </w:r>
          </w:p>
        </w:tc>
        <w:tc>
          <w:tcPr>
            <w:tcW w:w="582" w:type="pct"/>
            <w:vMerge w:val="restart"/>
            <w:vAlign w:val="center"/>
          </w:tcPr>
          <w:p w14:paraId="5D2CAAA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排放速率</w:t>
            </w:r>
            <w:r>
              <w:rPr>
                <w:rFonts w:hint="eastAsia" w:ascii="Times New Roman" w:hAnsi="Times New Roman" w:cs="Times New Roman"/>
                <w:szCs w:val="21"/>
                <w:lang w:val="en-US" w:eastAsia="zh-CN"/>
              </w:rPr>
              <w:t>（kg/h）</w:t>
            </w:r>
          </w:p>
        </w:tc>
        <w:tc>
          <w:tcPr>
            <w:tcW w:w="553" w:type="pct"/>
            <w:vMerge w:val="restart"/>
            <w:vAlign w:val="center"/>
          </w:tcPr>
          <w:p w14:paraId="6DB1504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排放量</w:t>
            </w:r>
            <w:r>
              <w:rPr>
                <w:rFonts w:hint="eastAsia" w:ascii="Times New Roman" w:hAnsi="Times New Roman" w:cs="Times New Roman"/>
                <w:szCs w:val="21"/>
                <w:lang w:val="en-US" w:eastAsia="zh-CN"/>
              </w:rPr>
              <w:t>（t/a）</w:t>
            </w:r>
          </w:p>
        </w:tc>
        <w:tc>
          <w:tcPr>
            <w:tcW w:w="437" w:type="pct"/>
            <w:vMerge w:val="restart"/>
            <w:vAlign w:val="center"/>
          </w:tcPr>
          <w:p w14:paraId="308FDAC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控制标准</w:t>
            </w: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mg/m</w:t>
            </w:r>
            <w:r>
              <w:rPr>
                <w:rFonts w:hint="eastAsia" w:ascii="Times New Roman" w:hAnsi="Times New Roman" w:cs="Times New Roman" w:eastAsiaTheme="minorEastAsia"/>
                <w:szCs w:val="21"/>
                <w:vertAlign w:val="superscript"/>
                <w:lang w:val="en-US" w:eastAsia="zh-CN"/>
              </w:rPr>
              <w:t>3</w:t>
            </w:r>
            <w:r>
              <w:rPr>
                <w:rFonts w:hint="eastAsia" w:ascii="Times New Roman" w:hAnsi="Times New Roman" w:cs="Times New Roman"/>
                <w:szCs w:val="21"/>
                <w:lang w:val="en-US" w:eastAsia="zh-CN"/>
              </w:rPr>
              <w:t>）</w:t>
            </w:r>
          </w:p>
        </w:tc>
      </w:tr>
      <w:tr w14:paraId="0128C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07" w:type="pct"/>
            <w:vMerge w:val="continue"/>
            <w:vAlign w:val="center"/>
          </w:tcPr>
          <w:p w14:paraId="252083F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60" w:type="pct"/>
            <w:vMerge w:val="continue"/>
            <w:vAlign w:val="center"/>
          </w:tcPr>
          <w:p w14:paraId="0971728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34" w:type="pct"/>
            <w:vMerge w:val="continue"/>
            <w:vAlign w:val="center"/>
          </w:tcPr>
          <w:p w14:paraId="2748FA5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39" w:type="pct"/>
            <w:vMerge w:val="continue"/>
            <w:vAlign w:val="center"/>
          </w:tcPr>
          <w:p w14:paraId="4191161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438" w:type="pct"/>
            <w:vMerge w:val="continue"/>
            <w:vAlign w:val="center"/>
          </w:tcPr>
          <w:p w14:paraId="74120F4A">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51" w:type="pct"/>
            <w:vMerge w:val="continue"/>
            <w:vAlign w:val="center"/>
          </w:tcPr>
          <w:p w14:paraId="1E43DFF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495" w:type="pct"/>
            <w:vMerge w:val="continue"/>
            <w:vAlign w:val="center"/>
          </w:tcPr>
          <w:p w14:paraId="232EC4E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82" w:type="pct"/>
            <w:vMerge w:val="continue"/>
            <w:vAlign w:val="center"/>
          </w:tcPr>
          <w:p w14:paraId="6C050E4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53" w:type="pct"/>
            <w:vMerge w:val="continue"/>
            <w:vAlign w:val="center"/>
          </w:tcPr>
          <w:p w14:paraId="130EAB27">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437" w:type="pct"/>
            <w:vMerge w:val="continue"/>
            <w:vAlign w:val="center"/>
          </w:tcPr>
          <w:p w14:paraId="0BB4B3EA">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4B1EC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707" w:type="pct"/>
            <w:vAlign w:val="center"/>
          </w:tcPr>
          <w:p w14:paraId="386F719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烟尘</w:t>
            </w:r>
          </w:p>
        </w:tc>
        <w:tc>
          <w:tcPr>
            <w:tcW w:w="360" w:type="pct"/>
            <w:vMerge w:val="restart"/>
            <w:vAlign w:val="center"/>
          </w:tcPr>
          <w:p w14:paraId="4C79501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2281</w:t>
            </w:r>
          </w:p>
        </w:tc>
        <w:tc>
          <w:tcPr>
            <w:tcW w:w="534" w:type="pct"/>
            <w:vAlign w:val="center"/>
          </w:tcPr>
          <w:p w14:paraId="441CCCF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44.533</w:t>
            </w:r>
          </w:p>
        </w:tc>
        <w:tc>
          <w:tcPr>
            <w:tcW w:w="539" w:type="pct"/>
            <w:vAlign w:val="center"/>
          </w:tcPr>
          <w:p w14:paraId="71884F4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5.084</w:t>
            </w:r>
          </w:p>
        </w:tc>
        <w:tc>
          <w:tcPr>
            <w:tcW w:w="438" w:type="pct"/>
            <w:vMerge w:val="restart"/>
            <w:vAlign w:val="center"/>
          </w:tcPr>
          <w:p w14:paraId="54D301C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sz w:val="21"/>
                <w:szCs w:val="21"/>
                <w:highlight w:val="none"/>
                <w:lang w:eastAsia="zh-CN"/>
              </w:rPr>
              <w:t>“</w:t>
            </w:r>
            <w:r>
              <w:rPr>
                <w:rFonts w:hint="eastAsia"/>
                <w:sz w:val="21"/>
                <w:szCs w:val="21"/>
                <w:highlight w:val="none"/>
                <w:lang w:val="en-US" w:eastAsia="zh-CN"/>
              </w:rPr>
              <w:t>3T+E</w:t>
            </w:r>
            <w:r>
              <w:rPr>
                <w:rFonts w:hint="eastAsia"/>
                <w:sz w:val="21"/>
                <w:szCs w:val="21"/>
                <w:highlight w:val="none"/>
                <w:lang w:eastAsia="zh-CN"/>
              </w:rPr>
              <w:t>”</w:t>
            </w:r>
            <w:r>
              <w:rPr>
                <w:rFonts w:hint="eastAsia"/>
                <w:sz w:val="21"/>
                <w:szCs w:val="21"/>
                <w:highlight w:val="none"/>
                <w:lang w:val="en-US" w:eastAsia="zh-CN"/>
              </w:rPr>
              <w:t>燃烧控制+</w:t>
            </w:r>
            <w:r>
              <w:rPr>
                <w:rFonts w:hint="eastAsia" w:ascii="Times New Roman" w:hAnsi="Times New Roman" w:cs="Times New Roman" w:eastAsiaTheme="minorEastAsia"/>
                <w:szCs w:val="21"/>
                <w:lang w:val="en-US" w:eastAsia="zh-CN"/>
              </w:rPr>
              <w:t>SNCR脱硝+</w:t>
            </w:r>
            <w:r>
              <w:rPr>
                <w:rFonts w:hint="eastAsia" w:ascii="Times New Roman" w:hAnsi="Times New Roman" w:cs="Times New Roman"/>
                <w:szCs w:val="21"/>
                <w:lang w:val="en-US" w:eastAsia="zh-CN"/>
              </w:rPr>
              <w:t>旋风除尘+</w:t>
            </w:r>
            <w:r>
              <w:rPr>
                <w:rFonts w:hint="eastAsia" w:ascii="Times New Roman" w:hAnsi="Times New Roman" w:cs="Times New Roman" w:eastAsiaTheme="minorEastAsia"/>
                <w:szCs w:val="21"/>
                <w:lang w:val="en-US" w:eastAsia="zh-CN"/>
              </w:rPr>
              <w:t>急冷塔+干法脱酸（消石灰喷射）+活性炭喷射+布袋除尘器+湿法喷淋脱酸（5%氢氧化钠）</w:t>
            </w:r>
          </w:p>
        </w:tc>
        <w:tc>
          <w:tcPr>
            <w:tcW w:w="351" w:type="pct"/>
            <w:vAlign w:val="center"/>
          </w:tcPr>
          <w:p w14:paraId="7C2085D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99.6</w:t>
            </w:r>
          </w:p>
        </w:tc>
        <w:tc>
          <w:tcPr>
            <w:tcW w:w="495" w:type="pct"/>
            <w:vAlign w:val="center"/>
          </w:tcPr>
          <w:p w14:paraId="12FBC34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8.915</w:t>
            </w:r>
          </w:p>
        </w:tc>
        <w:tc>
          <w:tcPr>
            <w:tcW w:w="582" w:type="pct"/>
            <w:vAlign w:val="center"/>
          </w:tcPr>
          <w:p w14:paraId="05D1062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0.02</w:t>
            </w:r>
          </w:p>
        </w:tc>
        <w:tc>
          <w:tcPr>
            <w:tcW w:w="553" w:type="pct"/>
            <w:vAlign w:val="center"/>
          </w:tcPr>
          <w:p w14:paraId="52A08E7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0.</w:t>
            </w:r>
            <w:r>
              <w:rPr>
                <w:rFonts w:hint="eastAsia" w:ascii="Times New Roman" w:hAnsi="Times New Roman" w:cs="Times New Roman"/>
                <w:szCs w:val="21"/>
                <w:highlight w:val="none"/>
                <w:lang w:val="en-US" w:eastAsia="zh-CN"/>
              </w:rPr>
              <w:t>178</w:t>
            </w:r>
          </w:p>
        </w:tc>
        <w:tc>
          <w:tcPr>
            <w:tcW w:w="437" w:type="pct"/>
            <w:vAlign w:val="center"/>
          </w:tcPr>
          <w:p w14:paraId="101EF43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30</w:t>
            </w:r>
          </w:p>
        </w:tc>
      </w:tr>
      <w:tr w14:paraId="6A91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07" w:type="pct"/>
            <w:vAlign w:val="center"/>
          </w:tcPr>
          <w:p w14:paraId="08A95C1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SO</w:t>
            </w:r>
            <w:r>
              <w:rPr>
                <w:rFonts w:hint="eastAsia" w:ascii="Times New Roman" w:hAnsi="Times New Roman" w:cs="Times New Roman" w:eastAsiaTheme="minorEastAsia"/>
                <w:szCs w:val="21"/>
                <w:vertAlign w:val="subscript"/>
                <w:lang w:val="en-US" w:eastAsia="zh-CN"/>
              </w:rPr>
              <w:t>2</w:t>
            </w:r>
          </w:p>
        </w:tc>
        <w:tc>
          <w:tcPr>
            <w:tcW w:w="360" w:type="pct"/>
            <w:vMerge w:val="continue"/>
            <w:vAlign w:val="center"/>
          </w:tcPr>
          <w:p w14:paraId="624D32D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34" w:type="pct"/>
            <w:vAlign w:val="center"/>
          </w:tcPr>
          <w:p w14:paraId="50F6175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3.190</w:t>
            </w:r>
          </w:p>
        </w:tc>
        <w:tc>
          <w:tcPr>
            <w:tcW w:w="539" w:type="pct"/>
            <w:vAlign w:val="center"/>
          </w:tcPr>
          <w:p w14:paraId="4C1E185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0.364</w:t>
            </w:r>
          </w:p>
        </w:tc>
        <w:tc>
          <w:tcPr>
            <w:tcW w:w="438" w:type="pct"/>
            <w:vMerge w:val="continue"/>
            <w:vAlign w:val="center"/>
          </w:tcPr>
          <w:p w14:paraId="1F4E3D17">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51" w:type="pct"/>
            <w:vAlign w:val="center"/>
          </w:tcPr>
          <w:p w14:paraId="3A126F0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92</w:t>
            </w:r>
          </w:p>
        </w:tc>
        <w:tc>
          <w:tcPr>
            <w:tcW w:w="495" w:type="pct"/>
            <w:vAlign w:val="center"/>
          </w:tcPr>
          <w:p w14:paraId="225FCC6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12.77</w:t>
            </w:r>
          </w:p>
        </w:tc>
        <w:tc>
          <w:tcPr>
            <w:tcW w:w="582" w:type="pct"/>
            <w:vAlign w:val="center"/>
          </w:tcPr>
          <w:p w14:paraId="4E85F4E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0.029</w:t>
            </w:r>
          </w:p>
        </w:tc>
        <w:tc>
          <w:tcPr>
            <w:tcW w:w="553" w:type="pct"/>
            <w:vAlign w:val="center"/>
          </w:tcPr>
          <w:p w14:paraId="1532004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0.</w:t>
            </w:r>
            <w:r>
              <w:rPr>
                <w:rFonts w:hint="eastAsia" w:ascii="Times New Roman" w:hAnsi="Times New Roman" w:cs="Times New Roman"/>
                <w:szCs w:val="21"/>
                <w:highlight w:val="none"/>
                <w:lang w:val="en-US" w:eastAsia="zh-CN"/>
              </w:rPr>
              <w:t>255</w:t>
            </w:r>
          </w:p>
        </w:tc>
        <w:tc>
          <w:tcPr>
            <w:tcW w:w="437" w:type="pct"/>
            <w:vAlign w:val="center"/>
          </w:tcPr>
          <w:p w14:paraId="1ADD311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100</w:t>
            </w:r>
          </w:p>
        </w:tc>
      </w:tr>
      <w:tr w14:paraId="30174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pct"/>
            <w:vAlign w:val="center"/>
          </w:tcPr>
          <w:p w14:paraId="3D16DD3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NOx</w:t>
            </w:r>
          </w:p>
        </w:tc>
        <w:tc>
          <w:tcPr>
            <w:tcW w:w="360" w:type="pct"/>
            <w:vMerge w:val="continue"/>
            <w:vAlign w:val="center"/>
          </w:tcPr>
          <w:p w14:paraId="734694AA">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34" w:type="pct"/>
            <w:vAlign w:val="center"/>
          </w:tcPr>
          <w:p w14:paraId="0ADA9CD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2.087</w:t>
            </w:r>
          </w:p>
        </w:tc>
        <w:tc>
          <w:tcPr>
            <w:tcW w:w="539" w:type="pct"/>
            <w:vAlign w:val="center"/>
          </w:tcPr>
          <w:p w14:paraId="66611DB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0.238</w:t>
            </w:r>
          </w:p>
        </w:tc>
        <w:tc>
          <w:tcPr>
            <w:tcW w:w="438" w:type="pct"/>
            <w:vMerge w:val="continue"/>
            <w:vAlign w:val="center"/>
          </w:tcPr>
          <w:p w14:paraId="0800EC3C">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51" w:type="pct"/>
            <w:vAlign w:val="center"/>
          </w:tcPr>
          <w:p w14:paraId="07B4DB8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40</w:t>
            </w:r>
          </w:p>
        </w:tc>
        <w:tc>
          <w:tcPr>
            <w:tcW w:w="495" w:type="pct"/>
            <w:vAlign w:val="center"/>
          </w:tcPr>
          <w:p w14:paraId="7A26159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62.666</w:t>
            </w:r>
          </w:p>
        </w:tc>
        <w:tc>
          <w:tcPr>
            <w:tcW w:w="582" w:type="pct"/>
            <w:vAlign w:val="center"/>
          </w:tcPr>
          <w:p w14:paraId="06B8CB2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0.143</w:t>
            </w:r>
          </w:p>
        </w:tc>
        <w:tc>
          <w:tcPr>
            <w:tcW w:w="553" w:type="pct"/>
            <w:vAlign w:val="center"/>
          </w:tcPr>
          <w:p w14:paraId="471EC39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1.252</w:t>
            </w:r>
          </w:p>
        </w:tc>
        <w:tc>
          <w:tcPr>
            <w:tcW w:w="437" w:type="pct"/>
            <w:vAlign w:val="center"/>
          </w:tcPr>
          <w:p w14:paraId="2B2C184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300</w:t>
            </w:r>
          </w:p>
        </w:tc>
      </w:tr>
      <w:tr w14:paraId="62D53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pct"/>
            <w:vAlign w:val="center"/>
          </w:tcPr>
          <w:p w14:paraId="4CCA905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CO</w:t>
            </w:r>
          </w:p>
        </w:tc>
        <w:tc>
          <w:tcPr>
            <w:tcW w:w="360" w:type="pct"/>
            <w:vMerge w:val="continue"/>
            <w:vAlign w:val="center"/>
          </w:tcPr>
          <w:p w14:paraId="7EBC0C0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34" w:type="pct"/>
            <w:vAlign w:val="center"/>
          </w:tcPr>
          <w:p w14:paraId="7B799BE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0.345</w:t>
            </w:r>
          </w:p>
        </w:tc>
        <w:tc>
          <w:tcPr>
            <w:tcW w:w="539" w:type="pct"/>
            <w:vAlign w:val="center"/>
          </w:tcPr>
          <w:p w14:paraId="34A5D28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0.039</w:t>
            </w:r>
          </w:p>
        </w:tc>
        <w:tc>
          <w:tcPr>
            <w:tcW w:w="438" w:type="pct"/>
            <w:vMerge w:val="continue"/>
            <w:vAlign w:val="center"/>
          </w:tcPr>
          <w:p w14:paraId="4A78D34A">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51" w:type="pct"/>
            <w:vAlign w:val="center"/>
          </w:tcPr>
          <w:p w14:paraId="01C3843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495" w:type="pct"/>
            <w:vAlign w:val="center"/>
          </w:tcPr>
          <w:p w14:paraId="74A4AFD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17.279</w:t>
            </w:r>
          </w:p>
        </w:tc>
        <w:tc>
          <w:tcPr>
            <w:tcW w:w="582" w:type="pct"/>
            <w:vAlign w:val="center"/>
          </w:tcPr>
          <w:p w14:paraId="2A4117C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r>
              <w:rPr>
                <w:rFonts w:hint="eastAsia" w:ascii="Times New Roman" w:hAnsi="Times New Roman" w:cs="Times New Roman"/>
                <w:szCs w:val="21"/>
                <w:lang w:val="en-US" w:eastAsia="zh-CN"/>
              </w:rPr>
              <w:t>039</w:t>
            </w:r>
          </w:p>
        </w:tc>
        <w:tc>
          <w:tcPr>
            <w:tcW w:w="553" w:type="pct"/>
            <w:vAlign w:val="center"/>
          </w:tcPr>
          <w:p w14:paraId="0F68F54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r>
              <w:rPr>
                <w:rFonts w:hint="eastAsia" w:ascii="Times New Roman" w:hAnsi="Times New Roman" w:cs="Times New Roman"/>
                <w:szCs w:val="21"/>
                <w:lang w:val="en-US" w:eastAsia="zh-CN"/>
              </w:rPr>
              <w:t>345</w:t>
            </w:r>
          </w:p>
        </w:tc>
        <w:tc>
          <w:tcPr>
            <w:tcW w:w="437" w:type="pct"/>
            <w:vAlign w:val="center"/>
          </w:tcPr>
          <w:p w14:paraId="6C37F63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100</w:t>
            </w:r>
          </w:p>
        </w:tc>
      </w:tr>
      <w:tr w14:paraId="3597C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pct"/>
            <w:vAlign w:val="center"/>
          </w:tcPr>
          <w:p w14:paraId="1C2DA68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HCl</w:t>
            </w:r>
          </w:p>
        </w:tc>
        <w:tc>
          <w:tcPr>
            <w:tcW w:w="360" w:type="pct"/>
            <w:vMerge w:val="continue"/>
            <w:vAlign w:val="center"/>
          </w:tcPr>
          <w:p w14:paraId="56D843D7">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34" w:type="pct"/>
            <w:vAlign w:val="center"/>
          </w:tcPr>
          <w:p w14:paraId="0101641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1.446</w:t>
            </w:r>
          </w:p>
        </w:tc>
        <w:tc>
          <w:tcPr>
            <w:tcW w:w="539" w:type="pct"/>
            <w:vAlign w:val="center"/>
          </w:tcPr>
          <w:p w14:paraId="301EA45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0.165</w:t>
            </w:r>
          </w:p>
        </w:tc>
        <w:tc>
          <w:tcPr>
            <w:tcW w:w="438" w:type="pct"/>
            <w:vMerge w:val="continue"/>
            <w:vAlign w:val="center"/>
          </w:tcPr>
          <w:p w14:paraId="7A80503C">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51" w:type="pct"/>
            <w:vAlign w:val="center"/>
          </w:tcPr>
          <w:p w14:paraId="67C50EB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90</w:t>
            </w:r>
          </w:p>
        </w:tc>
        <w:tc>
          <w:tcPr>
            <w:tcW w:w="495" w:type="pct"/>
            <w:vAlign w:val="center"/>
          </w:tcPr>
          <w:p w14:paraId="72A6B14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7.236</w:t>
            </w:r>
          </w:p>
        </w:tc>
        <w:tc>
          <w:tcPr>
            <w:tcW w:w="582" w:type="pct"/>
            <w:vAlign w:val="center"/>
          </w:tcPr>
          <w:p w14:paraId="5981F01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0.017</w:t>
            </w:r>
          </w:p>
        </w:tc>
        <w:tc>
          <w:tcPr>
            <w:tcW w:w="553" w:type="pct"/>
            <w:vAlign w:val="center"/>
          </w:tcPr>
          <w:p w14:paraId="75FCD3B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0.1</w:t>
            </w:r>
            <w:r>
              <w:rPr>
                <w:rFonts w:hint="eastAsia" w:ascii="Times New Roman" w:hAnsi="Times New Roman" w:cs="Times New Roman"/>
                <w:szCs w:val="21"/>
                <w:lang w:val="en-US" w:eastAsia="zh-CN"/>
              </w:rPr>
              <w:t>44</w:t>
            </w:r>
          </w:p>
        </w:tc>
        <w:tc>
          <w:tcPr>
            <w:tcW w:w="437" w:type="pct"/>
            <w:vAlign w:val="center"/>
          </w:tcPr>
          <w:p w14:paraId="0DBD291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60</w:t>
            </w:r>
          </w:p>
        </w:tc>
      </w:tr>
      <w:tr w14:paraId="0D7D4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pct"/>
            <w:vAlign w:val="center"/>
          </w:tcPr>
          <w:p w14:paraId="3F55A76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HF</w:t>
            </w:r>
          </w:p>
        </w:tc>
        <w:tc>
          <w:tcPr>
            <w:tcW w:w="360" w:type="pct"/>
            <w:vMerge w:val="continue"/>
            <w:vAlign w:val="center"/>
          </w:tcPr>
          <w:p w14:paraId="222A3CA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34" w:type="pct"/>
            <w:vAlign w:val="center"/>
          </w:tcPr>
          <w:p w14:paraId="3813E09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0.199</w:t>
            </w:r>
          </w:p>
        </w:tc>
        <w:tc>
          <w:tcPr>
            <w:tcW w:w="539" w:type="pct"/>
            <w:vAlign w:val="center"/>
          </w:tcPr>
          <w:p w14:paraId="5FF39B9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0.023</w:t>
            </w:r>
          </w:p>
        </w:tc>
        <w:tc>
          <w:tcPr>
            <w:tcW w:w="438" w:type="pct"/>
            <w:vMerge w:val="continue"/>
            <w:vAlign w:val="center"/>
          </w:tcPr>
          <w:p w14:paraId="1CCFA27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51" w:type="pct"/>
            <w:vAlign w:val="center"/>
          </w:tcPr>
          <w:p w14:paraId="36EB95F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80</w:t>
            </w:r>
          </w:p>
        </w:tc>
        <w:tc>
          <w:tcPr>
            <w:tcW w:w="495" w:type="pct"/>
            <w:vAlign w:val="center"/>
          </w:tcPr>
          <w:p w14:paraId="38F8341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1.991</w:t>
            </w:r>
          </w:p>
        </w:tc>
        <w:tc>
          <w:tcPr>
            <w:tcW w:w="582" w:type="pct"/>
            <w:vAlign w:val="center"/>
          </w:tcPr>
          <w:p w14:paraId="3F78787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4.542×10</w:t>
            </w:r>
            <w:r>
              <w:rPr>
                <w:rFonts w:hint="eastAsia" w:ascii="Times New Roman" w:hAnsi="Times New Roman" w:cs="Times New Roman"/>
                <w:szCs w:val="21"/>
                <w:vertAlign w:val="superscript"/>
                <w:lang w:val="en-US" w:eastAsia="zh-CN"/>
              </w:rPr>
              <w:t>-3</w:t>
            </w:r>
          </w:p>
        </w:tc>
        <w:tc>
          <w:tcPr>
            <w:tcW w:w="553" w:type="pct"/>
            <w:vAlign w:val="center"/>
          </w:tcPr>
          <w:p w14:paraId="298BF5A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w:t>
            </w:r>
            <w:r>
              <w:rPr>
                <w:rFonts w:hint="eastAsia" w:ascii="Times New Roman" w:hAnsi="Times New Roman" w:cs="Times New Roman"/>
                <w:szCs w:val="21"/>
                <w:lang w:val="en-US" w:eastAsia="zh-CN"/>
              </w:rPr>
              <w:t>4</w:t>
            </w:r>
          </w:p>
        </w:tc>
        <w:tc>
          <w:tcPr>
            <w:tcW w:w="437" w:type="pct"/>
            <w:vAlign w:val="center"/>
          </w:tcPr>
          <w:p w14:paraId="44DF097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w:t>
            </w:r>
          </w:p>
        </w:tc>
      </w:tr>
      <w:tr w14:paraId="70411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pct"/>
            <w:vAlign w:val="center"/>
          </w:tcPr>
          <w:p w14:paraId="0DC9E10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汞及其化合物</w:t>
            </w:r>
          </w:p>
        </w:tc>
        <w:tc>
          <w:tcPr>
            <w:tcW w:w="360" w:type="pct"/>
            <w:vMerge w:val="continue"/>
            <w:vAlign w:val="center"/>
          </w:tcPr>
          <w:p w14:paraId="2F67DA4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34" w:type="pct"/>
            <w:vAlign w:val="center"/>
          </w:tcPr>
          <w:p w14:paraId="7F3361A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2.382</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7</w:t>
            </w:r>
          </w:p>
        </w:tc>
        <w:tc>
          <w:tcPr>
            <w:tcW w:w="539" w:type="pct"/>
            <w:vAlign w:val="center"/>
          </w:tcPr>
          <w:p w14:paraId="4A2086A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2.719</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8</w:t>
            </w:r>
          </w:p>
        </w:tc>
        <w:tc>
          <w:tcPr>
            <w:tcW w:w="438" w:type="pct"/>
            <w:vMerge w:val="continue"/>
            <w:vAlign w:val="center"/>
          </w:tcPr>
          <w:p w14:paraId="6526060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51" w:type="pct"/>
            <w:vAlign w:val="center"/>
          </w:tcPr>
          <w:p w14:paraId="51AF375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70</w:t>
            </w:r>
          </w:p>
        </w:tc>
        <w:tc>
          <w:tcPr>
            <w:tcW w:w="495" w:type="pct"/>
            <w:vAlign w:val="center"/>
          </w:tcPr>
          <w:p w14:paraId="1C4720B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3.576×10</w:t>
            </w:r>
            <w:r>
              <w:rPr>
                <w:rFonts w:hint="eastAsia" w:ascii="Times New Roman" w:hAnsi="Times New Roman" w:cs="Times New Roman"/>
                <w:szCs w:val="21"/>
                <w:vertAlign w:val="superscript"/>
                <w:lang w:val="en-US" w:eastAsia="zh-CN"/>
              </w:rPr>
              <w:t>-6</w:t>
            </w:r>
          </w:p>
        </w:tc>
        <w:tc>
          <w:tcPr>
            <w:tcW w:w="582" w:type="pct"/>
            <w:vAlign w:val="center"/>
          </w:tcPr>
          <w:p w14:paraId="745098F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8.1</w:t>
            </w:r>
            <w:r>
              <w:rPr>
                <w:rFonts w:hint="eastAsia" w:ascii="Times New Roman" w:hAnsi="Times New Roman" w:cs="Times New Roman"/>
                <w:szCs w:val="21"/>
                <w:lang w:val="en-US" w:eastAsia="zh-CN"/>
              </w:rPr>
              <w:t>57</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9</w:t>
            </w:r>
          </w:p>
        </w:tc>
        <w:tc>
          <w:tcPr>
            <w:tcW w:w="553" w:type="pct"/>
            <w:vAlign w:val="center"/>
          </w:tcPr>
          <w:p w14:paraId="7C3D2CC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7.1</w:t>
            </w:r>
            <w:r>
              <w:rPr>
                <w:rFonts w:hint="eastAsia" w:ascii="Times New Roman" w:hAnsi="Times New Roman" w:cs="Times New Roman"/>
                <w:szCs w:val="21"/>
                <w:lang w:val="en-US" w:eastAsia="zh-CN"/>
              </w:rPr>
              <w:t>46</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8</w:t>
            </w:r>
          </w:p>
        </w:tc>
        <w:tc>
          <w:tcPr>
            <w:tcW w:w="437" w:type="pct"/>
            <w:vAlign w:val="center"/>
          </w:tcPr>
          <w:p w14:paraId="0E245FF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0.05</w:t>
            </w:r>
          </w:p>
        </w:tc>
      </w:tr>
      <w:tr w14:paraId="789B7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707" w:type="pct"/>
            <w:vAlign w:val="center"/>
          </w:tcPr>
          <w:p w14:paraId="7CAE693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铅及其化合物</w:t>
            </w:r>
          </w:p>
        </w:tc>
        <w:tc>
          <w:tcPr>
            <w:tcW w:w="360" w:type="pct"/>
            <w:vMerge w:val="continue"/>
            <w:vAlign w:val="center"/>
          </w:tcPr>
          <w:p w14:paraId="1996651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34" w:type="pct"/>
            <w:vAlign w:val="center"/>
          </w:tcPr>
          <w:p w14:paraId="2BDD38B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6.422</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-4</w:t>
            </w:r>
          </w:p>
        </w:tc>
        <w:tc>
          <w:tcPr>
            <w:tcW w:w="539" w:type="pct"/>
            <w:vAlign w:val="center"/>
          </w:tcPr>
          <w:p w14:paraId="7BCBC1A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7.331</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5</w:t>
            </w:r>
          </w:p>
        </w:tc>
        <w:tc>
          <w:tcPr>
            <w:tcW w:w="438" w:type="pct"/>
            <w:vMerge w:val="continue"/>
            <w:vAlign w:val="center"/>
          </w:tcPr>
          <w:p w14:paraId="3131A37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51" w:type="pct"/>
            <w:vAlign w:val="center"/>
          </w:tcPr>
          <w:p w14:paraId="23E4857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80</w:t>
            </w:r>
          </w:p>
        </w:tc>
        <w:tc>
          <w:tcPr>
            <w:tcW w:w="495" w:type="pct"/>
            <w:vAlign w:val="center"/>
          </w:tcPr>
          <w:p w14:paraId="6710F2A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w:t>
            </w:r>
            <w:r>
              <w:rPr>
                <w:rFonts w:hint="eastAsia" w:ascii="Times New Roman" w:hAnsi="Times New Roman" w:cs="Times New Roman"/>
                <w:szCs w:val="21"/>
                <w:lang w:val="en-US" w:eastAsia="zh-CN"/>
              </w:rPr>
              <w:t>428</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-3</w:t>
            </w:r>
          </w:p>
        </w:tc>
        <w:tc>
          <w:tcPr>
            <w:tcW w:w="582" w:type="pct"/>
            <w:vAlign w:val="center"/>
          </w:tcPr>
          <w:p w14:paraId="7086CFA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w:t>
            </w:r>
            <w:r>
              <w:rPr>
                <w:rFonts w:hint="eastAsia" w:ascii="Times New Roman" w:hAnsi="Times New Roman" w:cs="Times New Roman"/>
                <w:szCs w:val="21"/>
                <w:lang w:val="en-US" w:eastAsia="zh-CN"/>
              </w:rPr>
              <w:t>466</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-5</w:t>
            </w:r>
          </w:p>
        </w:tc>
        <w:tc>
          <w:tcPr>
            <w:tcW w:w="553" w:type="pct"/>
            <w:vAlign w:val="center"/>
          </w:tcPr>
          <w:p w14:paraId="6E0C818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w:t>
            </w:r>
            <w:r>
              <w:rPr>
                <w:rFonts w:hint="eastAsia" w:ascii="Times New Roman" w:hAnsi="Times New Roman" w:cs="Times New Roman"/>
                <w:szCs w:val="21"/>
                <w:lang w:val="en-US" w:eastAsia="zh-CN"/>
              </w:rPr>
              <w:t>284</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-4</w:t>
            </w:r>
          </w:p>
        </w:tc>
        <w:tc>
          <w:tcPr>
            <w:tcW w:w="437" w:type="pct"/>
            <w:vAlign w:val="center"/>
          </w:tcPr>
          <w:p w14:paraId="40D016F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0.5</w:t>
            </w:r>
          </w:p>
        </w:tc>
      </w:tr>
      <w:tr w14:paraId="0D36B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pct"/>
            <w:vAlign w:val="center"/>
          </w:tcPr>
          <w:p w14:paraId="22605F1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镉及其化合物</w:t>
            </w:r>
          </w:p>
        </w:tc>
        <w:tc>
          <w:tcPr>
            <w:tcW w:w="360" w:type="pct"/>
            <w:vMerge w:val="continue"/>
            <w:vAlign w:val="center"/>
          </w:tcPr>
          <w:p w14:paraId="06B9DF0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34" w:type="pct"/>
            <w:vAlign w:val="center"/>
          </w:tcPr>
          <w:p w14:paraId="2231A9B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7.665</w:t>
            </w:r>
            <w:r>
              <w:rPr>
                <w:rFonts w:hint="eastAsia" w:ascii="Times New Roman" w:hAnsi="Times New Roman" w:cs="Times New Roman" w:eastAsiaTheme="minorEastAsia"/>
                <w:szCs w:val="21"/>
                <w:lang w:val="en-US" w:eastAsia="zh-CN"/>
              </w:rPr>
              <w:t>×10</w:t>
            </w:r>
            <w:r>
              <w:rPr>
                <w:rFonts w:hint="eastAsia" w:ascii="Times New Roman" w:hAnsi="Times New Roman" w:cs="Times New Roman"/>
                <w:szCs w:val="21"/>
                <w:vertAlign w:val="superscript"/>
                <w:lang w:val="en-US" w:eastAsia="zh-CN"/>
              </w:rPr>
              <w:t>-6</w:t>
            </w:r>
          </w:p>
        </w:tc>
        <w:tc>
          <w:tcPr>
            <w:tcW w:w="539" w:type="pct"/>
            <w:vAlign w:val="center"/>
          </w:tcPr>
          <w:p w14:paraId="203D683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8.75</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7</w:t>
            </w:r>
          </w:p>
        </w:tc>
        <w:tc>
          <w:tcPr>
            <w:tcW w:w="438" w:type="pct"/>
            <w:vMerge w:val="continue"/>
            <w:vAlign w:val="center"/>
          </w:tcPr>
          <w:p w14:paraId="30AE75C3">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51" w:type="pct"/>
            <w:vAlign w:val="center"/>
          </w:tcPr>
          <w:p w14:paraId="672813F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80</w:t>
            </w:r>
          </w:p>
        </w:tc>
        <w:tc>
          <w:tcPr>
            <w:tcW w:w="495" w:type="pct"/>
            <w:vAlign w:val="center"/>
          </w:tcPr>
          <w:p w14:paraId="416AA8D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7.672</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w:t>
            </w:r>
            <w:r>
              <w:rPr>
                <w:rFonts w:hint="eastAsia" w:ascii="Times New Roman" w:hAnsi="Times New Roman" w:cs="Times New Roman"/>
                <w:szCs w:val="21"/>
                <w:highlight w:val="none"/>
                <w:vertAlign w:val="superscript"/>
                <w:lang w:val="en-US" w:eastAsia="zh-CN"/>
              </w:rPr>
              <w:t>5</w:t>
            </w:r>
          </w:p>
        </w:tc>
        <w:tc>
          <w:tcPr>
            <w:tcW w:w="582" w:type="pct"/>
            <w:vAlign w:val="center"/>
          </w:tcPr>
          <w:p w14:paraId="102BBD0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1.75</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-7</w:t>
            </w:r>
          </w:p>
        </w:tc>
        <w:tc>
          <w:tcPr>
            <w:tcW w:w="553" w:type="pct"/>
            <w:vAlign w:val="center"/>
          </w:tcPr>
          <w:p w14:paraId="1056A67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1.533</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-6</w:t>
            </w:r>
          </w:p>
        </w:tc>
        <w:tc>
          <w:tcPr>
            <w:tcW w:w="437" w:type="pct"/>
            <w:vAlign w:val="center"/>
          </w:tcPr>
          <w:p w14:paraId="0C628D0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0.05</w:t>
            </w:r>
          </w:p>
        </w:tc>
      </w:tr>
      <w:tr w14:paraId="6F185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pct"/>
            <w:vAlign w:val="center"/>
          </w:tcPr>
          <w:p w14:paraId="57F5C56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砷及其化合物</w:t>
            </w:r>
          </w:p>
        </w:tc>
        <w:tc>
          <w:tcPr>
            <w:tcW w:w="360" w:type="pct"/>
            <w:vMerge w:val="continue"/>
            <w:vAlign w:val="center"/>
          </w:tcPr>
          <w:p w14:paraId="531AC53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1513" w:type="dxa"/>
            <w:vAlign w:val="center"/>
          </w:tcPr>
          <w:p w14:paraId="1282955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6.57</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-3</w:t>
            </w:r>
          </w:p>
        </w:tc>
        <w:tc>
          <w:tcPr>
            <w:tcW w:w="1528" w:type="dxa"/>
            <w:vAlign w:val="center"/>
          </w:tcPr>
          <w:p w14:paraId="613AC69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7.5×10</w:t>
            </w:r>
            <w:r>
              <w:rPr>
                <w:rFonts w:hint="eastAsia" w:ascii="Times New Roman" w:hAnsi="Times New Roman" w:cs="Times New Roman"/>
                <w:szCs w:val="21"/>
                <w:highlight w:val="none"/>
                <w:vertAlign w:val="superscript"/>
                <w:lang w:val="en-US" w:eastAsia="zh-CN"/>
              </w:rPr>
              <w:t>-4</w:t>
            </w:r>
          </w:p>
        </w:tc>
        <w:tc>
          <w:tcPr>
            <w:tcW w:w="438" w:type="pct"/>
            <w:vMerge w:val="continue"/>
            <w:vAlign w:val="center"/>
          </w:tcPr>
          <w:p w14:paraId="5656695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51" w:type="pct"/>
            <w:vAlign w:val="center"/>
          </w:tcPr>
          <w:p w14:paraId="76918FF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80</w:t>
            </w:r>
          </w:p>
        </w:tc>
        <w:tc>
          <w:tcPr>
            <w:tcW w:w="495" w:type="pct"/>
            <w:vAlign w:val="center"/>
          </w:tcPr>
          <w:p w14:paraId="650450F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0.037</w:t>
            </w:r>
          </w:p>
        </w:tc>
        <w:tc>
          <w:tcPr>
            <w:tcW w:w="582" w:type="pct"/>
            <w:vAlign w:val="center"/>
          </w:tcPr>
          <w:p w14:paraId="1986C92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1.5</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4</w:t>
            </w:r>
          </w:p>
        </w:tc>
        <w:tc>
          <w:tcPr>
            <w:tcW w:w="553" w:type="pct"/>
            <w:vAlign w:val="center"/>
          </w:tcPr>
          <w:p w14:paraId="000DF58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1.314</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3</w:t>
            </w:r>
          </w:p>
        </w:tc>
        <w:tc>
          <w:tcPr>
            <w:tcW w:w="437" w:type="pct"/>
            <w:vAlign w:val="center"/>
          </w:tcPr>
          <w:p w14:paraId="36C8777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0.5</w:t>
            </w:r>
          </w:p>
        </w:tc>
      </w:tr>
      <w:tr w14:paraId="4C558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pct"/>
            <w:vAlign w:val="center"/>
          </w:tcPr>
          <w:p w14:paraId="6B06025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铬及其化合物</w:t>
            </w:r>
          </w:p>
        </w:tc>
        <w:tc>
          <w:tcPr>
            <w:tcW w:w="360" w:type="pct"/>
            <w:vMerge w:val="continue"/>
            <w:vAlign w:val="center"/>
          </w:tcPr>
          <w:p w14:paraId="3B1E756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34" w:type="pct"/>
            <w:vAlign w:val="center"/>
          </w:tcPr>
          <w:p w14:paraId="247E463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5.17</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-3</w:t>
            </w:r>
          </w:p>
        </w:tc>
        <w:tc>
          <w:tcPr>
            <w:tcW w:w="539" w:type="pct"/>
            <w:vAlign w:val="center"/>
          </w:tcPr>
          <w:p w14:paraId="0AB4224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4.178</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-3</w:t>
            </w:r>
          </w:p>
        </w:tc>
        <w:tc>
          <w:tcPr>
            <w:tcW w:w="438" w:type="pct"/>
            <w:vMerge w:val="continue"/>
            <w:vAlign w:val="center"/>
          </w:tcPr>
          <w:p w14:paraId="297C4BE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51" w:type="pct"/>
            <w:vAlign w:val="center"/>
          </w:tcPr>
          <w:p w14:paraId="73B9AA8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80</w:t>
            </w:r>
          </w:p>
        </w:tc>
        <w:tc>
          <w:tcPr>
            <w:tcW w:w="495" w:type="pct"/>
            <w:vAlign w:val="center"/>
          </w:tcPr>
          <w:p w14:paraId="227A91C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0.052</w:t>
            </w:r>
          </w:p>
        </w:tc>
        <w:tc>
          <w:tcPr>
            <w:tcW w:w="582" w:type="pct"/>
            <w:vAlign w:val="center"/>
          </w:tcPr>
          <w:p w14:paraId="053EE0C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1.18</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-4</w:t>
            </w:r>
          </w:p>
        </w:tc>
        <w:tc>
          <w:tcPr>
            <w:tcW w:w="553" w:type="pct"/>
            <w:vAlign w:val="center"/>
          </w:tcPr>
          <w:p w14:paraId="1223431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0.001</w:t>
            </w:r>
          </w:p>
        </w:tc>
        <w:tc>
          <w:tcPr>
            <w:tcW w:w="437" w:type="pct"/>
            <w:vAlign w:val="center"/>
          </w:tcPr>
          <w:p w14:paraId="7EF0898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0.5</w:t>
            </w:r>
          </w:p>
        </w:tc>
      </w:tr>
      <w:tr w14:paraId="7044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pct"/>
            <w:vAlign w:val="center"/>
          </w:tcPr>
          <w:p w14:paraId="3DF26FD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铊及其化合物</w:t>
            </w:r>
          </w:p>
        </w:tc>
        <w:tc>
          <w:tcPr>
            <w:tcW w:w="360" w:type="pct"/>
            <w:vMerge w:val="continue"/>
            <w:vAlign w:val="center"/>
          </w:tcPr>
          <w:p w14:paraId="67F8BEB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34" w:type="pct"/>
            <w:vAlign w:val="center"/>
          </w:tcPr>
          <w:p w14:paraId="06FA7AA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9.598</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-6</w:t>
            </w:r>
          </w:p>
        </w:tc>
        <w:tc>
          <w:tcPr>
            <w:tcW w:w="539" w:type="pct"/>
            <w:vAlign w:val="center"/>
          </w:tcPr>
          <w:p w14:paraId="0B012D0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1.096</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-6</w:t>
            </w:r>
          </w:p>
        </w:tc>
        <w:tc>
          <w:tcPr>
            <w:tcW w:w="438" w:type="pct"/>
            <w:vMerge w:val="continue"/>
            <w:vAlign w:val="center"/>
          </w:tcPr>
          <w:p w14:paraId="478206D3">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51" w:type="pct"/>
            <w:vAlign w:val="center"/>
          </w:tcPr>
          <w:p w14:paraId="4F224B7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80</w:t>
            </w:r>
          </w:p>
        </w:tc>
        <w:tc>
          <w:tcPr>
            <w:tcW w:w="495" w:type="pct"/>
            <w:vAlign w:val="center"/>
          </w:tcPr>
          <w:p w14:paraId="33FFB0A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9.607</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-5</w:t>
            </w:r>
          </w:p>
        </w:tc>
        <w:tc>
          <w:tcPr>
            <w:tcW w:w="582" w:type="pct"/>
            <w:vAlign w:val="center"/>
          </w:tcPr>
          <w:p w14:paraId="74AD6DA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2.191</w:t>
            </w:r>
            <w:r>
              <w:rPr>
                <w:rFonts w:hint="eastAsia" w:ascii="Times New Roman" w:hAnsi="Times New Roman" w:cs="Times New Roman" w:eastAsiaTheme="minorEastAsia"/>
                <w:szCs w:val="21"/>
                <w:lang w:val="en-US" w:eastAsia="zh-CN"/>
              </w:rPr>
              <w:t>×10</w:t>
            </w:r>
            <w:r>
              <w:rPr>
                <w:rFonts w:hint="eastAsia" w:ascii="Times New Roman" w:hAnsi="Times New Roman" w:cs="Times New Roman"/>
                <w:szCs w:val="21"/>
                <w:vertAlign w:val="superscript"/>
                <w:lang w:val="en-US" w:eastAsia="zh-CN"/>
              </w:rPr>
              <w:t>-7</w:t>
            </w:r>
          </w:p>
        </w:tc>
        <w:tc>
          <w:tcPr>
            <w:tcW w:w="553" w:type="pct"/>
            <w:vAlign w:val="center"/>
          </w:tcPr>
          <w:p w14:paraId="4138E83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1.92</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6</w:t>
            </w:r>
          </w:p>
        </w:tc>
        <w:tc>
          <w:tcPr>
            <w:tcW w:w="437" w:type="pct"/>
            <w:vAlign w:val="center"/>
          </w:tcPr>
          <w:p w14:paraId="569F5FA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0.05</w:t>
            </w:r>
          </w:p>
        </w:tc>
      </w:tr>
      <w:tr w14:paraId="5924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pct"/>
            <w:vAlign w:val="center"/>
          </w:tcPr>
          <w:p w14:paraId="29EB6712">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Sn+Sb+Cu+Mn+Ni</w:t>
            </w:r>
          </w:p>
        </w:tc>
        <w:tc>
          <w:tcPr>
            <w:tcW w:w="360" w:type="pct"/>
            <w:vMerge w:val="continue"/>
            <w:vAlign w:val="center"/>
          </w:tcPr>
          <w:p w14:paraId="2D26F51A">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34" w:type="pct"/>
            <w:vAlign w:val="center"/>
          </w:tcPr>
          <w:p w14:paraId="5BC625E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3.575</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-3</w:t>
            </w:r>
          </w:p>
        </w:tc>
        <w:tc>
          <w:tcPr>
            <w:tcW w:w="539" w:type="pct"/>
            <w:vAlign w:val="center"/>
          </w:tcPr>
          <w:p w14:paraId="27D751E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4.081</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4</w:t>
            </w:r>
          </w:p>
        </w:tc>
        <w:tc>
          <w:tcPr>
            <w:tcW w:w="438" w:type="pct"/>
            <w:vMerge w:val="continue"/>
            <w:vAlign w:val="center"/>
          </w:tcPr>
          <w:p w14:paraId="6CF8109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51" w:type="pct"/>
            <w:vAlign w:val="center"/>
          </w:tcPr>
          <w:p w14:paraId="21A3BD5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80</w:t>
            </w:r>
          </w:p>
        </w:tc>
        <w:tc>
          <w:tcPr>
            <w:tcW w:w="495" w:type="pct"/>
            <w:vAlign w:val="center"/>
          </w:tcPr>
          <w:p w14:paraId="7CA408F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0.03</w:t>
            </w:r>
            <w:r>
              <w:rPr>
                <w:rFonts w:hint="eastAsia" w:ascii="Times New Roman" w:hAnsi="Times New Roman" w:cs="Times New Roman"/>
                <w:szCs w:val="21"/>
                <w:highlight w:val="none"/>
                <w:lang w:val="en-US" w:eastAsia="zh-CN"/>
              </w:rPr>
              <w:t>6</w:t>
            </w:r>
          </w:p>
        </w:tc>
        <w:tc>
          <w:tcPr>
            <w:tcW w:w="582" w:type="pct"/>
            <w:vAlign w:val="center"/>
          </w:tcPr>
          <w:p w14:paraId="7CEE312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8.162</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-5</w:t>
            </w:r>
          </w:p>
        </w:tc>
        <w:tc>
          <w:tcPr>
            <w:tcW w:w="553" w:type="pct"/>
            <w:vAlign w:val="center"/>
          </w:tcPr>
          <w:p w14:paraId="0184F0D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7.150</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-4</w:t>
            </w:r>
          </w:p>
        </w:tc>
        <w:tc>
          <w:tcPr>
            <w:tcW w:w="437" w:type="pct"/>
            <w:vAlign w:val="center"/>
          </w:tcPr>
          <w:p w14:paraId="54F5085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2.0</w:t>
            </w:r>
          </w:p>
        </w:tc>
      </w:tr>
      <w:tr w14:paraId="43461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pct"/>
            <w:vAlign w:val="center"/>
          </w:tcPr>
          <w:p w14:paraId="754C619E">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二噁英类</w:t>
            </w:r>
          </w:p>
        </w:tc>
        <w:tc>
          <w:tcPr>
            <w:tcW w:w="360" w:type="pct"/>
            <w:vMerge w:val="continue"/>
            <w:vAlign w:val="center"/>
          </w:tcPr>
          <w:p w14:paraId="4E0B7B7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34" w:type="pct"/>
            <w:vAlign w:val="center"/>
          </w:tcPr>
          <w:p w14:paraId="049FA0D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6.293</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-10</w:t>
            </w:r>
          </w:p>
        </w:tc>
        <w:tc>
          <w:tcPr>
            <w:tcW w:w="539" w:type="pct"/>
            <w:vAlign w:val="center"/>
          </w:tcPr>
          <w:p w14:paraId="2C5FE79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7.184</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-11</w:t>
            </w:r>
          </w:p>
        </w:tc>
        <w:tc>
          <w:tcPr>
            <w:tcW w:w="438" w:type="pct"/>
            <w:vMerge w:val="continue"/>
            <w:vAlign w:val="center"/>
          </w:tcPr>
          <w:p w14:paraId="4DC5629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51" w:type="pct"/>
            <w:vAlign w:val="center"/>
          </w:tcPr>
          <w:p w14:paraId="0AC9085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92</w:t>
            </w:r>
          </w:p>
        </w:tc>
        <w:tc>
          <w:tcPr>
            <w:tcW w:w="495" w:type="pct"/>
            <w:vAlign w:val="center"/>
          </w:tcPr>
          <w:p w14:paraId="2E13CDB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2.5×10</w:t>
            </w:r>
            <w:r>
              <w:rPr>
                <w:rFonts w:hint="eastAsia" w:ascii="Times New Roman" w:hAnsi="Times New Roman" w:cs="Times New Roman"/>
                <w:szCs w:val="21"/>
                <w:highlight w:val="none"/>
                <w:vertAlign w:val="superscript"/>
                <w:lang w:val="en-US" w:eastAsia="zh-CN"/>
              </w:rPr>
              <w:t>-6</w:t>
            </w:r>
          </w:p>
        </w:tc>
        <w:tc>
          <w:tcPr>
            <w:tcW w:w="582" w:type="pct"/>
            <w:vAlign w:val="center"/>
          </w:tcPr>
          <w:p w14:paraId="0810B15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5.</w:t>
            </w:r>
            <w:r>
              <w:rPr>
                <w:rFonts w:hint="eastAsia" w:ascii="Times New Roman" w:hAnsi="Times New Roman" w:cs="Times New Roman"/>
                <w:szCs w:val="21"/>
                <w:highlight w:val="none"/>
                <w:lang w:val="en-US" w:eastAsia="zh-CN"/>
              </w:rPr>
              <w:t>747</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-12</w:t>
            </w:r>
          </w:p>
        </w:tc>
        <w:tc>
          <w:tcPr>
            <w:tcW w:w="553" w:type="pct"/>
            <w:vAlign w:val="center"/>
          </w:tcPr>
          <w:p w14:paraId="3299C48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5.034</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-11</w:t>
            </w:r>
          </w:p>
        </w:tc>
        <w:tc>
          <w:tcPr>
            <w:tcW w:w="437" w:type="pct"/>
            <w:vAlign w:val="center"/>
          </w:tcPr>
          <w:p w14:paraId="1AD278E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0.5</w:t>
            </w:r>
          </w:p>
        </w:tc>
      </w:tr>
    </w:tbl>
    <w:p w14:paraId="42A0BBC7">
      <w:pPr>
        <w:jc w:val="center"/>
        <w:rPr>
          <w:rFonts w:hint="default" w:ascii="Times New Roman" w:hAnsi="Times New Roman" w:eastAsia="华文中宋" w:cs="Times New Roman"/>
          <w:sz w:val="24"/>
          <w:highlight w:val="none"/>
          <w:lang w:val="en-US" w:eastAsia="zh-CN"/>
        </w:rPr>
        <w:sectPr>
          <w:pgSz w:w="16838" w:h="11906" w:orient="landscape"/>
          <w:pgMar w:top="1800" w:right="1440" w:bottom="1800" w:left="1440" w:header="851" w:footer="992" w:gutter="0"/>
          <w:pgNumType w:fmt="decimal"/>
          <w:cols w:space="425" w:num="1"/>
          <w:docGrid w:type="lines" w:linePitch="312" w:charSpace="0"/>
        </w:sectPr>
      </w:pPr>
    </w:p>
    <w:p w14:paraId="15563E39">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（2）冷库医疗垃圾贮存废气</w:t>
      </w:r>
    </w:p>
    <w:p w14:paraId="17FEBA22">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本项目收集的医疗废物进场后，如不能立即处置的，须暂存于冷库内。医疗废物暂存过程中会散发出恶臭气体，主要成分为</w:t>
      </w:r>
      <w:r>
        <w:rPr>
          <w:rFonts w:hint="default" w:ascii="Times New Roman" w:hAnsi="Times New Roman" w:cs="Times New Roman" w:eastAsiaTheme="minorEastAsia"/>
          <w:sz w:val="24"/>
          <w:highlight w:val="none"/>
          <w:lang w:val="en-US" w:eastAsia="zh-CN"/>
        </w:rPr>
        <w:t>H</w:t>
      </w:r>
      <w:r>
        <w:rPr>
          <w:rFonts w:hint="default" w:ascii="Times New Roman" w:hAnsi="Times New Roman" w:cs="Times New Roman" w:eastAsiaTheme="minorEastAsia"/>
          <w:sz w:val="24"/>
          <w:highlight w:val="none"/>
          <w:vertAlign w:val="subscript"/>
          <w:lang w:val="en-US" w:eastAsia="zh-CN"/>
        </w:rPr>
        <w:t>2</w:t>
      </w:r>
      <w:r>
        <w:rPr>
          <w:rFonts w:hint="default" w:ascii="Times New Roman" w:hAnsi="Times New Roman" w:cs="Times New Roman" w:eastAsiaTheme="minorEastAsia"/>
          <w:sz w:val="24"/>
          <w:highlight w:val="none"/>
          <w:lang w:val="en-US" w:eastAsia="zh-CN"/>
        </w:rPr>
        <w:t>S</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NH</w:t>
      </w:r>
      <w:r>
        <w:rPr>
          <w:rFonts w:hint="default" w:ascii="Times New Roman" w:hAnsi="Times New Roman" w:cs="Times New Roman" w:eastAsiaTheme="minorEastAsia"/>
          <w:sz w:val="24"/>
          <w:highlight w:val="none"/>
          <w:vertAlign w:val="subscript"/>
          <w:lang w:val="en-US" w:eastAsia="zh-CN"/>
        </w:rPr>
        <w:t>3</w:t>
      </w:r>
      <w:r>
        <w:rPr>
          <w:rFonts w:hint="eastAsia" w:ascii="Times New Roman" w:hAnsi="Times New Roman" w:cs="Times New Roman" w:eastAsiaTheme="minorEastAsia"/>
          <w:sz w:val="24"/>
          <w:highlight w:val="none"/>
          <w:lang w:val="en-US" w:eastAsia="zh-CN"/>
        </w:rPr>
        <w:t>。项目冷库为密封设计，</w:t>
      </w:r>
      <w:r>
        <w:rPr>
          <w:rFonts w:hint="eastAsia" w:ascii="Times New Roman" w:hAnsi="Times New Roman" w:cs="Times New Roman"/>
          <w:sz w:val="24"/>
          <w:highlight w:val="none"/>
          <w:lang w:val="en-US" w:eastAsia="zh-CN"/>
        </w:rPr>
        <w:t>设置</w:t>
      </w:r>
      <w:r>
        <w:rPr>
          <w:rFonts w:hint="eastAsia" w:ascii="Times New Roman" w:hAnsi="Times New Roman" w:cs="Times New Roman" w:eastAsiaTheme="minorEastAsia"/>
          <w:sz w:val="24"/>
          <w:highlight w:val="none"/>
          <w:lang w:val="en-US" w:eastAsia="zh-CN"/>
        </w:rPr>
        <w:t>抽风机保证冷库室内形成微负压冷库抽风机风量为</w:t>
      </w:r>
      <w:r>
        <w:rPr>
          <w:rFonts w:hint="eastAsia" w:ascii="Times New Roman" w:hAnsi="Times New Roman" w:cs="Times New Roman"/>
          <w:sz w:val="24"/>
          <w:highlight w:val="none"/>
          <w:lang w:val="en-US" w:eastAsia="zh-CN"/>
        </w:rPr>
        <w:t>20</w:t>
      </w:r>
      <w:r>
        <w:rPr>
          <w:rFonts w:hint="eastAsia" w:ascii="Times New Roman" w:hAnsi="Times New Roman" w:cs="Times New Roman" w:eastAsiaTheme="minorEastAsia"/>
          <w:sz w:val="24"/>
          <w:highlight w:val="none"/>
          <w:lang w:val="en-US" w:eastAsia="zh-CN"/>
        </w:rPr>
        <w:t>0</w:t>
      </w:r>
      <w:r>
        <w:rPr>
          <w:rFonts w:hint="default" w:ascii="Times New Roman" w:hAnsi="Times New Roman" w:cs="Times New Roman" w:eastAsiaTheme="minorEastAsia"/>
          <w:sz w:val="24"/>
          <w:highlight w:val="none"/>
          <w:lang w:val="en-US" w:eastAsia="zh-CN"/>
        </w:rPr>
        <w:t>0Nm</w:t>
      </w:r>
      <w:r>
        <w:rPr>
          <w:rFonts w:hint="default" w:ascii="Times New Roman" w:hAnsi="Times New Roman" w:cs="Times New Roman" w:eastAsiaTheme="minorEastAsia"/>
          <w:sz w:val="24"/>
          <w:highlight w:val="none"/>
          <w:vertAlign w:val="superscript"/>
          <w:lang w:val="en-US" w:eastAsia="zh-CN"/>
        </w:rPr>
        <w:t>3</w:t>
      </w:r>
      <w:r>
        <w:rPr>
          <w:rFonts w:hint="default" w:ascii="Times New Roman" w:hAnsi="Times New Roman" w:cs="Times New Roman" w:eastAsiaTheme="minorEastAsia"/>
          <w:sz w:val="24"/>
          <w:highlight w:val="none"/>
          <w:lang w:val="en-US" w:eastAsia="zh-CN"/>
        </w:rPr>
        <w:t>/h</w:t>
      </w:r>
      <w:r>
        <w:rPr>
          <w:rFonts w:hint="eastAsia" w:ascii="Times New Roman" w:hAnsi="Times New Roman" w:cs="Times New Roman" w:eastAsiaTheme="minorEastAsia"/>
          <w:sz w:val="24"/>
          <w:highlight w:val="none"/>
          <w:lang w:val="en-US" w:eastAsia="zh-CN"/>
        </w:rPr>
        <w:t>，抽出气体经输送管道阀门切换，送冷库楼顶设置的</w:t>
      </w:r>
      <w:r>
        <w:rPr>
          <w:rFonts w:hint="eastAsia" w:ascii="Times New Roman" w:hAnsi="Times New Roman" w:cs="Times New Roman"/>
          <w:sz w:val="24"/>
          <w:highlight w:val="none"/>
          <w:lang w:val="en-US" w:eastAsia="zh-CN"/>
        </w:rPr>
        <w:t>UV光氧+</w:t>
      </w:r>
      <w:r>
        <w:rPr>
          <w:rFonts w:hint="eastAsia" w:ascii="Times New Roman" w:hAnsi="Times New Roman" w:cs="Times New Roman" w:eastAsiaTheme="minorEastAsia"/>
          <w:sz w:val="24"/>
          <w:highlight w:val="none"/>
          <w:lang w:val="en-US" w:eastAsia="zh-CN"/>
        </w:rPr>
        <w:t>活性炭吸附装置</w:t>
      </w:r>
      <w:r>
        <w:rPr>
          <w:rFonts w:hint="eastAsia" w:ascii="Times New Roman" w:hAnsi="Times New Roman" w:cs="Times New Roman"/>
          <w:sz w:val="24"/>
          <w:highlight w:val="none"/>
          <w:lang w:val="en-US" w:eastAsia="zh-CN"/>
        </w:rPr>
        <w:t>治理</w:t>
      </w:r>
      <w:r>
        <w:rPr>
          <w:rFonts w:hint="eastAsia" w:ascii="Times New Roman" w:hAnsi="Times New Roman" w:cs="Times New Roman" w:eastAsiaTheme="minorEastAsia"/>
          <w:sz w:val="24"/>
          <w:highlight w:val="none"/>
          <w:lang w:val="en-US" w:eastAsia="zh-CN"/>
        </w:rPr>
        <w:t>后</w:t>
      </w:r>
      <w:r>
        <w:rPr>
          <w:rFonts w:hint="eastAsia" w:ascii="Times New Roman" w:hAnsi="Times New Roman" w:cs="Times New Roman"/>
          <w:sz w:val="24"/>
          <w:highlight w:val="none"/>
          <w:lang w:val="en-US" w:eastAsia="zh-CN"/>
        </w:rPr>
        <w:t>有</w:t>
      </w:r>
      <w:r>
        <w:rPr>
          <w:rFonts w:hint="eastAsia" w:ascii="Times New Roman" w:hAnsi="Times New Roman" w:cs="Times New Roman" w:eastAsiaTheme="minorEastAsia"/>
          <w:sz w:val="24"/>
          <w:highlight w:val="none"/>
          <w:lang w:val="en-US" w:eastAsia="zh-CN"/>
        </w:rPr>
        <w:t>组织排放，净化效率</w:t>
      </w:r>
      <w:r>
        <w:rPr>
          <w:rFonts w:hint="default" w:ascii="Times New Roman" w:hAnsi="Times New Roman" w:cs="Times New Roman" w:eastAsiaTheme="minorEastAsia"/>
          <w:sz w:val="24"/>
          <w:highlight w:val="none"/>
          <w:lang w:val="en-US" w:eastAsia="zh-CN"/>
        </w:rPr>
        <w:t>≥90%</w:t>
      </w:r>
      <w:r>
        <w:rPr>
          <w:rFonts w:hint="eastAsia" w:ascii="Times New Roman" w:hAnsi="Times New Roman" w:cs="Times New Roman" w:eastAsiaTheme="minorEastAsia"/>
          <w:sz w:val="24"/>
          <w:highlight w:val="none"/>
          <w:lang w:val="en-US" w:eastAsia="zh-CN"/>
        </w:rPr>
        <w:t>，可保证冷库废气的有效处置。</w:t>
      </w:r>
    </w:p>
    <w:p w14:paraId="1E2B70CC">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类比</w:t>
      </w:r>
      <w:r>
        <w:rPr>
          <w:rFonts w:hint="eastAsia" w:ascii="Times New Roman" w:hAnsi="Times New Roman" w:cs="Times New Roman"/>
          <w:sz w:val="24"/>
          <w:highlight w:val="none"/>
          <w:lang w:val="en-US" w:eastAsia="zh-CN"/>
        </w:rPr>
        <w:t>新疆狮岭能源环保集团有限公司贝肯环保克拉玛依危废处理项目竣工环境保护验收报告（医疗废物暂存规模与本项目相近）</w:t>
      </w:r>
      <w:r>
        <w:rPr>
          <w:rFonts w:hint="eastAsia" w:ascii="Times New Roman" w:hAnsi="Times New Roman" w:cs="Times New Roman" w:eastAsiaTheme="minorEastAsia"/>
          <w:sz w:val="24"/>
          <w:highlight w:val="none"/>
          <w:lang w:val="en-US" w:eastAsia="zh-CN"/>
        </w:rPr>
        <w:t>确定贮存废气产生及排放情况见表</w:t>
      </w:r>
      <w:r>
        <w:rPr>
          <w:rFonts w:hint="default" w:ascii="Times New Roman" w:hAnsi="Times New Roman" w:cs="Times New Roman" w:eastAsiaTheme="minorEastAsia"/>
          <w:sz w:val="24"/>
          <w:highlight w:val="none"/>
          <w:lang w:val="en-US" w:eastAsia="zh-CN"/>
        </w:rPr>
        <w:t>3.</w:t>
      </w:r>
      <w:r>
        <w:rPr>
          <w:rFonts w:hint="eastAsia" w:ascii="Times New Roman" w:hAnsi="Times New Roman" w:cs="Times New Roman"/>
          <w:sz w:val="24"/>
          <w:highlight w:val="none"/>
          <w:lang w:val="en-US" w:eastAsia="zh-CN"/>
        </w:rPr>
        <w:t>5-3</w:t>
      </w:r>
    </w:p>
    <w:p w14:paraId="35FF8586">
      <w:pPr>
        <w:snapToGrid w:val="0"/>
        <w:spacing w:before="241"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表3.</w:t>
      </w:r>
      <w:r>
        <w:rPr>
          <w:rFonts w:hint="eastAsia" w:ascii="Times New Roman" w:hAnsi="Times New Roman" w:cs="Times New Roman"/>
          <w:b/>
          <w:szCs w:val="21"/>
          <w:lang w:val="en-US" w:eastAsia="zh-CN"/>
        </w:rPr>
        <w:t>5-3</w:t>
      </w:r>
      <w:r>
        <w:rPr>
          <w:rFonts w:hint="eastAsia" w:ascii="Times New Roman" w:hAnsi="Times New Roman" w:cs="Times New Roman" w:eastAsiaTheme="minorEastAsia"/>
          <w:b/>
          <w:szCs w:val="21"/>
          <w:lang w:val="en-US" w:eastAsia="zh-CN"/>
        </w:rPr>
        <w:t xml:space="preserve">  医废暂存库污染物产生及排放情况一览表</w:t>
      </w:r>
    </w:p>
    <w:tbl>
      <w:tblPr>
        <w:tblStyle w:val="1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904"/>
        <w:gridCol w:w="1048"/>
        <w:gridCol w:w="867"/>
        <w:gridCol w:w="1435"/>
        <w:gridCol w:w="705"/>
        <w:gridCol w:w="1290"/>
        <w:gridCol w:w="1361"/>
      </w:tblGrid>
      <w:tr w14:paraId="6463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693CA89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污染源</w:t>
            </w:r>
          </w:p>
        </w:tc>
        <w:tc>
          <w:tcPr>
            <w:tcW w:w="530" w:type="pct"/>
            <w:vAlign w:val="center"/>
          </w:tcPr>
          <w:p w14:paraId="44E83B9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污染物名称</w:t>
            </w:r>
          </w:p>
        </w:tc>
        <w:tc>
          <w:tcPr>
            <w:tcW w:w="615" w:type="pct"/>
            <w:vAlign w:val="center"/>
          </w:tcPr>
          <w:p w14:paraId="5A0D6C2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产生速率（kg/h）</w:t>
            </w:r>
          </w:p>
        </w:tc>
        <w:tc>
          <w:tcPr>
            <w:tcW w:w="508" w:type="pct"/>
            <w:vAlign w:val="center"/>
          </w:tcPr>
          <w:p w14:paraId="3740C54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产生量（t/a）</w:t>
            </w:r>
          </w:p>
        </w:tc>
        <w:tc>
          <w:tcPr>
            <w:tcW w:w="842" w:type="pct"/>
            <w:vAlign w:val="center"/>
          </w:tcPr>
          <w:p w14:paraId="12F1E83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废气治理措施</w:t>
            </w:r>
          </w:p>
        </w:tc>
        <w:tc>
          <w:tcPr>
            <w:tcW w:w="413" w:type="pct"/>
            <w:vAlign w:val="center"/>
          </w:tcPr>
          <w:p w14:paraId="0CE65A4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治理效率</w:t>
            </w:r>
          </w:p>
        </w:tc>
        <w:tc>
          <w:tcPr>
            <w:tcW w:w="757" w:type="pct"/>
            <w:vAlign w:val="center"/>
          </w:tcPr>
          <w:p w14:paraId="36AA46D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排放速率</w:t>
            </w:r>
            <w:r>
              <w:rPr>
                <w:rFonts w:hint="eastAsia" w:ascii="Times New Roman" w:hAnsi="Times New Roman" w:cs="Times New Roman"/>
                <w:szCs w:val="21"/>
                <w:lang w:val="en-US" w:eastAsia="zh-CN"/>
              </w:rPr>
              <w:t>（kg/h）</w:t>
            </w:r>
          </w:p>
        </w:tc>
        <w:tc>
          <w:tcPr>
            <w:tcW w:w="798" w:type="pct"/>
            <w:vAlign w:val="center"/>
          </w:tcPr>
          <w:p w14:paraId="38F0112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排放量（t/a）</w:t>
            </w:r>
          </w:p>
        </w:tc>
      </w:tr>
      <w:tr w14:paraId="6A99E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533" w:type="pct"/>
            <w:vMerge w:val="restart"/>
            <w:vAlign w:val="center"/>
          </w:tcPr>
          <w:p w14:paraId="07F5D13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医废暂存库</w:t>
            </w:r>
          </w:p>
        </w:tc>
        <w:tc>
          <w:tcPr>
            <w:tcW w:w="530" w:type="pct"/>
            <w:vAlign w:val="center"/>
          </w:tcPr>
          <w:p w14:paraId="3CDFBB8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H</w:t>
            </w:r>
            <w:r>
              <w:rPr>
                <w:rFonts w:hint="eastAsia" w:ascii="Times New Roman" w:hAnsi="Times New Roman" w:cs="Times New Roman" w:eastAsiaTheme="minorEastAsia"/>
                <w:szCs w:val="21"/>
                <w:vertAlign w:val="subscript"/>
                <w:lang w:val="en-US" w:eastAsia="zh-CN"/>
              </w:rPr>
              <w:t>2</w:t>
            </w:r>
            <w:r>
              <w:rPr>
                <w:rFonts w:hint="eastAsia" w:ascii="Times New Roman" w:hAnsi="Times New Roman" w:cs="Times New Roman" w:eastAsiaTheme="minorEastAsia"/>
                <w:szCs w:val="21"/>
                <w:lang w:val="en-US" w:eastAsia="zh-CN"/>
              </w:rPr>
              <w:t>S</w:t>
            </w:r>
          </w:p>
        </w:tc>
        <w:tc>
          <w:tcPr>
            <w:tcW w:w="615" w:type="pct"/>
            <w:vAlign w:val="center"/>
          </w:tcPr>
          <w:p w14:paraId="36F6466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0.00534</w:t>
            </w:r>
          </w:p>
        </w:tc>
        <w:tc>
          <w:tcPr>
            <w:tcW w:w="508" w:type="pct"/>
            <w:vAlign w:val="center"/>
          </w:tcPr>
          <w:p w14:paraId="069E3F4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0.047</w:t>
            </w:r>
          </w:p>
        </w:tc>
        <w:tc>
          <w:tcPr>
            <w:tcW w:w="842" w:type="pct"/>
            <w:vMerge w:val="restart"/>
            <w:vAlign w:val="center"/>
          </w:tcPr>
          <w:p w14:paraId="34EC021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UV光氧+活性炭吸附</w:t>
            </w:r>
          </w:p>
        </w:tc>
        <w:tc>
          <w:tcPr>
            <w:tcW w:w="413" w:type="pct"/>
            <w:vMerge w:val="restart"/>
            <w:vAlign w:val="center"/>
          </w:tcPr>
          <w:p w14:paraId="676B47E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90%</w:t>
            </w:r>
          </w:p>
        </w:tc>
        <w:tc>
          <w:tcPr>
            <w:tcW w:w="757" w:type="pct"/>
            <w:vAlign w:val="center"/>
          </w:tcPr>
          <w:p w14:paraId="444C2D8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5.34×10</w:t>
            </w:r>
            <w:r>
              <w:rPr>
                <w:rFonts w:hint="eastAsia" w:ascii="Times New Roman" w:hAnsi="Times New Roman" w:cs="Times New Roman"/>
                <w:szCs w:val="21"/>
                <w:vertAlign w:val="superscript"/>
                <w:lang w:val="en-US" w:eastAsia="zh-CN"/>
              </w:rPr>
              <w:t>-4</w:t>
            </w:r>
          </w:p>
        </w:tc>
        <w:tc>
          <w:tcPr>
            <w:tcW w:w="798" w:type="pct"/>
            <w:vAlign w:val="center"/>
          </w:tcPr>
          <w:p w14:paraId="195CC1C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4.678×10</w:t>
            </w:r>
            <w:r>
              <w:rPr>
                <w:rFonts w:hint="eastAsia" w:ascii="Times New Roman" w:hAnsi="Times New Roman" w:cs="Times New Roman"/>
                <w:szCs w:val="21"/>
                <w:vertAlign w:val="superscript"/>
                <w:lang w:val="en-US" w:eastAsia="zh-CN"/>
              </w:rPr>
              <w:t>-3</w:t>
            </w:r>
          </w:p>
        </w:tc>
      </w:tr>
      <w:tr w14:paraId="6F025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Merge w:val="continue"/>
            <w:vAlign w:val="center"/>
          </w:tcPr>
          <w:p w14:paraId="13EE3A9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30" w:type="pct"/>
            <w:vAlign w:val="center"/>
          </w:tcPr>
          <w:p w14:paraId="670DE7F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NH</w:t>
            </w:r>
            <w:r>
              <w:rPr>
                <w:rFonts w:hint="eastAsia" w:ascii="Times New Roman" w:hAnsi="Times New Roman" w:cs="Times New Roman" w:eastAsiaTheme="minorEastAsia"/>
                <w:szCs w:val="21"/>
                <w:vertAlign w:val="subscript"/>
                <w:lang w:val="en-US" w:eastAsia="zh-CN"/>
              </w:rPr>
              <w:t>3</w:t>
            </w:r>
          </w:p>
        </w:tc>
        <w:tc>
          <w:tcPr>
            <w:tcW w:w="615" w:type="pct"/>
            <w:vAlign w:val="center"/>
          </w:tcPr>
          <w:p w14:paraId="5EA268F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0.00422</w:t>
            </w:r>
          </w:p>
        </w:tc>
        <w:tc>
          <w:tcPr>
            <w:tcW w:w="508" w:type="pct"/>
            <w:vAlign w:val="center"/>
          </w:tcPr>
          <w:p w14:paraId="1193744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0.037</w:t>
            </w:r>
          </w:p>
        </w:tc>
        <w:tc>
          <w:tcPr>
            <w:tcW w:w="842" w:type="pct"/>
            <w:vMerge w:val="continue"/>
            <w:vAlign w:val="center"/>
          </w:tcPr>
          <w:p w14:paraId="51E17D8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413" w:type="pct"/>
            <w:vMerge w:val="continue"/>
            <w:vAlign w:val="center"/>
          </w:tcPr>
          <w:p w14:paraId="6F8E635A">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57" w:type="pct"/>
            <w:vAlign w:val="center"/>
          </w:tcPr>
          <w:p w14:paraId="00D4FC6E">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4.237×10</w:t>
            </w:r>
            <w:r>
              <w:rPr>
                <w:rFonts w:hint="eastAsia" w:ascii="Times New Roman" w:hAnsi="Times New Roman" w:cs="Times New Roman"/>
                <w:szCs w:val="21"/>
                <w:vertAlign w:val="superscript"/>
                <w:lang w:val="en-US" w:eastAsia="zh-CN"/>
              </w:rPr>
              <w:t>-4</w:t>
            </w:r>
          </w:p>
        </w:tc>
        <w:tc>
          <w:tcPr>
            <w:tcW w:w="798" w:type="pct"/>
            <w:vAlign w:val="center"/>
          </w:tcPr>
          <w:p w14:paraId="1695A76C">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3.711×10</w:t>
            </w:r>
            <w:r>
              <w:rPr>
                <w:rFonts w:hint="eastAsia" w:ascii="Times New Roman" w:hAnsi="Times New Roman" w:cs="Times New Roman"/>
                <w:szCs w:val="21"/>
                <w:vertAlign w:val="superscript"/>
                <w:lang w:val="en-US" w:eastAsia="zh-CN"/>
              </w:rPr>
              <w:t>-3</w:t>
            </w:r>
          </w:p>
        </w:tc>
      </w:tr>
    </w:tbl>
    <w:p w14:paraId="0D1266F0">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3</w:t>
      </w:r>
      <w:r>
        <w:rPr>
          <w:rFonts w:hint="eastAsia" w:ascii="Times New Roman" w:hAnsi="Times New Roman" w:cs="Times New Roman" w:eastAsiaTheme="minorEastAsia"/>
          <w:sz w:val="24"/>
          <w:highlight w:val="none"/>
          <w:lang w:val="en-US" w:eastAsia="zh-CN"/>
        </w:rPr>
        <w:t>）炉渣间贮存粉尘</w:t>
      </w:r>
    </w:p>
    <w:p w14:paraId="1FE208E8">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残渣通过机械出渣系统出灰，及时送到炉渣间。贮存内设水喷头</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灰渣冷却逸尘</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并设气体导出口与二燃室鼓风机相连，导出气体进入二燃室燃烧</w:t>
      </w:r>
      <w:r>
        <w:rPr>
          <w:rFonts w:hint="default" w:ascii="Times New Roman" w:hAnsi="Times New Roman" w:cs="Times New Roman" w:eastAsiaTheme="minorEastAsia"/>
          <w:sz w:val="24"/>
          <w:highlight w:val="none"/>
          <w:lang w:val="en-US" w:eastAsia="zh-CN"/>
        </w:rPr>
        <w:t>。</w:t>
      </w:r>
    </w:p>
    <w:p w14:paraId="030260E0">
      <w:pPr>
        <w:jc w:val="both"/>
        <w:rPr>
          <w:rFonts w:hint="eastAsia" w:ascii="Times New Roman" w:hAnsi="Times New Roman" w:eastAsia="华文中宋" w:cs="Times New Roman"/>
          <w:sz w:val="24"/>
          <w:lang w:val="en-US" w:eastAsia="zh-CN"/>
        </w:rPr>
        <w:sectPr>
          <w:pgSz w:w="11906" w:h="16838"/>
          <w:pgMar w:top="1440" w:right="1800" w:bottom="1440" w:left="1800" w:header="851" w:footer="992" w:gutter="0"/>
          <w:pgNumType w:fmt="decimal"/>
          <w:cols w:space="425" w:num="1"/>
          <w:docGrid w:type="lines" w:linePitch="312" w:charSpace="0"/>
        </w:sectPr>
      </w:pPr>
    </w:p>
    <w:p w14:paraId="5C7020CC">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5</w:t>
      </w:r>
      <w:r>
        <w:rPr>
          <w:rFonts w:hint="eastAsia" w:ascii="Times New Roman" w:hAnsi="Times New Roman" w:cs="Times New Roman" w:eastAsiaTheme="minorEastAsia"/>
          <w:sz w:val="24"/>
          <w:highlight w:val="none"/>
          <w:lang w:val="en-US" w:eastAsia="zh-CN"/>
        </w:rPr>
        <w:t>）非正常工况废气</w:t>
      </w:r>
    </w:p>
    <w:p w14:paraId="01C5C337">
      <w:pPr>
        <w:snapToGrid w:val="0"/>
        <w:spacing w:before="241"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sz w:val="24"/>
          <w:highlight w:val="none"/>
          <w:lang w:val="en-US" w:eastAsia="zh-CN"/>
        </w:rPr>
        <w:t>考虑项目烟气处理设备效率下降</w:t>
      </w:r>
      <w:r>
        <w:rPr>
          <w:rFonts w:hint="default" w:ascii="Times New Roman" w:hAnsi="Times New Roman" w:cs="Times New Roman" w:eastAsiaTheme="minorEastAsia"/>
          <w:sz w:val="24"/>
          <w:highlight w:val="none"/>
          <w:lang w:val="en-US" w:eastAsia="zh-CN"/>
        </w:rPr>
        <w:t>50%</w:t>
      </w:r>
      <w:r>
        <w:rPr>
          <w:rFonts w:hint="eastAsia" w:ascii="Times New Roman" w:hAnsi="Times New Roman" w:cs="Times New Roman" w:eastAsiaTheme="minorEastAsia"/>
          <w:sz w:val="24"/>
          <w:highlight w:val="none"/>
          <w:lang w:val="en-US" w:eastAsia="zh-CN"/>
        </w:rPr>
        <w:t>为项目非正常排放状态，非正常工况污染物排放情况见表</w:t>
      </w:r>
      <w:r>
        <w:rPr>
          <w:rFonts w:hint="default" w:ascii="Times New Roman" w:hAnsi="Times New Roman" w:cs="Times New Roman" w:eastAsiaTheme="minorEastAsia"/>
          <w:sz w:val="24"/>
          <w:highlight w:val="none"/>
          <w:lang w:val="en-US" w:eastAsia="zh-CN"/>
        </w:rPr>
        <w:t>3.</w:t>
      </w:r>
      <w:r>
        <w:rPr>
          <w:rFonts w:hint="eastAsia" w:ascii="Times New Roman" w:hAnsi="Times New Roman" w:cs="Times New Roman"/>
          <w:sz w:val="24"/>
          <w:highlight w:val="none"/>
          <w:lang w:val="en-US" w:eastAsia="zh-CN"/>
        </w:rPr>
        <w:t>5-6</w:t>
      </w:r>
      <w:r>
        <w:rPr>
          <w:rFonts w:hint="eastAsia" w:ascii="Times New Roman" w:hAnsi="Times New Roman" w:cs="Times New Roman" w:eastAsiaTheme="minorEastAsia"/>
          <w:sz w:val="24"/>
          <w:highlight w:val="none"/>
          <w:lang w:val="en-US" w:eastAsia="zh-CN"/>
        </w:rPr>
        <w:t>。</w:t>
      </w:r>
    </w:p>
    <w:p w14:paraId="679867A6">
      <w:pPr>
        <w:snapToGrid w:val="0"/>
        <w:spacing w:before="241"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表3.</w:t>
      </w:r>
      <w:r>
        <w:rPr>
          <w:rFonts w:hint="eastAsia" w:ascii="Times New Roman" w:hAnsi="Times New Roman" w:cs="Times New Roman"/>
          <w:b/>
          <w:szCs w:val="21"/>
          <w:lang w:val="en-US" w:eastAsia="zh-CN"/>
        </w:rPr>
        <w:t>5</w:t>
      </w:r>
      <w:r>
        <w:rPr>
          <w:rFonts w:hint="eastAsia" w:ascii="Times New Roman" w:hAnsi="Times New Roman" w:cs="Times New Roman" w:eastAsiaTheme="minorEastAsia"/>
          <w:b/>
          <w:szCs w:val="21"/>
          <w:lang w:val="en-US" w:eastAsia="zh-CN"/>
        </w:rPr>
        <w:t>-</w:t>
      </w:r>
      <w:r>
        <w:rPr>
          <w:rFonts w:hint="eastAsia" w:ascii="Times New Roman" w:hAnsi="Times New Roman" w:cs="Times New Roman"/>
          <w:b/>
          <w:szCs w:val="21"/>
          <w:lang w:val="en-US" w:eastAsia="zh-CN"/>
        </w:rPr>
        <w:t>6</w:t>
      </w:r>
      <w:r>
        <w:rPr>
          <w:rFonts w:hint="eastAsia" w:ascii="Times New Roman" w:hAnsi="Times New Roman" w:cs="Times New Roman" w:eastAsiaTheme="minorEastAsia"/>
          <w:b/>
          <w:szCs w:val="21"/>
          <w:lang w:val="en-US" w:eastAsia="zh-CN"/>
        </w:rPr>
        <w:t xml:space="preserve">  本项目非正常焚烧烟气中主要大气污染物产生浓度及产生量</w:t>
      </w:r>
    </w:p>
    <w:tbl>
      <w:tblPr>
        <w:tblStyle w:val="1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7"/>
        <w:gridCol w:w="1735"/>
        <w:gridCol w:w="1840"/>
        <w:gridCol w:w="1389"/>
        <w:gridCol w:w="1384"/>
        <w:gridCol w:w="1077"/>
        <w:gridCol w:w="1616"/>
        <w:gridCol w:w="1656"/>
        <w:gridCol w:w="1149"/>
      </w:tblGrid>
      <w:tr w14:paraId="04108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817" w:type="pct"/>
            <w:vAlign w:val="center"/>
          </w:tcPr>
          <w:p w14:paraId="0AB3FA8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污染物</w:t>
            </w:r>
          </w:p>
        </w:tc>
        <w:tc>
          <w:tcPr>
            <w:tcW w:w="612" w:type="pct"/>
            <w:vAlign w:val="center"/>
          </w:tcPr>
          <w:p w14:paraId="2D12CAF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烟气量（m</w:t>
            </w:r>
            <w:r>
              <w:rPr>
                <w:rFonts w:hint="eastAsia" w:ascii="Times New Roman" w:hAnsi="Times New Roman" w:cs="Times New Roman" w:eastAsiaTheme="minorEastAsia"/>
                <w:szCs w:val="21"/>
                <w:vertAlign w:val="superscript"/>
                <w:lang w:val="en-US" w:eastAsia="zh-CN"/>
              </w:rPr>
              <w:t>3</w:t>
            </w:r>
            <w:r>
              <w:rPr>
                <w:rFonts w:hint="eastAsia" w:ascii="Times New Roman" w:hAnsi="Times New Roman" w:cs="Times New Roman" w:eastAsiaTheme="minorEastAsia"/>
                <w:szCs w:val="21"/>
                <w:lang w:val="en-US" w:eastAsia="zh-CN"/>
              </w:rPr>
              <w:t>/h）</w:t>
            </w:r>
          </w:p>
        </w:tc>
        <w:tc>
          <w:tcPr>
            <w:tcW w:w="649" w:type="pct"/>
            <w:vAlign w:val="center"/>
          </w:tcPr>
          <w:p w14:paraId="375C002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产生量（t/a）</w:t>
            </w:r>
          </w:p>
        </w:tc>
        <w:tc>
          <w:tcPr>
            <w:tcW w:w="490" w:type="pct"/>
            <w:vAlign w:val="center"/>
          </w:tcPr>
          <w:p w14:paraId="7E0EF47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产生速率（kg/h）</w:t>
            </w:r>
          </w:p>
        </w:tc>
        <w:tc>
          <w:tcPr>
            <w:tcW w:w="488" w:type="pct"/>
            <w:vAlign w:val="center"/>
          </w:tcPr>
          <w:p w14:paraId="3BD9762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废气治理措施</w:t>
            </w:r>
          </w:p>
        </w:tc>
        <w:tc>
          <w:tcPr>
            <w:tcW w:w="380" w:type="pct"/>
            <w:vAlign w:val="center"/>
          </w:tcPr>
          <w:p w14:paraId="32338FD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去除效率</w:t>
            </w:r>
            <w:r>
              <w:rPr>
                <w:rFonts w:hint="eastAsia" w:ascii="Times New Roman" w:hAnsi="Times New Roman" w:cs="Times New Roman"/>
                <w:szCs w:val="21"/>
                <w:lang w:val="en-US" w:eastAsia="zh-CN"/>
              </w:rPr>
              <w:t>（%）</w:t>
            </w:r>
          </w:p>
        </w:tc>
        <w:tc>
          <w:tcPr>
            <w:tcW w:w="570" w:type="pct"/>
            <w:vAlign w:val="center"/>
          </w:tcPr>
          <w:p w14:paraId="76C7DF2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排放浓度</w:t>
            </w:r>
            <w:r>
              <w:rPr>
                <w:rFonts w:hint="eastAsia" w:ascii="Times New Roman" w:hAnsi="Times New Roman" w:cs="Times New Roman"/>
                <w:szCs w:val="21"/>
                <w:lang w:val="en-US" w:eastAsia="zh-CN"/>
              </w:rPr>
              <w:t>（mg/m</w:t>
            </w:r>
            <w:r>
              <w:rPr>
                <w:rFonts w:hint="eastAsia" w:ascii="Times New Roman" w:hAnsi="Times New Roman" w:cs="Times New Roman"/>
                <w:szCs w:val="21"/>
                <w:vertAlign w:val="superscript"/>
                <w:lang w:val="en-US" w:eastAsia="zh-CN"/>
              </w:rPr>
              <w:t>3</w:t>
            </w:r>
            <w:r>
              <w:rPr>
                <w:rFonts w:hint="eastAsia" w:ascii="Times New Roman" w:hAnsi="Times New Roman" w:cs="Times New Roman"/>
                <w:szCs w:val="21"/>
                <w:lang w:val="en-US" w:eastAsia="zh-CN"/>
              </w:rPr>
              <w:t>）</w:t>
            </w:r>
          </w:p>
        </w:tc>
        <w:tc>
          <w:tcPr>
            <w:tcW w:w="584" w:type="pct"/>
            <w:vAlign w:val="center"/>
          </w:tcPr>
          <w:p w14:paraId="29A42DF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排放速率</w:t>
            </w:r>
          </w:p>
        </w:tc>
        <w:tc>
          <w:tcPr>
            <w:tcW w:w="405" w:type="pct"/>
            <w:vAlign w:val="center"/>
          </w:tcPr>
          <w:p w14:paraId="18A7CD6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控制标准</w:t>
            </w:r>
          </w:p>
        </w:tc>
      </w:tr>
      <w:tr w14:paraId="64CA9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pct"/>
            <w:vAlign w:val="center"/>
          </w:tcPr>
          <w:p w14:paraId="288FF8F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烟尘</w:t>
            </w:r>
          </w:p>
        </w:tc>
        <w:tc>
          <w:tcPr>
            <w:tcW w:w="612" w:type="pct"/>
            <w:vMerge w:val="restart"/>
            <w:vAlign w:val="center"/>
          </w:tcPr>
          <w:p w14:paraId="13DAE9C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2281</w:t>
            </w:r>
          </w:p>
        </w:tc>
        <w:tc>
          <w:tcPr>
            <w:tcW w:w="649" w:type="pct"/>
            <w:vAlign w:val="center"/>
          </w:tcPr>
          <w:p w14:paraId="5C83E0F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44.533</w:t>
            </w:r>
          </w:p>
        </w:tc>
        <w:tc>
          <w:tcPr>
            <w:tcW w:w="490" w:type="pct"/>
            <w:vAlign w:val="center"/>
          </w:tcPr>
          <w:p w14:paraId="7ACD725A">
            <w:pPr>
              <w:autoSpaceDE w:val="0"/>
              <w:autoSpaceDN w:val="0"/>
              <w:spacing w:line="300" w:lineRule="exact"/>
              <w:jc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szCs w:val="21"/>
                <w:lang w:val="en-US" w:eastAsia="zh-CN"/>
              </w:rPr>
              <w:t>5.084</w:t>
            </w:r>
          </w:p>
        </w:tc>
        <w:tc>
          <w:tcPr>
            <w:tcW w:w="488" w:type="pct"/>
            <w:vMerge w:val="restart"/>
            <w:vAlign w:val="center"/>
          </w:tcPr>
          <w:p w14:paraId="639CE88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sz w:val="21"/>
                <w:szCs w:val="21"/>
                <w:highlight w:val="none"/>
                <w:lang w:eastAsia="zh-CN"/>
              </w:rPr>
              <w:t>“</w:t>
            </w:r>
            <w:r>
              <w:rPr>
                <w:rFonts w:hint="eastAsia"/>
                <w:sz w:val="21"/>
                <w:szCs w:val="21"/>
                <w:highlight w:val="none"/>
                <w:lang w:val="en-US" w:eastAsia="zh-CN"/>
              </w:rPr>
              <w:t>3T+E</w:t>
            </w:r>
            <w:r>
              <w:rPr>
                <w:rFonts w:hint="eastAsia"/>
                <w:sz w:val="21"/>
                <w:szCs w:val="21"/>
                <w:highlight w:val="none"/>
                <w:lang w:eastAsia="zh-CN"/>
              </w:rPr>
              <w:t>”</w:t>
            </w:r>
            <w:r>
              <w:rPr>
                <w:rFonts w:hint="eastAsia"/>
                <w:sz w:val="21"/>
                <w:szCs w:val="21"/>
                <w:highlight w:val="none"/>
                <w:lang w:val="en-US" w:eastAsia="zh-CN"/>
              </w:rPr>
              <w:t>燃烧控制+</w:t>
            </w:r>
            <w:r>
              <w:rPr>
                <w:rFonts w:hint="eastAsia"/>
                <w:sz w:val="21"/>
                <w:szCs w:val="21"/>
                <w:highlight w:val="none"/>
              </w:rPr>
              <w:t>SNCR脱硝+</w:t>
            </w:r>
            <w:r>
              <w:rPr>
                <w:rFonts w:hint="eastAsia"/>
                <w:sz w:val="21"/>
                <w:szCs w:val="21"/>
                <w:highlight w:val="none"/>
                <w:lang w:val="en-US" w:eastAsia="zh-CN"/>
              </w:rPr>
              <w:t>旋风除尘+</w:t>
            </w:r>
            <w:r>
              <w:rPr>
                <w:rFonts w:hint="eastAsia"/>
                <w:sz w:val="21"/>
                <w:szCs w:val="21"/>
                <w:highlight w:val="none"/>
              </w:rPr>
              <w:t>急冷塔+干法脱酸（消石灰喷射）+活性炭喷射+布袋除尘器+湿法喷淋脱酸（5%氢氧化钠）</w:t>
            </w:r>
          </w:p>
        </w:tc>
        <w:tc>
          <w:tcPr>
            <w:tcW w:w="380" w:type="pct"/>
            <w:vAlign w:val="center"/>
          </w:tcPr>
          <w:p w14:paraId="6CCD43CB">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49.8</w:t>
            </w:r>
          </w:p>
        </w:tc>
        <w:tc>
          <w:tcPr>
            <w:tcW w:w="570" w:type="pct"/>
            <w:vAlign w:val="center"/>
          </w:tcPr>
          <w:p w14:paraId="514F3A4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17.83</w:t>
            </w:r>
          </w:p>
        </w:tc>
        <w:tc>
          <w:tcPr>
            <w:tcW w:w="584" w:type="pct"/>
            <w:vAlign w:val="center"/>
          </w:tcPr>
          <w:p w14:paraId="7A6A0650">
            <w:pPr>
              <w:keepNext w:val="0"/>
              <w:keepLines w:val="0"/>
              <w:widowControl/>
              <w:suppressLineNumbers w:val="0"/>
              <w:jc w:val="center"/>
              <w:textAlignment w:val="center"/>
              <w:rPr>
                <w:rFonts w:hint="default" w:ascii="Times New Roman" w:hAnsi="Times New Roman" w:cs="Times New Roman" w:eastAsiaTheme="minorEastAsia"/>
                <w:szCs w:val="21"/>
                <w:lang w:val="en-US" w:eastAsia="zh-CN"/>
              </w:rPr>
            </w:pPr>
            <w:r>
              <w:rPr>
                <w:rStyle w:val="19"/>
                <w:rFonts w:hint="eastAsia" w:eastAsia="宋体"/>
                <w:vertAlign w:val="baseline"/>
                <w:lang w:val="en-US" w:eastAsia="zh-CN" w:bidi="ar"/>
              </w:rPr>
              <w:t>0.041</w:t>
            </w:r>
          </w:p>
        </w:tc>
        <w:tc>
          <w:tcPr>
            <w:tcW w:w="405" w:type="pct"/>
            <w:vAlign w:val="center"/>
          </w:tcPr>
          <w:p w14:paraId="5E3E0BE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30</w:t>
            </w:r>
          </w:p>
        </w:tc>
      </w:tr>
      <w:tr w14:paraId="288BD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7" w:type="pct"/>
            <w:vAlign w:val="center"/>
          </w:tcPr>
          <w:p w14:paraId="74C0AC7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SO</w:t>
            </w:r>
            <w:r>
              <w:rPr>
                <w:rFonts w:hint="eastAsia" w:ascii="Times New Roman" w:hAnsi="Times New Roman" w:cs="Times New Roman" w:eastAsiaTheme="minorEastAsia"/>
                <w:szCs w:val="21"/>
                <w:vertAlign w:val="subscript"/>
                <w:lang w:val="en-US" w:eastAsia="zh-CN"/>
              </w:rPr>
              <w:t>2</w:t>
            </w:r>
          </w:p>
        </w:tc>
        <w:tc>
          <w:tcPr>
            <w:tcW w:w="612" w:type="pct"/>
            <w:vMerge w:val="continue"/>
            <w:vAlign w:val="center"/>
          </w:tcPr>
          <w:p w14:paraId="1369054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49" w:type="pct"/>
            <w:vAlign w:val="center"/>
          </w:tcPr>
          <w:p w14:paraId="4BCB771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3.190</w:t>
            </w:r>
          </w:p>
        </w:tc>
        <w:tc>
          <w:tcPr>
            <w:tcW w:w="490" w:type="pct"/>
            <w:vAlign w:val="center"/>
          </w:tcPr>
          <w:p w14:paraId="4C50C17D">
            <w:pPr>
              <w:autoSpaceDE w:val="0"/>
              <w:autoSpaceDN w:val="0"/>
              <w:spacing w:line="300" w:lineRule="exact"/>
              <w:jc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szCs w:val="21"/>
                <w:lang w:val="en-US" w:eastAsia="zh-CN"/>
              </w:rPr>
              <w:t>0.364</w:t>
            </w:r>
          </w:p>
        </w:tc>
        <w:tc>
          <w:tcPr>
            <w:tcW w:w="488" w:type="pct"/>
            <w:vMerge w:val="continue"/>
            <w:vAlign w:val="center"/>
          </w:tcPr>
          <w:p w14:paraId="31BBA25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80" w:type="pct"/>
            <w:vAlign w:val="center"/>
          </w:tcPr>
          <w:p w14:paraId="734299FC">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46</w:t>
            </w:r>
          </w:p>
        </w:tc>
        <w:tc>
          <w:tcPr>
            <w:tcW w:w="570" w:type="pct"/>
            <w:vAlign w:val="center"/>
          </w:tcPr>
          <w:p w14:paraId="16CF429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25.54</w:t>
            </w:r>
          </w:p>
        </w:tc>
        <w:tc>
          <w:tcPr>
            <w:tcW w:w="584" w:type="pct"/>
            <w:vAlign w:val="center"/>
          </w:tcPr>
          <w:p w14:paraId="5A3B399A">
            <w:pPr>
              <w:keepNext w:val="0"/>
              <w:keepLines w:val="0"/>
              <w:widowControl/>
              <w:suppressLineNumbers w:val="0"/>
              <w:jc w:val="center"/>
              <w:textAlignment w:val="center"/>
              <w:rPr>
                <w:rFonts w:hint="default" w:ascii="Times New Roman" w:hAnsi="Times New Roman" w:cs="Times New Roman" w:eastAsiaTheme="minorEastAsia"/>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0.058</w:t>
            </w:r>
          </w:p>
        </w:tc>
        <w:tc>
          <w:tcPr>
            <w:tcW w:w="405" w:type="pct"/>
            <w:vAlign w:val="center"/>
          </w:tcPr>
          <w:p w14:paraId="6FB4744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100</w:t>
            </w:r>
          </w:p>
        </w:tc>
      </w:tr>
      <w:tr w14:paraId="4D997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pct"/>
            <w:vAlign w:val="center"/>
          </w:tcPr>
          <w:p w14:paraId="3366FD0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NOx</w:t>
            </w:r>
          </w:p>
        </w:tc>
        <w:tc>
          <w:tcPr>
            <w:tcW w:w="612" w:type="pct"/>
            <w:vMerge w:val="continue"/>
            <w:vAlign w:val="center"/>
          </w:tcPr>
          <w:p w14:paraId="070BE3C3">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49" w:type="pct"/>
            <w:vAlign w:val="center"/>
          </w:tcPr>
          <w:p w14:paraId="60316F7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2.087</w:t>
            </w:r>
          </w:p>
        </w:tc>
        <w:tc>
          <w:tcPr>
            <w:tcW w:w="490" w:type="pct"/>
            <w:vAlign w:val="center"/>
          </w:tcPr>
          <w:p w14:paraId="570567E4">
            <w:pPr>
              <w:autoSpaceDE w:val="0"/>
              <w:autoSpaceDN w:val="0"/>
              <w:spacing w:line="300" w:lineRule="exact"/>
              <w:jc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szCs w:val="21"/>
                <w:lang w:val="en-US" w:eastAsia="zh-CN"/>
              </w:rPr>
              <w:t>0.238</w:t>
            </w:r>
          </w:p>
        </w:tc>
        <w:tc>
          <w:tcPr>
            <w:tcW w:w="488" w:type="pct"/>
            <w:vMerge w:val="continue"/>
            <w:vAlign w:val="center"/>
          </w:tcPr>
          <w:p w14:paraId="1583439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80" w:type="pct"/>
            <w:vAlign w:val="center"/>
          </w:tcPr>
          <w:p w14:paraId="400B5D59">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20</w:t>
            </w:r>
          </w:p>
        </w:tc>
        <w:tc>
          <w:tcPr>
            <w:tcW w:w="570" w:type="pct"/>
            <w:vAlign w:val="center"/>
          </w:tcPr>
          <w:p w14:paraId="3452D6E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125.331</w:t>
            </w:r>
          </w:p>
        </w:tc>
        <w:tc>
          <w:tcPr>
            <w:tcW w:w="584" w:type="pct"/>
            <w:vAlign w:val="center"/>
          </w:tcPr>
          <w:p w14:paraId="702CA931">
            <w:pPr>
              <w:keepNext w:val="0"/>
              <w:keepLines w:val="0"/>
              <w:widowControl/>
              <w:suppressLineNumbers w:val="0"/>
              <w:jc w:val="center"/>
              <w:textAlignment w:val="center"/>
              <w:rPr>
                <w:rFonts w:hint="default" w:ascii="Times New Roman" w:hAnsi="Times New Roman" w:cs="Times New Roman" w:eastAsiaTheme="minorEastAsia"/>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r>
              <w:rPr>
                <w:rFonts w:hint="eastAsia" w:ascii="Times New Roman" w:hAnsi="Times New Roman" w:eastAsia="宋体" w:cs="Times New Roman"/>
                <w:i w:val="0"/>
                <w:iCs w:val="0"/>
                <w:color w:val="000000"/>
                <w:kern w:val="0"/>
                <w:sz w:val="21"/>
                <w:szCs w:val="21"/>
                <w:u w:val="none"/>
                <w:lang w:val="en-US" w:eastAsia="zh-CN" w:bidi="ar"/>
              </w:rPr>
              <w:t>286</w:t>
            </w:r>
          </w:p>
        </w:tc>
        <w:tc>
          <w:tcPr>
            <w:tcW w:w="405" w:type="pct"/>
            <w:vAlign w:val="center"/>
          </w:tcPr>
          <w:p w14:paraId="771BB2C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300</w:t>
            </w:r>
          </w:p>
        </w:tc>
      </w:tr>
      <w:tr w14:paraId="276BC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pct"/>
            <w:vAlign w:val="center"/>
          </w:tcPr>
          <w:p w14:paraId="59BE1EA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CO</w:t>
            </w:r>
          </w:p>
        </w:tc>
        <w:tc>
          <w:tcPr>
            <w:tcW w:w="612" w:type="pct"/>
            <w:vMerge w:val="continue"/>
            <w:vAlign w:val="center"/>
          </w:tcPr>
          <w:p w14:paraId="37DCAE2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49" w:type="pct"/>
            <w:vAlign w:val="center"/>
          </w:tcPr>
          <w:p w14:paraId="01E0E7A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0.345</w:t>
            </w:r>
          </w:p>
        </w:tc>
        <w:tc>
          <w:tcPr>
            <w:tcW w:w="490" w:type="pct"/>
            <w:vAlign w:val="center"/>
          </w:tcPr>
          <w:p w14:paraId="0B3F811F">
            <w:pPr>
              <w:autoSpaceDE w:val="0"/>
              <w:autoSpaceDN w:val="0"/>
              <w:spacing w:line="300" w:lineRule="exact"/>
              <w:jc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szCs w:val="21"/>
                <w:lang w:val="en-US" w:eastAsia="zh-CN"/>
              </w:rPr>
              <w:t>0.039</w:t>
            </w:r>
          </w:p>
        </w:tc>
        <w:tc>
          <w:tcPr>
            <w:tcW w:w="488" w:type="pct"/>
            <w:vMerge w:val="continue"/>
            <w:vAlign w:val="center"/>
          </w:tcPr>
          <w:p w14:paraId="4C7CD1C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80" w:type="pct"/>
            <w:vAlign w:val="center"/>
          </w:tcPr>
          <w:p w14:paraId="1989D6E8">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570" w:type="pct"/>
            <w:vAlign w:val="center"/>
          </w:tcPr>
          <w:p w14:paraId="4640E09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34.558</w:t>
            </w:r>
          </w:p>
        </w:tc>
        <w:tc>
          <w:tcPr>
            <w:tcW w:w="584" w:type="pct"/>
            <w:vAlign w:val="center"/>
          </w:tcPr>
          <w:p w14:paraId="3DF26F17">
            <w:pPr>
              <w:keepNext w:val="0"/>
              <w:keepLines w:val="0"/>
              <w:widowControl/>
              <w:suppressLineNumbers w:val="0"/>
              <w:jc w:val="center"/>
              <w:textAlignment w:val="center"/>
              <w:rPr>
                <w:rFonts w:hint="default" w:ascii="Times New Roman" w:hAnsi="Times New Roman" w:cs="Times New Roman" w:eastAsiaTheme="minorEastAsia"/>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r>
              <w:rPr>
                <w:rFonts w:hint="eastAsia" w:ascii="Times New Roman" w:hAnsi="Times New Roman" w:eastAsia="宋体" w:cs="Times New Roman"/>
                <w:i w:val="0"/>
                <w:iCs w:val="0"/>
                <w:color w:val="000000"/>
                <w:kern w:val="0"/>
                <w:sz w:val="21"/>
                <w:szCs w:val="21"/>
                <w:u w:val="none"/>
                <w:lang w:val="en-US" w:eastAsia="zh-CN" w:bidi="ar"/>
              </w:rPr>
              <w:t>079</w:t>
            </w:r>
          </w:p>
        </w:tc>
        <w:tc>
          <w:tcPr>
            <w:tcW w:w="405" w:type="pct"/>
            <w:vAlign w:val="center"/>
          </w:tcPr>
          <w:p w14:paraId="4896F4A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100</w:t>
            </w:r>
          </w:p>
        </w:tc>
      </w:tr>
      <w:tr w14:paraId="4B9AB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pct"/>
            <w:vAlign w:val="center"/>
          </w:tcPr>
          <w:p w14:paraId="3BA012A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HCl</w:t>
            </w:r>
          </w:p>
        </w:tc>
        <w:tc>
          <w:tcPr>
            <w:tcW w:w="612" w:type="pct"/>
            <w:vMerge w:val="continue"/>
            <w:vAlign w:val="center"/>
          </w:tcPr>
          <w:p w14:paraId="428A063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49" w:type="pct"/>
            <w:vAlign w:val="center"/>
          </w:tcPr>
          <w:p w14:paraId="6E3E341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1.446</w:t>
            </w:r>
          </w:p>
        </w:tc>
        <w:tc>
          <w:tcPr>
            <w:tcW w:w="490" w:type="pct"/>
            <w:vAlign w:val="center"/>
          </w:tcPr>
          <w:p w14:paraId="4B7C8E77">
            <w:pPr>
              <w:autoSpaceDE w:val="0"/>
              <w:autoSpaceDN w:val="0"/>
              <w:spacing w:line="300" w:lineRule="exact"/>
              <w:jc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szCs w:val="21"/>
                <w:lang w:val="en-US" w:eastAsia="zh-CN"/>
              </w:rPr>
              <w:t>0.165</w:t>
            </w:r>
          </w:p>
        </w:tc>
        <w:tc>
          <w:tcPr>
            <w:tcW w:w="488" w:type="pct"/>
            <w:vMerge w:val="continue"/>
            <w:vAlign w:val="center"/>
          </w:tcPr>
          <w:p w14:paraId="179BDA6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80" w:type="pct"/>
            <w:vAlign w:val="center"/>
          </w:tcPr>
          <w:p w14:paraId="5473C1B1">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45</w:t>
            </w:r>
          </w:p>
        </w:tc>
        <w:tc>
          <w:tcPr>
            <w:tcW w:w="570" w:type="pct"/>
            <w:vAlign w:val="center"/>
          </w:tcPr>
          <w:p w14:paraId="353C6EF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14.471</w:t>
            </w:r>
          </w:p>
        </w:tc>
        <w:tc>
          <w:tcPr>
            <w:tcW w:w="584" w:type="pct"/>
            <w:vAlign w:val="center"/>
          </w:tcPr>
          <w:p w14:paraId="658F4776">
            <w:pPr>
              <w:keepNext w:val="0"/>
              <w:keepLines w:val="0"/>
              <w:widowControl/>
              <w:suppressLineNumbers w:val="0"/>
              <w:jc w:val="center"/>
              <w:textAlignment w:val="center"/>
              <w:rPr>
                <w:rFonts w:hint="default" w:ascii="Times New Roman" w:hAnsi="Times New Roman" w:cs="Times New Roman" w:eastAsiaTheme="minorEastAsia"/>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r>
              <w:rPr>
                <w:rFonts w:hint="eastAsia" w:ascii="Times New Roman" w:hAnsi="Times New Roman" w:eastAsia="宋体" w:cs="Times New Roman"/>
                <w:i w:val="0"/>
                <w:iCs w:val="0"/>
                <w:color w:val="000000"/>
                <w:kern w:val="0"/>
                <w:sz w:val="21"/>
                <w:szCs w:val="21"/>
                <w:u w:val="none"/>
                <w:lang w:val="en-US" w:eastAsia="zh-CN" w:bidi="ar"/>
              </w:rPr>
              <w:t>033</w:t>
            </w:r>
          </w:p>
        </w:tc>
        <w:tc>
          <w:tcPr>
            <w:tcW w:w="405" w:type="pct"/>
            <w:vAlign w:val="center"/>
          </w:tcPr>
          <w:p w14:paraId="5050A6A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60</w:t>
            </w:r>
          </w:p>
        </w:tc>
      </w:tr>
      <w:tr w14:paraId="42FA6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pct"/>
            <w:vAlign w:val="center"/>
          </w:tcPr>
          <w:p w14:paraId="302A322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HF</w:t>
            </w:r>
          </w:p>
        </w:tc>
        <w:tc>
          <w:tcPr>
            <w:tcW w:w="612" w:type="pct"/>
            <w:vMerge w:val="continue"/>
            <w:vAlign w:val="center"/>
          </w:tcPr>
          <w:p w14:paraId="013F985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49" w:type="pct"/>
            <w:vAlign w:val="center"/>
          </w:tcPr>
          <w:p w14:paraId="39FB4F2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0.199</w:t>
            </w:r>
          </w:p>
        </w:tc>
        <w:tc>
          <w:tcPr>
            <w:tcW w:w="490" w:type="pct"/>
            <w:vAlign w:val="center"/>
          </w:tcPr>
          <w:p w14:paraId="6B6E7CA8">
            <w:pPr>
              <w:autoSpaceDE w:val="0"/>
              <w:autoSpaceDN w:val="0"/>
              <w:spacing w:line="300" w:lineRule="exact"/>
              <w:jc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szCs w:val="21"/>
                <w:lang w:val="en-US" w:eastAsia="zh-CN"/>
              </w:rPr>
              <w:t>0.023</w:t>
            </w:r>
          </w:p>
        </w:tc>
        <w:tc>
          <w:tcPr>
            <w:tcW w:w="488" w:type="pct"/>
            <w:vMerge w:val="continue"/>
            <w:vAlign w:val="center"/>
          </w:tcPr>
          <w:p w14:paraId="4889D473">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80" w:type="pct"/>
            <w:vAlign w:val="center"/>
          </w:tcPr>
          <w:p w14:paraId="1A1D8E31">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40</w:t>
            </w:r>
          </w:p>
        </w:tc>
        <w:tc>
          <w:tcPr>
            <w:tcW w:w="570" w:type="pct"/>
            <w:vAlign w:val="center"/>
          </w:tcPr>
          <w:p w14:paraId="33E67DC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3.983</w:t>
            </w:r>
          </w:p>
        </w:tc>
        <w:tc>
          <w:tcPr>
            <w:tcW w:w="584" w:type="pct"/>
            <w:vAlign w:val="center"/>
          </w:tcPr>
          <w:p w14:paraId="546BF8B1">
            <w:pPr>
              <w:keepNext w:val="0"/>
              <w:keepLines w:val="0"/>
              <w:widowControl/>
              <w:suppressLineNumbers w:val="0"/>
              <w:jc w:val="center"/>
              <w:textAlignment w:val="center"/>
              <w:rPr>
                <w:rFonts w:hint="default" w:ascii="Times New Roman" w:hAnsi="Times New Roman" w:cs="Times New Roman" w:eastAsiaTheme="minorEastAsia"/>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9.084</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10</w:t>
            </w:r>
            <w:r>
              <w:rPr>
                <w:rStyle w:val="19"/>
                <w:rFonts w:eastAsia="宋体"/>
                <w:lang w:val="en-US" w:eastAsia="zh-CN" w:bidi="ar"/>
              </w:rPr>
              <w:t>-3</w:t>
            </w:r>
          </w:p>
        </w:tc>
        <w:tc>
          <w:tcPr>
            <w:tcW w:w="405" w:type="pct"/>
            <w:vAlign w:val="center"/>
          </w:tcPr>
          <w:p w14:paraId="5CBDC0E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4</w:t>
            </w:r>
          </w:p>
        </w:tc>
      </w:tr>
      <w:tr w14:paraId="7CBB8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pct"/>
            <w:vAlign w:val="center"/>
          </w:tcPr>
          <w:p w14:paraId="529B669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汞及其化合物</w:t>
            </w:r>
          </w:p>
        </w:tc>
        <w:tc>
          <w:tcPr>
            <w:tcW w:w="612" w:type="pct"/>
            <w:vMerge w:val="continue"/>
            <w:vAlign w:val="center"/>
          </w:tcPr>
          <w:p w14:paraId="25A929B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49" w:type="pct"/>
            <w:vAlign w:val="center"/>
          </w:tcPr>
          <w:p w14:paraId="7EE9FD3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2.382</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7</w:t>
            </w:r>
          </w:p>
        </w:tc>
        <w:tc>
          <w:tcPr>
            <w:tcW w:w="490" w:type="pct"/>
            <w:vAlign w:val="center"/>
          </w:tcPr>
          <w:p w14:paraId="5637E790">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2.719</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8</w:t>
            </w:r>
          </w:p>
        </w:tc>
        <w:tc>
          <w:tcPr>
            <w:tcW w:w="488" w:type="pct"/>
            <w:vMerge w:val="continue"/>
            <w:vAlign w:val="center"/>
          </w:tcPr>
          <w:p w14:paraId="30690935">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80" w:type="pct"/>
            <w:vAlign w:val="center"/>
          </w:tcPr>
          <w:p w14:paraId="1A4C88EF">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35</w:t>
            </w:r>
          </w:p>
        </w:tc>
        <w:tc>
          <w:tcPr>
            <w:tcW w:w="570" w:type="pct"/>
            <w:vAlign w:val="center"/>
          </w:tcPr>
          <w:p w14:paraId="2232334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7.152×10</w:t>
            </w:r>
            <w:r>
              <w:rPr>
                <w:rFonts w:hint="eastAsia" w:ascii="Times New Roman" w:hAnsi="Times New Roman" w:cs="Times New Roman"/>
                <w:szCs w:val="21"/>
                <w:vertAlign w:val="superscript"/>
                <w:lang w:val="en-US" w:eastAsia="zh-CN"/>
              </w:rPr>
              <w:t>-6</w:t>
            </w:r>
          </w:p>
        </w:tc>
        <w:tc>
          <w:tcPr>
            <w:tcW w:w="584" w:type="pct"/>
            <w:vAlign w:val="center"/>
          </w:tcPr>
          <w:p w14:paraId="7DCF737D">
            <w:pPr>
              <w:keepNext w:val="0"/>
              <w:keepLines w:val="0"/>
              <w:widowControl/>
              <w:suppressLineNumbers w:val="0"/>
              <w:jc w:val="center"/>
              <w:textAlignment w:val="center"/>
              <w:rPr>
                <w:rFonts w:hint="default" w:ascii="Times New Roman" w:hAnsi="Times New Roman" w:cs="Times New Roman" w:eastAsiaTheme="minorEastAsia"/>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1.631</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10</w:t>
            </w:r>
            <w:r>
              <w:rPr>
                <w:rStyle w:val="19"/>
                <w:rFonts w:eastAsia="宋体"/>
                <w:lang w:val="en-US" w:eastAsia="zh-CN" w:bidi="ar"/>
              </w:rPr>
              <w:t>-</w:t>
            </w:r>
            <w:r>
              <w:rPr>
                <w:rStyle w:val="19"/>
                <w:rFonts w:hint="eastAsia" w:eastAsia="宋体"/>
                <w:lang w:val="en-US" w:eastAsia="zh-CN" w:bidi="ar"/>
              </w:rPr>
              <w:t>8</w:t>
            </w:r>
          </w:p>
        </w:tc>
        <w:tc>
          <w:tcPr>
            <w:tcW w:w="405" w:type="pct"/>
            <w:vAlign w:val="center"/>
          </w:tcPr>
          <w:p w14:paraId="75A30E6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0.05</w:t>
            </w:r>
          </w:p>
        </w:tc>
      </w:tr>
      <w:tr w14:paraId="5D1C5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pct"/>
            <w:vAlign w:val="center"/>
          </w:tcPr>
          <w:p w14:paraId="584A706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铅及其化合物</w:t>
            </w:r>
          </w:p>
        </w:tc>
        <w:tc>
          <w:tcPr>
            <w:tcW w:w="612" w:type="pct"/>
            <w:vMerge w:val="continue"/>
            <w:vAlign w:val="center"/>
          </w:tcPr>
          <w:p w14:paraId="7C6DFDD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49" w:type="pct"/>
            <w:vAlign w:val="center"/>
          </w:tcPr>
          <w:p w14:paraId="59868E0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6.422</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-4</w:t>
            </w:r>
          </w:p>
        </w:tc>
        <w:tc>
          <w:tcPr>
            <w:tcW w:w="490" w:type="pct"/>
            <w:vAlign w:val="center"/>
          </w:tcPr>
          <w:p w14:paraId="6ACF8CAF">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7.331</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5</w:t>
            </w:r>
          </w:p>
        </w:tc>
        <w:tc>
          <w:tcPr>
            <w:tcW w:w="488" w:type="pct"/>
            <w:vMerge w:val="continue"/>
            <w:vAlign w:val="center"/>
          </w:tcPr>
          <w:p w14:paraId="1DB9F90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80" w:type="pct"/>
            <w:vAlign w:val="center"/>
          </w:tcPr>
          <w:p w14:paraId="51161ABA">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40</w:t>
            </w:r>
          </w:p>
        </w:tc>
        <w:tc>
          <w:tcPr>
            <w:tcW w:w="570" w:type="pct"/>
            <w:vAlign w:val="center"/>
          </w:tcPr>
          <w:p w14:paraId="26DEC3A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0.013</w:t>
            </w:r>
          </w:p>
        </w:tc>
        <w:tc>
          <w:tcPr>
            <w:tcW w:w="584" w:type="pct"/>
            <w:vAlign w:val="center"/>
          </w:tcPr>
          <w:p w14:paraId="2F8CACFA">
            <w:pPr>
              <w:keepNext w:val="0"/>
              <w:keepLines w:val="0"/>
              <w:widowControl/>
              <w:suppressLineNumbers w:val="0"/>
              <w:jc w:val="center"/>
              <w:textAlignment w:val="center"/>
              <w:rPr>
                <w:rFonts w:hint="default" w:ascii="Times New Roman" w:hAnsi="Times New Roman" w:cs="Times New Roman" w:eastAsiaTheme="minorEastAsia"/>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2.933</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10</w:t>
            </w:r>
            <w:r>
              <w:rPr>
                <w:rStyle w:val="19"/>
                <w:rFonts w:eastAsia="宋体"/>
                <w:lang w:val="en-US" w:eastAsia="zh-CN" w:bidi="ar"/>
              </w:rPr>
              <w:t>-5</w:t>
            </w:r>
          </w:p>
        </w:tc>
        <w:tc>
          <w:tcPr>
            <w:tcW w:w="405" w:type="pct"/>
            <w:vAlign w:val="center"/>
          </w:tcPr>
          <w:p w14:paraId="685956A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0.5</w:t>
            </w:r>
          </w:p>
        </w:tc>
      </w:tr>
      <w:tr w14:paraId="1A961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7" w:type="pct"/>
            <w:vAlign w:val="center"/>
          </w:tcPr>
          <w:p w14:paraId="3AD637B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镉及其化合物</w:t>
            </w:r>
          </w:p>
        </w:tc>
        <w:tc>
          <w:tcPr>
            <w:tcW w:w="612" w:type="pct"/>
            <w:vMerge w:val="continue"/>
            <w:vAlign w:val="center"/>
          </w:tcPr>
          <w:p w14:paraId="12AD2073">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49" w:type="pct"/>
            <w:vAlign w:val="center"/>
          </w:tcPr>
          <w:p w14:paraId="5816FC8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7.665</w:t>
            </w:r>
            <w:r>
              <w:rPr>
                <w:rFonts w:hint="eastAsia" w:ascii="Times New Roman" w:hAnsi="Times New Roman" w:cs="Times New Roman" w:eastAsiaTheme="minorEastAsia"/>
                <w:szCs w:val="21"/>
                <w:lang w:val="en-US" w:eastAsia="zh-CN"/>
              </w:rPr>
              <w:t>×10</w:t>
            </w:r>
            <w:r>
              <w:rPr>
                <w:rFonts w:hint="eastAsia" w:ascii="Times New Roman" w:hAnsi="Times New Roman" w:cs="Times New Roman"/>
                <w:szCs w:val="21"/>
                <w:vertAlign w:val="superscript"/>
                <w:lang w:val="en-US" w:eastAsia="zh-CN"/>
              </w:rPr>
              <w:t>-6</w:t>
            </w:r>
          </w:p>
        </w:tc>
        <w:tc>
          <w:tcPr>
            <w:tcW w:w="490" w:type="pct"/>
            <w:vAlign w:val="center"/>
          </w:tcPr>
          <w:p w14:paraId="76D8BE74">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8.75</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7</w:t>
            </w:r>
          </w:p>
        </w:tc>
        <w:tc>
          <w:tcPr>
            <w:tcW w:w="488" w:type="pct"/>
            <w:vMerge w:val="continue"/>
            <w:vAlign w:val="center"/>
          </w:tcPr>
          <w:p w14:paraId="3555984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80" w:type="pct"/>
            <w:vAlign w:val="center"/>
          </w:tcPr>
          <w:p w14:paraId="64C6C7EE">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40</w:t>
            </w:r>
          </w:p>
        </w:tc>
        <w:tc>
          <w:tcPr>
            <w:tcW w:w="570" w:type="pct"/>
            <w:vAlign w:val="center"/>
          </w:tcPr>
          <w:p w14:paraId="04992E8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1.5×10</w:t>
            </w:r>
            <w:r>
              <w:rPr>
                <w:rFonts w:hint="eastAsia" w:ascii="Times New Roman" w:hAnsi="Times New Roman" w:cs="Times New Roman"/>
                <w:szCs w:val="21"/>
                <w:vertAlign w:val="superscript"/>
                <w:lang w:val="en-US" w:eastAsia="zh-CN"/>
              </w:rPr>
              <w:t>-4</w:t>
            </w:r>
          </w:p>
        </w:tc>
        <w:tc>
          <w:tcPr>
            <w:tcW w:w="584" w:type="pct"/>
            <w:vAlign w:val="center"/>
          </w:tcPr>
          <w:p w14:paraId="0589A92A">
            <w:pPr>
              <w:keepNext w:val="0"/>
              <w:keepLines w:val="0"/>
              <w:widowControl/>
              <w:suppressLineNumbers w:val="0"/>
              <w:jc w:val="center"/>
              <w:textAlignment w:val="center"/>
              <w:rPr>
                <w:rFonts w:hint="default" w:ascii="Times New Roman" w:hAnsi="Times New Roman" w:cs="Times New Roman" w:eastAsiaTheme="minorEastAsia"/>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3.5</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10</w:t>
            </w:r>
            <w:r>
              <w:rPr>
                <w:rStyle w:val="19"/>
                <w:rFonts w:eastAsia="宋体"/>
                <w:lang w:val="en-US" w:eastAsia="zh-CN" w:bidi="ar"/>
              </w:rPr>
              <w:t>-</w:t>
            </w:r>
            <w:r>
              <w:rPr>
                <w:rStyle w:val="19"/>
                <w:rFonts w:hint="eastAsia" w:eastAsia="宋体"/>
                <w:lang w:val="en-US" w:eastAsia="zh-CN" w:bidi="ar"/>
              </w:rPr>
              <w:t>7</w:t>
            </w:r>
          </w:p>
        </w:tc>
        <w:tc>
          <w:tcPr>
            <w:tcW w:w="405" w:type="pct"/>
            <w:vAlign w:val="center"/>
          </w:tcPr>
          <w:p w14:paraId="5C81333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0.05</w:t>
            </w:r>
          </w:p>
        </w:tc>
      </w:tr>
      <w:tr w14:paraId="72192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pct"/>
            <w:vAlign w:val="center"/>
          </w:tcPr>
          <w:p w14:paraId="193C1DF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砷及其化合物</w:t>
            </w:r>
          </w:p>
        </w:tc>
        <w:tc>
          <w:tcPr>
            <w:tcW w:w="612" w:type="pct"/>
            <w:vMerge w:val="continue"/>
            <w:vAlign w:val="center"/>
          </w:tcPr>
          <w:p w14:paraId="3C1DAFC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49" w:type="pct"/>
            <w:vAlign w:val="center"/>
          </w:tcPr>
          <w:p w14:paraId="283AE8D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6.57</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-3</w:t>
            </w:r>
          </w:p>
        </w:tc>
        <w:tc>
          <w:tcPr>
            <w:tcW w:w="490" w:type="pct"/>
            <w:vAlign w:val="center"/>
          </w:tcPr>
          <w:p w14:paraId="292F56BB">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7.5×10</w:t>
            </w:r>
            <w:r>
              <w:rPr>
                <w:rFonts w:hint="eastAsia" w:ascii="Times New Roman" w:hAnsi="Times New Roman" w:cs="Times New Roman"/>
                <w:szCs w:val="21"/>
                <w:vertAlign w:val="superscript"/>
                <w:lang w:val="en-US" w:eastAsia="zh-CN"/>
              </w:rPr>
              <w:t>-4</w:t>
            </w:r>
          </w:p>
        </w:tc>
        <w:tc>
          <w:tcPr>
            <w:tcW w:w="488" w:type="pct"/>
            <w:vMerge w:val="continue"/>
            <w:vAlign w:val="center"/>
          </w:tcPr>
          <w:p w14:paraId="7C41DD0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80" w:type="pct"/>
            <w:vAlign w:val="center"/>
          </w:tcPr>
          <w:p w14:paraId="4A0364D5">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40</w:t>
            </w:r>
          </w:p>
        </w:tc>
        <w:tc>
          <w:tcPr>
            <w:tcW w:w="570" w:type="pct"/>
            <w:vAlign w:val="center"/>
          </w:tcPr>
          <w:p w14:paraId="45DE65F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0.197</w:t>
            </w:r>
          </w:p>
        </w:tc>
        <w:tc>
          <w:tcPr>
            <w:tcW w:w="584" w:type="pct"/>
            <w:vAlign w:val="center"/>
          </w:tcPr>
          <w:p w14:paraId="619A908B">
            <w:pPr>
              <w:keepNext w:val="0"/>
              <w:keepLines w:val="0"/>
              <w:widowControl/>
              <w:suppressLineNumbers w:val="0"/>
              <w:jc w:val="center"/>
              <w:textAlignment w:val="center"/>
              <w:rPr>
                <w:rFonts w:hint="default" w:ascii="Times New Roman" w:hAnsi="Times New Roman" w:cs="Times New Roman" w:eastAsiaTheme="minorEastAsia"/>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4.5</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10</w:t>
            </w:r>
            <w:r>
              <w:rPr>
                <w:rStyle w:val="19"/>
                <w:rFonts w:eastAsia="宋体"/>
                <w:lang w:val="en-US" w:eastAsia="zh-CN" w:bidi="ar"/>
              </w:rPr>
              <w:t>-4</w:t>
            </w:r>
          </w:p>
        </w:tc>
        <w:tc>
          <w:tcPr>
            <w:tcW w:w="405" w:type="pct"/>
            <w:vAlign w:val="center"/>
          </w:tcPr>
          <w:p w14:paraId="71AFE92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0.5</w:t>
            </w:r>
          </w:p>
        </w:tc>
      </w:tr>
      <w:tr w14:paraId="6CD68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pct"/>
            <w:vAlign w:val="center"/>
          </w:tcPr>
          <w:p w14:paraId="00229F0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铬及其化合物</w:t>
            </w:r>
          </w:p>
        </w:tc>
        <w:tc>
          <w:tcPr>
            <w:tcW w:w="612" w:type="pct"/>
            <w:vMerge w:val="continue"/>
            <w:vAlign w:val="center"/>
          </w:tcPr>
          <w:p w14:paraId="18C052C5">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49" w:type="pct"/>
            <w:vAlign w:val="center"/>
          </w:tcPr>
          <w:p w14:paraId="3CC16FD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5.17</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-3</w:t>
            </w:r>
          </w:p>
        </w:tc>
        <w:tc>
          <w:tcPr>
            <w:tcW w:w="490" w:type="pct"/>
            <w:vAlign w:val="center"/>
          </w:tcPr>
          <w:p w14:paraId="2D9B549D">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4.178</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-3</w:t>
            </w:r>
          </w:p>
        </w:tc>
        <w:tc>
          <w:tcPr>
            <w:tcW w:w="488" w:type="pct"/>
            <w:vMerge w:val="continue"/>
            <w:vAlign w:val="center"/>
          </w:tcPr>
          <w:p w14:paraId="6B558B6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80" w:type="pct"/>
            <w:vAlign w:val="center"/>
          </w:tcPr>
          <w:p w14:paraId="1D453D94">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40</w:t>
            </w:r>
          </w:p>
        </w:tc>
        <w:tc>
          <w:tcPr>
            <w:tcW w:w="570" w:type="pct"/>
            <w:vAlign w:val="center"/>
          </w:tcPr>
          <w:p w14:paraId="2B4CBB3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0.103</w:t>
            </w:r>
          </w:p>
        </w:tc>
        <w:tc>
          <w:tcPr>
            <w:tcW w:w="584" w:type="pct"/>
            <w:vAlign w:val="center"/>
          </w:tcPr>
          <w:p w14:paraId="2C5FEEB0">
            <w:pPr>
              <w:keepNext w:val="0"/>
              <w:keepLines w:val="0"/>
              <w:widowControl/>
              <w:suppressLineNumbers w:val="0"/>
              <w:jc w:val="center"/>
              <w:textAlignment w:val="center"/>
              <w:rPr>
                <w:rFonts w:hint="default" w:ascii="Times New Roman" w:hAnsi="Times New Roman" w:cs="Times New Roman" w:eastAsiaTheme="minorEastAsia"/>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2.361</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10</w:t>
            </w:r>
            <w:r>
              <w:rPr>
                <w:rStyle w:val="19"/>
                <w:rFonts w:eastAsia="宋体"/>
                <w:lang w:val="en-US" w:eastAsia="zh-CN" w:bidi="ar"/>
              </w:rPr>
              <w:t>-4</w:t>
            </w:r>
          </w:p>
        </w:tc>
        <w:tc>
          <w:tcPr>
            <w:tcW w:w="405" w:type="pct"/>
            <w:vAlign w:val="center"/>
          </w:tcPr>
          <w:p w14:paraId="3ADC05E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0.5</w:t>
            </w:r>
          </w:p>
        </w:tc>
      </w:tr>
      <w:tr w14:paraId="2C1FB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pct"/>
            <w:vAlign w:val="center"/>
          </w:tcPr>
          <w:p w14:paraId="485596E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铊及其化合物</w:t>
            </w:r>
          </w:p>
        </w:tc>
        <w:tc>
          <w:tcPr>
            <w:tcW w:w="612" w:type="pct"/>
            <w:vMerge w:val="continue"/>
            <w:vAlign w:val="center"/>
          </w:tcPr>
          <w:p w14:paraId="34B6BB3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49" w:type="pct"/>
            <w:vAlign w:val="center"/>
          </w:tcPr>
          <w:p w14:paraId="6FC3062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9.598</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-6</w:t>
            </w:r>
          </w:p>
        </w:tc>
        <w:tc>
          <w:tcPr>
            <w:tcW w:w="490" w:type="pct"/>
            <w:vAlign w:val="center"/>
          </w:tcPr>
          <w:p w14:paraId="3812EA3D">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1.096</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-6</w:t>
            </w:r>
          </w:p>
        </w:tc>
        <w:tc>
          <w:tcPr>
            <w:tcW w:w="488" w:type="pct"/>
            <w:vMerge w:val="continue"/>
            <w:vAlign w:val="center"/>
          </w:tcPr>
          <w:p w14:paraId="2EAB8E7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80" w:type="pct"/>
            <w:vAlign w:val="center"/>
          </w:tcPr>
          <w:p w14:paraId="1CDFDCED">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40</w:t>
            </w:r>
          </w:p>
        </w:tc>
        <w:tc>
          <w:tcPr>
            <w:tcW w:w="570" w:type="pct"/>
            <w:vAlign w:val="center"/>
          </w:tcPr>
          <w:p w14:paraId="2BD2992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1.921×10</w:t>
            </w:r>
            <w:r>
              <w:rPr>
                <w:rFonts w:hint="eastAsia" w:ascii="Times New Roman" w:hAnsi="Times New Roman" w:cs="Times New Roman"/>
                <w:szCs w:val="21"/>
                <w:vertAlign w:val="superscript"/>
                <w:lang w:val="en-US" w:eastAsia="zh-CN"/>
              </w:rPr>
              <w:t>-3</w:t>
            </w:r>
          </w:p>
        </w:tc>
        <w:tc>
          <w:tcPr>
            <w:tcW w:w="584" w:type="pct"/>
            <w:vAlign w:val="center"/>
          </w:tcPr>
          <w:p w14:paraId="535A858D">
            <w:pPr>
              <w:keepNext w:val="0"/>
              <w:keepLines w:val="0"/>
              <w:widowControl/>
              <w:suppressLineNumbers w:val="0"/>
              <w:jc w:val="center"/>
              <w:textAlignment w:val="center"/>
              <w:rPr>
                <w:rFonts w:hint="default" w:ascii="Times New Roman" w:hAnsi="Times New Roman" w:cs="Times New Roman" w:eastAsiaTheme="minorEastAsia"/>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4.383</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10</w:t>
            </w:r>
            <w:r>
              <w:rPr>
                <w:rStyle w:val="19"/>
                <w:rFonts w:eastAsia="宋体"/>
                <w:lang w:val="en-US" w:eastAsia="zh-CN" w:bidi="ar"/>
              </w:rPr>
              <w:t>-7</w:t>
            </w:r>
          </w:p>
        </w:tc>
        <w:tc>
          <w:tcPr>
            <w:tcW w:w="405" w:type="pct"/>
            <w:vAlign w:val="center"/>
          </w:tcPr>
          <w:p w14:paraId="29D661B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0.05</w:t>
            </w:r>
          </w:p>
        </w:tc>
      </w:tr>
      <w:tr w14:paraId="71683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pct"/>
            <w:vAlign w:val="center"/>
          </w:tcPr>
          <w:p w14:paraId="68B6C99C">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Sn+Sb+Cu+Mn+Ni</w:t>
            </w:r>
          </w:p>
        </w:tc>
        <w:tc>
          <w:tcPr>
            <w:tcW w:w="612" w:type="pct"/>
            <w:vMerge w:val="continue"/>
            <w:vAlign w:val="center"/>
          </w:tcPr>
          <w:p w14:paraId="0BCD28E5">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49" w:type="pct"/>
            <w:vAlign w:val="center"/>
          </w:tcPr>
          <w:p w14:paraId="2EF15A0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3.575</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-3</w:t>
            </w:r>
          </w:p>
        </w:tc>
        <w:tc>
          <w:tcPr>
            <w:tcW w:w="490" w:type="pct"/>
            <w:vAlign w:val="center"/>
          </w:tcPr>
          <w:p w14:paraId="1D6E7D2B">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4.081</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4</w:t>
            </w:r>
          </w:p>
        </w:tc>
        <w:tc>
          <w:tcPr>
            <w:tcW w:w="488" w:type="pct"/>
            <w:vMerge w:val="continue"/>
            <w:vAlign w:val="center"/>
          </w:tcPr>
          <w:p w14:paraId="387232A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80" w:type="pct"/>
            <w:vAlign w:val="center"/>
          </w:tcPr>
          <w:p w14:paraId="31273B68">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40</w:t>
            </w:r>
          </w:p>
        </w:tc>
        <w:tc>
          <w:tcPr>
            <w:tcW w:w="570" w:type="pct"/>
            <w:vAlign w:val="center"/>
          </w:tcPr>
          <w:p w14:paraId="1B08B10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0.72</w:t>
            </w:r>
          </w:p>
        </w:tc>
        <w:tc>
          <w:tcPr>
            <w:tcW w:w="584" w:type="pct"/>
            <w:vAlign w:val="center"/>
          </w:tcPr>
          <w:p w14:paraId="6C9EBD56">
            <w:pPr>
              <w:keepNext w:val="0"/>
              <w:keepLines w:val="0"/>
              <w:widowControl/>
              <w:suppressLineNumbers w:val="0"/>
              <w:jc w:val="center"/>
              <w:textAlignment w:val="center"/>
              <w:rPr>
                <w:rFonts w:hint="default" w:ascii="Times New Roman" w:hAnsi="Times New Roman" w:cs="Times New Roman" w:eastAsiaTheme="minorEastAsia"/>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1.632</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10</w:t>
            </w:r>
            <w:r>
              <w:rPr>
                <w:rStyle w:val="19"/>
                <w:rFonts w:eastAsia="宋体"/>
                <w:lang w:val="en-US" w:eastAsia="zh-CN" w:bidi="ar"/>
              </w:rPr>
              <w:t>-4</w:t>
            </w:r>
          </w:p>
        </w:tc>
        <w:tc>
          <w:tcPr>
            <w:tcW w:w="405" w:type="pct"/>
            <w:vAlign w:val="center"/>
          </w:tcPr>
          <w:p w14:paraId="3FFF445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2.0</w:t>
            </w:r>
          </w:p>
        </w:tc>
      </w:tr>
      <w:tr w14:paraId="6C5EA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pct"/>
            <w:vAlign w:val="center"/>
          </w:tcPr>
          <w:p w14:paraId="47690509">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二噁英类</w:t>
            </w:r>
          </w:p>
        </w:tc>
        <w:tc>
          <w:tcPr>
            <w:tcW w:w="612" w:type="pct"/>
            <w:vMerge w:val="continue"/>
            <w:vAlign w:val="center"/>
          </w:tcPr>
          <w:p w14:paraId="4CEE0D2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49" w:type="pct"/>
            <w:vAlign w:val="center"/>
          </w:tcPr>
          <w:p w14:paraId="549122A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6.293</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-10</w:t>
            </w:r>
          </w:p>
        </w:tc>
        <w:tc>
          <w:tcPr>
            <w:tcW w:w="490" w:type="pct"/>
            <w:vAlign w:val="center"/>
          </w:tcPr>
          <w:p w14:paraId="4C811EF2">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7.184</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-11</w:t>
            </w:r>
          </w:p>
        </w:tc>
        <w:tc>
          <w:tcPr>
            <w:tcW w:w="488" w:type="pct"/>
            <w:vMerge w:val="continue"/>
            <w:vAlign w:val="center"/>
          </w:tcPr>
          <w:p w14:paraId="3D31243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80" w:type="pct"/>
            <w:vAlign w:val="center"/>
          </w:tcPr>
          <w:p w14:paraId="3A9075B9">
            <w:pPr>
              <w:keepNext w:val="0"/>
              <w:keepLines w:val="0"/>
              <w:widowControl/>
              <w:suppressLineNumbers w:val="0"/>
              <w:jc w:val="center"/>
              <w:textAlignment w:val="top"/>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46</w:t>
            </w:r>
          </w:p>
        </w:tc>
        <w:tc>
          <w:tcPr>
            <w:tcW w:w="570" w:type="pct"/>
            <w:vAlign w:val="center"/>
          </w:tcPr>
          <w:p w14:paraId="30AD47E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5×10</w:t>
            </w:r>
            <w:r>
              <w:rPr>
                <w:rFonts w:hint="eastAsia" w:ascii="Times New Roman" w:hAnsi="Times New Roman" w:cs="Times New Roman"/>
                <w:szCs w:val="21"/>
                <w:vertAlign w:val="superscript"/>
                <w:lang w:val="en-US" w:eastAsia="zh-CN"/>
              </w:rPr>
              <w:t>-6</w:t>
            </w:r>
          </w:p>
        </w:tc>
        <w:tc>
          <w:tcPr>
            <w:tcW w:w="584" w:type="pct"/>
            <w:vAlign w:val="center"/>
          </w:tcPr>
          <w:p w14:paraId="4BEB14E1">
            <w:pPr>
              <w:keepNext w:val="0"/>
              <w:keepLines w:val="0"/>
              <w:widowControl/>
              <w:suppressLineNumbers w:val="0"/>
              <w:jc w:val="center"/>
              <w:textAlignment w:val="center"/>
              <w:rPr>
                <w:rFonts w:hint="default" w:ascii="Times New Roman" w:hAnsi="Times New Roman" w:cs="Times New Roman" w:eastAsiaTheme="minorEastAsia"/>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1.149</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10</w:t>
            </w:r>
            <w:r>
              <w:rPr>
                <w:rStyle w:val="19"/>
                <w:rFonts w:eastAsia="宋体"/>
                <w:lang w:val="en-US" w:eastAsia="zh-CN" w:bidi="ar"/>
              </w:rPr>
              <w:t>-11</w:t>
            </w:r>
          </w:p>
        </w:tc>
        <w:tc>
          <w:tcPr>
            <w:tcW w:w="405" w:type="pct"/>
            <w:vAlign w:val="center"/>
          </w:tcPr>
          <w:p w14:paraId="2D04F55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0.5</w:t>
            </w:r>
          </w:p>
        </w:tc>
      </w:tr>
    </w:tbl>
    <w:p w14:paraId="54441730">
      <w:pPr>
        <w:jc w:val="both"/>
        <w:rPr>
          <w:rFonts w:hint="eastAsia" w:ascii="Times New Roman" w:hAnsi="Times New Roman" w:eastAsia="华文中宋" w:cs="Times New Roman"/>
          <w:sz w:val="24"/>
          <w:lang w:val="en-US" w:eastAsia="zh-CN"/>
        </w:rPr>
        <w:sectPr>
          <w:pgSz w:w="16838" w:h="11906" w:orient="landscape"/>
          <w:pgMar w:top="1800" w:right="1440" w:bottom="1800" w:left="1440" w:header="851" w:footer="992" w:gutter="0"/>
          <w:pgNumType w:fmt="decimal"/>
          <w:cols w:space="425" w:num="1"/>
          <w:docGrid w:type="lines" w:linePitch="312" w:charSpace="0"/>
        </w:sectPr>
      </w:pPr>
    </w:p>
    <w:p w14:paraId="6D3B493A">
      <w:pPr>
        <w:jc w:val="both"/>
        <w:rPr>
          <w:rFonts w:hint="eastAsia" w:ascii="Times New Roman" w:hAnsi="Times New Roman" w:eastAsia="华文中宋" w:cs="Times New Roman"/>
          <w:sz w:val="24"/>
          <w:lang w:val="en-US" w:eastAsia="zh-CN"/>
        </w:rPr>
      </w:pPr>
    </w:p>
    <w:p w14:paraId="28FA35CB">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55" w:name="_Toc26383"/>
      <w:r>
        <w:rPr>
          <w:rFonts w:hint="default" w:ascii="Times New Roman" w:hAnsi="Times New Roman" w:cs="Times New Roman" w:eastAsiaTheme="minorEastAsia"/>
          <w:kern w:val="0"/>
          <w:sz w:val="24"/>
          <w:szCs w:val="24"/>
          <w:lang w:val="en-US" w:eastAsia="zh-CN"/>
        </w:rPr>
        <w:t>3.</w:t>
      </w:r>
      <w:r>
        <w:rPr>
          <w:rFonts w:hint="eastAsia" w:ascii="Times New Roman" w:hAnsi="Times New Roman" w:cs="Times New Roman"/>
          <w:kern w:val="0"/>
          <w:sz w:val="24"/>
          <w:szCs w:val="24"/>
          <w:lang w:val="en-US" w:eastAsia="zh-CN"/>
        </w:rPr>
        <w:t>5</w:t>
      </w:r>
      <w:r>
        <w:rPr>
          <w:rFonts w:hint="default" w:ascii="Times New Roman" w:hAnsi="Times New Roman" w:cs="Times New Roman" w:eastAsiaTheme="minorEastAsia"/>
          <w:kern w:val="0"/>
          <w:sz w:val="24"/>
          <w:szCs w:val="24"/>
          <w:lang w:val="en-US" w:eastAsia="zh-CN"/>
        </w:rPr>
        <w:t xml:space="preserve">.2 </w:t>
      </w:r>
      <w:r>
        <w:rPr>
          <w:rFonts w:hint="eastAsia" w:ascii="Times New Roman" w:hAnsi="Times New Roman" w:cs="Times New Roman" w:eastAsiaTheme="minorEastAsia"/>
          <w:kern w:val="0"/>
          <w:sz w:val="24"/>
          <w:szCs w:val="24"/>
          <w:lang w:val="en-US" w:eastAsia="zh-CN"/>
        </w:rPr>
        <w:t>废水污染源及排放量</w:t>
      </w:r>
      <w:bookmarkEnd w:id="155"/>
    </w:p>
    <w:p w14:paraId="77D64875">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项目建成后全厂不新增劳动定员，因此不再核算生活污水产排情况。</w:t>
      </w:r>
    </w:p>
    <w:p w14:paraId="2D795E43">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根据工程分析，项目废水主要包括</w:t>
      </w:r>
      <w:bookmarkStart w:id="156" w:name="_Hlk176979050"/>
      <w:r>
        <w:rPr>
          <w:rFonts w:hint="eastAsia" w:ascii="Times New Roman" w:hAnsi="Times New Roman" w:cs="Times New Roman"/>
          <w:sz w:val="24"/>
          <w:highlight w:val="none"/>
          <w:lang w:val="en-US" w:eastAsia="zh-CN"/>
        </w:rPr>
        <w:t>生产废水、</w:t>
      </w:r>
      <w:r>
        <w:rPr>
          <w:rFonts w:hint="eastAsia" w:ascii="Times New Roman" w:hAnsi="Times New Roman" w:cs="Times New Roman" w:eastAsiaTheme="minorEastAsia"/>
          <w:sz w:val="24"/>
          <w:highlight w:val="none"/>
          <w:lang w:val="en-US" w:eastAsia="zh-CN"/>
        </w:rPr>
        <w:t>清洗消毒废水（医疗废物转运车和周转箱以及卸料区、转运通道与其他接触医疗废物场所的清洗消毒</w:t>
      </w:r>
      <w:bookmarkEnd w:id="156"/>
      <w:r>
        <w:rPr>
          <w:rFonts w:hint="eastAsia" w:ascii="Times New Roman" w:hAnsi="Times New Roman" w:cs="Times New Roman" w:eastAsiaTheme="minorEastAsia"/>
          <w:sz w:val="24"/>
          <w:highlight w:val="none"/>
          <w:lang w:val="en-US" w:eastAsia="zh-CN"/>
        </w:rPr>
        <w:t>）</w:t>
      </w:r>
      <w:bookmarkStart w:id="157" w:name="OLE_LINK454"/>
      <w:r>
        <w:rPr>
          <w:rFonts w:hint="eastAsia" w:ascii="Times New Roman" w:hAnsi="Times New Roman" w:cs="Times New Roman" w:eastAsiaTheme="minorEastAsia"/>
          <w:sz w:val="24"/>
          <w:highlight w:val="none"/>
          <w:lang w:val="en-US" w:eastAsia="zh-CN"/>
        </w:rPr>
        <w:t>、湿法脱酸喷淋塔定排水</w:t>
      </w:r>
      <w:bookmarkEnd w:id="157"/>
      <w:r>
        <w:rPr>
          <w:rFonts w:hint="eastAsia" w:ascii="Times New Roman" w:hAnsi="Times New Roman" w:cs="Times New Roman" w:eastAsiaTheme="minorEastAsia"/>
          <w:sz w:val="24"/>
          <w:highlight w:val="none"/>
          <w:lang w:val="en-US" w:eastAsia="zh-CN"/>
        </w:rPr>
        <w:t>。</w:t>
      </w:r>
    </w:p>
    <w:p w14:paraId="2CDDA5C6">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1</w:t>
      </w:r>
      <w:r>
        <w:rPr>
          <w:rFonts w:hint="eastAsia"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生产废水</w:t>
      </w:r>
    </w:p>
    <w:p w14:paraId="5D0B878E">
      <w:pPr>
        <w:adjustRightInd w:val="0"/>
        <w:snapToGrid w:val="0"/>
        <w:spacing w:line="500" w:lineRule="exact"/>
        <w:ind w:firstLine="480" w:firstLineChars="200"/>
        <w:jc w:val="left"/>
        <w:rPr>
          <w:rFonts w:hint="default" w:ascii="Times New Roman" w:hAnsi="Times New Roman" w:cs="Times New Roman"/>
          <w:sz w:val="24"/>
          <w:highlight w:val="none"/>
          <w:lang w:val="en-US" w:eastAsia="zh-CN"/>
        </w:rPr>
      </w:pPr>
      <w:r>
        <w:rPr>
          <w:rFonts w:hint="eastAsia" w:ascii="Times New Roman" w:hAnsi="Times New Roman" w:cs="Times New Roman" w:eastAsiaTheme="minorEastAsia"/>
          <w:sz w:val="24"/>
          <w:highlight w:val="none"/>
          <w:lang w:val="en-US" w:eastAsia="zh-CN"/>
        </w:rPr>
        <w:t>①</w:t>
      </w:r>
      <w:r>
        <w:rPr>
          <w:rFonts w:hint="eastAsia" w:ascii="Times New Roman" w:hAnsi="Times New Roman" w:cs="Times New Roman"/>
          <w:sz w:val="24"/>
          <w:highlight w:val="none"/>
          <w:lang w:val="en-US" w:eastAsia="zh-CN"/>
        </w:rPr>
        <w:t>项目循环冷却用水量为24m</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lang w:val="en-US" w:eastAsia="zh-CN"/>
        </w:rPr>
        <w:t>/d</w:t>
      </w:r>
      <w:r>
        <w:rPr>
          <w:rFonts w:hint="eastAsia" w:ascii="Times New Roman" w:hAnsi="Times New Roman" w:cs="Times New Roman" w:eastAsiaTheme="minorEastAsia"/>
          <w:sz w:val="24"/>
          <w:highlight w:val="none"/>
          <w:lang w:val="en-US" w:eastAsia="zh-CN"/>
        </w:rPr>
        <w:t>循环冷却系统排污损失按照循环水量</w:t>
      </w:r>
      <w:r>
        <w:rPr>
          <w:rFonts w:hint="default" w:ascii="Times New Roman" w:hAnsi="Times New Roman" w:cs="Times New Roman" w:eastAsiaTheme="minorEastAsia"/>
          <w:sz w:val="24"/>
          <w:highlight w:val="none"/>
          <w:lang w:val="en-US" w:eastAsia="zh-CN"/>
        </w:rPr>
        <w:t>0.2%</w:t>
      </w:r>
      <w:r>
        <w:rPr>
          <w:rFonts w:hint="eastAsia" w:ascii="Times New Roman" w:hAnsi="Times New Roman" w:cs="Times New Roman" w:eastAsiaTheme="minorEastAsia"/>
          <w:sz w:val="24"/>
          <w:highlight w:val="none"/>
          <w:lang w:val="en-US" w:eastAsia="zh-CN"/>
        </w:rPr>
        <w:t>计算，则循环冷却水定排水为</w:t>
      </w:r>
      <w:r>
        <w:rPr>
          <w:rFonts w:hint="default" w:ascii="Times New Roman" w:hAnsi="Times New Roman" w:cs="Times New Roman" w:eastAsiaTheme="minorEastAsia"/>
          <w:sz w:val="24"/>
          <w:highlight w:val="none"/>
          <w:lang w:val="en-US" w:eastAsia="zh-CN"/>
        </w:rPr>
        <w:t>0.</w:t>
      </w:r>
      <w:r>
        <w:rPr>
          <w:rFonts w:hint="eastAsia" w:ascii="Times New Roman" w:hAnsi="Times New Roman" w:cs="Times New Roman"/>
          <w:sz w:val="24"/>
          <w:highlight w:val="none"/>
          <w:lang w:val="en-US" w:eastAsia="zh-CN"/>
        </w:rPr>
        <w:t>048</w:t>
      </w:r>
      <w:r>
        <w:rPr>
          <w:rFonts w:hint="default" w:ascii="Times New Roman" w:hAnsi="Times New Roman" w:cs="Times New Roman" w:eastAsiaTheme="minorEastAsia"/>
          <w:sz w:val="24"/>
          <w:highlight w:val="none"/>
          <w:lang w:val="en-US" w:eastAsia="zh-CN"/>
        </w:rPr>
        <w:t>m</w:t>
      </w:r>
      <w:r>
        <w:rPr>
          <w:rFonts w:hint="default" w:ascii="Times New Roman" w:hAnsi="Times New Roman" w:cs="Times New Roman" w:eastAsiaTheme="minorEastAsia"/>
          <w:sz w:val="24"/>
          <w:highlight w:val="none"/>
          <w:vertAlign w:val="superscript"/>
          <w:lang w:val="en-US" w:eastAsia="zh-CN"/>
        </w:rPr>
        <w:t>3</w:t>
      </w:r>
      <w:r>
        <w:rPr>
          <w:rFonts w:hint="default" w:ascii="Times New Roman" w:hAnsi="Times New Roman" w:cs="Times New Roman" w:eastAsiaTheme="minorEastAsia"/>
          <w:sz w:val="24"/>
          <w:highlight w:val="none"/>
          <w:lang w:val="en-US" w:eastAsia="zh-CN"/>
        </w:rPr>
        <w:t>/d</w:t>
      </w:r>
      <w:r>
        <w:rPr>
          <w:rFonts w:hint="eastAsia" w:ascii="Times New Roman" w:hAnsi="Times New Roman" w:cs="Times New Roman"/>
          <w:sz w:val="24"/>
          <w:highlight w:val="none"/>
          <w:lang w:val="en-US" w:eastAsia="zh-CN"/>
        </w:rPr>
        <w:t>（17.52m</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lang w:val="en-US" w:eastAsia="zh-CN"/>
        </w:rPr>
        <w:t>/a），</w:t>
      </w:r>
      <w:r>
        <w:rPr>
          <w:rFonts w:hint="eastAsia" w:ascii="Times New Roman" w:hAnsi="Times New Roman" w:cs="Times New Roman" w:eastAsiaTheme="minorEastAsia"/>
          <w:sz w:val="24"/>
          <w:highlight w:val="none"/>
          <w:lang w:val="en-US" w:eastAsia="zh-CN"/>
        </w:rPr>
        <w:t>循环冷却水池定排水直接进入喷淋碱液循环水</w:t>
      </w:r>
      <w:r>
        <w:rPr>
          <w:rFonts w:hint="eastAsia" w:ascii="Times New Roman" w:hAnsi="Times New Roman" w:cs="Times New Roman"/>
          <w:sz w:val="24"/>
          <w:highlight w:val="none"/>
          <w:lang w:val="en-US" w:eastAsia="zh-CN"/>
        </w:rPr>
        <w:t>池，蒸发损失量按1%计算则蒸发损失0.24m</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lang w:val="en-US" w:eastAsia="zh-CN"/>
        </w:rPr>
        <w:t>/d（87.6m</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lang w:val="en-US" w:eastAsia="zh-CN"/>
        </w:rPr>
        <w:t>/a）</w:t>
      </w:r>
      <w:r>
        <w:rPr>
          <w:rFonts w:hint="eastAsia"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合计总消耗量105.12m</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lang w:val="en-US" w:eastAsia="zh-CN"/>
        </w:rPr>
        <w:t>/a，则循环冷却水补水量为105.12m</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lang w:val="en-US" w:eastAsia="zh-CN"/>
        </w:rPr>
        <w:t>/a。</w:t>
      </w:r>
    </w:p>
    <w:p w14:paraId="6A0A66F3">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②软化水站采用离子交换树脂生产软水，离子交换树脂定期进行反冲洗，软化设备制水得水率为</w:t>
      </w:r>
      <w:r>
        <w:rPr>
          <w:rFonts w:hint="eastAsia" w:ascii="Times New Roman" w:hAnsi="Times New Roman" w:cs="Times New Roman"/>
          <w:sz w:val="24"/>
          <w:highlight w:val="none"/>
          <w:lang w:val="en-US" w:eastAsia="zh-CN"/>
        </w:rPr>
        <w:t>90</w:t>
      </w:r>
      <w:r>
        <w:rPr>
          <w:rFonts w:hint="default" w:ascii="Times New Roman" w:hAnsi="Times New Roman" w:cs="Times New Roman" w:eastAsiaTheme="minorEastAsia"/>
          <w:sz w:val="24"/>
          <w:highlight w:val="none"/>
          <w:lang w:val="en-US" w:eastAsia="zh-CN"/>
        </w:rPr>
        <w:t>%</w:t>
      </w:r>
      <w:r>
        <w:rPr>
          <w:rFonts w:hint="eastAsia" w:ascii="Times New Roman" w:hAnsi="Times New Roman" w:cs="Times New Roman" w:eastAsiaTheme="minorEastAsia"/>
          <w:sz w:val="24"/>
          <w:highlight w:val="none"/>
          <w:lang w:val="en-US" w:eastAsia="zh-CN"/>
        </w:rPr>
        <w:t>，新鲜水的耗量为</w:t>
      </w:r>
      <w:r>
        <w:rPr>
          <w:rFonts w:hint="eastAsia" w:ascii="Times New Roman" w:hAnsi="Times New Roman" w:cs="Times New Roman"/>
          <w:sz w:val="24"/>
          <w:highlight w:val="none"/>
          <w:lang w:val="en-US" w:eastAsia="zh-CN"/>
        </w:rPr>
        <w:t>4.289</w:t>
      </w:r>
      <w:r>
        <w:rPr>
          <w:rFonts w:hint="default" w:ascii="Times New Roman" w:hAnsi="Times New Roman" w:cs="Times New Roman" w:eastAsiaTheme="minorEastAsia"/>
          <w:sz w:val="24"/>
          <w:highlight w:val="none"/>
          <w:lang w:val="en-US" w:eastAsia="zh-CN"/>
        </w:rPr>
        <w:t>m</w:t>
      </w:r>
      <w:r>
        <w:rPr>
          <w:rFonts w:hint="default" w:ascii="Times New Roman" w:hAnsi="Times New Roman" w:cs="Times New Roman" w:eastAsiaTheme="minorEastAsia"/>
          <w:sz w:val="24"/>
          <w:highlight w:val="none"/>
          <w:vertAlign w:val="superscript"/>
          <w:lang w:val="en-US" w:eastAsia="zh-CN"/>
        </w:rPr>
        <w:t>3</w:t>
      </w:r>
      <w:r>
        <w:rPr>
          <w:rFonts w:hint="default" w:ascii="Times New Roman" w:hAnsi="Times New Roman" w:cs="Times New Roman" w:eastAsiaTheme="minorEastAsia"/>
          <w:sz w:val="24"/>
          <w:highlight w:val="none"/>
          <w:lang w:val="en-US" w:eastAsia="zh-CN"/>
        </w:rPr>
        <w:t>/d</w:t>
      </w:r>
      <w:r>
        <w:rPr>
          <w:rFonts w:hint="eastAsia" w:ascii="Times New Roman" w:hAnsi="Times New Roman" w:cs="Times New Roman"/>
          <w:sz w:val="24"/>
          <w:highlight w:val="none"/>
          <w:lang w:val="en-US" w:eastAsia="zh-CN"/>
        </w:rPr>
        <w:t>（1565.33m</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lang w:val="en-US" w:eastAsia="zh-CN"/>
        </w:rPr>
        <w:t>/a）</w:t>
      </w:r>
      <w:r>
        <w:rPr>
          <w:rFonts w:hint="eastAsia" w:ascii="Times New Roman" w:hAnsi="Times New Roman" w:cs="Times New Roman" w:eastAsiaTheme="minorEastAsia"/>
          <w:sz w:val="24"/>
          <w:highlight w:val="none"/>
          <w:lang w:val="en-US" w:eastAsia="zh-CN"/>
        </w:rPr>
        <w:t>，则软化废水产生量为</w:t>
      </w:r>
      <w:r>
        <w:rPr>
          <w:rFonts w:hint="eastAsia" w:ascii="Times New Roman" w:hAnsi="Times New Roman" w:cs="Times New Roman"/>
          <w:sz w:val="24"/>
          <w:highlight w:val="none"/>
          <w:lang w:val="en-US" w:eastAsia="zh-CN"/>
        </w:rPr>
        <w:t>0.428</w:t>
      </w:r>
      <w:r>
        <w:rPr>
          <w:rFonts w:hint="default" w:ascii="Times New Roman" w:hAnsi="Times New Roman" w:cs="Times New Roman" w:eastAsiaTheme="minorEastAsia"/>
          <w:sz w:val="24"/>
          <w:highlight w:val="none"/>
          <w:lang w:val="en-US" w:eastAsia="zh-CN"/>
        </w:rPr>
        <w:t>m</w:t>
      </w:r>
      <w:r>
        <w:rPr>
          <w:rFonts w:hint="default" w:ascii="Times New Roman" w:hAnsi="Times New Roman" w:cs="Times New Roman" w:eastAsiaTheme="minorEastAsia"/>
          <w:sz w:val="24"/>
          <w:highlight w:val="none"/>
          <w:vertAlign w:val="superscript"/>
          <w:lang w:val="en-US" w:eastAsia="zh-CN"/>
        </w:rPr>
        <w:t>3</w:t>
      </w:r>
      <w:r>
        <w:rPr>
          <w:rFonts w:hint="default" w:ascii="Times New Roman" w:hAnsi="Times New Roman" w:cs="Times New Roman" w:eastAsiaTheme="minorEastAsia"/>
          <w:sz w:val="24"/>
          <w:highlight w:val="none"/>
          <w:lang w:val="en-US" w:eastAsia="zh-CN"/>
        </w:rPr>
        <w:t>/d</w:t>
      </w:r>
      <w:r>
        <w:rPr>
          <w:rFonts w:hint="eastAsia" w:ascii="Times New Roman" w:hAnsi="Times New Roman" w:cs="Times New Roman"/>
          <w:sz w:val="24"/>
          <w:highlight w:val="none"/>
          <w:lang w:val="en-US" w:eastAsia="zh-CN"/>
        </w:rPr>
        <w:t>（156.53m</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lang w:val="en-US" w:eastAsia="zh-CN"/>
        </w:rPr>
        <w:t>/a）</w:t>
      </w:r>
      <w:r>
        <w:rPr>
          <w:rFonts w:hint="eastAsia"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项目软化废水用于厂区绿化，此部分用水蒸发下渗</w:t>
      </w:r>
      <w:r>
        <w:rPr>
          <w:rFonts w:hint="eastAsia" w:ascii="Times New Roman" w:hAnsi="Times New Roman" w:cs="Times New Roman" w:eastAsiaTheme="minorEastAsia"/>
          <w:sz w:val="24"/>
          <w:highlight w:val="none"/>
          <w:lang w:val="en-US" w:eastAsia="zh-CN"/>
        </w:rPr>
        <w:t>。</w:t>
      </w:r>
    </w:p>
    <w:p w14:paraId="5CAE30DF">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③湿法脱酸废水来自碱液喷淋装置定期排水，排水量约为喷淋量的</w:t>
      </w:r>
      <w:r>
        <w:rPr>
          <w:rFonts w:hint="default" w:ascii="Times New Roman" w:hAnsi="Times New Roman" w:cs="Times New Roman" w:eastAsiaTheme="minorEastAsia"/>
          <w:sz w:val="24"/>
          <w:highlight w:val="none"/>
          <w:lang w:val="en-US" w:eastAsia="zh-CN"/>
        </w:rPr>
        <w:t>1%</w:t>
      </w:r>
      <w:r>
        <w:rPr>
          <w:rFonts w:hint="eastAsia"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项</w:t>
      </w:r>
      <w:r>
        <w:rPr>
          <w:rFonts w:hint="eastAsia" w:ascii="Times New Roman" w:hAnsi="Times New Roman" w:cs="Times New Roman" w:eastAsiaTheme="minorEastAsia"/>
          <w:sz w:val="24"/>
          <w:highlight w:val="none"/>
          <w:lang w:val="en-US" w:eastAsia="zh-CN"/>
        </w:rPr>
        <w:t>目脱酸碱液</w:t>
      </w:r>
      <w:r>
        <w:rPr>
          <w:rFonts w:hint="eastAsia" w:ascii="Times New Roman" w:hAnsi="Times New Roman" w:cs="Times New Roman"/>
          <w:sz w:val="24"/>
          <w:highlight w:val="none"/>
          <w:lang w:val="en-US" w:eastAsia="zh-CN"/>
        </w:rPr>
        <w:t>补充</w:t>
      </w:r>
      <w:r>
        <w:rPr>
          <w:rFonts w:hint="eastAsia" w:ascii="Times New Roman" w:hAnsi="Times New Roman" w:cs="Times New Roman" w:eastAsiaTheme="minorEastAsia"/>
          <w:sz w:val="24"/>
          <w:highlight w:val="none"/>
          <w:lang w:val="en-US" w:eastAsia="zh-CN"/>
        </w:rPr>
        <w:t>水量为</w:t>
      </w:r>
      <w:r>
        <w:rPr>
          <w:rFonts w:hint="eastAsia" w:ascii="Times New Roman" w:hAnsi="Times New Roman" w:cs="Times New Roman"/>
          <w:sz w:val="24"/>
          <w:highlight w:val="none"/>
          <w:lang w:val="en-US" w:eastAsia="zh-CN"/>
        </w:rPr>
        <w:t>3.6</w:t>
      </w:r>
      <w:r>
        <w:rPr>
          <w:rFonts w:hint="eastAsia" w:ascii="Times New Roman" w:hAnsi="Times New Roman" w:cs="Times New Roman" w:eastAsiaTheme="minorEastAsia"/>
          <w:sz w:val="24"/>
          <w:highlight w:val="none"/>
          <w:lang w:val="en-US" w:eastAsia="zh-CN"/>
        </w:rPr>
        <w:t>m</w:t>
      </w:r>
      <w:r>
        <w:rPr>
          <w:rFonts w:hint="eastAsia"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/d（</w:t>
      </w:r>
      <w:r>
        <w:rPr>
          <w:rFonts w:hint="eastAsia" w:ascii="Times New Roman" w:hAnsi="Times New Roman" w:cs="Times New Roman"/>
          <w:sz w:val="24"/>
          <w:highlight w:val="none"/>
          <w:lang w:val="en-US" w:eastAsia="zh-CN"/>
        </w:rPr>
        <w:t>1314</w:t>
      </w:r>
      <w:r>
        <w:rPr>
          <w:rFonts w:hint="eastAsia" w:ascii="Times New Roman" w:hAnsi="Times New Roman" w:cs="Times New Roman" w:eastAsiaTheme="minorEastAsia"/>
          <w:sz w:val="24"/>
          <w:highlight w:val="none"/>
          <w:lang w:val="en-US" w:eastAsia="zh-CN"/>
        </w:rPr>
        <w:t>m</w:t>
      </w:r>
      <w:r>
        <w:rPr>
          <w:rFonts w:hint="eastAsia"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/a），外排废水量约7.2m</w:t>
      </w:r>
      <w:r>
        <w:rPr>
          <w:rFonts w:hint="eastAsia"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/a。循环喷淋碱液中主要水污染物有</w:t>
      </w:r>
      <w:r>
        <w:rPr>
          <w:rFonts w:hint="default" w:ascii="Times New Roman" w:hAnsi="Times New Roman" w:cs="Times New Roman" w:eastAsiaTheme="minorEastAsia"/>
          <w:sz w:val="24"/>
          <w:highlight w:val="none"/>
          <w:lang w:val="en-US" w:eastAsia="zh-CN"/>
        </w:rPr>
        <w:t>SS</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COD</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NH</w:t>
      </w:r>
      <w:r>
        <w:rPr>
          <w:rFonts w:hint="default" w:ascii="Times New Roman" w:hAnsi="Times New Roman" w:cs="Times New Roman" w:eastAsiaTheme="minorEastAsia"/>
          <w:sz w:val="24"/>
          <w:highlight w:val="none"/>
          <w:vertAlign w:val="subscript"/>
          <w:lang w:val="en-US" w:eastAsia="zh-CN"/>
        </w:rPr>
        <w:t>3</w:t>
      </w:r>
      <w:r>
        <w:rPr>
          <w:rFonts w:hint="default" w:ascii="Times New Roman" w:hAnsi="Times New Roman" w:cs="Times New Roman" w:eastAsiaTheme="minorEastAsia"/>
          <w:sz w:val="24"/>
          <w:highlight w:val="none"/>
          <w:lang w:val="en-US" w:eastAsia="zh-CN"/>
        </w:rPr>
        <w:t>-N</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BOD</w:t>
      </w:r>
      <w:r>
        <w:rPr>
          <w:rFonts w:hint="default" w:ascii="Times New Roman" w:hAnsi="Times New Roman" w:cs="Times New Roman" w:eastAsiaTheme="minorEastAsia"/>
          <w:sz w:val="24"/>
          <w:highlight w:val="none"/>
          <w:vertAlign w:val="subscript"/>
          <w:lang w:val="en-US" w:eastAsia="zh-CN"/>
        </w:rPr>
        <w:t>5</w:t>
      </w:r>
      <w:r>
        <w:rPr>
          <w:rFonts w:hint="eastAsia" w:ascii="Times New Roman" w:hAnsi="Times New Roman" w:cs="Times New Roman" w:eastAsiaTheme="minorEastAsia"/>
          <w:sz w:val="24"/>
          <w:highlight w:val="none"/>
          <w:lang w:val="en-US" w:eastAsia="zh-CN"/>
        </w:rPr>
        <w:t>、无机盐和少量重金属元素等。</w:t>
      </w:r>
    </w:p>
    <w:p w14:paraId="79F28A8D">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④</w:t>
      </w:r>
      <w:r>
        <w:rPr>
          <w:rFonts w:hint="eastAsia" w:ascii="Times New Roman" w:hAnsi="Times New Roman" w:cs="Times New Roman" w:eastAsiaTheme="minorEastAsia"/>
          <w:sz w:val="24"/>
          <w:highlight w:val="none"/>
          <w:lang w:val="en-US" w:eastAsia="zh-CN"/>
        </w:rPr>
        <w:t>急冷塔废水，项目急冷塔用水量为0.2m</w:t>
      </w:r>
      <w:r>
        <w:rPr>
          <w:rFonts w:hint="eastAsia"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/h，其中绝大部分用水被雾化成非常细小的雾滴，98%雾滴在高温烟气中迅速蒸发，极小部分冷凝至急冷塔底部与烟尘混合，急冷塔底部设有排污阀，定期打开排出混合物，作为固体废物飞灰处理。</w:t>
      </w:r>
      <w:bookmarkStart w:id="158" w:name="OLE_LINK580"/>
      <w:r>
        <w:rPr>
          <w:rFonts w:hint="eastAsia" w:ascii="Times New Roman" w:hAnsi="Times New Roman" w:cs="Times New Roman" w:eastAsiaTheme="minorEastAsia"/>
          <w:sz w:val="24"/>
          <w:highlight w:val="none"/>
          <w:lang w:val="en-US" w:eastAsia="zh-CN"/>
        </w:rPr>
        <w:t>按水平衡，急冷塔需要补水4.8m</w:t>
      </w:r>
      <w:r>
        <w:rPr>
          <w:rFonts w:hint="eastAsia"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/d，补水量为1752m</w:t>
      </w:r>
      <w:r>
        <w:rPr>
          <w:rFonts w:hint="eastAsia"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/a。</w:t>
      </w:r>
      <w:bookmarkEnd w:id="158"/>
    </w:p>
    <w:p w14:paraId="594DA7C6">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2</w:t>
      </w:r>
      <w:r>
        <w:rPr>
          <w:rFonts w:hint="eastAsia" w:ascii="Times New Roman" w:hAnsi="Times New Roman" w:cs="Times New Roman" w:eastAsiaTheme="minorEastAsia"/>
          <w:sz w:val="24"/>
          <w:highlight w:val="none"/>
          <w:lang w:val="en-US" w:eastAsia="zh-CN"/>
        </w:rPr>
        <w:t>）清洗废水</w:t>
      </w:r>
    </w:p>
    <w:p w14:paraId="5DD0F4C9">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①车辆冲洗废水：本项目医疗废物周转车依托企业现有医疗废物周转车，不涉及新增冲洗废水；</w:t>
      </w:r>
    </w:p>
    <w:p w14:paraId="3BC771E5">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②地面清洗废水：根据规范要求，运行期间需要定期对医疗废物卸料区、转运通道与其他接触医疗废物场所进行消毒清洗，此过程会产生清洗消毒废水。项目按每日消毒清洗一次计，根据测量确定需要进行清洗消毒的面积约</w:t>
      </w:r>
      <w:r>
        <w:rPr>
          <w:rFonts w:hint="eastAsia" w:ascii="Times New Roman" w:hAnsi="Times New Roman" w:cs="Times New Roman"/>
          <w:sz w:val="24"/>
          <w:highlight w:val="none"/>
          <w:lang w:val="en-US" w:eastAsia="zh-CN"/>
        </w:rPr>
        <w:t>270</w:t>
      </w:r>
      <w:r>
        <w:rPr>
          <w:rFonts w:hint="eastAsia" w:ascii="Times New Roman" w:hAnsi="Times New Roman" w:cs="Times New Roman" w:eastAsiaTheme="minorEastAsia"/>
          <w:sz w:val="24"/>
          <w:highlight w:val="none"/>
          <w:lang w:val="en-US" w:eastAsia="zh-CN"/>
        </w:rPr>
        <w:t>m</w:t>
      </w:r>
      <w:r>
        <w:rPr>
          <w:rFonts w:hint="eastAsia" w:ascii="Times New Roman" w:hAnsi="Times New Roman" w:cs="Times New Roman"/>
          <w:sz w:val="24"/>
          <w:highlight w:val="none"/>
          <w:vertAlign w:val="superscript"/>
          <w:lang w:val="en-US" w:eastAsia="zh-CN"/>
        </w:rPr>
        <w:t>2</w:t>
      </w:r>
      <w:r>
        <w:rPr>
          <w:rFonts w:hint="eastAsia" w:ascii="Times New Roman" w:hAnsi="Times New Roman" w:cs="Times New Roman" w:eastAsiaTheme="minorEastAsia"/>
          <w:sz w:val="24"/>
          <w:highlight w:val="none"/>
          <w:lang w:val="en-US" w:eastAsia="zh-CN"/>
        </w:rPr>
        <w:t>，用水定额取3L/m</w:t>
      </w:r>
      <w:r>
        <w:rPr>
          <w:rFonts w:hint="eastAsia" w:ascii="Times New Roman" w:hAnsi="Times New Roman" w:cs="Times New Roman" w:eastAsiaTheme="minorEastAsia"/>
          <w:sz w:val="24"/>
          <w:highlight w:val="none"/>
          <w:vertAlign w:val="superscript"/>
          <w:lang w:val="en-US" w:eastAsia="zh-CN"/>
        </w:rPr>
        <w:t>2</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d，</w:t>
      </w:r>
      <w:r>
        <w:rPr>
          <w:rFonts w:hint="eastAsia" w:ascii="Times New Roman" w:hAnsi="Times New Roman" w:cs="Times New Roman"/>
          <w:sz w:val="24"/>
          <w:highlight w:val="none"/>
          <w:lang w:val="en-US" w:eastAsia="zh-CN"/>
        </w:rPr>
        <w:t>则地面清洗用水为0.81m</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lang w:val="en-US" w:eastAsia="zh-CN"/>
        </w:rPr>
        <w:t>/d（295.65m</w:t>
      </w:r>
      <w:r>
        <w:rPr>
          <w:rFonts w:hint="eastAsia" w:ascii="Times New Roman" w:hAnsi="Times New Roman" w:cs="Times New Roman"/>
          <w:sz w:val="24"/>
          <w:highlight w:val="none"/>
          <w:vertAlign w:val="superscript"/>
          <w:lang w:val="en-US" w:eastAsia="zh-CN"/>
        </w:rPr>
        <w:t>3</w:t>
      </w:r>
      <w:r>
        <w:rPr>
          <w:rFonts w:hint="eastAsia" w:ascii="Times New Roman" w:hAnsi="Times New Roman" w:cs="Times New Roman"/>
          <w:sz w:val="24"/>
          <w:highlight w:val="none"/>
          <w:lang w:val="en-US" w:eastAsia="zh-CN"/>
        </w:rPr>
        <w:t>/a），</w:t>
      </w:r>
      <w:r>
        <w:rPr>
          <w:rFonts w:hint="eastAsia" w:ascii="Times New Roman" w:hAnsi="Times New Roman" w:cs="Times New Roman" w:eastAsiaTheme="minorEastAsia"/>
          <w:sz w:val="24"/>
          <w:highlight w:val="none"/>
          <w:lang w:val="en-US" w:eastAsia="zh-CN"/>
        </w:rPr>
        <w:t>排污系数按</w:t>
      </w:r>
      <w:r>
        <w:rPr>
          <w:rFonts w:hint="eastAsia" w:ascii="Times New Roman" w:hAnsi="Times New Roman" w:cs="Times New Roman"/>
          <w:sz w:val="24"/>
          <w:highlight w:val="none"/>
          <w:lang w:val="en-US" w:eastAsia="zh-CN"/>
        </w:rPr>
        <w:t>80%</w:t>
      </w:r>
      <w:r>
        <w:rPr>
          <w:rFonts w:hint="eastAsia" w:ascii="Times New Roman" w:hAnsi="Times New Roman" w:cs="Times New Roman" w:eastAsiaTheme="minorEastAsia"/>
          <w:sz w:val="24"/>
          <w:highlight w:val="none"/>
          <w:lang w:val="en-US" w:eastAsia="zh-CN"/>
        </w:rPr>
        <w:t>计，则项目地面清洗废水</w:t>
      </w:r>
      <w:r>
        <w:rPr>
          <w:rFonts w:hint="eastAsia" w:ascii="Times New Roman" w:hAnsi="Times New Roman" w:cs="Times New Roman"/>
          <w:sz w:val="24"/>
          <w:highlight w:val="none"/>
          <w:lang w:val="en-US" w:eastAsia="zh-CN"/>
        </w:rPr>
        <w:t>量为0.684</w:t>
      </w:r>
      <w:r>
        <w:rPr>
          <w:rFonts w:hint="eastAsia" w:ascii="Times New Roman" w:hAnsi="Times New Roman" w:cs="Times New Roman" w:eastAsiaTheme="minorEastAsia"/>
          <w:sz w:val="24"/>
          <w:highlight w:val="none"/>
          <w:lang w:val="en-US" w:eastAsia="zh-CN"/>
        </w:rPr>
        <w:t>m</w:t>
      </w:r>
      <w:r>
        <w:rPr>
          <w:rFonts w:hint="eastAsia"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/d</w:t>
      </w:r>
      <w:r>
        <w:rPr>
          <w:rFonts w:hint="eastAsia" w:ascii="Times New Roman" w:hAnsi="Times New Roman" w:cs="Times New Roman"/>
          <w:sz w:val="24"/>
          <w:highlight w:val="none"/>
          <w:lang w:val="en-US" w:eastAsia="zh-CN"/>
        </w:rPr>
        <w:t>（236.52</w:t>
      </w:r>
      <w:r>
        <w:rPr>
          <w:rFonts w:hint="eastAsia" w:ascii="Times New Roman" w:hAnsi="Times New Roman" w:cs="Times New Roman" w:eastAsiaTheme="minorEastAsia"/>
          <w:sz w:val="24"/>
          <w:highlight w:val="none"/>
          <w:lang w:val="en-US" w:eastAsia="zh-CN"/>
        </w:rPr>
        <w:t>m</w:t>
      </w:r>
      <w:r>
        <w:rPr>
          <w:rFonts w:hint="eastAsia"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/a</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w:t>
      </w:r>
    </w:p>
    <w:p w14:paraId="62FC1F7F">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③垃圾周转桶（箱）清洗废水：</w:t>
      </w:r>
    </w:p>
    <w:p w14:paraId="456ED6FD">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项目建成后新增周转箱用于收集病理性废物、化学性废物和药物性废物（损伤性废物和感染性废物转运依托现有工程）。根据医疗废物收集点分布情况，拟新增使用周转箱</w:t>
      </w:r>
      <w:r>
        <w:rPr>
          <w:rFonts w:hint="eastAsia" w:ascii="Times New Roman" w:hAnsi="Times New Roman" w:cs="Times New Roman"/>
          <w:sz w:val="24"/>
          <w:highlight w:val="none"/>
          <w:lang w:val="en-US" w:eastAsia="zh-CN"/>
        </w:rPr>
        <w:t>50</w:t>
      </w:r>
      <w:r>
        <w:rPr>
          <w:rFonts w:hint="eastAsia" w:ascii="Times New Roman" w:hAnsi="Times New Roman" w:cs="Times New Roman" w:eastAsiaTheme="minorEastAsia"/>
          <w:sz w:val="24"/>
          <w:highlight w:val="none"/>
          <w:lang w:val="en-US" w:eastAsia="zh-CN"/>
        </w:rPr>
        <w:t>个/d。根据现有工程周转箱清洗水量（0.0</w:t>
      </w:r>
      <w:r>
        <w:rPr>
          <w:rFonts w:hint="eastAsia" w:ascii="Times New Roman" w:hAnsi="Times New Roman" w:cs="Times New Roman"/>
          <w:sz w:val="24"/>
          <w:highlight w:val="none"/>
          <w:lang w:val="en-US" w:eastAsia="zh-CN"/>
        </w:rPr>
        <w:t>3</w:t>
      </w:r>
      <w:r>
        <w:rPr>
          <w:rFonts w:hint="eastAsia" w:ascii="Times New Roman" w:hAnsi="Times New Roman" w:cs="Times New Roman" w:eastAsiaTheme="minorEastAsia"/>
          <w:sz w:val="24"/>
          <w:highlight w:val="none"/>
          <w:lang w:val="en-US" w:eastAsia="zh-CN"/>
        </w:rPr>
        <w:t>m</w:t>
      </w:r>
      <w:r>
        <w:rPr>
          <w:rFonts w:hint="eastAsia"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/个），新增周转箱消毒清洗用水</w:t>
      </w:r>
      <w:r>
        <w:rPr>
          <w:rFonts w:hint="eastAsia" w:ascii="Times New Roman" w:hAnsi="Times New Roman" w:cs="Times New Roman"/>
          <w:sz w:val="24"/>
          <w:highlight w:val="none"/>
          <w:lang w:val="en-US" w:eastAsia="zh-CN"/>
        </w:rPr>
        <w:t>1.5</w:t>
      </w:r>
      <w:r>
        <w:rPr>
          <w:rFonts w:hint="eastAsia" w:ascii="Times New Roman" w:hAnsi="Times New Roman" w:cs="Times New Roman" w:eastAsiaTheme="minorEastAsia"/>
          <w:sz w:val="24"/>
          <w:highlight w:val="none"/>
          <w:lang w:val="en-US" w:eastAsia="zh-CN"/>
        </w:rPr>
        <w:t>m</w:t>
      </w:r>
      <w:r>
        <w:rPr>
          <w:rFonts w:hint="eastAsia"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/d</w:t>
      </w:r>
      <w:r>
        <w:rPr>
          <w:rFonts w:hint="eastAsia" w:ascii="Times New Roman" w:hAnsi="Times New Roman" w:cs="Times New Roman"/>
          <w:sz w:val="24"/>
          <w:highlight w:val="none"/>
          <w:lang w:val="en-US" w:eastAsia="zh-CN"/>
        </w:rPr>
        <w:t>（547.5</w:t>
      </w:r>
      <w:r>
        <w:rPr>
          <w:rFonts w:hint="eastAsia" w:ascii="Times New Roman" w:hAnsi="Times New Roman" w:cs="Times New Roman" w:eastAsiaTheme="minorEastAsia"/>
          <w:sz w:val="24"/>
          <w:highlight w:val="none"/>
          <w:lang w:val="en-US" w:eastAsia="zh-CN"/>
        </w:rPr>
        <w:t>m</w:t>
      </w:r>
      <w:r>
        <w:rPr>
          <w:rFonts w:hint="eastAsia"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/a</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，排污系数按</w:t>
      </w:r>
      <w:r>
        <w:rPr>
          <w:rFonts w:hint="eastAsia" w:ascii="Times New Roman" w:hAnsi="Times New Roman" w:cs="Times New Roman"/>
          <w:sz w:val="24"/>
          <w:highlight w:val="none"/>
          <w:lang w:val="en-US" w:eastAsia="zh-CN"/>
        </w:rPr>
        <w:t>80%</w:t>
      </w:r>
      <w:r>
        <w:rPr>
          <w:rFonts w:hint="eastAsia" w:ascii="Times New Roman" w:hAnsi="Times New Roman" w:cs="Times New Roman" w:eastAsiaTheme="minorEastAsia"/>
          <w:sz w:val="24"/>
          <w:highlight w:val="none"/>
          <w:lang w:val="en-US" w:eastAsia="zh-CN"/>
        </w:rPr>
        <w:t>计，则项目新增医疗废物转运车清洗消毒废水</w:t>
      </w:r>
      <w:r>
        <w:rPr>
          <w:rFonts w:hint="eastAsia" w:ascii="Times New Roman" w:hAnsi="Times New Roman" w:cs="Times New Roman"/>
          <w:sz w:val="24"/>
          <w:highlight w:val="none"/>
          <w:lang w:val="en-US" w:eastAsia="zh-CN"/>
        </w:rPr>
        <w:t>1.2</w:t>
      </w:r>
      <w:r>
        <w:rPr>
          <w:rFonts w:hint="eastAsia" w:ascii="Times New Roman" w:hAnsi="Times New Roman" w:cs="Times New Roman" w:eastAsiaTheme="minorEastAsia"/>
          <w:sz w:val="24"/>
          <w:highlight w:val="none"/>
          <w:lang w:val="en-US" w:eastAsia="zh-CN"/>
        </w:rPr>
        <w:t>m</w:t>
      </w:r>
      <w:r>
        <w:rPr>
          <w:rFonts w:hint="eastAsia"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/d</w:t>
      </w:r>
      <w:r>
        <w:rPr>
          <w:rFonts w:hint="eastAsia" w:ascii="Times New Roman" w:hAnsi="Times New Roman" w:cs="Times New Roman"/>
          <w:sz w:val="24"/>
          <w:highlight w:val="none"/>
          <w:lang w:val="en-US" w:eastAsia="zh-CN"/>
        </w:rPr>
        <w:t>（438</w:t>
      </w:r>
      <w:r>
        <w:rPr>
          <w:rFonts w:hint="eastAsia" w:ascii="Times New Roman" w:hAnsi="Times New Roman" w:cs="Times New Roman" w:eastAsiaTheme="minorEastAsia"/>
          <w:sz w:val="24"/>
          <w:highlight w:val="none"/>
          <w:lang w:val="en-US" w:eastAsia="zh-CN"/>
        </w:rPr>
        <w:t>m</w:t>
      </w:r>
      <w:r>
        <w:rPr>
          <w:rFonts w:hint="eastAsia"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/a</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w:t>
      </w:r>
    </w:p>
    <w:p w14:paraId="4175BC63">
      <w:pPr>
        <w:adjustRightInd w:val="0"/>
        <w:snapToGrid w:val="0"/>
        <w:spacing w:line="500" w:lineRule="exact"/>
        <w:ind w:firstLine="480" w:firstLineChars="200"/>
        <w:jc w:val="left"/>
        <w:rPr>
          <w:rFonts w:hint="eastAsia" w:ascii="Times New Roman" w:hAnsi="Times New Roman" w:cs="Times New Roman"/>
          <w:sz w:val="24"/>
          <w:highlight w:val="none"/>
          <w:lang w:val="en-US" w:eastAsia="zh-CN"/>
        </w:rPr>
      </w:pPr>
      <w:r>
        <w:rPr>
          <w:rFonts w:hint="eastAsia" w:ascii="Times New Roman" w:hAnsi="Times New Roman" w:cs="Times New Roman" w:eastAsiaTheme="minorEastAsia"/>
          <w:sz w:val="24"/>
          <w:highlight w:val="none"/>
          <w:lang w:val="en-US" w:eastAsia="zh-CN"/>
        </w:rPr>
        <w:t>类比宝鸡市晶玖宇环境科技有限公司宝鸡市医疗废物集中处置厂提质扩能项目</w:t>
      </w:r>
      <w:r>
        <w:rPr>
          <w:rFonts w:hint="eastAsia" w:ascii="Times New Roman" w:hAnsi="Times New Roman" w:cs="Times New Roman"/>
          <w:sz w:val="24"/>
          <w:highlight w:val="none"/>
          <w:lang w:val="en-US" w:eastAsia="zh-CN"/>
        </w:rPr>
        <w:t>中废水污染物产生浓度</w:t>
      </w:r>
      <w:r>
        <w:rPr>
          <w:rFonts w:hint="eastAsia"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本</w:t>
      </w:r>
      <w:r>
        <w:rPr>
          <w:rFonts w:hint="eastAsia" w:ascii="Times New Roman" w:hAnsi="Times New Roman" w:cs="Times New Roman" w:eastAsiaTheme="minorEastAsia"/>
          <w:sz w:val="24"/>
          <w:highlight w:val="none"/>
          <w:lang w:val="en-US" w:eastAsia="zh-CN"/>
        </w:rPr>
        <w:t>项目综合生产废水各</w:t>
      </w:r>
      <w:r>
        <w:rPr>
          <w:rFonts w:hint="eastAsia" w:ascii="Times New Roman" w:hAnsi="Times New Roman" w:cs="Times New Roman"/>
          <w:sz w:val="24"/>
          <w:highlight w:val="none"/>
          <w:lang w:val="en-US" w:eastAsia="zh-CN"/>
        </w:rPr>
        <w:t>污染物产生浓度如下：</w:t>
      </w:r>
    </w:p>
    <w:p w14:paraId="59559090">
      <w:pPr>
        <w:adjustRightInd w:val="0"/>
        <w:snapToGrid w:val="0"/>
        <w:spacing w:line="500" w:lineRule="exact"/>
        <w:ind w:firstLine="480" w:firstLineChars="200"/>
        <w:jc w:val="left"/>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COD：400mg/L；BOD</w:t>
      </w:r>
      <w:r>
        <w:rPr>
          <w:rFonts w:hint="default" w:ascii="Times New Roman" w:hAnsi="Times New Roman" w:cs="Times New Roman"/>
          <w:sz w:val="24"/>
          <w:highlight w:val="none"/>
          <w:vertAlign w:val="subscript"/>
          <w:lang w:val="en-US" w:eastAsia="zh-CN"/>
        </w:rPr>
        <w:t>5</w:t>
      </w:r>
      <w:r>
        <w:rPr>
          <w:rFonts w:hint="default" w:ascii="Times New Roman" w:hAnsi="Times New Roman" w:cs="Times New Roman"/>
          <w:sz w:val="24"/>
          <w:highlight w:val="none"/>
          <w:lang w:val="en-US" w:eastAsia="zh-CN"/>
        </w:rPr>
        <w:t>：200mg/L；SS：3</w:t>
      </w:r>
      <w:r>
        <w:rPr>
          <w:rFonts w:hint="eastAsia" w:ascii="Times New Roman" w:hAnsi="Times New Roman" w:cs="Times New Roman"/>
          <w:sz w:val="24"/>
          <w:highlight w:val="none"/>
          <w:lang w:val="en-US" w:eastAsia="zh-CN"/>
        </w:rPr>
        <w:t>11</w:t>
      </w:r>
      <w:r>
        <w:rPr>
          <w:rFonts w:hint="default" w:ascii="Times New Roman" w:hAnsi="Times New Roman" w:cs="Times New Roman"/>
          <w:sz w:val="24"/>
          <w:highlight w:val="none"/>
          <w:lang w:val="en-US" w:eastAsia="zh-CN"/>
        </w:rPr>
        <w:t>mg/L；NH</w:t>
      </w:r>
      <w:r>
        <w:rPr>
          <w:rFonts w:hint="default" w:ascii="Times New Roman" w:hAnsi="Times New Roman" w:cs="Times New Roman"/>
          <w:sz w:val="24"/>
          <w:highlight w:val="none"/>
          <w:vertAlign w:val="subscript"/>
          <w:lang w:val="en-US" w:eastAsia="zh-CN"/>
        </w:rPr>
        <w:t>3</w:t>
      </w:r>
      <w:r>
        <w:rPr>
          <w:rFonts w:hint="default" w:ascii="Times New Roman" w:hAnsi="Times New Roman" w:cs="Times New Roman"/>
          <w:sz w:val="24"/>
          <w:highlight w:val="none"/>
          <w:lang w:val="en-US" w:eastAsia="zh-CN"/>
        </w:rPr>
        <w:t>-N：</w:t>
      </w:r>
      <w:r>
        <w:rPr>
          <w:rFonts w:hint="eastAsia" w:ascii="Times New Roman" w:hAnsi="Times New Roman" w:cs="Times New Roman"/>
          <w:sz w:val="24"/>
          <w:highlight w:val="none"/>
          <w:lang w:val="en-US" w:eastAsia="zh-CN"/>
        </w:rPr>
        <w:t>26</w:t>
      </w:r>
      <w:r>
        <w:rPr>
          <w:rFonts w:hint="default" w:ascii="Times New Roman" w:hAnsi="Times New Roman" w:cs="Times New Roman"/>
          <w:sz w:val="24"/>
          <w:highlight w:val="none"/>
          <w:lang w:val="en-US" w:eastAsia="zh-CN"/>
        </w:rPr>
        <w:t>mg/L；Hg：0.00</w:t>
      </w:r>
      <w:r>
        <w:rPr>
          <w:rFonts w:hint="eastAsia" w:ascii="Times New Roman" w:hAnsi="Times New Roman" w:cs="Times New Roman"/>
          <w:sz w:val="24"/>
          <w:highlight w:val="none"/>
          <w:lang w:val="en-US" w:eastAsia="zh-CN"/>
        </w:rPr>
        <w:t>4</w:t>
      </w:r>
      <w:r>
        <w:rPr>
          <w:rFonts w:hint="default" w:ascii="Times New Roman" w:hAnsi="Times New Roman" w:cs="Times New Roman"/>
          <w:sz w:val="24"/>
          <w:highlight w:val="none"/>
          <w:lang w:val="en-US" w:eastAsia="zh-CN"/>
        </w:rPr>
        <w:t>mg/L；Cd：0.00</w:t>
      </w:r>
      <w:r>
        <w:rPr>
          <w:rFonts w:hint="eastAsia" w:ascii="Times New Roman" w:hAnsi="Times New Roman" w:cs="Times New Roman"/>
          <w:sz w:val="24"/>
          <w:highlight w:val="none"/>
          <w:lang w:val="en-US" w:eastAsia="zh-CN"/>
        </w:rPr>
        <w:t>15</w:t>
      </w:r>
      <w:r>
        <w:rPr>
          <w:rFonts w:hint="default" w:ascii="Times New Roman" w:hAnsi="Times New Roman" w:cs="Times New Roman"/>
          <w:sz w:val="24"/>
          <w:highlight w:val="none"/>
          <w:lang w:val="en-US" w:eastAsia="zh-CN"/>
        </w:rPr>
        <w:t>mg/L；Pb：0.0</w:t>
      </w:r>
      <w:r>
        <w:rPr>
          <w:rFonts w:hint="eastAsia" w:ascii="Times New Roman" w:hAnsi="Times New Roman" w:cs="Times New Roman"/>
          <w:sz w:val="24"/>
          <w:highlight w:val="none"/>
          <w:lang w:val="en-US" w:eastAsia="zh-CN"/>
        </w:rPr>
        <w:t>61</w:t>
      </w:r>
      <w:r>
        <w:rPr>
          <w:rFonts w:hint="default" w:ascii="Times New Roman" w:hAnsi="Times New Roman" w:cs="Times New Roman"/>
          <w:sz w:val="24"/>
          <w:highlight w:val="none"/>
          <w:lang w:val="en-US" w:eastAsia="zh-CN"/>
        </w:rPr>
        <w:t>mg/L；As：0.0</w:t>
      </w:r>
      <w:r>
        <w:rPr>
          <w:rFonts w:hint="eastAsia" w:ascii="Times New Roman" w:hAnsi="Times New Roman" w:cs="Times New Roman"/>
          <w:sz w:val="24"/>
          <w:highlight w:val="none"/>
          <w:lang w:val="en-US" w:eastAsia="zh-CN"/>
        </w:rPr>
        <w:t>76</w:t>
      </w:r>
      <w:r>
        <w:rPr>
          <w:rFonts w:hint="default" w:ascii="Times New Roman" w:hAnsi="Times New Roman" w:cs="Times New Roman"/>
          <w:sz w:val="24"/>
          <w:highlight w:val="none"/>
          <w:lang w:val="en-US" w:eastAsia="zh-CN"/>
        </w:rPr>
        <w:t>mg/L；Cr：0.</w:t>
      </w:r>
      <w:r>
        <w:rPr>
          <w:rFonts w:hint="eastAsia" w:ascii="Times New Roman" w:hAnsi="Times New Roman" w:cs="Times New Roman"/>
          <w:sz w:val="24"/>
          <w:highlight w:val="none"/>
          <w:lang w:val="en-US" w:eastAsia="zh-CN"/>
        </w:rPr>
        <w:t>046</w:t>
      </w:r>
      <w:r>
        <w:rPr>
          <w:rFonts w:hint="default" w:ascii="Times New Roman" w:hAnsi="Times New Roman" w:cs="Times New Roman"/>
          <w:sz w:val="24"/>
          <w:highlight w:val="none"/>
          <w:lang w:val="en-US" w:eastAsia="zh-CN"/>
        </w:rPr>
        <w:t>mg/L；Cr</w:t>
      </w:r>
      <w:r>
        <w:rPr>
          <w:rFonts w:hint="default" w:ascii="Times New Roman" w:hAnsi="Times New Roman" w:cs="Times New Roman"/>
          <w:sz w:val="24"/>
          <w:highlight w:val="none"/>
          <w:vertAlign w:val="superscript"/>
          <w:lang w:val="en-US" w:eastAsia="zh-CN"/>
        </w:rPr>
        <w:t>6+</w:t>
      </w:r>
      <w:r>
        <w:rPr>
          <w:rFonts w:hint="default" w:ascii="Times New Roman" w:hAnsi="Times New Roman" w:cs="Times New Roman"/>
          <w:sz w:val="24"/>
          <w:highlight w:val="none"/>
          <w:lang w:val="en-US" w:eastAsia="zh-CN"/>
        </w:rPr>
        <w:t>：0.0</w:t>
      </w:r>
      <w:r>
        <w:rPr>
          <w:rFonts w:hint="eastAsia" w:ascii="Times New Roman" w:hAnsi="Times New Roman" w:cs="Times New Roman"/>
          <w:sz w:val="24"/>
          <w:highlight w:val="none"/>
          <w:lang w:val="en-US" w:eastAsia="zh-CN"/>
        </w:rPr>
        <w:t>15</w:t>
      </w:r>
      <w:r>
        <w:rPr>
          <w:rFonts w:hint="default" w:ascii="Times New Roman" w:hAnsi="Times New Roman" w:cs="Times New Roman"/>
          <w:sz w:val="24"/>
          <w:highlight w:val="none"/>
          <w:lang w:val="en-US" w:eastAsia="zh-CN"/>
        </w:rPr>
        <w:t>mg/L；石油类：</w:t>
      </w:r>
      <w:r>
        <w:rPr>
          <w:rFonts w:hint="eastAsia" w:ascii="Times New Roman" w:hAnsi="Times New Roman" w:cs="Times New Roman"/>
          <w:sz w:val="24"/>
          <w:highlight w:val="none"/>
          <w:lang w:val="en-US" w:eastAsia="zh-CN"/>
        </w:rPr>
        <w:t>49</w:t>
      </w:r>
      <w:r>
        <w:rPr>
          <w:rFonts w:hint="default" w:ascii="Times New Roman" w:hAnsi="Times New Roman" w:cs="Times New Roman"/>
          <w:sz w:val="24"/>
          <w:highlight w:val="none"/>
          <w:lang w:val="en-US" w:eastAsia="zh-CN"/>
        </w:rPr>
        <w:t>mg/L。</w:t>
      </w:r>
    </w:p>
    <w:p w14:paraId="0991CD3C">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Times New Roman" w:hAnsi="Times New Roman" w:cs="Times New Roman" w:eastAsiaTheme="minorEastAsia"/>
          <w:sz w:val="24"/>
          <w:highlight w:val="none"/>
          <w:lang w:val="en-US" w:eastAsia="zh-CN"/>
        </w:rPr>
        <w:t>厂区生产废水均排入厂内污水处理系统处理，废水采用“</w:t>
      </w:r>
      <w:r>
        <w:rPr>
          <w:rFonts w:hint="eastAsia" w:ascii="Times New Roman" w:hAnsi="Times New Roman" w:cs="Times New Roman"/>
          <w:sz w:val="24"/>
          <w:highlight w:val="none"/>
          <w:lang w:val="en-US" w:eastAsia="zh-CN"/>
        </w:rPr>
        <w:t>调节池+</w:t>
      </w:r>
      <w:r>
        <w:rPr>
          <w:rFonts w:hint="eastAsia" w:ascii="Times New Roman" w:hAnsi="Times New Roman" w:cs="Times New Roman" w:eastAsiaTheme="minorEastAsia"/>
          <w:sz w:val="24"/>
          <w:highlight w:val="none"/>
          <w:lang w:val="en-US" w:eastAsia="zh-CN"/>
        </w:rPr>
        <w:t>预处理（沉淀）</w:t>
      </w:r>
      <w:r>
        <w:rPr>
          <w:rFonts w:hint="default" w:ascii="Times New Roman" w:hAnsi="Times New Roman" w:cs="Times New Roman" w:eastAsiaTheme="minorEastAsia"/>
          <w:sz w:val="24"/>
          <w:highlight w:val="none"/>
          <w:lang w:val="en-US" w:eastAsia="zh-CN"/>
        </w:rPr>
        <w:t>+MBR+DTRO</w:t>
      </w:r>
      <w:r>
        <w:rPr>
          <w:rFonts w:hint="eastAsia" w:ascii="Times New Roman" w:hAnsi="Times New Roman" w:cs="Times New Roman"/>
          <w:sz w:val="24"/>
          <w:highlight w:val="none"/>
          <w:lang w:val="en-US" w:eastAsia="zh-CN"/>
        </w:rPr>
        <w:t>+接触池（次氯酸钠消毒）</w:t>
      </w:r>
      <w:r>
        <w:rPr>
          <w:rFonts w:hint="eastAsia" w:ascii="Times New Roman" w:hAnsi="Times New Roman" w:cs="Times New Roman" w:eastAsiaTheme="minorEastAsia"/>
          <w:sz w:val="24"/>
          <w:highlight w:val="none"/>
          <w:lang w:val="en-US" w:eastAsia="zh-CN"/>
        </w:rPr>
        <w:t>”处理工艺，处理后出水达到《医疗机构水污染物排放标准》（</w:t>
      </w:r>
      <w:r>
        <w:rPr>
          <w:rFonts w:hint="default" w:ascii="Times New Roman" w:hAnsi="Times New Roman" w:cs="Times New Roman" w:eastAsiaTheme="minorEastAsia"/>
          <w:sz w:val="24"/>
          <w:highlight w:val="none"/>
          <w:lang w:val="en-US" w:eastAsia="zh-CN"/>
        </w:rPr>
        <w:t>GB18466-2005</w:t>
      </w:r>
      <w:r>
        <w:rPr>
          <w:rFonts w:hint="eastAsia" w:ascii="Times New Roman" w:hAnsi="Times New Roman" w:cs="Times New Roman" w:eastAsiaTheme="minorEastAsia"/>
          <w:sz w:val="24"/>
          <w:highlight w:val="none"/>
          <w:lang w:val="en-US" w:eastAsia="zh-CN"/>
        </w:rPr>
        <w:t>）、《城市污水再生利用工业用水水质》（GB/T 19923-2024）和《污水综合排放标准》（GB8978-1996）三者较严限值后进入回用水池，用于清洗用水，运营期废水污染物排放情况，见表</w:t>
      </w:r>
      <w:r>
        <w:rPr>
          <w:rFonts w:hint="default" w:ascii="Times New Roman" w:hAnsi="Times New Roman" w:cs="Times New Roman" w:eastAsiaTheme="minorEastAsia"/>
          <w:sz w:val="24"/>
          <w:highlight w:val="none"/>
          <w:lang w:val="en-US" w:eastAsia="zh-CN"/>
        </w:rPr>
        <w:t>3.</w:t>
      </w:r>
      <w:r>
        <w:rPr>
          <w:rFonts w:hint="eastAsia" w:ascii="Times New Roman" w:hAnsi="Times New Roman" w:cs="Times New Roman" w:eastAsiaTheme="minorEastAsia"/>
          <w:sz w:val="24"/>
          <w:highlight w:val="none"/>
          <w:lang w:val="en-US" w:eastAsia="zh-CN"/>
        </w:rPr>
        <w:t>5-7。</w:t>
      </w:r>
    </w:p>
    <w:p w14:paraId="5DD2DD58">
      <w:pPr>
        <w:snapToGrid w:val="0"/>
        <w:spacing w:before="241" w:beforeLines="50"/>
        <w:ind w:firstLine="949" w:firstLineChars="450"/>
        <w:jc w:val="center"/>
        <w:rPr>
          <w:rFonts w:hint="default"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表3.</w:t>
      </w:r>
      <w:r>
        <w:rPr>
          <w:rFonts w:hint="eastAsia" w:ascii="Times New Roman" w:hAnsi="Times New Roman" w:cs="Times New Roman"/>
          <w:b/>
          <w:szCs w:val="21"/>
          <w:lang w:val="en-US" w:eastAsia="zh-CN"/>
        </w:rPr>
        <w:t>5-7</w:t>
      </w:r>
      <w:r>
        <w:rPr>
          <w:rFonts w:hint="eastAsia" w:ascii="Times New Roman" w:hAnsi="Times New Roman" w:cs="Times New Roman" w:eastAsiaTheme="minorEastAsia"/>
          <w:b/>
          <w:szCs w:val="21"/>
          <w:lang w:val="en-US" w:eastAsia="zh-CN"/>
        </w:rPr>
        <w:t xml:space="preserve">  本项目运营后废水污染物排放情况汇总表</w:t>
      </w:r>
    </w:p>
    <w:tbl>
      <w:tblPr>
        <w:tblStyle w:val="13"/>
        <w:tblW w:w="442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1350"/>
        <w:gridCol w:w="1107"/>
        <w:gridCol w:w="914"/>
        <w:gridCol w:w="1429"/>
        <w:gridCol w:w="1402"/>
        <w:gridCol w:w="1022"/>
        <w:gridCol w:w="924"/>
        <w:gridCol w:w="1230"/>
        <w:gridCol w:w="2154"/>
      </w:tblGrid>
      <w:tr w14:paraId="44A8E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5" w:type="pct"/>
            <w:vMerge w:val="restart"/>
            <w:vAlign w:val="center"/>
          </w:tcPr>
          <w:p w14:paraId="1576B20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污染物产生源</w:t>
            </w:r>
          </w:p>
        </w:tc>
        <w:tc>
          <w:tcPr>
            <w:tcW w:w="1912" w:type="pct"/>
            <w:gridSpan w:val="4"/>
            <w:vAlign w:val="center"/>
          </w:tcPr>
          <w:p w14:paraId="0C62C8C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治理前</w:t>
            </w:r>
          </w:p>
        </w:tc>
        <w:tc>
          <w:tcPr>
            <w:tcW w:w="558" w:type="pct"/>
            <w:vMerge w:val="restart"/>
            <w:vAlign w:val="center"/>
          </w:tcPr>
          <w:p w14:paraId="4D969BB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污染防治措施</w:t>
            </w:r>
          </w:p>
        </w:tc>
        <w:tc>
          <w:tcPr>
            <w:tcW w:w="1265" w:type="pct"/>
            <w:gridSpan w:val="3"/>
            <w:vAlign w:val="center"/>
          </w:tcPr>
          <w:p w14:paraId="3AB7E1F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治理后</w:t>
            </w:r>
          </w:p>
        </w:tc>
        <w:tc>
          <w:tcPr>
            <w:tcW w:w="858" w:type="pct"/>
            <w:vMerge w:val="restart"/>
            <w:vAlign w:val="center"/>
          </w:tcPr>
          <w:p w14:paraId="4DBCBB0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排放</w:t>
            </w:r>
          </w:p>
        </w:tc>
      </w:tr>
      <w:tr w14:paraId="311C9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pct"/>
            <w:vMerge w:val="continue"/>
            <w:vAlign w:val="center"/>
          </w:tcPr>
          <w:p w14:paraId="70CAC2DE">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537" w:type="pct"/>
            <w:vAlign w:val="center"/>
          </w:tcPr>
          <w:p w14:paraId="0907EF6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废水产生量（m</w:t>
            </w:r>
            <w:r>
              <w:rPr>
                <w:rFonts w:hint="eastAsia" w:ascii="Times New Roman" w:hAnsi="Times New Roman" w:cs="Times New Roman" w:eastAsiaTheme="minorEastAsia"/>
                <w:szCs w:val="21"/>
                <w:vertAlign w:val="superscript"/>
                <w:lang w:val="en-US" w:eastAsia="zh-CN"/>
              </w:rPr>
              <w:t>3</w:t>
            </w:r>
            <w:r>
              <w:rPr>
                <w:rFonts w:hint="eastAsia" w:ascii="Times New Roman" w:hAnsi="Times New Roman" w:cs="Times New Roman" w:eastAsiaTheme="minorEastAsia"/>
                <w:szCs w:val="21"/>
                <w:lang w:val="en-US" w:eastAsia="zh-CN"/>
              </w:rPr>
              <w:t>/</w:t>
            </w:r>
            <w:r>
              <w:rPr>
                <w:rFonts w:hint="eastAsia" w:ascii="Times New Roman" w:hAnsi="Times New Roman" w:cs="Times New Roman"/>
                <w:szCs w:val="21"/>
                <w:lang w:val="en-US" w:eastAsia="zh-CN"/>
              </w:rPr>
              <w:t>a</w:t>
            </w:r>
            <w:r>
              <w:rPr>
                <w:rFonts w:hint="eastAsia" w:ascii="Times New Roman" w:hAnsi="Times New Roman" w:cs="Times New Roman" w:eastAsiaTheme="minorEastAsia"/>
                <w:szCs w:val="21"/>
                <w:lang w:val="en-US" w:eastAsia="zh-CN"/>
              </w:rPr>
              <w:t>）</w:t>
            </w:r>
          </w:p>
        </w:tc>
        <w:tc>
          <w:tcPr>
            <w:tcW w:w="441" w:type="pct"/>
            <w:vAlign w:val="center"/>
          </w:tcPr>
          <w:p w14:paraId="21C9C9A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污染物类别</w:t>
            </w:r>
          </w:p>
        </w:tc>
        <w:tc>
          <w:tcPr>
            <w:tcW w:w="364" w:type="pct"/>
            <w:vAlign w:val="center"/>
          </w:tcPr>
          <w:p w14:paraId="2AC7BD4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浓度mg/L</w:t>
            </w:r>
          </w:p>
        </w:tc>
        <w:tc>
          <w:tcPr>
            <w:tcW w:w="569" w:type="pct"/>
            <w:vAlign w:val="center"/>
          </w:tcPr>
          <w:p w14:paraId="436F946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产生量t/a</w:t>
            </w:r>
          </w:p>
        </w:tc>
        <w:tc>
          <w:tcPr>
            <w:tcW w:w="558" w:type="pct"/>
            <w:vMerge w:val="continue"/>
            <w:vAlign w:val="center"/>
          </w:tcPr>
          <w:p w14:paraId="71320D65">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407" w:type="pct"/>
            <w:vAlign w:val="center"/>
          </w:tcPr>
          <w:p w14:paraId="2E2A7F14">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污染物类别</w:t>
            </w:r>
          </w:p>
        </w:tc>
        <w:tc>
          <w:tcPr>
            <w:tcW w:w="368" w:type="pct"/>
            <w:vAlign w:val="center"/>
          </w:tcPr>
          <w:p w14:paraId="001CCA4C">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浓度mg/L</w:t>
            </w:r>
          </w:p>
        </w:tc>
        <w:tc>
          <w:tcPr>
            <w:tcW w:w="490" w:type="pct"/>
            <w:vAlign w:val="center"/>
          </w:tcPr>
          <w:p w14:paraId="04EBA0D4">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排放</w:t>
            </w:r>
            <w:r>
              <w:rPr>
                <w:rFonts w:hint="eastAsia" w:ascii="Times New Roman" w:hAnsi="Times New Roman" w:cs="Times New Roman" w:eastAsiaTheme="minorEastAsia"/>
                <w:szCs w:val="21"/>
                <w:lang w:val="en-US" w:eastAsia="zh-CN"/>
              </w:rPr>
              <w:t>量t/a</w:t>
            </w:r>
          </w:p>
        </w:tc>
        <w:tc>
          <w:tcPr>
            <w:tcW w:w="858" w:type="pct"/>
            <w:vMerge w:val="continue"/>
            <w:vAlign w:val="center"/>
          </w:tcPr>
          <w:p w14:paraId="33EA0020">
            <w:pPr>
              <w:autoSpaceDE w:val="0"/>
              <w:autoSpaceDN w:val="0"/>
              <w:spacing w:line="300" w:lineRule="exact"/>
              <w:jc w:val="center"/>
              <w:rPr>
                <w:rFonts w:hint="eastAsia" w:ascii="Times New Roman" w:hAnsi="Times New Roman" w:cs="Times New Roman" w:eastAsiaTheme="minorEastAsia"/>
                <w:szCs w:val="21"/>
                <w:lang w:val="en-US" w:eastAsia="zh-CN"/>
              </w:rPr>
            </w:pPr>
          </w:p>
        </w:tc>
      </w:tr>
      <w:tr w14:paraId="22EA5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pct"/>
            <w:vAlign w:val="center"/>
          </w:tcPr>
          <w:p w14:paraId="2DF98C9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循环冷却系统定排水</w:t>
            </w:r>
          </w:p>
        </w:tc>
        <w:tc>
          <w:tcPr>
            <w:tcW w:w="537" w:type="pct"/>
            <w:vAlign w:val="center"/>
          </w:tcPr>
          <w:p w14:paraId="0E3B103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17.52</w:t>
            </w:r>
          </w:p>
        </w:tc>
        <w:tc>
          <w:tcPr>
            <w:tcW w:w="441" w:type="pct"/>
            <w:vAlign w:val="center"/>
          </w:tcPr>
          <w:p w14:paraId="7427D10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COD</w:t>
            </w:r>
          </w:p>
        </w:tc>
        <w:tc>
          <w:tcPr>
            <w:tcW w:w="364" w:type="pct"/>
            <w:vAlign w:val="center"/>
          </w:tcPr>
          <w:p w14:paraId="4170803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40</w:t>
            </w:r>
          </w:p>
        </w:tc>
        <w:tc>
          <w:tcPr>
            <w:tcW w:w="569" w:type="pct"/>
            <w:vAlign w:val="center"/>
          </w:tcPr>
          <w:p w14:paraId="73F8AAD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7.008×10</w:t>
            </w:r>
            <w:r>
              <w:rPr>
                <w:rFonts w:hint="eastAsia" w:ascii="Times New Roman" w:hAnsi="Times New Roman" w:cs="Times New Roman" w:eastAsiaTheme="minorEastAsia"/>
                <w:szCs w:val="21"/>
                <w:vertAlign w:val="superscript"/>
                <w:lang w:val="en-US" w:eastAsia="zh-CN"/>
              </w:rPr>
              <w:t>-4</w:t>
            </w:r>
          </w:p>
        </w:tc>
        <w:tc>
          <w:tcPr>
            <w:tcW w:w="558" w:type="pct"/>
            <w:vAlign w:val="center"/>
          </w:tcPr>
          <w:p w14:paraId="2DE16F1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直接回用于脱酸碱液配制用水</w:t>
            </w:r>
          </w:p>
        </w:tc>
        <w:tc>
          <w:tcPr>
            <w:tcW w:w="407" w:type="pct"/>
            <w:vAlign w:val="center"/>
          </w:tcPr>
          <w:p w14:paraId="2DD3EBF3">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COD</w:t>
            </w:r>
          </w:p>
        </w:tc>
        <w:tc>
          <w:tcPr>
            <w:tcW w:w="368" w:type="pct"/>
            <w:vAlign w:val="center"/>
          </w:tcPr>
          <w:p w14:paraId="012550D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40</w:t>
            </w:r>
          </w:p>
        </w:tc>
        <w:tc>
          <w:tcPr>
            <w:tcW w:w="490" w:type="pct"/>
            <w:vAlign w:val="center"/>
          </w:tcPr>
          <w:p w14:paraId="3EF6E66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w:t>
            </w:r>
          </w:p>
        </w:tc>
        <w:tc>
          <w:tcPr>
            <w:tcW w:w="858" w:type="pct"/>
            <w:vMerge w:val="restart"/>
            <w:vAlign w:val="center"/>
          </w:tcPr>
          <w:p w14:paraId="3C98F285">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达到《医疗机构水污染物排放标准》</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GB18466-2005</w:t>
            </w: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《城市污水再生利用工业用水水质》</w:t>
            </w:r>
            <w:r>
              <w:rPr>
                <w:rFonts w:hint="eastAsia" w:ascii="Times New Roman" w:hAnsi="Times New Roman" w:cs="Times New Roman"/>
                <w:szCs w:val="21"/>
                <w:lang w:val="en-US" w:eastAsia="zh-CN"/>
              </w:rPr>
              <w:t>和</w:t>
            </w:r>
            <w:r>
              <w:rPr>
                <w:rFonts w:hint="eastAsia" w:ascii="Times New Roman" w:hAnsi="Times New Roman" w:cs="Times New Roman" w:eastAsiaTheme="minorEastAsia"/>
                <w:szCs w:val="21"/>
                <w:lang w:val="en-US" w:eastAsia="zh-CN"/>
              </w:rPr>
              <w:t>《污水综合排放标准》（GB8978-1996）</w:t>
            </w:r>
            <w:r>
              <w:rPr>
                <w:rFonts w:hint="eastAsia" w:ascii="Times New Roman" w:hAnsi="Times New Roman" w:cs="Times New Roman"/>
                <w:szCs w:val="21"/>
                <w:lang w:val="en-US" w:eastAsia="zh-CN"/>
              </w:rPr>
              <w:t>Ⅱ类标准，</w:t>
            </w:r>
            <w:r>
              <w:rPr>
                <w:rFonts w:hint="eastAsia" w:ascii="Times New Roman" w:hAnsi="Times New Roman" w:cs="Times New Roman" w:eastAsiaTheme="minorEastAsia"/>
                <w:szCs w:val="21"/>
                <w:lang w:val="en-US" w:eastAsia="zh-CN"/>
              </w:rPr>
              <w:t>较严限值后作为洗涤</w:t>
            </w:r>
            <w:r>
              <w:rPr>
                <w:rFonts w:hint="eastAsia" w:ascii="Times New Roman" w:hAnsi="Times New Roman" w:cs="Times New Roman"/>
                <w:szCs w:val="21"/>
                <w:lang w:val="en-US" w:eastAsia="zh-CN"/>
              </w:rPr>
              <w:t>、冷却</w:t>
            </w:r>
            <w:r>
              <w:rPr>
                <w:rFonts w:hint="eastAsia" w:ascii="Times New Roman" w:hAnsi="Times New Roman" w:cs="Times New Roman" w:eastAsiaTheme="minorEastAsia"/>
                <w:szCs w:val="21"/>
                <w:lang w:val="en-US" w:eastAsia="zh-CN"/>
              </w:rPr>
              <w:t>用水标准后全部回用</w:t>
            </w:r>
          </w:p>
        </w:tc>
      </w:tr>
      <w:tr w14:paraId="2FDED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8" w:type="dxa"/>
            <w:vAlign w:val="center"/>
          </w:tcPr>
          <w:p w14:paraId="5431B98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软水制备废水</w:t>
            </w:r>
          </w:p>
        </w:tc>
        <w:tc>
          <w:tcPr>
            <w:tcW w:w="1350" w:type="dxa"/>
            <w:vAlign w:val="center"/>
          </w:tcPr>
          <w:p w14:paraId="6EBC623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156.53</w:t>
            </w:r>
          </w:p>
        </w:tc>
        <w:tc>
          <w:tcPr>
            <w:tcW w:w="1107" w:type="dxa"/>
            <w:vAlign w:val="center"/>
          </w:tcPr>
          <w:p w14:paraId="56F53ED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硬度</w:t>
            </w:r>
          </w:p>
        </w:tc>
        <w:tc>
          <w:tcPr>
            <w:tcW w:w="364" w:type="pct"/>
            <w:vAlign w:val="center"/>
          </w:tcPr>
          <w:p w14:paraId="290CDAD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w:t>
            </w:r>
          </w:p>
        </w:tc>
        <w:tc>
          <w:tcPr>
            <w:tcW w:w="569" w:type="pct"/>
            <w:vAlign w:val="center"/>
          </w:tcPr>
          <w:p w14:paraId="04FB296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w:t>
            </w:r>
          </w:p>
        </w:tc>
        <w:tc>
          <w:tcPr>
            <w:tcW w:w="558" w:type="pct"/>
            <w:vAlign w:val="center"/>
          </w:tcPr>
          <w:p w14:paraId="6D1032A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用于绿化</w:t>
            </w:r>
          </w:p>
        </w:tc>
        <w:tc>
          <w:tcPr>
            <w:tcW w:w="1022" w:type="dxa"/>
            <w:vAlign w:val="center"/>
          </w:tcPr>
          <w:p w14:paraId="7CB6D42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硬度</w:t>
            </w:r>
          </w:p>
        </w:tc>
        <w:tc>
          <w:tcPr>
            <w:tcW w:w="924" w:type="dxa"/>
            <w:vAlign w:val="center"/>
          </w:tcPr>
          <w:p w14:paraId="356C983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w:t>
            </w:r>
          </w:p>
        </w:tc>
        <w:tc>
          <w:tcPr>
            <w:tcW w:w="1230" w:type="dxa"/>
            <w:vAlign w:val="center"/>
          </w:tcPr>
          <w:p w14:paraId="1689AB3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w:t>
            </w:r>
          </w:p>
        </w:tc>
        <w:tc>
          <w:tcPr>
            <w:tcW w:w="858" w:type="pct"/>
            <w:vMerge w:val="continue"/>
            <w:vAlign w:val="center"/>
          </w:tcPr>
          <w:p w14:paraId="4366DE76">
            <w:pPr>
              <w:adjustRightInd w:val="0"/>
              <w:snapToGrid w:val="0"/>
              <w:spacing w:line="500" w:lineRule="exact"/>
              <w:jc w:val="center"/>
              <w:rPr>
                <w:rFonts w:hint="eastAsia" w:ascii="Times New Roman" w:hAnsi="Times New Roman" w:cs="Times New Roman" w:eastAsiaTheme="minorEastAsia"/>
                <w:sz w:val="24"/>
                <w:highlight w:val="none"/>
                <w:vertAlign w:val="baseline"/>
                <w:lang w:val="en-US" w:eastAsia="zh-CN"/>
              </w:rPr>
            </w:pPr>
          </w:p>
        </w:tc>
      </w:tr>
      <w:tr w14:paraId="57798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5" w:type="pct"/>
            <w:vMerge w:val="restart"/>
            <w:vAlign w:val="center"/>
          </w:tcPr>
          <w:p w14:paraId="6FE1C4F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综合生产废水</w:t>
            </w:r>
          </w:p>
        </w:tc>
        <w:tc>
          <w:tcPr>
            <w:tcW w:w="537" w:type="pct"/>
            <w:vMerge w:val="restart"/>
            <w:vAlign w:val="center"/>
          </w:tcPr>
          <w:p w14:paraId="6B3A125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726.72</w:t>
            </w:r>
          </w:p>
        </w:tc>
        <w:tc>
          <w:tcPr>
            <w:tcW w:w="441" w:type="pct"/>
            <w:vAlign w:val="center"/>
          </w:tcPr>
          <w:p w14:paraId="24DE6C5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COD</w:t>
            </w:r>
          </w:p>
        </w:tc>
        <w:tc>
          <w:tcPr>
            <w:tcW w:w="364" w:type="pct"/>
            <w:vAlign w:val="center"/>
          </w:tcPr>
          <w:p w14:paraId="19435BD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400</w:t>
            </w:r>
          </w:p>
        </w:tc>
        <w:tc>
          <w:tcPr>
            <w:tcW w:w="569" w:type="pct"/>
            <w:vAlign w:val="center"/>
          </w:tcPr>
          <w:p w14:paraId="51132B7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0.291</w:t>
            </w:r>
          </w:p>
        </w:tc>
        <w:tc>
          <w:tcPr>
            <w:tcW w:w="558" w:type="pct"/>
            <w:vMerge w:val="restart"/>
            <w:vAlign w:val="center"/>
          </w:tcPr>
          <w:p w14:paraId="545059A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厂区内现有污水处理站（“调节池+预处理（沉淀）</w:t>
            </w:r>
            <w:r>
              <w:rPr>
                <w:rFonts w:hint="default" w:ascii="Times New Roman" w:hAnsi="Times New Roman" w:cs="Times New Roman" w:eastAsiaTheme="minorEastAsia"/>
                <w:szCs w:val="21"/>
                <w:lang w:val="en-US" w:eastAsia="zh-CN"/>
              </w:rPr>
              <w:t>+MBR+DTRO</w:t>
            </w:r>
            <w:r>
              <w:rPr>
                <w:rFonts w:hint="eastAsia" w:ascii="Times New Roman" w:hAnsi="Times New Roman" w:cs="Times New Roman" w:eastAsiaTheme="minorEastAsia"/>
                <w:szCs w:val="21"/>
                <w:lang w:val="en-US" w:eastAsia="zh-CN"/>
              </w:rPr>
              <w:t>+接触池（次氯酸钠消毒）”工艺）</w:t>
            </w:r>
          </w:p>
        </w:tc>
        <w:tc>
          <w:tcPr>
            <w:tcW w:w="407" w:type="pct"/>
            <w:vAlign w:val="center"/>
          </w:tcPr>
          <w:p w14:paraId="5AE75973">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COD</w:t>
            </w:r>
          </w:p>
        </w:tc>
        <w:tc>
          <w:tcPr>
            <w:tcW w:w="368" w:type="pct"/>
            <w:vAlign w:val="center"/>
          </w:tcPr>
          <w:p w14:paraId="41EE149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50</w:t>
            </w:r>
          </w:p>
        </w:tc>
        <w:tc>
          <w:tcPr>
            <w:tcW w:w="490" w:type="pct"/>
            <w:vAlign w:val="center"/>
          </w:tcPr>
          <w:p w14:paraId="08041FC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0.036</w:t>
            </w:r>
          </w:p>
        </w:tc>
        <w:tc>
          <w:tcPr>
            <w:tcW w:w="858" w:type="pct"/>
            <w:vMerge w:val="continue"/>
            <w:vAlign w:val="center"/>
          </w:tcPr>
          <w:p w14:paraId="6E3BA38D">
            <w:pPr>
              <w:adjustRightInd w:val="0"/>
              <w:snapToGrid w:val="0"/>
              <w:spacing w:line="500" w:lineRule="exact"/>
              <w:jc w:val="center"/>
              <w:rPr>
                <w:rFonts w:hint="eastAsia" w:ascii="Times New Roman" w:hAnsi="Times New Roman" w:cs="Times New Roman" w:eastAsiaTheme="minorEastAsia"/>
                <w:sz w:val="24"/>
                <w:highlight w:val="none"/>
                <w:vertAlign w:val="baseline"/>
                <w:lang w:val="en-US" w:eastAsia="zh-CN"/>
              </w:rPr>
            </w:pPr>
          </w:p>
        </w:tc>
      </w:tr>
      <w:tr w14:paraId="2EF36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pct"/>
            <w:vMerge w:val="continue"/>
            <w:vAlign w:val="center"/>
          </w:tcPr>
          <w:p w14:paraId="73BD153C">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537" w:type="pct"/>
            <w:vMerge w:val="continue"/>
            <w:vAlign w:val="center"/>
          </w:tcPr>
          <w:p w14:paraId="2D509823">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441" w:type="pct"/>
            <w:vAlign w:val="center"/>
          </w:tcPr>
          <w:p w14:paraId="6238900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BOD</w:t>
            </w:r>
            <w:r>
              <w:rPr>
                <w:rFonts w:hint="eastAsia" w:ascii="Times New Roman" w:hAnsi="Times New Roman" w:cs="Times New Roman" w:eastAsiaTheme="minorEastAsia"/>
                <w:szCs w:val="21"/>
                <w:vertAlign w:val="subscript"/>
                <w:lang w:val="en-US" w:eastAsia="zh-CN"/>
              </w:rPr>
              <w:t>5</w:t>
            </w:r>
          </w:p>
        </w:tc>
        <w:tc>
          <w:tcPr>
            <w:tcW w:w="364" w:type="pct"/>
            <w:vAlign w:val="center"/>
          </w:tcPr>
          <w:p w14:paraId="2114D49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200</w:t>
            </w:r>
          </w:p>
        </w:tc>
        <w:tc>
          <w:tcPr>
            <w:tcW w:w="569" w:type="pct"/>
            <w:vAlign w:val="center"/>
          </w:tcPr>
          <w:p w14:paraId="41EB328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0.145</w:t>
            </w:r>
          </w:p>
        </w:tc>
        <w:tc>
          <w:tcPr>
            <w:tcW w:w="558" w:type="pct"/>
            <w:vMerge w:val="continue"/>
            <w:vAlign w:val="center"/>
          </w:tcPr>
          <w:p w14:paraId="59FDA11C">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407" w:type="pct"/>
            <w:vAlign w:val="center"/>
          </w:tcPr>
          <w:p w14:paraId="5F89774A">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BOD</w:t>
            </w:r>
            <w:r>
              <w:rPr>
                <w:rFonts w:hint="eastAsia" w:ascii="Times New Roman" w:hAnsi="Times New Roman" w:cs="Times New Roman" w:eastAsiaTheme="minorEastAsia"/>
                <w:szCs w:val="21"/>
                <w:highlight w:val="none"/>
                <w:vertAlign w:val="subscript"/>
                <w:lang w:val="en-US" w:eastAsia="zh-CN"/>
              </w:rPr>
              <w:t>5</w:t>
            </w:r>
          </w:p>
        </w:tc>
        <w:tc>
          <w:tcPr>
            <w:tcW w:w="368" w:type="pct"/>
            <w:vAlign w:val="center"/>
          </w:tcPr>
          <w:p w14:paraId="23D7275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10</w:t>
            </w:r>
          </w:p>
        </w:tc>
        <w:tc>
          <w:tcPr>
            <w:tcW w:w="490" w:type="pct"/>
            <w:vAlign w:val="center"/>
          </w:tcPr>
          <w:p w14:paraId="33904B0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0.007</w:t>
            </w:r>
          </w:p>
        </w:tc>
        <w:tc>
          <w:tcPr>
            <w:tcW w:w="858" w:type="pct"/>
            <w:vMerge w:val="continue"/>
            <w:vAlign w:val="center"/>
          </w:tcPr>
          <w:p w14:paraId="155D9CAD">
            <w:pPr>
              <w:adjustRightInd w:val="0"/>
              <w:snapToGrid w:val="0"/>
              <w:spacing w:line="500" w:lineRule="exact"/>
              <w:jc w:val="center"/>
              <w:rPr>
                <w:rFonts w:hint="eastAsia" w:ascii="Times New Roman" w:hAnsi="Times New Roman" w:cs="Times New Roman" w:eastAsiaTheme="minorEastAsia"/>
                <w:sz w:val="24"/>
                <w:highlight w:val="none"/>
                <w:vertAlign w:val="baseline"/>
                <w:lang w:val="en-US" w:eastAsia="zh-CN"/>
              </w:rPr>
            </w:pPr>
          </w:p>
        </w:tc>
      </w:tr>
      <w:tr w14:paraId="196A3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pct"/>
            <w:vMerge w:val="continue"/>
            <w:vAlign w:val="center"/>
          </w:tcPr>
          <w:p w14:paraId="754A0B93">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537" w:type="pct"/>
            <w:vMerge w:val="continue"/>
            <w:vAlign w:val="center"/>
          </w:tcPr>
          <w:p w14:paraId="0AB49086">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441" w:type="pct"/>
            <w:vAlign w:val="center"/>
          </w:tcPr>
          <w:p w14:paraId="62307C1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SS</w:t>
            </w:r>
          </w:p>
        </w:tc>
        <w:tc>
          <w:tcPr>
            <w:tcW w:w="364" w:type="pct"/>
            <w:vAlign w:val="center"/>
          </w:tcPr>
          <w:p w14:paraId="3EACA31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311</w:t>
            </w:r>
          </w:p>
        </w:tc>
        <w:tc>
          <w:tcPr>
            <w:tcW w:w="569" w:type="pct"/>
            <w:vAlign w:val="center"/>
          </w:tcPr>
          <w:p w14:paraId="17008D8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0.226</w:t>
            </w:r>
          </w:p>
        </w:tc>
        <w:tc>
          <w:tcPr>
            <w:tcW w:w="558" w:type="pct"/>
            <w:vMerge w:val="continue"/>
            <w:vAlign w:val="center"/>
          </w:tcPr>
          <w:p w14:paraId="3723855C">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407" w:type="pct"/>
            <w:vAlign w:val="center"/>
          </w:tcPr>
          <w:p w14:paraId="4A66E59B">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SS</w:t>
            </w:r>
          </w:p>
        </w:tc>
        <w:tc>
          <w:tcPr>
            <w:tcW w:w="368" w:type="pct"/>
            <w:vAlign w:val="center"/>
          </w:tcPr>
          <w:p w14:paraId="16C08E7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20</w:t>
            </w:r>
          </w:p>
        </w:tc>
        <w:tc>
          <w:tcPr>
            <w:tcW w:w="490" w:type="pct"/>
            <w:vAlign w:val="center"/>
          </w:tcPr>
          <w:p w14:paraId="54402C6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0.015</w:t>
            </w:r>
          </w:p>
        </w:tc>
        <w:tc>
          <w:tcPr>
            <w:tcW w:w="858" w:type="pct"/>
            <w:vMerge w:val="continue"/>
            <w:vAlign w:val="center"/>
          </w:tcPr>
          <w:p w14:paraId="4E39E19E">
            <w:pPr>
              <w:adjustRightInd w:val="0"/>
              <w:snapToGrid w:val="0"/>
              <w:spacing w:line="500" w:lineRule="exact"/>
              <w:jc w:val="center"/>
              <w:rPr>
                <w:rFonts w:hint="eastAsia" w:ascii="Times New Roman" w:hAnsi="Times New Roman" w:cs="Times New Roman" w:eastAsiaTheme="minorEastAsia"/>
                <w:sz w:val="24"/>
                <w:highlight w:val="none"/>
                <w:vertAlign w:val="baseline"/>
                <w:lang w:val="en-US" w:eastAsia="zh-CN"/>
              </w:rPr>
            </w:pPr>
          </w:p>
        </w:tc>
      </w:tr>
      <w:tr w14:paraId="4ED33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5" w:type="pct"/>
            <w:vMerge w:val="continue"/>
            <w:vAlign w:val="center"/>
          </w:tcPr>
          <w:p w14:paraId="1CFDEA99">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537" w:type="pct"/>
            <w:vMerge w:val="continue"/>
            <w:vAlign w:val="center"/>
          </w:tcPr>
          <w:p w14:paraId="3A3B875C">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441" w:type="pct"/>
            <w:vAlign w:val="center"/>
          </w:tcPr>
          <w:p w14:paraId="5F58F61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NH</w:t>
            </w:r>
            <w:r>
              <w:rPr>
                <w:rFonts w:hint="eastAsia" w:ascii="Times New Roman" w:hAnsi="Times New Roman" w:cs="Times New Roman" w:eastAsiaTheme="minorEastAsia"/>
                <w:szCs w:val="21"/>
                <w:highlight w:val="none"/>
                <w:vertAlign w:val="subscript"/>
                <w:lang w:val="en-US" w:eastAsia="zh-CN"/>
              </w:rPr>
              <w:t>3</w:t>
            </w:r>
            <w:r>
              <w:rPr>
                <w:rFonts w:hint="eastAsia" w:ascii="Times New Roman" w:hAnsi="Times New Roman" w:cs="Times New Roman" w:eastAsiaTheme="minorEastAsia"/>
                <w:szCs w:val="21"/>
                <w:highlight w:val="none"/>
                <w:lang w:val="en-US" w:eastAsia="zh-CN"/>
              </w:rPr>
              <w:t>-N</w:t>
            </w:r>
          </w:p>
        </w:tc>
        <w:tc>
          <w:tcPr>
            <w:tcW w:w="364" w:type="pct"/>
            <w:vAlign w:val="center"/>
          </w:tcPr>
          <w:p w14:paraId="661522C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26</w:t>
            </w:r>
          </w:p>
        </w:tc>
        <w:tc>
          <w:tcPr>
            <w:tcW w:w="569" w:type="pct"/>
            <w:vAlign w:val="center"/>
          </w:tcPr>
          <w:p w14:paraId="46C741F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0.019</w:t>
            </w:r>
          </w:p>
        </w:tc>
        <w:tc>
          <w:tcPr>
            <w:tcW w:w="558" w:type="pct"/>
            <w:vMerge w:val="continue"/>
            <w:vAlign w:val="center"/>
          </w:tcPr>
          <w:p w14:paraId="36FD21BE">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407" w:type="pct"/>
            <w:vAlign w:val="center"/>
          </w:tcPr>
          <w:p w14:paraId="6F46E52A">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NH</w:t>
            </w:r>
            <w:r>
              <w:rPr>
                <w:rFonts w:hint="eastAsia" w:ascii="Times New Roman" w:hAnsi="Times New Roman" w:cs="Times New Roman" w:eastAsiaTheme="minorEastAsia"/>
                <w:szCs w:val="21"/>
                <w:vertAlign w:val="subscript"/>
                <w:lang w:val="en-US" w:eastAsia="zh-CN"/>
              </w:rPr>
              <w:t>3</w:t>
            </w:r>
            <w:r>
              <w:rPr>
                <w:rFonts w:hint="eastAsia" w:ascii="Times New Roman" w:hAnsi="Times New Roman" w:cs="Times New Roman" w:eastAsiaTheme="minorEastAsia"/>
                <w:szCs w:val="21"/>
                <w:lang w:val="en-US" w:eastAsia="zh-CN"/>
              </w:rPr>
              <w:t>-N</w:t>
            </w:r>
          </w:p>
        </w:tc>
        <w:tc>
          <w:tcPr>
            <w:tcW w:w="368" w:type="pct"/>
            <w:vAlign w:val="center"/>
          </w:tcPr>
          <w:p w14:paraId="36E6290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5</w:t>
            </w:r>
          </w:p>
        </w:tc>
        <w:tc>
          <w:tcPr>
            <w:tcW w:w="490" w:type="pct"/>
            <w:vAlign w:val="center"/>
          </w:tcPr>
          <w:p w14:paraId="1F0FC6F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0.004</w:t>
            </w:r>
          </w:p>
        </w:tc>
        <w:tc>
          <w:tcPr>
            <w:tcW w:w="858" w:type="pct"/>
            <w:vMerge w:val="continue"/>
            <w:vAlign w:val="center"/>
          </w:tcPr>
          <w:p w14:paraId="155B26DD">
            <w:pPr>
              <w:adjustRightInd w:val="0"/>
              <w:snapToGrid w:val="0"/>
              <w:spacing w:line="500" w:lineRule="exact"/>
              <w:jc w:val="center"/>
              <w:rPr>
                <w:rFonts w:hint="eastAsia" w:ascii="Times New Roman" w:hAnsi="Times New Roman" w:cs="Times New Roman" w:eastAsiaTheme="minorEastAsia"/>
                <w:sz w:val="24"/>
                <w:highlight w:val="none"/>
                <w:vertAlign w:val="baseline"/>
                <w:lang w:val="en-US" w:eastAsia="zh-CN"/>
              </w:rPr>
            </w:pPr>
          </w:p>
        </w:tc>
      </w:tr>
      <w:tr w14:paraId="0F0E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pct"/>
            <w:vMerge w:val="continue"/>
            <w:vAlign w:val="center"/>
          </w:tcPr>
          <w:p w14:paraId="23F30B5C">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537" w:type="pct"/>
            <w:vMerge w:val="continue"/>
            <w:vAlign w:val="center"/>
          </w:tcPr>
          <w:p w14:paraId="6CCF0924">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441" w:type="pct"/>
            <w:vAlign w:val="center"/>
          </w:tcPr>
          <w:p w14:paraId="2E538EB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Hg</w:t>
            </w:r>
          </w:p>
        </w:tc>
        <w:tc>
          <w:tcPr>
            <w:tcW w:w="364" w:type="pct"/>
            <w:vAlign w:val="center"/>
          </w:tcPr>
          <w:p w14:paraId="03FFDEE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0.004</w:t>
            </w:r>
          </w:p>
        </w:tc>
        <w:tc>
          <w:tcPr>
            <w:tcW w:w="569" w:type="pct"/>
            <w:vAlign w:val="center"/>
          </w:tcPr>
          <w:p w14:paraId="0CBBD3C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2.907×10</w:t>
            </w:r>
            <w:r>
              <w:rPr>
                <w:rFonts w:hint="eastAsia" w:ascii="Times New Roman" w:hAnsi="Times New Roman" w:cs="Times New Roman"/>
                <w:szCs w:val="21"/>
                <w:vertAlign w:val="superscript"/>
                <w:lang w:val="en-US" w:eastAsia="zh-CN"/>
              </w:rPr>
              <w:t>-6</w:t>
            </w:r>
          </w:p>
        </w:tc>
        <w:tc>
          <w:tcPr>
            <w:tcW w:w="558" w:type="pct"/>
            <w:vMerge w:val="continue"/>
            <w:vAlign w:val="center"/>
          </w:tcPr>
          <w:p w14:paraId="40036F7B">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407" w:type="pct"/>
            <w:vAlign w:val="center"/>
          </w:tcPr>
          <w:p w14:paraId="218568D4">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Hg</w:t>
            </w:r>
          </w:p>
        </w:tc>
        <w:tc>
          <w:tcPr>
            <w:tcW w:w="368" w:type="pct"/>
            <w:vAlign w:val="center"/>
          </w:tcPr>
          <w:p w14:paraId="226CF73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0.004</w:t>
            </w:r>
          </w:p>
        </w:tc>
        <w:tc>
          <w:tcPr>
            <w:tcW w:w="490" w:type="pct"/>
            <w:vAlign w:val="center"/>
          </w:tcPr>
          <w:p w14:paraId="08680B4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2.907×10</w:t>
            </w:r>
            <w:r>
              <w:rPr>
                <w:rFonts w:hint="eastAsia" w:ascii="Times New Roman" w:hAnsi="Times New Roman" w:cs="Times New Roman"/>
                <w:szCs w:val="21"/>
                <w:vertAlign w:val="superscript"/>
                <w:lang w:val="en-US" w:eastAsia="zh-CN"/>
              </w:rPr>
              <w:t>-6</w:t>
            </w:r>
          </w:p>
        </w:tc>
        <w:tc>
          <w:tcPr>
            <w:tcW w:w="858" w:type="pct"/>
            <w:vMerge w:val="continue"/>
            <w:vAlign w:val="center"/>
          </w:tcPr>
          <w:p w14:paraId="2AAD3A2E">
            <w:pPr>
              <w:adjustRightInd w:val="0"/>
              <w:snapToGrid w:val="0"/>
              <w:spacing w:line="500" w:lineRule="exact"/>
              <w:jc w:val="center"/>
              <w:rPr>
                <w:rFonts w:hint="eastAsia" w:ascii="Times New Roman" w:hAnsi="Times New Roman" w:cs="Times New Roman" w:eastAsiaTheme="minorEastAsia"/>
                <w:sz w:val="24"/>
                <w:highlight w:val="none"/>
                <w:vertAlign w:val="baseline"/>
                <w:lang w:val="en-US" w:eastAsia="zh-CN"/>
              </w:rPr>
            </w:pPr>
          </w:p>
        </w:tc>
      </w:tr>
      <w:tr w14:paraId="646A6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pct"/>
            <w:vMerge w:val="continue"/>
            <w:vAlign w:val="center"/>
          </w:tcPr>
          <w:p w14:paraId="480A8A11">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537" w:type="pct"/>
            <w:vMerge w:val="continue"/>
            <w:vAlign w:val="center"/>
          </w:tcPr>
          <w:p w14:paraId="3C542276">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441" w:type="pct"/>
            <w:vAlign w:val="center"/>
          </w:tcPr>
          <w:p w14:paraId="07A9310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Cd</w:t>
            </w:r>
          </w:p>
        </w:tc>
        <w:tc>
          <w:tcPr>
            <w:tcW w:w="364" w:type="pct"/>
            <w:vAlign w:val="center"/>
          </w:tcPr>
          <w:p w14:paraId="44A46C2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0.015</w:t>
            </w:r>
          </w:p>
        </w:tc>
        <w:tc>
          <w:tcPr>
            <w:tcW w:w="569" w:type="pct"/>
            <w:vAlign w:val="center"/>
          </w:tcPr>
          <w:p w14:paraId="6E0817F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1.09×10</w:t>
            </w:r>
            <w:r>
              <w:rPr>
                <w:rFonts w:hint="eastAsia" w:ascii="Times New Roman" w:hAnsi="Times New Roman" w:cs="Times New Roman"/>
                <w:szCs w:val="21"/>
                <w:vertAlign w:val="superscript"/>
                <w:lang w:val="en-US" w:eastAsia="zh-CN"/>
              </w:rPr>
              <w:t>-5</w:t>
            </w:r>
          </w:p>
        </w:tc>
        <w:tc>
          <w:tcPr>
            <w:tcW w:w="558" w:type="pct"/>
            <w:vMerge w:val="continue"/>
            <w:vAlign w:val="center"/>
          </w:tcPr>
          <w:p w14:paraId="1BD6B1D5">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407" w:type="pct"/>
            <w:vAlign w:val="center"/>
          </w:tcPr>
          <w:p w14:paraId="42F4FF05">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Cd</w:t>
            </w:r>
          </w:p>
        </w:tc>
        <w:tc>
          <w:tcPr>
            <w:tcW w:w="368" w:type="pct"/>
            <w:vAlign w:val="center"/>
          </w:tcPr>
          <w:p w14:paraId="53940CB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0.015</w:t>
            </w:r>
          </w:p>
        </w:tc>
        <w:tc>
          <w:tcPr>
            <w:tcW w:w="490" w:type="pct"/>
            <w:vAlign w:val="center"/>
          </w:tcPr>
          <w:p w14:paraId="6153F04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1.09×10</w:t>
            </w:r>
            <w:r>
              <w:rPr>
                <w:rFonts w:hint="eastAsia" w:ascii="Times New Roman" w:hAnsi="Times New Roman" w:cs="Times New Roman"/>
                <w:szCs w:val="21"/>
                <w:vertAlign w:val="superscript"/>
                <w:lang w:val="en-US" w:eastAsia="zh-CN"/>
              </w:rPr>
              <w:t>-5</w:t>
            </w:r>
          </w:p>
        </w:tc>
        <w:tc>
          <w:tcPr>
            <w:tcW w:w="858" w:type="pct"/>
            <w:vMerge w:val="continue"/>
            <w:vAlign w:val="center"/>
          </w:tcPr>
          <w:p w14:paraId="46ED1A28">
            <w:pPr>
              <w:adjustRightInd w:val="0"/>
              <w:snapToGrid w:val="0"/>
              <w:spacing w:line="500" w:lineRule="exact"/>
              <w:jc w:val="center"/>
              <w:rPr>
                <w:rFonts w:hint="eastAsia" w:ascii="Times New Roman" w:hAnsi="Times New Roman" w:cs="Times New Roman" w:eastAsiaTheme="minorEastAsia"/>
                <w:sz w:val="24"/>
                <w:highlight w:val="none"/>
                <w:vertAlign w:val="baseline"/>
                <w:lang w:val="en-US" w:eastAsia="zh-CN"/>
              </w:rPr>
            </w:pPr>
          </w:p>
        </w:tc>
      </w:tr>
      <w:tr w14:paraId="4F02A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pct"/>
            <w:vMerge w:val="continue"/>
            <w:vAlign w:val="center"/>
          </w:tcPr>
          <w:p w14:paraId="0844CA48">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537" w:type="pct"/>
            <w:vMerge w:val="continue"/>
            <w:vAlign w:val="center"/>
          </w:tcPr>
          <w:p w14:paraId="433B2A5F">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441" w:type="pct"/>
            <w:vAlign w:val="center"/>
          </w:tcPr>
          <w:p w14:paraId="1C16AC1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Pb</w:t>
            </w:r>
          </w:p>
        </w:tc>
        <w:tc>
          <w:tcPr>
            <w:tcW w:w="364" w:type="pct"/>
            <w:vAlign w:val="center"/>
          </w:tcPr>
          <w:p w14:paraId="5E08018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0.061</w:t>
            </w:r>
          </w:p>
        </w:tc>
        <w:tc>
          <w:tcPr>
            <w:tcW w:w="569" w:type="pct"/>
            <w:vAlign w:val="center"/>
          </w:tcPr>
          <w:p w14:paraId="362D470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4.433×10</w:t>
            </w:r>
            <w:r>
              <w:rPr>
                <w:rFonts w:hint="eastAsia" w:ascii="Times New Roman" w:hAnsi="Times New Roman" w:cs="Times New Roman"/>
                <w:szCs w:val="21"/>
                <w:vertAlign w:val="superscript"/>
                <w:lang w:val="en-US" w:eastAsia="zh-CN"/>
              </w:rPr>
              <w:t>-5</w:t>
            </w:r>
          </w:p>
        </w:tc>
        <w:tc>
          <w:tcPr>
            <w:tcW w:w="558" w:type="pct"/>
            <w:vMerge w:val="continue"/>
            <w:vAlign w:val="center"/>
          </w:tcPr>
          <w:p w14:paraId="6E7F87FA">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407" w:type="pct"/>
            <w:vAlign w:val="center"/>
          </w:tcPr>
          <w:p w14:paraId="17D34A71">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Pb</w:t>
            </w:r>
          </w:p>
        </w:tc>
        <w:tc>
          <w:tcPr>
            <w:tcW w:w="368" w:type="pct"/>
            <w:vAlign w:val="center"/>
          </w:tcPr>
          <w:p w14:paraId="1494EA3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0.061</w:t>
            </w:r>
          </w:p>
        </w:tc>
        <w:tc>
          <w:tcPr>
            <w:tcW w:w="490" w:type="pct"/>
            <w:vAlign w:val="center"/>
          </w:tcPr>
          <w:p w14:paraId="534DF93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4.433×10</w:t>
            </w:r>
            <w:r>
              <w:rPr>
                <w:rFonts w:hint="eastAsia" w:ascii="Times New Roman" w:hAnsi="Times New Roman" w:cs="Times New Roman"/>
                <w:szCs w:val="21"/>
                <w:vertAlign w:val="superscript"/>
                <w:lang w:val="en-US" w:eastAsia="zh-CN"/>
              </w:rPr>
              <w:t>-5</w:t>
            </w:r>
          </w:p>
        </w:tc>
        <w:tc>
          <w:tcPr>
            <w:tcW w:w="858" w:type="pct"/>
            <w:vMerge w:val="continue"/>
            <w:vAlign w:val="center"/>
          </w:tcPr>
          <w:p w14:paraId="2FDCC051">
            <w:pPr>
              <w:adjustRightInd w:val="0"/>
              <w:snapToGrid w:val="0"/>
              <w:spacing w:line="500" w:lineRule="exact"/>
              <w:jc w:val="center"/>
              <w:rPr>
                <w:rFonts w:hint="eastAsia" w:ascii="Times New Roman" w:hAnsi="Times New Roman" w:cs="Times New Roman" w:eastAsiaTheme="minorEastAsia"/>
                <w:sz w:val="24"/>
                <w:highlight w:val="none"/>
                <w:vertAlign w:val="baseline"/>
                <w:lang w:val="en-US" w:eastAsia="zh-CN"/>
              </w:rPr>
            </w:pPr>
          </w:p>
        </w:tc>
      </w:tr>
      <w:tr w14:paraId="375CF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pct"/>
            <w:vMerge w:val="continue"/>
            <w:vAlign w:val="center"/>
          </w:tcPr>
          <w:p w14:paraId="5E2E2432">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537" w:type="pct"/>
            <w:vMerge w:val="continue"/>
            <w:vAlign w:val="center"/>
          </w:tcPr>
          <w:p w14:paraId="248B1A27">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441" w:type="pct"/>
            <w:vAlign w:val="center"/>
          </w:tcPr>
          <w:p w14:paraId="427B431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As</w:t>
            </w:r>
          </w:p>
        </w:tc>
        <w:tc>
          <w:tcPr>
            <w:tcW w:w="364" w:type="pct"/>
            <w:vAlign w:val="center"/>
          </w:tcPr>
          <w:p w14:paraId="41AEC98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0.076</w:t>
            </w:r>
          </w:p>
        </w:tc>
        <w:tc>
          <w:tcPr>
            <w:tcW w:w="569" w:type="pct"/>
            <w:vAlign w:val="center"/>
          </w:tcPr>
          <w:p w14:paraId="0D970BB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5.523×10</w:t>
            </w:r>
            <w:r>
              <w:rPr>
                <w:rFonts w:hint="eastAsia" w:ascii="Times New Roman" w:hAnsi="Times New Roman" w:cs="Times New Roman"/>
                <w:szCs w:val="21"/>
                <w:vertAlign w:val="superscript"/>
                <w:lang w:val="en-US" w:eastAsia="zh-CN"/>
              </w:rPr>
              <w:t>-5</w:t>
            </w:r>
          </w:p>
        </w:tc>
        <w:tc>
          <w:tcPr>
            <w:tcW w:w="558" w:type="pct"/>
            <w:vMerge w:val="continue"/>
            <w:vAlign w:val="center"/>
          </w:tcPr>
          <w:p w14:paraId="1F374731">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407" w:type="pct"/>
            <w:vAlign w:val="center"/>
          </w:tcPr>
          <w:p w14:paraId="4F796107">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As</w:t>
            </w:r>
          </w:p>
        </w:tc>
        <w:tc>
          <w:tcPr>
            <w:tcW w:w="368" w:type="pct"/>
            <w:vAlign w:val="center"/>
          </w:tcPr>
          <w:p w14:paraId="00E6F3A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0.076</w:t>
            </w:r>
          </w:p>
        </w:tc>
        <w:tc>
          <w:tcPr>
            <w:tcW w:w="490" w:type="pct"/>
            <w:vAlign w:val="center"/>
          </w:tcPr>
          <w:p w14:paraId="0F0974E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5.523×10</w:t>
            </w:r>
            <w:r>
              <w:rPr>
                <w:rFonts w:hint="eastAsia" w:ascii="Times New Roman" w:hAnsi="Times New Roman" w:cs="Times New Roman"/>
                <w:szCs w:val="21"/>
                <w:vertAlign w:val="superscript"/>
                <w:lang w:val="en-US" w:eastAsia="zh-CN"/>
              </w:rPr>
              <w:t>-5</w:t>
            </w:r>
          </w:p>
        </w:tc>
        <w:tc>
          <w:tcPr>
            <w:tcW w:w="858" w:type="pct"/>
            <w:vMerge w:val="continue"/>
            <w:vAlign w:val="center"/>
          </w:tcPr>
          <w:p w14:paraId="307F80F8">
            <w:pPr>
              <w:adjustRightInd w:val="0"/>
              <w:snapToGrid w:val="0"/>
              <w:spacing w:line="500" w:lineRule="exact"/>
              <w:jc w:val="center"/>
              <w:rPr>
                <w:rFonts w:hint="eastAsia" w:ascii="Times New Roman" w:hAnsi="Times New Roman" w:cs="Times New Roman" w:eastAsiaTheme="minorEastAsia"/>
                <w:sz w:val="24"/>
                <w:highlight w:val="none"/>
                <w:vertAlign w:val="baseline"/>
                <w:lang w:val="en-US" w:eastAsia="zh-CN"/>
              </w:rPr>
            </w:pPr>
          </w:p>
        </w:tc>
      </w:tr>
      <w:tr w14:paraId="7BAF0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pct"/>
            <w:vMerge w:val="continue"/>
            <w:vAlign w:val="center"/>
          </w:tcPr>
          <w:p w14:paraId="0E6AB49F">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537" w:type="pct"/>
            <w:vMerge w:val="continue"/>
            <w:vAlign w:val="center"/>
          </w:tcPr>
          <w:p w14:paraId="69D9C9CF">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441" w:type="pct"/>
            <w:vAlign w:val="center"/>
          </w:tcPr>
          <w:p w14:paraId="564C980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Cr</w:t>
            </w:r>
          </w:p>
        </w:tc>
        <w:tc>
          <w:tcPr>
            <w:tcW w:w="364" w:type="pct"/>
            <w:vAlign w:val="center"/>
          </w:tcPr>
          <w:p w14:paraId="6D744CF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0.046</w:t>
            </w:r>
          </w:p>
        </w:tc>
        <w:tc>
          <w:tcPr>
            <w:tcW w:w="569" w:type="pct"/>
            <w:vAlign w:val="center"/>
          </w:tcPr>
          <w:p w14:paraId="0CEE01B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3.343×10</w:t>
            </w:r>
            <w:r>
              <w:rPr>
                <w:rFonts w:hint="eastAsia" w:ascii="Times New Roman" w:hAnsi="Times New Roman" w:cs="Times New Roman"/>
                <w:szCs w:val="21"/>
                <w:vertAlign w:val="superscript"/>
                <w:lang w:val="en-US" w:eastAsia="zh-CN"/>
              </w:rPr>
              <w:t>-5</w:t>
            </w:r>
          </w:p>
        </w:tc>
        <w:tc>
          <w:tcPr>
            <w:tcW w:w="558" w:type="pct"/>
            <w:vMerge w:val="continue"/>
            <w:vAlign w:val="center"/>
          </w:tcPr>
          <w:p w14:paraId="62D1E640">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407" w:type="pct"/>
            <w:vAlign w:val="center"/>
          </w:tcPr>
          <w:p w14:paraId="338CFEE2">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Cr</w:t>
            </w:r>
          </w:p>
        </w:tc>
        <w:tc>
          <w:tcPr>
            <w:tcW w:w="368" w:type="pct"/>
            <w:vAlign w:val="center"/>
          </w:tcPr>
          <w:p w14:paraId="134D100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0.046</w:t>
            </w:r>
          </w:p>
        </w:tc>
        <w:tc>
          <w:tcPr>
            <w:tcW w:w="490" w:type="pct"/>
            <w:vAlign w:val="center"/>
          </w:tcPr>
          <w:p w14:paraId="5BDE0D3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3.343×10</w:t>
            </w:r>
            <w:r>
              <w:rPr>
                <w:rFonts w:hint="eastAsia" w:ascii="Times New Roman" w:hAnsi="Times New Roman" w:cs="Times New Roman"/>
                <w:szCs w:val="21"/>
                <w:vertAlign w:val="superscript"/>
                <w:lang w:val="en-US" w:eastAsia="zh-CN"/>
              </w:rPr>
              <w:t>-5</w:t>
            </w:r>
          </w:p>
        </w:tc>
        <w:tc>
          <w:tcPr>
            <w:tcW w:w="858" w:type="pct"/>
            <w:vMerge w:val="continue"/>
            <w:vAlign w:val="center"/>
          </w:tcPr>
          <w:p w14:paraId="1A68009D">
            <w:pPr>
              <w:adjustRightInd w:val="0"/>
              <w:snapToGrid w:val="0"/>
              <w:spacing w:line="500" w:lineRule="exact"/>
              <w:jc w:val="center"/>
              <w:rPr>
                <w:rFonts w:hint="eastAsia" w:ascii="Times New Roman" w:hAnsi="Times New Roman" w:cs="Times New Roman" w:eastAsiaTheme="minorEastAsia"/>
                <w:sz w:val="24"/>
                <w:highlight w:val="none"/>
                <w:vertAlign w:val="baseline"/>
                <w:lang w:val="en-US" w:eastAsia="zh-CN"/>
              </w:rPr>
            </w:pPr>
          </w:p>
        </w:tc>
      </w:tr>
      <w:tr w14:paraId="42BE3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pct"/>
            <w:vMerge w:val="continue"/>
            <w:vAlign w:val="center"/>
          </w:tcPr>
          <w:p w14:paraId="269B7F6A">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537" w:type="pct"/>
            <w:vMerge w:val="continue"/>
            <w:vAlign w:val="center"/>
          </w:tcPr>
          <w:p w14:paraId="26CC8C75">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441" w:type="pct"/>
            <w:vAlign w:val="center"/>
          </w:tcPr>
          <w:p w14:paraId="1122194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Cr</w:t>
            </w:r>
            <w:r>
              <w:rPr>
                <w:rFonts w:hint="eastAsia" w:ascii="Times New Roman" w:hAnsi="Times New Roman" w:cs="Times New Roman" w:eastAsiaTheme="minorEastAsia"/>
                <w:szCs w:val="21"/>
                <w:highlight w:val="none"/>
                <w:vertAlign w:val="superscript"/>
                <w:lang w:val="en-US" w:eastAsia="zh-CN"/>
              </w:rPr>
              <w:t>6+</w:t>
            </w:r>
          </w:p>
        </w:tc>
        <w:tc>
          <w:tcPr>
            <w:tcW w:w="364" w:type="pct"/>
            <w:vAlign w:val="center"/>
          </w:tcPr>
          <w:p w14:paraId="0162E3B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0.015</w:t>
            </w:r>
          </w:p>
        </w:tc>
        <w:tc>
          <w:tcPr>
            <w:tcW w:w="569" w:type="pct"/>
            <w:vAlign w:val="center"/>
          </w:tcPr>
          <w:p w14:paraId="790A051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1.09×10</w:t>
            </w:r>
            <w:r>
              <w:rPr>
                <w:rFonts w:hint="eastAsia" w:ascii="Times New Roman" w:hAnsi="Times New Roman" w:cs="Times New Roman"/>
                <w:szCs w:val="21"/>
                <w:vertAlign w:val="superscript"/>
                <w:lang w:val="en-US" w:eastAsia="zh-CN"/>
              </w:rPr>
              <w:t>-5</w:t>
            </w:r>
          </w:p>
        </w:tc>
        <w:tc>
          <w:tcPr>
            <w:tcW w:w="558" w:type="pct"/>
            <w:vMerge w:val="continue"/>
            <w:vAlign w:val="center"/>
          </w:tcPr>
          <w:p w14:paraId="205E2BAF">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407" w:type="pct"/>
            <w:vAlign w:val="center"/>
          </w:tcPr>
          <w:p w14:paraId="3B312246">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Cr</w:t>
            </w:r>
            <w:r>
              <w:rPr>
                <w:rFonts w:hint="eastAsia" w:ascii="Times New Roman" w:hAnsi="Times New Roman" w:cs="Times New Roman" w:eastAsiaTheme="minorEastAsia"/>
                <w:szCs w:val="21"/>
                <w:vertAlign w:val="superscript"/>
                <w:lang w:val="en-US" w:eastAsia="zh-CN"/>
              </w:rPr>
              <w:t>6+</w:t>
            </w:r>
          </w:p>
        </w:tc>
        <w:tc>
          <w:tcPr>
            <w:tcW w:w="368" w:type="pct"/>
            <w:vAlign w:val="center"/>
          </w:tcPr>
          <w:p w14:paraId="66EB196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0.015</w:t>
            </w:r>
          </w:p>
        </w:tc>
        <w:tc>
          <w:tcPr>
            <w:tcW w:w="490" w:type="pct"/>
            <w:vAlign w:val="center"/>
          </w:tcPr>
          <w:p w14:paraId="38AC6C8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1.09×10</w:t>
            </w:r>
            <w:r>
              <w:rPr>
                <w:rFonts w:hint="eastAsia" w:ascii="Times New Roman" w:hAnsi="Times New Roman" w:cs="Times New Roman"/>
                <w:szCs w:val="21"/>
                <w:vertAlign w:val="superscript"/>
                <w:lang w:val="en-US" w:eastAsia="zh-CN"/>
              </w:rPr>
              <w:t>-5</w:t>
            </w:r>
          </w:p>
        </w:tc>
        <w:tc>
          <w:tcPr>
            <w:tcW w:w="858" w:type="pct"/>
            <w:vMerge w:val="continue"/>
            <w:vAlign w:val="center"/>
          </w:tcPr>
          <w:p w14:paraId="3B4E6D98">
            <w:pPr>
              <w:adjustRightInd w:val="0"/>
              <w:snapToGrid w:val="0"/>
              <w:spacing w:line="500" w:lineRule="exact"/>
              <w:jc w:val="center"/>
              <w:rPr>
                <w:rFonts w:hint="eastAsia" w:ascii="Times New Roman" w:hAnsi="Times New Roman" w:cs="Times New Roman" w:eastAsiaTheme="minorEastAsia"/>
                <w:sz w:val="24"/>
                <w:highlight w:val="none"/>
                <w:vertAlign w:val="baseline"/>
                <w:lang w:val="en-US" w:eastAsia="zh-CN"/>
              </w:rPr>
            </w:pPr>
          </w:p>
        </w:tc>
      </w:tr>
      <w:tr w14:paraId="61C5E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pct"/>
            <w:vMerge w:val="continue"/>
            <w:vAlign w:val="center"/>
          </w:tcPr>
          <w:p w14:paraId="4905F6A7">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537" w:type="pct"/>
            <w:vMerge w:val="continue"/>
            <w:vAlign w:val="center"/>
          </w:tcPr>
          <w:p w14:paraId="34840BDD">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441" w:type="pct"/>
            <w:vAlign w:val="center"/>
          </w:tcPr>
          <w:p w14:paraId="565DE37E">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石油类</w:t>
            </w:r>
          </w:p>
        </w:tc>
        <w:tc>
          <w:tcPr>
            <w:tcW w:w="364" w:type="pct"/>
            <w:vAlign w:val="center"/>
          </w:tcPr>
          <w:p w14:paraId="01914C8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49</w:t>
            </w:r>
          </w:p>
        </w:tc>
        <w:tc>
          <w:tcPr>
            <w:tcW w:w="569" w:type="pct"/>
            <w:vAlign w:val="center"/>
          </w:tcPr>
          <w:p w14:paraId="10528DC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0.036</w:t>
            </w:r>
          </w:p>
        </w:tc>
        <w:tc>
          <w:tcPr>
            <w:tcW w:w="558" w:type="pct"/>
            <w:vMerge w:val="continue"/>
            <w:vAlign w:val="center"/>
          </w:tcPr>
          <w:p w14:paraId="71705C11">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407" w:type="pct"/>
            <w:vAlign w:val="center"/>
          </w:tcPr>
          <w:p w14:paraId="1E20F6B3">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石油类</w:t>
            </w:r>
          </w:p>
        </w:tc>
        <w:tc>
          <w:tcPr>
            <w:tcW w:w="368" w:type="pct"/>
            <w:vAlign w:val="center"/>
          </w:tcPr>
          <w:p w14:paraId="31DABF7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w:t>
            </w:r>
          </w:p>
        </w:tc>
        <w:tc>
          <w:tcPr>
            <w:tcW w:w="490" w:type="pct"/>
            <w:vAlign w:val="center"/>
          </w:tcPr>
          <w:p w14:paraId="0C9B00F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0.0007</w:t>
            </w:r>
          </w:p>
        </w:tc>
        <w:tc>
          <w:tcPr>
            <w:tcW w:w="858" w:type="pct"/>
            <w:vMerge w:val="continue"/>
            <w:vAlign w:val="center"/>
          </w:tcPr>
          <w:p w14:paraId="087FA603">
            <w:pPr>
              <w:adjustRightInd w:val="0"/>
              <w:snapToGrid w:val="0"/>
              <w:spacing w:line="500" w:lineRule="exact"/>
              <w:jc w:val="center"/>
              <w:rPr>
                <w:rFonts w:hint="eastAsia" w:ascii="Times New Roman" w:hAnsi="Times New Roman" w:cs="Times New Roman" w:eastAsiaTheme="minorEastAsia"/>
                <w:sz w:val="24"/>
                <w:highlight w:val="none"/>
                <w:vertAlign w:val="baseline"/>
                <w:lang w:val="en-US" w:eastAsia="zh-CN"/>
              </w:rPr>
            </w:pPr>
          </w:p>
        </w:tc>
      </w:tr>
    </w:tbl>
    <w:p w14:paraId="2A111F57">
      <w:pPr>
        <w:adjustRightInd w:val="0"/>
        <w:snapToGrid w:val="0"/>
        <w:spacing w:line="500" w:lineRule="exact"/>
        <w:ind w:firstLine="480" w:firstLineChars="200"/>
        <w:jc w:val="left"/>
        <w:rPr>
          <w:rFonts w:hint="default" w:ascii="Times New Roman" w:hAnsi="Times New Roman" w:cs="Times New Roman"/>
          <w:sz w:val="24"/>
          <w:highlight w:val="none"/>
          <w:lang w:val="en-US" w:eastAsia="zh-CN"/>
        </w:rPr>
        <w:sectPr>
          <w:pgSz w:w="16838" w:h="11906" w:orient="landscape"/>
          <w:pgMar w:top="1800" w:right="1440" w:bottom="1800" w:left="1440" w:header="851" w:footer="992" w:gutter="0"/>
          <w:pgNumType w:fmt="decimal"/>
          <w:cols w:space="425" w:num="1"/>
          <w:docGrid w:type="lines" w:linePitch="312" w:charSpace="0"/>
        </w:sectPr>
      </w:pPr>
    </w:p>
    <w:p w14:paraId="0A08B85E">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159" w:name="_Toc28601"/>
      <w:r>
        <w:rPr>
          <w:rFonts w:hint="default" w:ascii="Times New Roman" w:hAnsi="Times New Roman" w:cs="Times New Roman" w:eastAsiaTheme="minorEastAsia"/>
          <w:kern w:val="0"/>
          <w:sz w:val="24"/>
          <w:szCs w:val="24"/>
          <w:lang w:val="en-US" w:eastAsia="zh-CN"/>
        </w:rPr>
        <w:t>3.</w:t>
      </w:r>
      <w:r>
        <w:rPr>
          <w:rFonts w:hint="eastAsia" w:ascii="Times New Roman" w:hAnsi="Times New Roman" w:cs="Times New Roman"/>
          <w:kern w:val="0"/>
          <w:sz w:val="24"/>
          <w:szCs w:val="24"/>
          <w:lang w:val="en-US" w:eastAsia="zh-CN"/>
        </w:rPr>
        <w:t>5</w:t>
      </w:r>
      <w:r>
        <w:rPr>
          <w:rFonts w:hint="default" w:ascii="Times New Roman" w:hAnsi="Times New Roman" w:cs="Times New Roman" w:eastAsiaTheme="minorEastAsia"/>
          <w:kern w:val="0"/>
          <w:sz w:val="24"/>
          <w:szCs w:val="24"/>
          <w:lang w:val="en-US" w:eastAsia="zh-CN"/>
        </w:rPr>
        <w:t xml:space="preserve">.3 </w:t>
      </w:r>
      <w:r>
        <w:rPr>
          <w:rFonts w:hint="eastAsia" w:ascii="Times New Roman" w:hAnsi="Times New Roman" w:cs="Times New Roman" w:eastAsiaTheme="minorEastAsia"/>
          <w:kern w:val="0"/>
          <w:sz w:val="24"/>
          <w:szCs w:val="24"/>
          <w:lang w:val="en-US" w:eastAsia="zh-CN"/>
        </w:rPr>
        <w:t>噪声</w:t>
      </w:r>
      <w:bookmarkEnd w:id="159"/>
    </w:p>
    <w:p w14:paraId="049D08C7">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本项目噪声源有生产设备、辅助设备、环保治理设备等。主要包括主体设备运行噪声、污水处理站、烟气治理设施运行噪声、各类机泵、风机等产生的噪声。噪声值在8</w:t>
      </w:r>
      <w:r>
        <w:rPr>
          <w:rFonts w:hint="default" w:ascii="Times New Roman" w:hAnsi="Times New Roman" w:cs="Times New Roman" w:eastAsiaTheme="minorEastAsia"/>
          <w:sz w:val="24"/>
          <w:highlight w:val="none"/>
          <w:lang w:val="en-US" w:eastAsia="zh-CN"/>
        </w:rPr>
        <w:t>5~95dB</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A</w:t>
      </w:r>
      <w:r>
        <w:rPr>
          <w:rFonts w:hint="eastAsia" w:ascii="Times New Roman" w:hAnsi="Times New Roman" w:cs="Times New Roman" w:eastAsiaTheme="minorEastAsia"/>
          <w:sz w:val="24"/>
          <w:highlight w:val="none"/>
          <w:lang w:val="en-US" w:eastAsia="zh-CN"/>
        </w:rPr>
        <w:t>）之间。</w:t>
      </w:r>
    </w:p>
    <w:p w14:paraId="4B2B9F21">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项目主要噪声源及治理效果详见表</w:t>
      </w:r>
      <w:r>
        <w:rPr>
          <w:rFonts w:hint="default" w:ascii="Times New Roman" w:hAnsi="Times New Roman" w:cs="Times New Roman" w:eastAsiaTheme="minorEastAsia"/>
          <w:sz w:val="24"/>
          <w:highlight w:val="none"/>
          <w:lang w:val="en-US" w:eastAsia="zh-CN"/>
        </w:rPr>
        <w:t>3.</w:t>
      </w:r>
      <w:r>
        <w:rPr>
          <w:rFonts w:hint="eastAsia" w:ascii="Times New Roman" w:hAnsi="Times New Roman" w:cs="Times New Roman"/>
          <w:sz w:val="24"/>
          <w:highlight w:val="none"/>
          <w:lang w:val="en-US" w:eastAsia="zh-CN"/>
        </w:rPr>
        <w:t>5</w:t>
      </w:r>
      <w:r>
        <w:rPr>
          <w:rFonts w:hint="default"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8</w:t>
      </w:r>
      <w:r>
        <w:rPr>
          <w:rFonts w:hint="eastAsia" w:ascii="Times New Roman" w:hAnsi="Times New Roman" w:cs="Times New Roman" w:eastAsiaTheme="minorEastAsia"/>
          <w:sz w:val="24"/>
          <w:highlight w:val="none"/>
          <w:lang w:val="en-US" w:eastAsia="zh-CN"/>
        </w:rPr>
        <w:t>。</w:t>
      </w:r>
    </w:p>
    <w:p w14:paraId="3D355AED">
      <w:pPr>
        <w:snapToGrid w:val="0"/>
        <w:spacing w:before="241" w:beforeLines="50"/>
        <w:jc w:val="center"/>
        <w:rPr>
          <w:rFonts w:hint="default"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表3.</w:t>
      </w:r>
      <w:r>
        <w:rPr>
          <w:rFonts w:hint="eastAsia" w:ascii="Times New Roman" w:hAnsi="Times New Roman" w:cs="Times New Roman"/>
          <w:b/>
          <w:szCs w:val="21"/>
          <w:lang w:val="en-US" w:eastAsia="zh-CN"/>
        </w:rPr>
        <w:t>5-8</w:t>
      </w:r>
      <w:r>
        <w:rPr>
          <w:rFonts w:hint="eastAsia" w:ascii="Times New Roman" w:hAnsi="Times New Roman" w:cs="Times New Roman" w:eastAsiaTheme="minorEastAsia"/>
          <w:b/>
          <w:szCs w:val="21"/>
          <w:lang w:val="en-US" w:eastAsia="zh-CN"/>
        </w:rPr>
        <w:t xml:space="preserve">  项目新增主要设备噪声源强及治理措施表  单位：dB（A）</w:t>
      </w:r>
    </w:p>
    <w:tbl>
      <w:tblPr>
        <w:tblStyle w:val="12"/>
        <w:tblW w:w="4997" w:type="pct"/>
        <w:tblInd w:w="0" w:type="dxa"/>
        <w:tblLayout w:type="autofit"/>
        <w:tblCellMar>
          <w:top w:w="0" w:type="dxa"/>
          <w:left w:w="108" w:type="dxa"/>
          <w:bottom w:w="0" w:type="dxa"/>
          <w:right w:w="108" w:type="dxa"/>
        </w:tblCellMar>
      </w:tblPr>
      <w:tblGrid>
        <w:gridCol w:w="693"/>
        <w:gridCol w:w="2028"/>
        <w:gridCol w:w="669"/>
        <w:gridCol w:w="715"/>
        <w:gridCol w:w="1098"/>
        <w:gridCol w:w="847"/>
        <w:gridCol w:w="849"/>
        <w:gridCol w:w="1256"/>
        <w:gridCol w:w="1005"/>
      </w:tblGrid>
      <w:tr w14:paraId="470798C3">
        <w:tblPrEx>
          <w:tblCellMar>
            <w:top w:w="0" w:type="dxa"/>
            <w:left w:w="108" w:type="dxa"/>
            <w:bottom w:w="0" w:type="dxa"/>
            <w:right w:w="108" w:type="dxa"/>
          </w:tblCellMar>
        </w:tblPrEx>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1FAD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序号</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91A0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名称</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AE2D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单位</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6A01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数量</w:t>
            </w:r>
          </w:p>
        </w:tc>
        <w:tc>
          <w:tcPr>
            <w:tcW w:w="5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CD1B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排放规律</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B582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室内/室外</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D058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降噪前声级</w:t>
            </w:r>
          </w:p>
        </w:tc>
        <w:tc>
          <w:tcPr>
            <w:tcW w:w="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C569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降噪措施</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09BE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降噪后声级</w:t>
            </w:r>
          </w:p>
        </w:tc>
      </w:tr>
      <w:tr w14:paraId="6C040217">
        <w:tblPrEx>
          <w:tblCellMar>
            <w:top w:w="0" w:type="dxa"/>
            <w:left w:w="108" w:type="dxa"/>
            <w:bottom w:w="0" w:type="dxa"/>
            <w:right w:w="108" w:type="dxa"/>
          </w:tblCellMar>
        </w:tblPrEx>
        <w:trPr>
          <w:trHeight w:val="36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781FC">
            <w:pPr>
              <w:autoSpaceDE w:val="0"/>
              <w:autoSpaceDN w:val="0"/>
              <w:spacing w:line="300" w:lineRule="exact"/>
              <w:jc w:val="center"/>
              <w:rPr>
                <w:rFonts w:hint="default" w:ascii="Times New Roman" w:hAnsi="Times New Roman" w:cs="Times New Roman" w:eastAsiaTheme="minorEastAsia"/>
                <w:szCs w:val="21"/>
                <w:lang w:val="en-US" w:eastAsia="zh-CN"/>
              </w:rPr>
            </w:pPr>
            <w:bookmarkStart w:id="160" w:name="OLE_LINK468" w:colFirst="6" w:colLast="6"/>
            <w:r>
              <w:rPr>
                <w:rFonts w:hint="eastAsia" w:ascii="Times New Roman" w:hAnsi="Times New Roman" w:cs="Times New Roman" w:eastAsiaTheme="minorEastAsia"/>
                <w:szCs w:val="21"/>
                <w:lang w:val="en-US" w:eastAsia="zh-CN"/>
              </w:rPr>
              <w:t>1</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8429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气动隔膜泵</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903B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台</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B8DE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w:t>
            </w:r>
          </w:p>
        </w:tc>
        <w:tc>
          <w:tcPr>
            <w:tcW w:w="5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B73E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连续</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0E7E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室内</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EE0E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85</w:t>
            </w:r>
          </w:p>
        </w:tc>
        <w:tc>
          <w:tcPr>
            <w:tcW w:w="6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37E07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低噪声设备、基础减振、墙体隔音、风机安装消声器等</w:t>
            </w:r>
          </w:p>
        </w:tc>
        <w:tc>
          <w:tcPr>
            <w:tcW w:w="548" w:type="pct"/>
            <w:tcBorders>
              <w:top w:val="single" w:color="000000" w:sz="4" w:space="0"/>
              <w:left w:val="single" w:color="000000" w:sz="4" w:space="0"/>
              <w:bottom w:val="single" w:color="000000" w:sz="4" w:space="0"/>
              <w:right w:val="single" w:color="000000" w:sz="4" w:space="0"/>
            </w:tcBorders>
            <w:shd w:val="clear" w:color="auto" w:fill="auto"/>
          </w:tcPr>
          <w:p w14:paraId="1D7728A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65</w:t>
            </w:r>
          </w:p>
        </w:tc>
      </w:tr>
      <w:tr w14:paraId="11B9851A">
        <w:tblPrEx>
          <w:tblCellMar>
            <w:top w:w="0" w:type="dxa"/>
            <w:left w:w="108" w:type="dxa"/>
            <w:bottom w:w="0" w:type="dxa"/>
            <w:right w:w="108" w:type="dxa"/>
          </w:tblCellMar>
        </w:tblPrEx>
        <w:trPr>
          <w:trHeight w:val="9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60C6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6F36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风机</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E66C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台</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1DF7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p>
        </w:tc>
        <w:tc>
          <w:tcPr>
            <w:tcW w:w="5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A6B4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连续</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17C1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室内</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4AF7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90</w:t>
            </w:r>
          </w:p>
        </w:tc>
        <w:tc>
          <w:tcPr>
            <w:tcW w:w="6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D848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tcPr>
          <w:p w14:paraId="1CF7E21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70</w:t>
            </w:r>
          </w:p>
        </w:tc>
      </w:tr>
      <w:tr w14:paraId="62E722C2">
        <w:tblPrEx>
          <w:tblCellMar>
            <w:top w:w="0" w:type="dxa"/>
            <w:left w:w="108" w:type="dxa"/>
            <w:bottom w:w="0" w:type="dxa"/>
            <w:right w:w="108" w:type="dxa"/>
          </w:tblCellMar>
        </w:tblPrEx>
        <w:trPr>
          <w:trHeight w:val="9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09A69">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20A9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脱硝泵</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0836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台</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7A0C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w:t>
            </w:r>
          </w:p>
        </w:tc>
        <w:tc>
          <w:tcPr>
            <w:tcW w:w="5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350C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连续</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E481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室内</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09CC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85</w:t>
            </w:r>
          </w:p>
        </w:tc>
        <w:tc>
          <w:tcPr>
            <w:tcW w:w="6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49E9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tcPr>
          <w:p w14:paraId="67EF308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65</w:t>
            </w:r>
          </w:p>
        </w:tc>
      </w:tr>
      <w:tr w14:paraId="0FFE2A41">
        <w:tblPrEx>
          <w:tblCellMar>
            <w:top w:w="0" w:type="dxa"/>
            <w:left w:w="108" w:type="dxa"/>
            <w:bottom w:w="0" w:type="dxa"/>
            <w:right w:w="108" w:type="dxa"/>
          </w:tblCellMar>
        </w:tblPrEx>
        <w:trPr>
          <w:trHeight w:val="9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9B432">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3EC7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补水水泵</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D8AD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台</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641A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w:t>
            </w:r>
          </w:p>
        </w:tc>
        <w:tc>
          <w:tcPr>
            <w:tcW w:w="5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D3DA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连续</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5923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室内</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7CC3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85</w:t>
            </w:r>
          </w:p>
        </w:tc>
        <w:tc>
          <w:tcPr>
            <w:tcW w:w="6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4239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tcPr>
          <w:p w14:paraId="6F2A31D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65</w:t>
            </w:r>
          </w:p>
        </w:tc>
      </w:tr>
      <w:tr w14:paraId="73A56025">
        <w:tblPrEx>
          <w:tblCellMar>
            <w:top w:w="0" w:type="dxa"/>
            <w:left w:w="108" w:type="dxa"/>
            <w:bottom w:w="0" w:type="dxa"/>
            <w:right w:w="108" w:type="dxa"/>
          </w:tblCellMar>
        </w:tblPrEx>
        <w:trPr>
          <w:trHeight w:val="9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A66ED">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0CCB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急冷雾化泵</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C4CF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台</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30E3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w:t>
            </w:r>
          </w:p>
        </w:tc>
        <w:tc>
          <w:tcPr>
            <w:tcW w:w="5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BECB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连续</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7CF2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室内</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902C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85</w:t>
            </w:r>
          </w:p>
        </w:tc>
        <w:tc>
          <w:tcPr>
            <w:tcW w:w="6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FE9C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tcPr>
          <w:p w14:paraId="379E8E0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65</w:t>
            </w:r>
          </w:p>
        </w:tc>
      </w:tr>
      <w:tr w14:paraId="3EFD696F">
        <w:tblPrEx>
          <w:tblCellMar>
            <w:top w:w="0" w:type="dxa"/>
            <w:left w:w="108" w:type="dxa"/>
            <w:bottom w:w="0" w:type="dxa"/>
            <w:right w:w="108" w:type="dxa"/>
          </w:tblCellMar>
        </w:tblPrEx>
        <w:trPr>
          <w:trHeight w:val="36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537E6">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FA64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石灰干式喷吹风机</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C7DB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台</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A7D2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p>
        </w:tc>
        <w:tc>
          <w:tcPr>
            <w:tcW w:w="5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322E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连续</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8DAF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室内</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3C05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90</w:t>
            </w:r>
          </w:p>
        </w:tc>
        <w:tc>
          <w:tcPr>
            <w:tcW w:w="6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A539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tcPr>
          <w:p w14:paraId="6E0AA0D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70</w:t>
            </w:r>
          </w:p>
        </w:tc>
      </w:tr>
      <w:tr w14:paraId="072129B7">
        <w:tblPrEx>
          <w:tblCellMar>
            <w:top w:w="0" w:type="dxa"/>
            <w:left w:w="108" w:type="dxa"/>
            <w:bottom w:w="0" w:type="dxa"/>
            <w:right w:w="108" w:type="dxa"/>
          </w:tblCellMar>
        </w:tblPrEx>
        <w:trPr>
          <w:trHeight w:val="9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F349F">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39EB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活性炭干式喷吹风机</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4DE5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台</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DFA9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p>
        </w:tc>
        <w:tc>
          <w:tcPr>
            <w:tcW w:w="5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E3D0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连续</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3B81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室内</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4466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90</w:t>
            </w:r>
          </w:p>
        </w:tc>
        <w:tc>
          <w:tcPr>
            <w:tcW w:w="6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63AB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tcPr>
          <w:p w14:paraId="71F75FB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70</w:t>
            </w:r>
          </w:p>
        </w:tc>
      </w:tr>
      <w:tr w14:paraId="77D363D7">
        <w:tblPrEx>
          <w:tblCellMar>
            <w:top w:w="0" w:type="dxa"/>
            <w:left w:w="108" w:type="dxa"/>
            <w:bottom w:w="0" w:type="dxa"/>
            <w:right w:w="108" w:type="dxa"/>
          </w:tblCellMar>
        </w:tblPrEx>
        <w:trPr>
          <w:trHeight w:val="36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6E1FF">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8</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22F7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引风机</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0469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台</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F16A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p>
        </w:tc>
        <w:tc>
          <w:tcPr>
            <w:tcW w:w="5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F34C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连续</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2217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室内</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8003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90</w:t>
            </w:r>
          </w:p>
        </w:tc>
        <w:tc>
          <w:tcPr>
            <w:tcW w:w="6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D272C">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tcPr>
          <w:p w14:paraId="1BFAFD3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70</w:t>
            </w:r>
          </w:p>
        </w:tc>
      </w:tr>
      <w:tr w14:paraId="5163E2A8">
        <w:tblPrEx>
          <w:tblCellMar>
            <w:top w:w="0" w:type="dxa"/>
            <w:left w:w="108" w:type="dxa"/>
            <w:bottom w:w="0" w:type="dxa"/>
            <w:right w:w="108" w:type="dxa"/>
          </w:tblCellMar>
        </w:tblPrEx>
        <w:trPr>
          <w:trHeight w:val="36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28570">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9</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1AAC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喷淋</w:t>
            </w:r>
            <w:r>
              <w:rPr>
                <w:rFonts w:hint="eastAsia" w:ascii="Times New Roman" w:hAnsi="Times New Roman" w:cs="Times New Roman" w:eastAsiaTheme="minorEastAsia"/>
                <w:szCs w:val="21"/>
                <w:lang w:val="en-US" w:eastAsia="zh-CN"/>
              </w:rPr>
              <w:t>循环</w:t>
            </w:r>
            <w:r>
              <w:rPr>
                <w:rFonts w:hint="default" w:ascii="Times New Roman" w:hAnsi="Times New Roman" w:cs="Times New Roman" w:eastAsiaTheme="minorEastAsia"/>
                <w:szCs w:val="21"/>
                <w:lang w:val="en-US" w:eastAsia="zh-CN"/>
              </w:rPr>
              <w:t>泵</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FB33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台</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D283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p>
        </w:tc>
        <w:tc>
          <w:tcPr>
            <w:tcW w:w="5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4BA8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连续</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BB09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室内</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7885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85</w:t>
            </w:r>
          </w:p>
        </w:tc>
        <w:tc>
          <w:tcPr>
            <w:tcW w:w="6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05B55">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tcPr>
          <w:p w14:paraId="26B2907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65</w:t>
            </w:r>
          </w:p>
        </w:tc>
      </w:tr>
      <w:tr w14:paraId="518EE991">
        <w:tblPrEx>
          <w:tblCellMar>
            <w:top w:w="0" w:type="dxa"/>
            <w:left w:w="108" w:type="dxa"/>
            <w:bottom w:w="0" w:type="dxa"/>
            <w:right w:w="108" w:type="dxa"/>
          </w:tblCellMar>
        </w:tblPrEx>
        <w:trPr>
          <w:trHeight w:val="36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32D03">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7646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定排废水提升泵</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5765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台</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41A2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p>
        </w:tc>
        <w:tc>
          <w:tcPr>
            <w:tcW w:w="5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F9FB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连续</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E01F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室内</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F168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85</w:t>
            </w:r>
          </w:p>
        </w:tc>
        <w:tc>
          <w:tcPr>
            <w:tcW w:w="6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691C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tcPr>
          <w:p w14:paraId="66C4F1E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65</w:t>
            </w:r>
          </w:p>
        </w:tc>
      </w:tr>
      <w:tr w14:paraId="36925514">
        <w:tblPrEx>
          <w:tblCellMar>
            <w:top w:w="0" w:type="dxa"/>
            <w:left w:w="108" w:type="dxa"/>
            <w:bottom w:w="0" w:type="dxa"/>
            <w:right w:w="108" w:type="dxa"/>
          </w:tblCellMar>
        </w:tblPrEx>
        <w:trPr>
          <w:trHeight w:val="9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0064E">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r>
              <w:rPr>
                <w:rFonts w:hint="eastAsia" w:ascii="Times New Roman" w:hAnsi="Times New Roman" w:cs="Times New Roman" w:eastAsiaTheme="minorEastAsia"/>
                <w:szCs w:val="21"/>
                <w:lang w:val="en-US" w:eastAsia="zh-CN"/>
              </w:rPr>
              <w:t>1</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ACB1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空压机</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799A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台</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6E1A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p>
        </w:tc>
        <w:tc>
          <w:tcPr>
            <w:tcW w:w="5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ACFE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连续</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D54B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室内</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56EC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95</w:t>
            </w:r>
          </w:p>
        </w:tc>
        <w:tc>
          <w:tcPr>
            <w:tcW w:w="6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260FA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tcPr>
          <w:p w14:paraId="612E8E0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75</w:t>
            </w:r>
          </w:p>
        </w:tc>
      </w:tr>
      <w:tr w14:paraId="45EA2E59">
        <w:tblPrEx>
          <w:tblCellMar>
            <w:top w:w="0" w:type="dxa"/>
            <w:left w:w="108" w:type="dxa"/>
            <w:bottom w:w="0" w:type="dxa"/>
            <w:right w:w="108" w:type="dxa"/>
          </w:tblCellMar>
        </w:tblPrEx>
        <w:trPr>
          <w:trHeight w:val="9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EA32D">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12</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4154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输油泵</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2DF5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台</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8BDC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w:t>
            </w:r>
          </w:p>
        </w:tc>
        <w:tc>
          <w:tcPr>
            <w:tcW w:w="5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6958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连续</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4CC1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室内</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E49D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85</w:t>
            </w:r>
          </w:p>
        </w:tc>
        <w:tc>
          <w:tcPr>
            <w:tcW w:w="6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ECA7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tcPr>
          <w:p w14:paraId="5213A15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65</w:t>
            </w:r>
          </w:p>
        </w:tc>
      </w:tr>
      <w:bookmarkEnd w:id="160"/>
    </w:tbl>
    <w:p w14:paraId="60013512">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161" w:name="_Toc32250"/>
      <w:r>
        <w:rPr>
          <w:rFonts w:hint="default" w:ascii="Times New Roman" w:hAnsi="Times New Roman" w:cs="Times New Roman" w:eastAsiaTheme="minorEastAsia"/>
          <w:kern w:val="0"/>
          <w:sz w:val="24"/>
          <w:szCs w:val="24"/>
          <w:lang w:val="en-US" w:eastAsia="zh-CN"/>
        </w:rPr>
        <w:t>3.</w:t>
      </w:r>
      <w:r>
        <w:rPr>
          <w:rFonts w:hint="eastAsia" w:ascii="Times New Roman" w:hAnsi="Times New Roman" w:cs="Times New Roman"/>
          <w:kern w:val="0"/>
          <w:sz w:val="24"/>
          <w:szCs w:val="24"/>
          <w:lang w:val="en-US" w:eastAsia="zh-CN"/>
        </w:rPr>
        <w:t>5</w:t>
      </w:r>
      <w:r>
        <w:rPr>
          <w:rFonts w:hint="default" w:ascii="Times New Roman" w:hAnsi="Times New Roman" w:cs="Times New Roman" w:eastAsiaTheme="minorEastAsia"/>
          <w:kern w:val="0"/>
          <w:sz w:val="24"/>
          <w:szCs w:val="24"/>
          <w:lang w:val="en-US" w:eastAsia="zh-CN"/>
        </w:rPr>
        <w:t xml:space="preserve">.4 </w:t>
      </w:r>
      <w:r>
        <w:rPr>
          <w:rFonts w:hint="eastAsia" w:ascii="Times New Roman" w:hAnsi="Times New Roman" w:cs="Times New Roman" w:eastAsiaTheme="minorEastAsia"/>
          <w:kern w:val="0"/>
          <w:sz w:val="24"/>
          <w:szCs w:val="24"/>
          <w:lang w:val="en-US" w:eastAsia="zh-CN"/>
        </w:rPr>
        <w:t>固体废弃物</w:t>
      </w:r>
      <w:bookmarkEnd w:id="161"/>
    </w:p>
    <w:p w14:paraId="25E02C71">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项目所产生的固体废物主要包括医疗废弃物焚烧炉渣、飞灰、废活性炭、废离子交换树脂、</w:t>
      </w:r>
      <w:r>
        <w:rPr>
          <w:rFonts w:hint="eastAsia" w:ascii="Times New Roman" w:hAnsi="Times New Roman" w:cs="Times New Roman"/>
          <w:sz w:val="24"/>
          <w:highlight w:val="none"/>
          <w:lang w:val="en-US" w:eastAsia="zh-CN"/>
        </w:rPr>
        <w:t>废包装袋、</w:t>
      </w:r>
      <w:r>
        <w:rPr>
          <w:rFonts w:hint="eastAsia" w:ascii="Times New Roman" w:hAnsi="Times New Roman" w:cs="Times New Roman" w:eastAsiaTheme="minorEastAsia"/>
          <w:sz w:val="24"/>
          <w:highlight w:val="none"/>
          <w:lang w:val="en-US" w:eastAsia="zh-CN"/>
        </w:rPr>
        <w:t>水处理污泥、废滤袋、废专用桶、废手套以及废机油。</w:t>
      </w:r>
    </w:p>
    <w:p w14:paraId="0965C724">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1</w:t>
      </w:r>
      <w:r>
        <w:rPr>
          <w:rFonts w:hint="eastAsia" w:ascii="Times New Roman" w:hAnsi="Times New Roman" w:cs="Times New Roman" w:eastAsiaTheme="minorEastAsia"/>
          <w:sz w:val="24"/>
          <w:highlight w:val="none"/>
          <w:lang w:val="en-US" w:eastAsia="zh-CN"/>
        </w:rPr>
        <w:t>）炉渣</w:t>
      </w:r>
    </w:p>
    <w:p w14:paraId="1BA31542">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根据项目设计和医疗废物焚烧生产经验，医疗废物经焚烧后炉渣重量约可减少</w:t>
      </w:r>
      <w:r>
        <w:rPr>
          <w:rFonts w:hint="eastAsia" w:ascii="Times New Roman" w:hAnsi="Times New Roman" w:cs="Times New Roman"/>
          <w:sz w:val="24"/>
          <w:highlight w:val="none"/>
          <w:lang w:val="en-US" w:eastAsia="zh-CN"/>
        </w:rPr>
        <w:t>75</w:t>
      </w:r>
      <w:r>
        <w:rPr>
          <w:rFonts w:hint="default" w:ascii="Times New Roman" w:hAnsi="Times New Roman" w:cs="Times New Roman" w:eastAsiaTheme="minorEastAsia"/>
          <w:sz w:val="24"/>
          <w:highlight w:val="none"/>
          <w:lang w:val="en-US" w:eastAsia="zh-CN"/>
        </w:rPr>
        <w:t>%</w:t>
      </w:r>
      <w:r>
        <w:rPr>
          <w:rFonts w:hint="eastAsia" w:ascii="Times New Roman" w:hAnsi="Times New Roman" w:cs="Times New Roman" w:eastAsiaTheme="minorEastAsia"/>
          <w:sz w:val="24"/>
          <w:highlight w:val="none"/>
          <w:lang w:val="en-US" w:eastAsia="zh-CN"/>
        </w:rPr>
        <w:t>，则本项目医疗废物焚烧产生的残渣为</w:t>
      </w:r>
      <w:r>
        <w:rPr>
          <w:rFonts w:hint="eastAsia" w:ascii="Times New Roman" w:hAnsi="Times New Roman" w:cs="Times New Roman"/>
          <w:sz w:val="24"/>
          <w:highlight w:val="none"/>
          <w:lang w:val="en-US" w:eastAsia="zh-CN"/>
        </w:rPr>
        <w:t>182.5</w:t>
      </w:r>
      <w:r>
        <w:rPr>
          <w:rFonts w:hint="default" w:ascii="Times New Roman" w:hAnsi="Times New Roman" w:cs="Times New Roman" w:eastAsiaTheme="minorEastAsia"/>
          <w:sz w:val="24"/>
          <w:highlight w:val="none"/>
          <w:lang w:val="en-US" w:eastAsia="zh-CN"/>
        </w:rPr>
        <w:t>t/a</w:t>
      </w:r>
      <w:r>
        <w:rPr>
          <w:rFonts w:hint="eastAsia" w:ascii="Times New Roman" w:hAnsi="Times New Roman" w:cs="Times New Roman" w:eastAsiaTheme="minorEastAsia"/>
          <w:sz w:val="24"/>
          <w:highlight w:val="none"/>
          <w:lang w:val="en-US" w:eastAsia="zh-CN"/>
        </w:rPr>
        <w:t>。根据环境保护部令第</w:t>
      </w:r>
      <w:r>
        <w:rPr>
          <w:rFonts w:hint="default" w:ascii="Times New Roman" w:hAnsi="Times New Roman" w:cs="Times New Roman" w:eastAsiaTheme="minorEastAsia"/>
          <w:sz w:val="24"/>
          <w:highlight w:val="none"/>
          <w:lang w:val="en-US" w:eastAsia="zh-CN"/>
        </w:rPr>
        <w:t>15</w:t>
      </w:r>
      <w:r>
        <w:rPr>
          <w:rFonts w:hint="eastAsia" w:ascii="Times New Roman" w:hAnsi="Times New Roman" w:cs="Times New Roman" w:eastAsiaTheme="minorEastAsia"/>
          <w:sz w:val="24"/>
          <w:highlight w:val="none"/>
          <w:lang w:val="en-US" w:eastAsia="zh-CN"/>
        </w:rPr>
        <w:t>号《国家危险废物名录</w:t>
      </w:r>
      <w:r>
        <w:rPr>
          <w:rFonts w:hint="eastAsia" w:ascii="Times New Roman" w:hAnsi="Times New Roman" w:cs="Times New Roman"/>
          <w:sz w:val="24"/>
          <w:highlight w:val="none"/>
          <w:lang w:val="en-US" w:eastAsia="zh-CN"/>
        </w:rPr>
        <w:t>（2025年版）</w:t>
      </w:r>
      <w:r>
        <w:rPr>
          <w:rFonts w:hint="eastAsia"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炉渣</w:t>
      </w:r>
      <w:r>
        <w:rPr>
          <w:rFonts w:hint="eastAsia" w:ascii="Times New Roman" w:hAnsi="Times New Roman" w:cs="Times New Roman" w:eastAsiaTheme="minorEastAsia"/>
          <w:sz w:val="24"/>
          <w:highlight w:val="none"/>
          <w:lang w:val="en-US" w:eastAsia="zh-CN"/>
        </w:rPr>
        <w:t>属于</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 xml:space="preserve">HW18 </w:t>
      </w:r>
      <w:r>
        <w:rPr>
          <w:rFonts w:hint="eastAsia" w:ascii="Times New Roman" w:hAnsi="Times New Roman" w:cs="Times New Roman" w:eastAsiaTheme="minorEastAsia"/>
          <w:sz w:val="24"/>
          <w:highlight w:val="none"/>
          <w:lang w:val="en-US" w:eastAsia="zh-CN"/>
        </w:rPr>
        <w:t>焚烧处置残渣，废物代码</w:t>
      </w:r>
      <w:r>
        <w:rPr>
          <w:rFonts w:hint="default" w:ascii="Times New Roman" w:hAnsi="Times New Roman" w:cs="Times New Roman" w:eastAsiaTheme="minorEastAsia"/>
          <w:sz w:val="24"/>
          <w:highlight w:val="none"/>
          <w:lang w:val="en-US" w:eastAsia="zh-CN"/>
        </w:rPr>
        <w:t>772-003-18</w:t>
      </w:r>
      <w:r>
        <w:rPr>
          <w:rFonts w:hint="eastAsia" w:ascii="Times New Roman" w:hAnsi="Times New Roman" w:cs="Times New Roman" w:eastAsiaTheme="minorEastAsia"/>
          <w:sz w:val="24"/>
          <w:highlight w:val="none"/>
          <w:lang w:val="en-US" w:eastAsia="zh-CN"/>
        </w:rPr>
        <w:t>，具有毒性、感染性中一种或者两种危险特性的危险废物焚烧、热解等处置过程产生的飞灰、废水处理污泥和底渣</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不包括生活垃圾焚烧炉协同处置感染性医疗废物产生的底渣</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T</w:t>
      </w:r>
      <w:r>
        <w:rPr>
          <w:rFonts w:hint="eastAsia" w:ascii="Times New Roman" w:hAnsi="Times New Roman" w:cs="Times New Roman" w:eastAsiaTheme="minorEastAsia"/>
          <w:sz w:val="24"/>
          <w:highlight w:val="none"/>
          <w:lang w:val="en-US" w:eastAsia="zh-CN"/>
        </w:rPr>
        <w:t>/In</w:t>
      </w:r>
      <w:r>
        <w:rPr>
          <w:rFonts w:hint="eastAsia" w:ascii="Times New Roman" w:hAnsi="Times New Roman" w:cs="Times New Roman"/>
          <w:sz w:val="24"/>
          <w:highlight w:val="none"/>
          <w:lang w:val="en-US" w:eastAsia="zh-CN"/>
        </w:rPr>
        <w:t>”；项目炉渣收集后暂存于</w:t>
      </w:r>
      <w:r>
        <w:rPr>
          <w:rFonts w:hint="eastAsia" w:ascii="Times New Roman" w:hAnsi="Times New Roman" w:eastAsia="华文中宋" w:cs="Times New Roman"/>
          <w:sz w:val="24"/>
          <w:lang w:val="en-US" w:eastAsia="zh-CN"/>
        </w:rPr>
        <w:t>厂区</w:t>
      </w:r>
      <w:r>
        <w:rPr>
          <w:rFonts w:hint="eastAsia" w:ascii="Times New Roman" w:hAnsi="Times New Roman" w:cs="Times New Roman"/>
          <w:sz w:val="24"/>
          <w:highlight w:val="none"/>
          <w:lang w:val="en-US" w:eastAsia="zh-CN"/>
        </w:rPr>
        <w:t>炉渣间内，定期委托有资质单位定期拉运处置</w:t>
      </w:r>
      <w:r>
        <w:rPr>
          <w:rFonts w:hint="eastAsia" w:ascii="Times New Roman" w:hAnsi="Times New Roman" w:cs="Times New Roman" w:eastAsiaTheme="minorEastAsia"/>
          <w:sz w:val="24"/>
          <w:highlight w:val="none"/>
          <w:lang w:val="en-US" w:eastAsia="zh-CN"/>
        </w:rPr>
        <w:t>。</w:t>
      </w:r>
    </w:p>
    <w:p w14:paraId="3D3F7C87">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2</w:t>
      </w:r>
      <w:r>
        <w:rPr>
          <w:rFonts w:hint="eastAsia" w:ascii="Times New Roman" w:hAnsi="Times New Roman" w:cs="Times New Roman" w:eastAsiaTheme="minorEastAsia"/>
          <w:sz w:val="24"/>
          <w:highlight w:val="none"/>
          <w:lang w:val="en-US" w:eastAsia="zh-CN"/>
        </w:rPr>
        <w:t>）软水装置产生的废离子交换树脂</w:t>
      </w:r>
    </w:p>
    <w:p w14:paraId="35783D87">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项目软水装置采用离子交换树脂生产工艺，软水生产规模为离子交换树脂定期进行更换，为一般工业固废，按每次产生量</w:t>
      </w:r>
      <w:r>
        <w:rPr>
          <w:rFonts w:hint="default" w:ascii="Times New Roman" w:hAnsi="Times New Roman" w:cs="Times New Roman" w:eastAsiaTheme="minorEastAsia"/>
          <w:sz w:val="24"/>
          <w:highlight w:val="none"/>
          <w:lang w:val="en-US" w:eastAsia="zh-CN"/>
        </w:rPr>
        <w:t>0.</w:t>
      </w:r>
      <w:r>
        <w:rPr>
          <w:rFonts w:hint="eastAsia" w:ascii="Times New Roman" w:hAnsi="Times New Roman" w:cs="Times New Roman" w:eastAsiaTheme="minorEastAsia"/>
          <w:sz w:val="24"/>
          <w:highlight w:val="none"/>
          <w:lang w:val="en-US" w:eastAsia="zh-CN"/>
        </w:rPr>
        <w:t>1</w:t>
      </w:r>
      <w:r>
        <w:rPr>
          <w:rFonts w:hint="default" w:ascii="Times New Roman" w:hAnsi="Times New Roman" w:cs="Times New Roman" w:eastAsiaTheme="minorEastAsia"/>
          <w:sz w:val="24"/>
          <w:highlight w:val="none"/>
          <w:lang w:val="en-US" w:eastAsia="zh-CN"/>
        </w:rPr>
        <w:t>t</w:t>
      </w:r>
      <w:r>
        <w:rPr>
          <w:rFonts w:hint="eastAsia" w:ascii="Times New Roman" w:hAnsi="Times New Roman" w:cs="Times New Roman" w:eastAsiaTheme="minorEastAsia"/>
          <w:sz w:val="24"/>
          <w:highlight w:val="none"/>
          <w:lang w:val="en-US" w:eastAsia="zh-CN"/>
        </w:rPr>
        <w:t>考虑，每年更换三次，年产生总量为</w:t>
      </w:r>
      <w:r>
        <w:rPr>
          <w:rFonts w:hint="default" w:ascii="Times New Roman" w:hAnsi="Times New Roman" w:cs="Times New Roman" w:eastAsiaTheme="minorEastAsia"/>
          <w:sz w:val="24"/>
          <w:highlight w:val="none"/>
          <w:lang w:val="en-US" w:eastAsia="zh-CN"/>
        </w:rPr>
        <w:t>0.</w:t>
      </w:r>
      <w:r>
        <w:rPr>
          <w:rFonts w:hint="eastAsia" w:ascii="Times New Roman" w:hAnsi="Times New Roman" w:cs="Times New Roman" w:eastAsiaTheme="minorEastAsia"/>
          <w:sz w:val="24"/>
          <w:highlight w:val="none"/>
          <w:lang w:val="en-US" w:eastAsia="zh-CN"/>
        </w:rPr>
        <w:t>3</w:t>
      </w:r>
      <w:r>
        <w:rPr>
          <w:rFonts w:hint="default" w:ascii="Times New Roman" w:hAnsi="Times New Roman" w:cs="Times New Roman" w:eastAsiaTheme="minorEastAsia"/>
          <w:sz w:val="24"/>
          <w:highlight w:val="none"/>
          <w:lang w:val="en-US" w:eastAsia="zh-CN"/>
        </w:rPr>
        <w:t>t/a</w:t>
      </w:r>
      <w:r>
        <w:rPr>
          <w:rFonts w:hint="eastAsia" w:ascii="Times New Roman" w:hAnsi="Times New Roman" w:cs="Times New Roman" w:eastAsiaTheme="minorEastAsia"/>
          <w:sz w:val="24"/>
          <w:highlight w:val="none"/>
          <w:lang w:val="en-US" w:eastAsia="zh-CN"/>
        </w:rPr>
        <w:t>。废离子交换树脂由厂家定期回收处理。</w:t>
      </w:r>
    </w:p>
    <w:p w14:paraId="65BA58D1">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3</w:t>
      </w:r>
      <w:r>
        <w:rPr>
          <w:rFonts w:hint="eastAsia" w:ascii="Times New Roman" w:hAnsi="Times New Roman" w:cs="Times New Roman" w:eastAsiaTheme="minorEastAsia"/>
          <w:sz w:val="24"/>
          <w:lang w:val="en-US" w:eastAsia="zh-CN"/>
        </w:rPr>
        <w:t>）飞灰</w:t>
      </w:r>
    </w:p>
    <w:p w14:paraId="27F5C4D0">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项目建设的医疗废物焚烧烟气净化过程中，会产生飞灰。根据原辅材料消耗、烟气净化使用的消石灰、活性炭数量及脱酸、除尘等污染控制措施运行效率的物料衡算，飞灰产生量约为53.596</w:t>
      </w:r>
      <w:r>
        <w:rPr>
          <w:rFonts w:hint="default" w:ascii="Times New Roman" w:hAnsi="Times New Roman" w:cs="Times New Roman" w:eastAsiaTheme="minorEastAsia"/>
          <w:sz w:val="24"/>
          <w:lang w:val="en-US" w:eastAsia="zh-CN"/>
        </w:rPr>
        <w:t>t/a</w:t>
      </w:r>
      <w:r>
        <w:rPr>
          <w:rFonts w:hint="eastAsia" w:ascii="Times New Roman" w:hAnsi="Times New Roman" w:cs="Times New Roman" w:eastAsiaTheme="minorEastAsia"/>
          <w:sz w:val="24"/>
          <w:lang w:val="en-US" w:eastAsia="zh-CN"/>
        </w:rPr>
        <w:t>。根据环境保护部令第</w:t>
      </w:r>
      <w:r>
        <w:rPr>
          <w:rFonts w:hint="default" w:ascii="Times New Roman" w:hAnsi="Times New Roman" w:cs="Times New Roman" w:eastAsiaTheme="minorEastAsia"/>
          <w:sz w:val="24"/>
          <w:lang w:val="en-US" w:eastAsia="zh-CN"/>
        </w:rPr>
        <w:t>15</w:t>
      </w:r>
      <w:r>
        <w:rPr>
          <w:rFonts w:hint="eastAsia" w:ascii="Times New Roman" w:hAnsi="Times New Roman" w:cs="Times New Roman" w:eastAsiaTheme="minorEastAsia"/>
          <w:sz w:val="24"/>
          <w:lang w:val="en-US" w:eastAsia="zh-CN"/>
        </w:rPr>
        <w:t>号《国家危险废物名录（2025年版）》，飞灰属于</w:t>
      </w:r>
      <w:r>
        <w:rPr>
          <w:rFonts w:hint="default" w:ascii="Times New Roman" w:hAnsi="Times New Roman" w:cs="Times New Roman" w:eastAsiaTheme="minorEastAsia"/>
          <w:sz w:val="24"/>
          <w:lang w:val="en-US" w:eastAsia="zh-CN"/>
        </w:rPr>
        <w:t>“HW18</w:t>
      </w:r>
      <w:r>
        <w:rPr>
          <w:rFonts w:hint="eastAsia" w:ascii="Times New Roman" w:hAnsi="Times New Roman" w:cs="Times New Roman" w:eastAsiaTheme="minorEastAsia"/>
          <w:sz w:val="24"/>
          <w:lang w:val="en-US" w:eastAsia="zh-CN"/>
        </w:rPr>
        <w:t>焚烧处置残渣，废物代码</w:t>
      </w:r>
      <w:r>
        <w:rPr>
          <w:rFonts w:hint="default" w:ascii="Times New Roman" w:hAnsi="Times New Roman" w:cs="Times New Roman" w:eastAsiaTheme="minorEastAsia"/>
          <w:sz w:val="24"/>
          <w:lang w:val="en-US" w:eastAsia="zh-CN"/>
        </w:rPr>
        <w:t>772-003-18</w:t>
      </w:r>
      <w:r>
        <w:rPr>
          <w:rFonts w:hint="eastAsia" w:ascii="Times New Roman" w:hAnsi="Times New Roman" w:cs="Times New Roman" w:eastAsiaTheme="minorEastAsia"/>
          <w:sz w:val="24"/>
          <w:lang w:val="en-US" w:eastAsia="zh-CN"/>
        </w:rPr>
        <w:t>，具有毒性、感染性中一种或者两种危险特性的危险废物焚烧、热解等处置过程产生的飞灰、废水处理污泥和底渣（不包括生活垃圾焚烧炉协同处置感染性医疗废物产生的底渣）</w:t>
      </w:r>
      <w:r>
        <w:rPr>
          <w:rFonts w:hint="default" w:ascii="Times New Roman" w:hAnsi="Times New Roman" w:cs="Times New Roman" w:eastAsiaTheme="minorEastAsia"/>
          <w:sz w:val="24"/>
          <w:lang w:val="en-US" w:eastAsia="zh-CN"/>
        </w:rPr>
        <w:t>T</w:t>
      </w:r>
      <w:r>
        <w:rPr>
          <w:rFonts w:hint="eastAsia" w:ascii="Times New Roman" w:hAnsi="Times New Roman" w:cs="Times New Roman" w:eastAsiaTheme="minorEastAsia"/>
          <w:sz w:val="24"/>
          <w:lang w:val="en-US" w:eastAsia="zh-CN"/>
        </w:rPr>
        <w:t>/In</w:t>
      </w: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，项目飞灰暂存于厂区危废贮存库内，定期委托有资质的单位拉运处置。</w:t>
      </w:r>
    </w:p>
    <w:p w14:paraId="63F2E294">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4</w:t>
      </w:r>
      <w:r>
        <w:rPr>
          <w:rFonts w:hint="eastAsia" w:ascii="Times New Roman" w:hAnsi="Times New Roman" w:cs="Times New Roman" w:eastAsiaTheme="minorEastAsia"/>
          <w:sz w:val="24"/>
          <w:lang w:val="en-US" w:eastAsia="zh-CN"/>
        </w:rPr>
        <w:t>）废活性炭</w:t>
      </w:r>
    </w:p>
    <w:p w14:paraId="5DBABA98">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本项目活性炭年使用量为4.227</w:t>
      </w:r>
      <w:r>
        <w:rPr>
          <w:rFonts w:hint="default" w:ascii="Times New Roman" w:hAnsi="Times New Roman" w:cs="Times New Roman" w:eastAsiaTheme="minorEastAsia"/>
          <w:sz w:val="24"/>
          <w:lang w:val="en-US" w:eastAsia="zh-CN"/>
        </w:rPr>
        <w:t>t</w:t>
      </w:r>
      <w:r>
        <w:rPr>
          <w:rFonts w:hint="eastAsia" w:ascii="Times New Roman" w:hAnsi="Times New Roman" w:cs="Times New Roman" w:eastAsiaTheme="minorEastAsia"/>
          <w:sz w:val="24"/>
          <w:lang w:val="en-US" w:eastAsia="zh-CN"/>
        </w:rPr>
        <w:t>（其中焚烧炉废气治理使用4t，冷藏库（医疗废物暂存间）使用0.227t），焚烧炉废气治理活性炭随飞灰一同收集处理，因此以飞灰计；冷藏库（医疗废物暂存间）活性炭吸附废气后排放量约为0.303t/a，项目废活性炭总产生量为0.303t/a。项目产生废活性炭暂存于厂区危废贮存库内，定期交由有资质单位处置。</w:t>
      </w:r>
    </w:p>
    <w:p w14:paraId="16D490C9">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5</w:t>
      </w:r>
      <w:r>
        <w:rPr>
          <w:rFonts w:hint="eastAsia" w:ascii="Times New Roman" w:hAnsi="Times New Roman" w:cs="Times New Roman" w:eastAsiaTheme="minorEastAsia"/>
          <w:sz w:val="24"/>
          <w:lang w:val="en-US" w:eastAsia="zh-CN"/>
        </w:rPr>
        <w:t>）水处理污泥</w:t>
      </w:r>
    </w:p>
    <w:p w14:paraId="1B5F541B">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企业原有项目已建设污水处理站，主要处置项目运行过程中产生的生产废水，污水处理站处理规模设计为15</w:t>
      </w:r>
      <w:r>
        <w:rPr>
          <w:rFonts w:hint="default" w:ascii="Times New Roman" w:hAnsi="Times New Roman" w:cs="Times New Roman" w:eastAsiaTheme="minorEastAsia"/>
          <w:sz w:val="24"/>
          <w:lang w:val="en-US" w:eastAsia="zh-CN"/>
        </w:rPr>
        <w:t>m</w:t>
      </w:r>
      <w:r>
        <w:rPr>
          <w:rFonts w:hint="default" w:ascii="Times New Roman" w:hAnsi="Times New Roman" w:cs="Times New Roman" w:eastAsiaTheme="minorEastAsia"/>
          <w:sz w:val="24"/>
          <w:vertAlign w:val="superscript"/>
          <w:lang w:val="en-US" w:eastAsia="zh-CN"/>
        </w:rPr>
        <w:t>3</w:t>
      </w:r>
      <w:r>
        <w:rPr>
          <w:rFonts w:hint="default" w:ascii="Times New Roman" w:hAnsi="Times New Roman" w:cs="Times New Roman" w:eastAsiaTheme="minorEastAsia"/>
          <w:sz w:val="24"/>
          <w:lang w:val="en-US" w:eastAsia="zh-CN"/>
        </w:rPr>
        <w:t>/d</w:t>
      </w:r>
      <w:r>
        <w:rPr>
          <w:rFonts w:hint="eastAsia" w:ascii="Times New Roman" w:hAnsi="Times New Roman" w:cs="Times New Roman" w:eastAsiaTheme="minorEastAsia"/>
          <w:sz w:val="24"/>
          <w:lang w:val="en-US" w:eastAsia="zh-CN"/>
        </w:rPr>
        <w:t>，现有项目废水量为9.31m</w:t>
      </w:r>
      <w:r>
        <w:rPr>
          <w:rFonts w:hint="eastAsia" w:ascii="Times New Roman" w:hAnsi="Times New Roman" w:cs="Times New Roman" w:eastAsiaTheme="minorEastAsia"/>
          <w:sz w:val="24"/>
          <w:vertAlign w:val="superscript"/>
          <w:lang w:val="en-US" w:eastAsia="zh-CN"/>
        </w:rPr>
        <w:t>3</w:t>
      </w:r>
      <w:r>
        <w:rPr>
          <w:rFonts w:hint="eastAsia" w:ascii="Times New Roman" w:hAnsi="Times New Roman" w:cs="Times New Roman" w:eastAsiaTheme="minorEastAsia"/>
          <w:sz w:val="24"/>
          <w:lang w:val="en-US" w:eastAsia="zh-CN"/>
        </w:rPr>
        <w:t>/d，本项目正常工况下进污水处理站处理的污水产生量为3.084</w:t>
      </w:r>
      <w:r>
        <w:rPr>
          <w:rFonts w:hint="default" w:ascii="Times New Roman" w:hAnsi="Times New Roman" w:cs="Times New Roman" w:eastAsiaTheme="minorEastAsia"/>
          <w:sz w:val="24"/>
          <w:lang w:val="en-US" w:eastAsia="zh-CN"/>
        </w:rPr>
        <w:t>m</w:t>
      </w:r>
      <w:r>
        <w:rPr>
          <w:rFonts w:hint="default" w:ascii="Times New Roman" w:hAnsi="Times New Roman" w:cs="Times New Roman" w:eastAsiaTheme="minorEastAsia"/>
          <w:sz w:val="24"/>
          <w:vertAlign w:val="superscript"/>
          <w:lang w:val="en-US" w:eastAsia="zh-CN"/>
        </w:rPr>
        <w:t>3</w:t>
      </w:r>
      <w:r>
        <w:rPr>
          <w:rFonts w:hint="default" w:ascii="Times New Roman" w:hAnsi="Times New Roman" w:cs="Times New Roman" w:eastAsiaTheme="minorEastAsia"/>
          <w:sz w:val="24"/>
          <w:lang w:val="en-US" w:eastAsia="zh-CN"/>
        </w:rPr>
        <w:t>/d</w:t>
      </w:r>
      <w:r>
        <w:rPr>
          <w:rFonts w:hint="eastAsia" w:ascii="Times New Roman" w:hAnsi="Times New Roman" w:cs="Times New Roman" w:eastAsiaTheme="minorEastAsia"/>
          <w:sz w:val="24"/>
          <w:lang w:val="en-US" w:eastAsia="zh-CN"/>
        </w:rPr>
        <w:t>，污水处理污泥产生量为0.958</w:t>
      </w:r>
      <w:r>
        <w:rPr>
          <w:rFonts w:hint="default" w:ascii="Times New Roman" w:hAnsi="Times New Roman" w:cs="Times New Roman" w:eastAsiaTheme="minorEastAsia"/>
          <w:sz w:val="24"/>
          <w:lang w:val="en-US" w:eastAsia="zh-CN"/>
        </w:rPr>
        <w:t>t/</w:t>
      </w:r>
      <w:r>
        <w:rPr>
          <w:rFonts w:hint="eastAsia" w:ascii="Times New Roman" w:hAnsi="Times New Roman" w:cs="Times New Roman" w:eastAsiaTheme="minorEastAsia"/>
          <w:sz w:val="24"/>
          <w:lang w:val="en-US" w:eastAsia="zh-CN"/>
        </w:rPr>
        <w:t>a。根据环境保护部令第</w:t>
      </w:r>
      <w:r>
        <w:rPr>
          <w:rFonts w:hint="default" w:ascii="Times New Roman" w:hAnsi="Times New Roman" w:cs="Times New Roman" w:eastAsiaTheme="minorEastAsia"/>
          <w:sz w:val="24"/>
          <w:lang w:val="en-US" w:eastAsia="zh-CN"/>
        </w:rPr>
        <w:t>15</w:t>
      </w:r>
      <w:r>
        <w:rPr>
          <w:rFonts w:hint="eastAsia" w:ascii="Times New Roman" w:hAnsi="Times New Roman" w:cs="Times New Roman" w:eastAsiaTheme="minorEastAsia"/>
          <w:sz w:val="24"/>
          <w:lang w:val="en-US" w:eastAsia="zh-CN"/>
        </w:rPr>
        <w:t>号《国家危险废物名录（2025年版）》，污泥属于</w:t>
      </w:r>
      <w:r>
        <w:rPr>
          <w:rFonts w:hint="default" w:ascii="Times New Roman" w:hAnsi="Times New Roman" w:cs="Times New Roman" w:eastAsiaTheme="minorEastAsia"/>
          <w:sz w:val="24"/>
          <w:lang w:val="en-US" w:eastAsia="zh-CN"/>
        </w:rPr>
        <w:t>“HW18</w:t>
      </w:r>
      <w:r>
        <w:rPr>
          <w:rFonts w:hint="eastAsia" w:ascii="Times New Roman" w:hAnsi="Times New Roman" w:cs="Times New Roman" w:eastAsiaTheme="minorEastAsia"/>
          <w:sz w:val="24"/>
          <w:lang w:val="en-US" w:eastAsia="zh-CN"/>
        </w:rPr>
        <w:t>焚烧处置残渣，废物代码</w:t>
      </w:r>
      <w:r>
        <w:rPr>
          <w:rFonts w:hint="default" w:ascii="Times New Roman" w:hAnsi="Times New Roman" w:cs="Times New Roman" w:eastAsiaTheme="minorEastAsia"/>
          <w:sz w:val="24"/>
          <w:lang w:val="en-US" w:eastAsia="zh-CN"/>
        </w:rPr>
        <w:t>772-003-18</w:t>
      </w:r>
      <w:r>
        <w:rPr>
          <w:rFonts w:hint="eastAsia" w:ascii="Times New Roman" w:hAnsi="Times New Roman" w:cs="Times New Roman" w:eastAsiaTheme="minorEastAsia"/>
          <w:sz w:val="24"/>
          <w:lang w:val="en-US" w:eastAsia="zh-CN"/>
        </w:rPr>
        <w:t>，具有毒性、感染性中一种或者两种危险特性的危险废物焚烧、热解等处置过程产生的飞灰、废水处理污泥和底渣（不包括生活垃圾焚烧炉协同处置感染性医疗废物产生的底渣）</w:t>
      </w:r>
      <w:r>
        <w:rPr>
          <w:rFonts w:hint="default" w:ascii="Times New Roman" w:hAnsi="Times New Roman" w:cs="Times New Roman" w:eastAsiaTheme="minorEastAsia"/>
          <w:sz w:val="24"/>
          <w:lang w:val="en-US" w:eastAsia="zh-CN"/>
        </w:rPr>
        <w:t xml:space="preserve"> T</w:t>
      </w:r>
      <w:r>
        <w:rPr>
          <w:rFonts w:hint="eastAsia" w:ascii="Times New Roman" w:hAnsi="Times New Roman" w:cs="Times New Roman" w:eastAsiaTheme="minorEastAsia"/>
          <w:sz w:val="24"/>
          <w:lang w:val="en-US" w:eastAsia="zh-CN"/>
        </w:rPr>
        <w:t>/In</w:t>
      </w: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。项目水处理产生的污泥收集至厂区危废贮存库内，定期交由有资质单位拉运处置。</w:t>
      </w:r>
    </w:p>
    <w:p w14:paraId="67E2E4E4">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6</w:t>
      </w:r>
      <w:r>
        <w:rPr>
          <w:rFonts w:hint="eastAsia" w:ascii="Times New Roman" w:hAnsi="Times New Roman" w:cs="Times New Roman" w:eastAsiaTheme="minorEastAsia"/>
          <w:sz w:val="24"/>
          <w:lang w:val="en-US" w:eastAsia="zh-CN"/>
        </w:rPr>
        <w:t>）废滤袋、废专用桶、废手套、次氯酸钠、氢氧化钠等包装袋</w:t>
      </w:r>
    </w:p>
    <w:p w14:paraId="03883C0C">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收集、处置医疗废弃物时产生的废滤袋、废专用桶、废手套，原辅料中次氯酸钠、氢氧化钠等包装袋总产生量约0.52</w:t>
      </w:r>
      <w:r>
        <w:rPr>
          <w:rFonts w:hint="default" w:ascii="Times New Roman" w:hAnsi="Times New Roman" w:cs="Times New Roman" w:eastAsiaTheme="minorEastAsia"/>
          <w:sz w:val="24"/>
          <w:lang w:val="en-US" w:eastAsia="zh-CN"/>
        </w:rPr>
        <w:t>t/a</w:t>
      </w:r>
      <w:r>
        <w:rPr>
          <w:rFonts w:hint="eastAsia" w:ascii="Times New Roman" w:hAnsi="Times New Roman" w:cs="Times New Roman" w:eastAsiaTheme="minorEastAsia"/>
          <w:sz w:val="24"/>
          <w:lang w:val="en-US" w:eastAsia="zh-CN"/>
        </w:rPr>
        <w:t>，根据环境保护部令第</w:t>
      </w:r>
      <w:r>
        <w:rPr>
          <w:rFonts w:hint="default" w:ascii="Times New Roman" w:hAnsi="Times New Roman" w:cs="Times New Roman" w:eastAsiaTheme="minorEastAsia"/>
          <w:sz w:val="24"/>
          <w:lang w:val="en-US" w:eastAsia="zh-CN"/>
        </w:rPr>
        <w:t xml:space="preserve">15 </w:t>
      </w:r>
      <w:r>
        <w:rPr>
          <w:rFonts w:hint="eastAsia" w:ascii="Times New Roman" w:hAnsi="Times New Roman" w:cs="Times New Roman" w:eastAsiaTheme="minorEastAsia"/>
          <w:sz w:val="24"/>
          <w:lang w:val="en-US" w:eastAsia="zh-CN"/>
        </w:rPr>
        <w:t>号《国家危险废物名录（2025年版）》，废滤袋、废专用桶、废手套属于</w:t>
      </w:r>
      <w:r>
        <w:rPr>
          <w:rFonts w:hint="default" w:ascii="Times New Roman" w:hAnsi="Times New Roman" w:cs="Times New Roman" w:eastAsiaTheme="minorEastAsia"/>
          <w:sz w:val="24"/>
          <w:lang w:val="en-US" w:eastAsia="zh-CN"/>
        </w:rPr>
        <w:t>“HW49</w:t>
      </w:r>
      <w:r>
        <w:rPr>
          <w:rFonts w:hint="eastAsia" w:ascii="Times New Roman" w:hAnsi="Times New Roman" w:cs="Times New Roman" w:eastAsiaTheme="minorEastAsia"/>
          <w:sz w:val="24"/>
          <w:lang w:val="en-US" w:eastAsia="zh-CN"/>
        </w:rPr>
        <w:t>其他废物，废物代码</w:t>
      </w:r>
      <w:r>
        <w:rPr>
          <w:rFonts w:hint="default" w:ascii="Times New Roman" w:hAnsi="Times New Roman" w:cs="Times New Roman" w:eastAsiaTheme="minorEastAsia"/>
          <w:sz w:val="24"/>
          <w:lang w:val="en-US" w:eastAsia="zh-CN"/>
        </w:rPr>
        <w:t>900-041-49</w:t>
      </w:r>
      <w:r>
        <w:rPr>
          <w:rFonts w:hint="eastAsia" w:ascii="Times New Roman" w:hAnsi="Times New Roman" w:cs="Times New Roman" w:eastAsiaTheme="minorEastAsia"/>
          <w:sz w:val="24"/>
          <w:lang w:val="en-US" w:eastAsia="zh-CN"/>
        </w:rPr>
        <w:t>，含有或沾染毒性、感染性危险废物的废弃包装物、容器、过滤吸附介质，危险特性为</w:t>
      </w:r>
      <w:r>
        <w:rPr>
          <w:rFonts w:hint="default" w:ascii="Times New Roman" w:hAnsi="Times New Roman" w:cs="Times New Roman" w:eastAsiaTheme="minorEastAsia"/>
          <w:sz w:val="24"/>
          <w:lang w:val="en-US" w:eastAsia="zh-CN"/>
        </w:rPr>
        <w:t xml:space="preserve"> T/In”</w:t>
      </w:r>
      <w:r>
        <w:rPr>
          <w:rFonts w:hint="eastAsia" w:ascii="Times New Roman" w:hAnsi="Times New Roman" w:cs="Times New Roman" w:eastAsiaTheme="minorEastAsia"/>
          <w:sz w:val="24"/>
          <w:lang w:val="en-US" w:eastAsia="zh-CN"/>
        </w:rPr>
        <w:t>。统一收集后暂存于项目危废贮存库内暂存，定期交由有资质的单位处置。</w:t>
      </w:r>
    </w:p>
    <w:p w14:paraId="63E657BA">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7</w:t>
      </w:r>
      <w:r>
        <w:rPr>
          <w:rFonts w:hint="eastAsia" w:ascii="Times New Roman" w:hAnsi="Times New Roman" w:cs="Times New Roman" w:eastAsiaTheme="minorEastAsia"/>
          <w:sz w:val="24"/>
          <w:lang w:val="en-US" w:eastAsia="zh-CN"/>
        </w:rPr>
        <w:t>）废机油</w:t>
      </w:r>
    </w:p>
    <w:p w14:paraId="72C4C4B0">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本项目风机、水泵、上料系统等设备检修过程会产生废机油，项目建成后废机油产生量约为0.7</w:t>
      </w:r>
      <w:r>
        <w:rPr>
          <w:rFonts w:hint="default" w:ascii="Times New Roman" w:hAnsi="Times New Roman" w:cs="Times New Roman" w:eastAsiaTheme="minorEastAsia"/>
          <w:sz w:val="24"/>
          <w:lang w:val="en-US" w:eastAsia="zh-CN"/>
        </w:rPr>
        <w:t>t/a</w:t>
      </w:r>
      <w:r>
        <w:rPr>
          <w:rFonts w:hint="eastAsia" w:ascii="Times New Roman" w:hAnsi="Times New Roman" w:cs="Times New Roman" w:eastAsiaTheme="minorEastAsia"/>
          <w:sz w:val="24"/>
          <w:lang w:val="en-US" w:eastAsia="zh-CN"/>
        </w:rPr>
        <w:t>。根据环境保护部令第</w:t>
      </w:r>
      <w:r>
        <w:rPr>
          <w:rFonts w:hint="default" w:ascii="Times New Roman" w:hAnsi="Times New Roman" w:cs="Times New Roman" w:eastAsiaTheme="minorEastAsia"/>
          <w:sz w:val="24"/>
          <w:lang w:val="en-US" w:eastAsia="zh-CN"/>
        </w:rPr>
        <w:t xml:space="preserve">15 </w:t>
      </w:r>
      <w:r>
        <w:rPr>
          <w:rFonts w:hint="eastAsia" w:ascii="Times New Roman" w:hAnsi="Times New Roman" w:cs="Times New Roman" w:eastAsiaTheme="minorEastAsia"/>
          <w:sz w:val="24"/>
          <w:lang w:val="en-US" w:eastAsia="zh-CN"/>
        </w:rPr>
        <w:t>号《国家危险废物名录（2025年版）》，废润滑油属于</w:t>
      </w:r>
      <w:r>
        <w:rPr>
          <w:rFonts w:hint="default" w:ascii="Times New Roman" w:hAnsi="Times New Roman" w:cs="Times New Roman" w:eastAsiaTheme="minorEastAsia"/>
          <w:sz w:val="24"/>
          <w:lang w:val="en-US" w:eastAsia="zh-CN"/>
        </w:rPr>
        <w:t xml:space="preserve">“HW08 </w:t>
      </w:r>
      <w:r>
        <w:rPr>
          <w:rFonts w:hint="eastAsia" w:ascii="Times New Roman" w:hAnsi="Times New Roman" w:cs="Times New Roman" w:eastAsiaTheme="minorEastAsia"/>
          <w:sz w:val="24"/>
          <w:lang w:val="en-US" w:eastAsia="zh-CN"/>
        </w:rPr>
        <w:t>废矿物油与含矿物油废物，非特定行业，废物代码</w:t>
      </w:r>
      <w:r>
        <w:rPr>
          <w:rFonts w:hint="default" w:ascii="Times New Roman" w:hAnsi="Times New Roman" w:cs="Times New Roman" w:eastAsiaTheme="minorEastAsia"/>
          <w:sz w:val="24"/>
          <w:lang w:val="en-US" w:eastAsia="zh-CN"/>
        </w:rPr>
        <w:t>900-214-08</w:t>
      </w:r>
      <w:r>
        <w:rPr>
          <w:rFonts w:hint="eastAsia" w:ascii="Times New Roman" w:hAnsi="Times New Roman" w:cs="Times New Roman" w:eastAsiaTheme="minorEastAsia"/>
          <w:sz w:val="24"/>
          <w:lang w:val="en-US" w:eastAsia="zh-CN"/>
        </w:rPr>
        <w:t>，车辆、轮船及其它机械维修过程中产生的废发动机油、制动器油、自动变速器油、齿轮油等废润滑油，危险特性为</w:t>
      </w:r>
      <w:r>
        <w:rPr>
          <w:rFonts w:hint="default" w:ascii="Times New Roman" w:hAnsi="Times New Roman" w:cs="Times New Roman" w:eastAsiaTheme="minorEastAsia"/>
          <w:sz w:val="24"/>
          <w:lang w:val="en-US" w:eastAsia="zh-CN"/>
        </w:rPr>
        <w:t>T</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I”</w:t>
      </w:r>
      <w:r>
        <w:rPr>
          <w:rFonts w:hint="eastAsia" w:ascii="Times New Roman" w:hAnsi="Times New Roman" w:cs="Times New Roman" w:eastAsiaTheme="minorEastAsia"/>
          <w:sz w:val="24"/>
          <w:lang w:val="en-US" w:eastAsia="zh-CN"/>
        </w:rPr>
        <w:t>。统一收集后暂存于项目危废贮存库内暂存，定期交由有资质的单位处置。</w:t>
      </w:r>
    </w:p>
    <w:p w14:paraId="6075FC84">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（8）废包装袋</w:t>
      </w:r>
    </w:p>
    <w:p w14:paraId="68463E67">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本项目生产过程中原辅材料的开包、使用过程中会产生一定量的废弃包装袋，产生量约为1t/a，定期出售给附近回收站。</w:t>
      </w:r>
    </w:p>
    <w:p w14:paraId="14F8E1B7">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项目产生的固体废物汇总，表</w:t>
      </w:r>
      <w:r>
        <w:rPr>
          <w:rFonts w:hint="default" w:ascii="Times New Roman" w:hAnsi="Times New Roman" w:cs="Times New Roman" w:eastAsiaTheme="minorEastAsia"/>
          <w:sz w:val="24"/>
          <w:lang w:val="en-US" w:eastAsia="zh-CN"/>
        </w:rPr>
        <w:t>3.</w:t>
      </w:r>
      <w:r>
        <w:rPr>
          <w:rFonts w:hint="eastAsia" w:ascii="Times New Roman" w:hAnsi="Times New Roman" w:cs="Times New Roman" w:eastAsiaTheme="minorEastAsia"/>
          <w:sz w:val="24"/>
          <w:lang w:val="en-US" w:eastAsia="zh-CN"/>
        </w:rPr>
        <w:t>5-9。</w:t>
      </w:r>
    </w:p>
    <w:p w14:paraId="4E4CCC22">
      <w:pPr>
        <w:snapToGrid w:val="0"/>
        <w:spacing w:before="241" w:beforeLines="50"/>
        <w:jc w:val="center"/>
        <w:rPr>
          <w:rFonts w:hint="default"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表3.</w:t>
      </w:r>
      <w:r>
        <w:rPr>
          <w:rFonts w:hint="eastAsia" w:ascii="Times New Roman" w:hAnsi="Times New Roman" w:cs="Times New Roman"/>
          <w:b/>
          <w:szCs w:val="21"/>
          <w:lang w:val="en-US" w:eastAsia="zh-CN"/>
        </w:rPr>
        <w:t>5-9</w:t>
      </w:r>
      <w:r>
        <w:rPr>
          <w:rFonts w:hint="eastAsia" w:ascii="Times New Roman" w:hAnsi="Times New Roman" w:cs="Times New Roman" w:eastAsiaTheme="minorEastAsia"/>
          <w:b/>
          <w:szCs w:val="21"/>
          <w:lang w:val="en-US" w:eastAsia="zh-CN"/>
        </w:rPr>
        <w:t xml:space="preserve">  本项目固体废物产生及排放情况一览表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677"/>
        <w:gridCol w:w="1391"/>
        <w:gridCol w:w="1315"/>
        <w:gridCol w:w="1350"/>
        <w:gridCol w:w="2064"/>
      </w:tblGrid>
      <w:tr w14:paraId="71D40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524233F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序号</w:t>
            </w:r>
          </w:p>
        </w:tc>
        <w:tc>
          <w:tcPr>
            <w:tcW w:w="1677" w:type="dxa"/>
            <w:vAlign w:val="center"/>
          </w:tcPr>
          <w:p w14:paraId="4A40F70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固废名称</w:t>
            </w:r>
          </w:p>
        </w:tc>
        <w:tc>
          <w:tcPr>
            <w:tcW w:w="1391" w:type="dxa"/>
            <w:vAlign w:val="center"/>
          </w:tcPr>
          <w:p w14:paraId="4E8C7EF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类别</w:t>
            </w:r>
          </w:p>
        </w:tc>
        <w:tc>
          <w:tcPr>
            <w:tcW w:w="1315" w:type="dxa"/>
            <w:vAlign w:val="center"/>
          </w:tcPr>
          <w:p w14:paraId="0EEAC70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分类编号</w:t>
            </w:r>
          </w:p>
        </w:tc>
        <w:tc>
          <w:tcPr>
            <w:tcW w:w="1350" w:type="dxa"/>
            <w:vAlign w:val="center"/>
          </w:tcPr>
          <w:p w14:paraId="2A28E81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产生量（t/a）</w:t>
            </w:r>
          </w:p>
        </w:tc>
        <w:tc>
          <w:tcPr>
            <w:tcW w:w="2064" w:type="dxa"/>
            <w:vAlign w:val="center"/>
          </w:tcPr>
          <w:p w14:paraId="2881457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处置方式</w:t>
            </w:r>
          </w:p>
        </w:tc>
      </w:tr>
      <w:tr w14:paraId="5AF2E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1A53252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w:t>
            </w:r>
          </w:p>
        </w:tc>
        <w:tc>
          <w:tcPr>
            <w:tcW w:w="1677" w:type="dxa"/>
            <w:vAlign w:val="center"/>
          </w:tcPr>
          <w:p w14:paraId="6741ADB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炉渣</w:t>
            </w:r>
          </w:p>
        </w:tc>
        <w:tc>
          <w:tcPr>
            <w:tcW w:w="1391" w:type="dxa"/>
            <w:vAlign w:val="center"/>
          </w:tcPr>
          <w:p w14:paraId="6152995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危险废物HW18</w:t>
            </w:r>
          </w:p>
        </w:tc>
        <w:tc>
          <w:tcPr>
            <w:tcW w:w="1315" w:type="dxa"/>
            <w:vAlign w:val="center"/>
          </w:tcPr>
          <w:p w14:paraId="4396EEF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highlight w:val="none"/>
                <w:lang w:val="en-US" w:eastAsia="zh-CN"/>
              </w:rPr>
              <w:t>772-003-18</w:t>
            </w:r>
          </w:p>
        </w:tc>
        <w:tc>
          <w:tcPr>
            <w:tcW w:w="1350" w:type="dxa"/>
            <w:vAlign w:val="center"/>
          </w:tcPr>
          <w:p w14:paraId="3D936D0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182.5</w:t>
            </w:r>
          </w:p>
        </w:tc>
        <w:tc>
          <w:tcPr>
            <w:tcW w:w="2064" w:type="dxa"/>
            <w:vAlign w:val="center"/>
          </w:tcPr>
          <w:p w14:paraId="459E80D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由有资质单位定期拉运处置</w:t>
            </w:r>
          </w:p>
        </w:tc>
      </w:tr>
      <w:tr w14:paraId="4BE78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4480645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w:t>
            </w:r>
          </w:p>
        </w:tc>
        <w:tc>
          <w:tcPr>
            <w:tcW w:w="1677" w:type="dxa"/>
            <w:vAlign w:val="center"/>
          </w:tcPr>
          <w:p w14:paraId="16BE69F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废离子交换树脂</w:t>
            </w:r>
          </w:p>
        </w:tc>
        <w:tc>
          <w:tcPr>
            <w:tcW w:w="1391" w:type="dxa"/>
            <w:vAlign w:val="center"/>
          </w:tcPr>
          <w:p w14:paraId="5F570CFA">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一般固废</w:t>
            </w:r>
          </w:p>
          <w:p w14:paraId="194120BC">
            <w:pPr>
              <w:pStyle w:val="9"/>
              <w:jc w:val="center"/>
              <w:rPr>
                <w:rFonts w:hint="default"/>
                <w:lang w:val="en-US" w:eastAsia="zh-CN"/>
              </w:rPr>
            </w:pPr>
            <w:r>
              <w:rPr>
                <w:rFonts w:hint="eastAsia" w:cs="Times New Roman" w:eastAsiaTheme="minorEastAsia"/>
                <w:szCs w:val="21"/>
                <w:lang w:val="en-US" w:eastAsia="zh-CN"/>
              </w:rPr>
              <w:t>SW59</w:t>
            </w:r>
          </w:p>
        </w:tc>
        <w:tc>
          <w:tcPr>
            <w:tcW w:w="1315" w:type="dxa"/>
            <w:vAlign w:val="center"/>
          </w:tcPr>
          <w:p w14:paraId="2E3BD2E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900-008-S59</w:t>
            </w:r>
          </w:p>
        </w:tc>
        <w:tc>
          <w:tcPr>
            <w:tcW w:w="1350" w:type="dxa"/>
            <w:vAlign w:val="center"/>
          </w:tcPr>
          <w:p w14:paraId="2D748D6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0.3</w:t>
            </w:r>
          </w:p>
        </w:tc>
        <w:tc>
          <w:tcPr>
            <w:tcW w:w="2064" w:type="dxa"/>
            <w:vAlign w:val="center"/>
          </w:tcPr>
          <w:p w14:paraId="4B4C4D8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由厂家回收</w:t>
            </w:r>
          </w:p>
        </w:tc>
      </w:tr>
      <w:tr w14:paraId="417B9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7EEC43E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3</w:t>
            </w:r>
          </w:p>
        </w:tc>
        <w:tc>
          <w:tcPr>
            <w:tcW w:w="1677" w:type="dxa"/>
            <w:vAlign w:val="center"/>
          </w:tcPr>
          <w:p w14:paraId="377299E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飞灰</w:t>
            </w:r>
          </w:p>
        </w:tc>
        <w:tc>
          <w:tcPr>
            <w:tcW w:w="1391" w:type="dxa"/>
            <w:vAlign w:val="center"/>
          </w:tcPr>
          <w:p w14:paraId="3D66C83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危险废物HW18</w:t>
            </w:r>
          </w:p>
        </w:tc>
        <w:tc>
          <w:tcPr>
            <w:tcW w:w="1315" w:type="dxa"/>
            <w:vAlign w:val="center"/>
          </w:tcPr>
          <w:p w14:paraId="1D3FD26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772-003-18</w:t>
            </w:r>
          </w:p>
        </w:tc>
        <w:tc>
          <w:tcPr>
            <w:tcW w:w="1350" w:type="dxa"/>
            <w:vAlign w:val="center"/>
          </w:tcPr>
          <w:p w14:paraId="5BF39FF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53.596</w:t>
            </w:r>
          </w:p>
        </w:tc>
        <w:tc>
          <w:tcPr>
            <w:tcW w:w="2064" w:type="dxa"/>
            <w:vAlign w:val="center"/>
          </w:tcPr>
          <w:p w14:paraId="1281FB0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lang w:val="en-US" w:eastAsia="zh-CN"/>
              </w:rPr>
              <w:t>由有资质单位定期拉运处置</w:t>
            </w:r>
          </w:p>
        </w:tc>
      </w:tr>
      <w:tr w14:paraId="1A7F2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580E5E2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w:t>
            </w:r>
          </w:p>
        </w:tc>
        <w:tc>
          <w:tcPr>
            <w:tcW w:w="1677" w:type="dxa"/>
            <w:vAlign w:val="center"/>
          </w:tcPr>
          <w:p w14:paraId="6A3686D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废活性炭</w:t>
            </w:r>
          </w:p>
        </w:tc>
        <w:tc>
          <w:tcPr>
            <w:tcW w:w="1391" w:type="dxa"/>
            <w:vAlign w:val="center"/>
          </w:tcPr>
          <w:p w14:paraId="600A6E92">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危险废物HW18</w:t>
            </w:r>
          </w:p>
        </w:tc>
        <w:tc>
          <w:tcPr>
            <w:tcW w:w="1315" w:type="dxa"/>
            <w:vAlign w:val="center"/>
          </w:tcPr>
          <w:p w14:paraId="137BF3C2">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772-005-18</w:t>
            </w:r>
          </w:p>
        </w:tc>
        <w:tc>
          <w:tcPr>
            <w:tcW w:w="1350" w:type="dxa"/>
            <w:vAlign w:val="center"/>
          </w:tcPr>
          <w:p w14:paraId="2D0EED4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0.303</w:t>
            </w:r>
          </w:p>
        </w:tc>
        <w:tc>
          <w:tcPr>
            <w:tcW w:w="2064" w:type="dxa"/>
            <w:vAlign w:val="center"/>
          </w:tcPr>
          <w:p w14:paraId="6869FE6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由有资质单位定期拉运处置</w:t>
            </w:r>
          </w:p>
        </w:tc>
      </w:tr>
      <w:tr w14:paraId="5C6CC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7EFF61E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w:t>
            </w:r>
          </w:p>
        </w:tc>
        <w:tc>
          <w:tcPr>
            <w:tcW w:w="1677" w:type="dxa"/>
            <w:vAlign w:val="center"/>
          </w:tcPr>
          <w:p w14:paraId="1348A62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水处理污泥</w:t>
            </w:r>
          </w:p>
        </w:tc>
        <w:tc>
          <w:tcPr>
            <w:tcW w:w="1391" w:type="dxa"/>
            <w:vAlign w:val="center"/>
          </w:tcPr>
          <w:p w14:paraId="00B441D4">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危险废物HW18</w:t>
            </w:r>
          </w:p>
        </w:tc>
        <w:tc>
          <w:tcPr>
            <w:tcW w:w="1315" w:type="dxa"/>
            <w:vAlign w:val="center"/>
          </w:tcPr>
          <w:p w14:paraId="4CE3DAC0">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772-003-18</w:t>
            </w:r>
          </w:p>
        </w:tc>
        <w:tc>
          <w:tcPr>
            <w:tcW w:w="1350" w:type="dxa"/>
            <w:vAlign w:val="center"/>
          </w:tcPr>
          <w:p w14:paraId="39A74DC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r>
              <w:rPr>
                <w:rFonts w:hint="eastAsia" w:ascii="Times New Roman" w:hAnsi="Times New Roman" w:cs="Times New Roman"/>
                <w:szCs w:val="21"/>
                <w:lang w:val="en-US" w:eastAsia="zh-CN"/>
              </w:rPr>
              <w:t>958</w:t>
            </w:r>
          </w:p>
        </w:tc>
        <w:tc>
          <w:tcPr>
            <w:tcW w:w="2064" w:type="dxa"/>
            <w:vAlign w:val="center"/>
          </w:tcPr>
          <w:p w14:paraId="4CDE55D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由有资质单位定期拉运处置</w:t>
            </w:r>
          </w:p>
        </w:tc>
      </w:tr>
      <w:tr w14:paraId="4C932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33AAEB4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w:t>
            </w:r>
          </w:p>
        </w:tc>
        <w:tc>
          <w:tcPr>
            <w:tcW w:w="1677" w:type="dxa"/>
            <w:vAlign w:val="center"/>
          </w:tcPr>
          <w:p w14:paraId="6B562B2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废滤袋、废专用桶、废手套</w:t>
            </w: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次氯酸钠、氢氧化钠等包装袋</w:t>
            </w:r>
          </w:p>
        </w:tc>
        <w:tc>
          <w:tcPr>
            <w:tcW w:w="1391" w:type="dxa"/>
            <w:vAlign w:val="center"/>
          </w:tcPr>
          <w:p w14:paraId="5D08477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危险废物HW49</w:t>
            </w:r>
          </w:p>
        </w:tc>
        <w:tc>
          <w:tcPr>
            <w:tcW w:w="1315" w:type="dxa"/>
            <w:vAlign w:val="center"/>
          </w:tcPr>
          <w:p w14:paraId="2A61B27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900-041-49</w:t>
            </w:r>
          </w:p>
        </w:tc>
        <w:tc>
          <w:tcPr>
            <w:tcW w:w="1350" w:type="dxa"/>
            <w:vAlign w:val="center"/>
          </w:tcPr>
          <w:p w14:paraId="5043AA0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0.52</w:t>
            </w:r>
          </w:p>
        </w:tc>
        <w:tc>
          <w:tcPr>
            <w:tcW w:w="2064" w:type="dxa"/>
            <w:vAlign w:val="center"/>
          </w:tcPr>
          <w:p w14:paraId="0AB68A8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由有资质单位定期拉运处置</w:t>
            </w:r>
          </w:p>
        </w:tc>
      </w:tr>
      <w:tr w14:paraId="5741F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1125D37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w:t>
            </w:r>
          </w:p>
        </w:tc>
        <w:tc>
          <w:tcPr>
            <w:tcW w:w="1677" w:type="dxa"/>
            <w:vAlign w:val="center"/>
          </w:tcPr>
          <w:p w14:paraId="14A6EE6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废机油</w:t>
            </w:r>
          </w:p>
        </w:tc>
        <w:tc>
          <w:tcPr>
            <w:tcW w:w="1391" w:type="dxa"/>
            <w:vAlign w:val="center"/>
          </w:tcPr>
          <w:p w14:paraId="2756427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危险废物HW08</w:t>
            </w:r>
          </w:p>
        </w:tc>
        <w:tc>
          <w:tcPr>
            <w:tcW w:w="1315" w:type="dxa"/>
            <w:vAlign w:val="center"/>
          </w:tcPr>
          <w:p w14:paraId="4517D6E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900-214-08</w:t>
            </w:r>
          </w:p>
        </w:tc>
        <w:tc>
          <w:tcPr>
            <w:tcW w:w="1350" w:type="dxa"/>
            <w:vAlign w:val="center"/>
          </w:tcPr>
          <w:p w14:paraId="0B49BBD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0.7</w:t>
            </w:r>
          </w:p>
        </w:tc>
        <w:tc>
          <w:tcPr>
            <w:tcW w:w="2064" w:type="dxa"/>
            <w:vAlign w:val="center"/>
          </w:tcPr>
          <w:p w14:paraId="2E1405BA">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由有资质单位定期拉运处置</w:t>
            </w:r>
          </w:p>
        </w:tc>
      </w:tr>
      <w:tr w14:paraId="5BBFC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5" w:type="dxa"/>
            <w:vAlign w:val="center"/>
          </w:tcPr>
          <w:p w14:paraId="0E61FD5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8</w:t>
            </w:r>
          </w:p>
        </w:tc>
        <w:tc>
          <w:tcPr>
            <w:tcW w:w="1677" w:type="dxa"/>
            <w:vAlign w:val="center"/>
          </w:tcPr>
          <w:p w14:paraId="24C068B5">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废包装袋</w:t>
            </w:r>
          </w:p>
        </w:tc>
        <w:tc>
          <w:tcPr>
            <w:tcW w:w="1391" w:type="dxa"/>
            <w:vAlign w:val="center"/>
          </w:tcPr>
          <w:p w14:paraId="2A53BDB0">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一般固废</w:t>
            </w:r>
          </w:p>
          <w:p w14:paraId="0988B915">
            <w:pPr>
              <w:pStyle w:val="9"/>
              <w:jc w:val="center"/>
              <w:rPr>
                <w:rFonts w:hint="eastAsia"/>
                <w:lang w:val="en-US" w:eastAsia="zh-CN"/>
              </w:rPr>
            </w:pPr>
            <w:r>
              <w:rPr>
                <w:rFonts w:hint="eastAsia" w:cs="Times New Roman" w:eastAsiaTheme="minorEastAsia"/>
                <w:szCs w:val="21"/>
                <w:lang w:val="en-US" w:eastAsia="zh-CN"/>
              </w:rPr>
              <w:t>SW59</w:t>
            </w:r>
          </w:p>
        </w:tc>
        <w:tc>
          <w:tcPr>
            <w:tcW w:w="1315" w:type="dxa"/>
            <w:vAlign w:val="center"/>
          </w:tcPr>
          <w:p w14:paraId="2FDC1DC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900-099-S59</w:t>
            </w:r>
          </w:p>
        </w:tc>
        <w:tc>
          <w:tcPr>
            <w:tcW w:w="1350" w:type="dxa"/>
            <w:vAlign w:val="center"/>
          </w:tcPr>
          <w:p w14:paraId="3B62DA1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w:t>
            </w:r>
          </w:p>
        </w:tc>
        <w:tc>
          <w:tcPr>
            <w:tcW w:w="2064" w:type="dxa"/>
            <w:vAlign w:val="center"/>
          </w:tcPr>
          <w:p w14:paraId="2404793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定期出售</w:t>
            </w:r>
          </w:p>
        </w:tc>
      </w:tr>
    </w:tbl>
    <w:p w14:paraId="4F5F6228">
      <w:pPr>
        <w:pStyle w:val="3"/>
        <w:spacing w:before="120" w:after="120" w:line="500" w:lineRule="exact"/>
        <w:ind w:left="375" w:hanging="375" w:firstLineChars="0"/>
        <w:contextualSpacing/>
        <w:rPr>
          <w:rFonts w:hint="default" w:ascii="Times New Roman" w:hAnsi="Times New Roman" w:cs="Times New Roman" w:eastAsiaTheme="minorEastAsia"/>
          <w:snapToGrid w:val="0"/>
          <w:kern w:val="0"/>
          <w:sz w:val="28"/>
          <w:szCs w:val="28"/>
          <w:lang w:val="en-US" w:eastAsia="zh-CN"/>
        </w:rPr>
      </w:pPr>
      <w:bookmarkStart w:id="162" w:name="_Toc4453"/>
      <w:r>
        <w:rPr>
          <w:rFonts w:hint="default" w:ascii="Times New Roman" w:hAnsi="Times New Roman" w:cs="Times New Roman" w:eastAsiaTheme="minorEastAsia"/>
          <w:snapToGrid w:val="0"/>
          <w:kern w:val="0"/>
          <w:sz w:val="28"/>
          <w:szCs w:val="28"/>
          <w:lang w:val="en-US" w:eastAsia="zh-CN"/>
        </w:rPr>
        <w:t>3.</w:t>
      </w:r>
      <w:r>
        <w:rPr>
          <w:rFonts w:hint="eastAsia" w:ascii="Times New Roman" w:hAnsi="Times New Roman" w:cs="Times New Roman"/>
          <w:snapToGrid w:val="0"/>
          <w:kern w:val="0"/>
          <w:sz w:val="28"/>
          <w:szCs w:val="28"/>
          <w:lang w:val="en-US" w:eastAsia="zh-CN"/>
        </w:rPr>
        <w:t>6</w:t>
      </w:r>
      <w:r>
        <w:rPr>
          <w:rFonts w:hint="default" w:ascii="Times New Roman" w:hAnsi="Times New Roman" w:cs="Times New Roman" w:eastAsiaTheme="minorEastAsia"/>
          <w:snapToGrid w:val="0"/>
          <w:kern w:val="0"/>
          <w:sz w:val="28"/>
          <w:szCs w:val="28"/>
          <w:lang w:val="en-US" w:eastAsia="zh-CN"/>
        </w:rPr>
        <w:t xml:space="preserve"> </w:t>
      </w:r>
      <w:r>
        <w:rPr>
          <w:rFonts w:hint="eastAsia" w:ascii="Times New Roman" w:hAnsi="Times New Roman" w:cs="Times New Roman" w:eastAsiaTheme="minorEastAsia"/>
          <w:snapToGrid w:val="0"/>
          <w:kern w:val="0"/>
          <w:sz w:val="28"/>
          <w:szCs w:val="28"/>
          <w:lang w:val="en-US" w:eastAsia="zh-CN"/>
        </w:rPr>
        <w:t>污染物排放情况汇总</w:t>
      </w:r>
      <w:bookmarkEnd w:id="162"/>
    </w:p>
    <w:p w14:paraId="52F9BF40">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本项目污染物排放情况汇总见表</w:t>
      </w:r>
      <w:r>
        <w:rPr>
          <w:rFonts w:hint="default" w:ascii="Times New Roman" w:hAnsi="Times New Roman" w:cs="Times New Roman" w:eastAsiaTheme="minorEastAsia"/>
          <w:sz w:val="24"/>
          <w:highlight w:val="none"/>
          <w:lang w:val="en-US" w:eastAsia="zh-CN"/>
        </w:rPr>
        <w:t>3.</w:t>
      </w:r>
      <w:r>
        <w:rPr>
          <w:rFonts w:hint="eastAsia" w:ascii="Times New Roman" w:hAnsi="Times New Roman" w:cs="Times New Roman"/>
          <w:sz w:val="24"/>
          <w:highlight w:val="none"/>
          <w:lang w:val="en-US" w:eastAsia="zh-CN"/>
        </w:rPr>
        <w:t>6</w:t>
      </w:r>
      <w:r>
        <w:rPr>
          <w:rFonts w:hint="default" w:ascii="Times New Roman" w:hAnsi="Times New Roman" w:cs="Times New Roman" w:eastAsiaTheme="minorEastAsia"/>
          <w:sz w:val="24"/>
          <w:highlight w:val="none"/>
          <w:lang w:val="en-US" w:eastAsia="zh-CN"/>
        </w:rPr>
        <w:t>-1</w:t>
      </w:r>
      <w:r>
        <w:rPr>
          <w:rFonts w:hint="eastAsia" w:ascii="Times New Roman" w:hAnsi="Times New Roman" w:cs="Times New Roman" w:eastAsiaTheme="minorEastAsia"/>
          <w:sz w:val="24"/>
          <w:highlight w:val="none"/>
          <w:lang w:val="en-US" w:eastAsia="zh-CN"/>
        </w:rPr>
        <w:t>。</w:t>
      </w:r>
    </w:p>
    <w:p w14:paraId="120BCF75">
      <w:pPr>
        <w:snapToGrid w:val="0"/>
        <w:spacing w:before="241"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表3.</w:t>
      </w:r>
      <w:r>
        <w:rPr>
          <w:rFonts w:hint="eastAsia" w:ascii="Times New Roman" w:hAnsi="Times New Roman" w:cs="Times New Roman"/>
          <w:b/>
          <w:szCs w:val="21"/>
          <w:lang w:val="en-US" w:eastAsia="zh-CN"/>
        </w:rPr>
        <w:t>6</w:t>
      </w:r>
      <w:r>
        <w:rPr>
          <w:rFonts w:hint="eastAsia" w:ascii="Times New Roman" w:hAnsi="Times New Roman" w:cs="Times New Roman" w:eastAsiaTheme="minorEastAsia"/>
          <w:b/>
          <w:szCs w:val="21"/>
          <w:lang w:val="en-US" w:eastAsia="zh-CN"/>
        </w:rPr>
        <w:t>-1  本项目污染物排放量汇总一览表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3"/>
        <w:gridCol w:w="1168"/>
        <w:gridCol w:w="2017"/>
        <w:gridCol w:w="1683"/>
        <w:gridCol w:w="1467"/>
        <w:gridCol w:w="1414"/>
      </w:tblGrid>
      <w:tr w14:paraId="5E3CF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Align w:val="center"/>
          </w:tcPr>
          <w:p w14:paraId="6218F27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类别</w:t>
            </w:r>
          </w:p>
        </w:tc>
        <w:tc>
          <w:tcPr>
            <w:tcW w:w="3185" w:type="dxa"/>
            <w:gridSpan w:val="2"/>
            <w:vAlign w:val="center"/>
          </w:tcPr>
          <w:p w14:paraId="448EA37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污染物名称</w:t>
            </w:r>
          </w:p>
        </w:tc>
        <w:tc>
          <w:tcPr>
            <w:tcW w:w="1683" w:type="dxa"/>
            <w:vAlign w:val="center"/>
          </w:tcPr>
          <w:p w14:paraId="249FA9B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产生量（t/a）</w:t>
            </w:r>
          </w:p>
        </w:tc>
        <w:tc>
          <w:tcPr>
            <w:tcW w:w="1467" w:type="dxa"/>
            <w:vAlign w:val="center"/>
          </w:tcPr>
          <w:p w14:paraId="607A719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消减量（t/a）</w:t>
            </w:r>
          </w:p>
        </w:tc>
        <w:tc>
          <w:tcPr>
            <w:tcW w:w="1414" w:type="dxa"/>
            <w:vAlign w:val="center"/>
          </w:tcPr>
          <w:p w14:paraId="51BFD49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排放量（t/a）</w:t>
            </w:r>
          </w:p>
        </w:tc>
      </w:tr>
      <w:tr w14:paraId="5653F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3" w:type="dxa"/>
            <w:vMerge w:val="restart"/>
            <w:vAlign w:val="center"/>
          </w:tcPr>
          <w:p w14:paraId="7A16C9B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废气</w:t>
            </w:r>
          </w:p>
        </w:tc>
        <w:tc>
          <w:tcPr>
            <w:tcW w:w="1168" w:type="dxa"/>
            <w:vMerge w:val="restart"/>
            <w:vAlign w:val="center"/>
          </w:tcPr>
          <w:p w14:paraId="497E0A3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有组织焚烧烟气</w:t>
            </w:r>
          </w:p>
        </w:tc>
        <w:tc>
          <w:tcPr>
            <w:tcW w:w="2017" w:type="dxa"/>
            <w:shd w:val="clear" w:color="auto" w:fill="auto"/>
            <w:vAlign w:val="center"/>
          </w:tcPr>
          <w:p w14:paraId="777234D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烟尘</w:t>
            </w:r>
          </w:p>
        </w:tc>
        <w:tc>
          <w:tcPr>
            <w:tcW w:w="1683" w:type="dxa"/>
            <w:shd w:val="clear" w:color="auto" w:fill="auto"/>
            <w:vAlign w:val="center"/>
          </w:tcPr>
          <w:p w14:paraId="4F3209A1">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44.533</w:t>
            </w:r>
          </w:p>
        </w:tc>
        <w:tc>
          <w:tcPr>
            <w:tcW w:w="1467" w:type="dxa"/>
            <w:vAlign w:val="center"/>
          </w:tcPr>
          <w:p w14:paraId="5DE6921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44.355</w:t>
            </w:r>
          </w:p>
        </w:tc>
        <w:tc>
          <w:tcPr>
            <w:tcW w:w="1414" w:type="dxa"/>
            <w:shd w:val="clear" w:color="auto" w:fill="auto"/>
            <w:vAlign w:val="center"/>
          </w:tcPr>
          <w:p w14:paraId="00F8EB90">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highlight w:val="none"/>
                <w:lang w:val="en-US" w:eastAsia="zh-CN"/>
              </w:rPr>
              <w:t>0.</w:t>
            </w:r>
            <w:r>
              <w:rPr>
                <w:rFonts w:hint="eastAsia" w:ascii="Times New Roman" w:hAnsi="Times New Roman" w:cs="Times New Roman"/>
                <w:szCs w:val="21"/>
                <w:highlight w:val="none"/>
                <w:lang w:val="en-US" w:eastAsia="zh-CN"/>
              </w:rPr>
              <w:t>178</w:t>
            </w:r>
          </w:p>
        </w:tc>
      </w:tr>
      <w:tr w14:paraId="39785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7D4FB93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7584455C">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1CD2882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SO</w:t>
            </w:r>
            <w:r>
              <w:rPr>
                <w:rFonts w:hint="eastAsia" w:ascii="Times New Roman" w:hAnsi="Times New Roman" w:cs="Times New Roman" w:eastAsiaTheme="minorEastAsia"/>
                <w:szCs w:val="21"/>
                <w:vertAlign w:val="subscript"/>
                <w:lang w:val="en-US" w:eastAsia="zh-CN"/>
              </w:rPr>
              <w:t>2</w:t>
            </w:r>
          </w:p>
        </w:tc>
        <w:tc>
          <w:tcPr>
            <w:tcW w:w="1683" w:type="dxa"/>
            <w:shd w:val="clear" w:color="auto" w:fill="auto"/>
            <w:vAlign w:val="center"/>
          </w:tcPr>
          <w:p w14:paraId="7A5348CB">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3.190</w:t>
            </w:r>
          </w:p>
        </w:tc>
        <w:tc>
          <w:tcPr>
            <w:tcW w:w="1467" w:type="dxa"/>
            <w:vAlign w:val="center"/>
          </w:tcPr>
          <w:p w14:paraId="4813ACE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2.935</w:t>
            </w:r>
          </w:p>
        </w:tc>
        <w:tc>
          <w:tcPr>
            <w:tcW w:w="1414" w:type="dxa"/>
            <w:shd w:val="clear" w:color="auto" w:fill="auto"/>
            <w:vAlign w:val="center"/>
          </w:tcPr>
          <w:p w14:paraId="65EBC33D">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highlight w:val="none"/>
                <w:lang w:val="en-US" w:eastAsia="zh-CN"/>
              </w:rPr>
              <w:t>0.</w:t>
            </w:r>
            <w:r>
              <w:rPr>
                <w:rFonts w:hint="eastAsia" w:ascii="Times New Roman" w:hAnsi="Times New Roman" w:cs="Times New Roman"/>
                <w:szCs w:val="21"/>
                <w:highlight w:val="none"/>
                <w:lang w:val="en-US" w:eastAsia="zh-CN"/>
              </w:rPr>
              <w:t>255</w:t>
            </w:r>
          </w:p>
        </w:tc>
      </w:tr>
      <w:tr w14:paraId="0F685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7D027B3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72DA3F3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24A9C75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NOx</w:t>
            </w:r>
          </w:p>
        </w:tc>
        <w:tc>
          <w:tcPr>
            <w:tcW w:w="1683" w:type="dxa"/>
            <w:shd w:val="clear" w:color="auto" w:fill="auto"/>
            <w:vAlign w:val="center"/>
          </w:tcPr>
          <w:p w14:paraId="4E348C8B">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2.087</w:t>
            </w:r>
          </w:p>
        </w:tc>
        <w:tc>
          <w:tcPr>
            <w:tcW w:w="1467" w:type="dxa"/>
            <w:vAlign w:val="center"/>
          </w:tcPr>
          <w:p w14:paraId="1462D2F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0.835</w:t>
            </w:r>
          </w:p>
        </w:tc>
        <w:tc>
          <w:tcPr>
            <w:tcW w:w="1414" w:type="dxa"/>
            <w:shd w:val="clear" w:color="auto" w:fill="auto"/>
            <w:vAlign w:val="center"/>
          </w:tcPr>
          <w:p w14:paraId="01CCAB16">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1.252</w:t>
            </w:r>
          </w:p>
        </w:tc>
      </w:tr>
      <w:tr w14:paraId="27920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1CBE427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2B2318EA">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015A65F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CO</w:t>
            </w:r>
          </w:p>
        </w:tc>
        <w:tc>
          <w:tcPr>
            <w:tcW w:w="1683" w:type="dxa"/>
            <w:shd w:val="clear" w:color="auto" w:fill="auto"/>
            <w:vAlign w:val="center"/>
          </w:tcPr>
          <w:p w14:paraId="4AFD90CC">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0.345</w:t>
            </w:r>
          </w:p>
        </w:tc>
        <w:tc>
          <w:tcPr>
            <w:tcW w:w="1467" w:type="dxa"/>
            <w:vAlign w:val="center"/>
          </w:tcPr>
          <w:p w14:paraId="121A583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c>
          <w:tcPr>
            <w:tcW w:w="1414" w:type="dxa"/>
            <w:shd w:val="clear" w:color="auto" w:fill="auto"/>
            <w:vAlign w:val="center"/>
          </w:tcPr>
          <w:p w14:paraId="7688A039">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w:t>
            </w:r>
            <w:r>
              <w:rPr>
                <w:rFonts w:hint="eastAsia" w:ascii="Times New Roman" w:hAnsi="Times New Roman" w:cs="Times New Roman"/>
                <w:szCs w:val="21"/>
                <w:lang w:val="en-US" w:eastAsia="zh-CN"/>
              </w:rPr>
              <w:t>345</w:t>
            </w:r>
          </w:p>
        </w:tc>
      </w:tr>
      <w:tr w14:paraId="1B756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3" w:type="dxa"/>
            <w:vMerge w:val="continue"/>
            <w:vAlign w:val="center"/>
          </w:tcPr>
          <w:p w14:paraId="6DDBBEC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64F2B32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214B344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HCl</w:t>
            </w:r>
          </w:p>
        </w:tc>
        <w:tc>
          <w:tcPr>
            <w:tcW w:w="1683" w:type="dxa"/>
            <w:shd w:val="clear" w:color="auto" w:fill="auto"/>
            <w:vAlign w:val="center"/>
          </w:tcPr>
          <w:p w14:paraId="4C946BE9">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1.446</w:t>
            </w:r>
          </w:p>
        </w:tc>
        <w:tc>
          <w:tcPr>
            <w:tcW w:w="1467" w:type="dxa"/>
            <w:vAlign w:val="center"/>
          </w:tcPr>
          <w:p w14:paraId="23D1DF2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1.302</w:t>
            </w:r>
          </w:p>
        </w:tc>
        <w:tc>
          <w:tcPr>
            <w:tcW w:w="1414" w:type="dxa"/>
            <w:shd w:val="clear" w:color="auto" w:fill="auto"/>
            <w:vAlign w:val="center"/>
          </w:tcPr>
          <w:p w14:paraId="0A62636D">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0.1</w:t>
            </w:r>
            <w:r>
              <w:rPr>
                <w:rFonts w:hint="eastAsia" w:ascii="Times New Roman" w:hAnsi="Times New Roman" w:cs="Times New Roman"/>
                <w:szCs w:val="21"/>
                <w:lang w:val="en-US" w:eastAsia="zh-CN"/>
              </w:rPr>
              <w:t>44</w:t>
            </w:r>
          </w:p>
        </w:tc>
      </w:tr>
      <w:tr w14:paraId="5485A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3488B4B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42061D6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5D7CF4A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HF</w:t>
            </w:r>
          </w:p>
        </w:tc>
        <w:tc>
          <w:tcPr>
            <w:tcW w:w="1683" w:type="dxa"/>
            <w:shd w:val="clear" w:color="auto" w:fill="auto"/>
            <w:vAlign w:val="center"/>
          </w:tcPr>
          <w:p w14:paraId="0AC63554">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0.199</w:t>
            </w:r>
          </w:p>
        </w:tc>
        <w:tc>
          <w:tcPr>
            <w:tcW w:w="1467" w:type="dxa"/>
            <w:vAlign w:val="center"/>
          </w:tcPr>
          <w:p w14:paraId="5EF4FC9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r>
              <w:rPr>
                <w:rFonts w:hint="eastAsia" w:ascii="Times New Roman" w:hAnsi="Times New Roman" w:cs="Times New Roman"/>
                <w:szCs w:val="21"/>
                <w:lang w:val="en-US" w:eastAsia="zh-CN"/>
              </w:rPr>
              <w:t>159</w:t>
            </w:r>
          </w:p>
        </w:tc>
        <w:tc>
          <w:tcPr>
            <w:tcW w:w="1414" w:type="dxa"/>
            <w:shd w:val="clear" w:color="auto" w:fill="auto"/>
            <w:vAlign w:val="center"/>
          </w:tcPr>
          <w:p w14:paraId="3AC7079A">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0.0</w:t>
            </w:r>
            <w:r>
              <w:rPr>
                <w:rFonts w:hint="eastAsia" w:ascii="Times New Roman" w:hAnsi="Times New Roman" w:cs="Times New Roman"/>
                <w:szCs w:val="21"/>
                <w:lang w:val="en-US" w:eastAsia="zh-CN"/>
              </w:rPr>
              <w:t>4</w:t>
            </w:r>
          </w:p>
        </w:tc>
      </w:tr>
      <w:tr w14:paraId="42D56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122754D3">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716CA49C">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7F053B8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汞及其化合物</w:t>
            </w:r>
          </w:p>
        </w:tc>
        <w:tc>
          <w:tcPr>
            <w:tcW w:w="1683" w:type="dxa"/>
            <w:shd w:val="clear" w:color="auto" w:fill="auto"/>
            <w:vAlign w:val="center"/>
          </w:tcPr>
          <w:p w14:paraId="47B2716A">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2.382</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7</w:t>
            </w:r>
          </w:p>
        </w:tc>
        <w:tc>
          <w:tcPr>
            <w:tcW w:w="1467" w:type="dxa"/>
            <w:vAlign w:val="center"/>
          </w:tcPr>
          <w:p w14:paraId="0620C1F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1.667×10</w:t>
            </w:r>
            <w:r>
              <w:rPr>
                <w:rFonts w:hint="eastAsia" w:ascii="Times New Roman" w:hAnsi="Times New Roman" w:cs="Times New Roman"/>
                <w:szCs w:val="21"/>
                <w:vertAlign w:val="superscript"/>
                <w:lang w:val="en-US" w:eastAsia="zh-CN"/>
              </w:rPr>
              <w:t>-7</w:t>
            </w:r>
          </w:p>
        </w:tc>
        <w:tc>
          <w:tcPr>
            <w:tcW w:w="1414" w:type="dxa"/>
            <w:shd w:val="clear" w:color="auto" w:fill="auto"/>
            <w:vAlign w:val="center"/>
          </w:tcPr>
          <w:p w14:paraId="17A06297">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7.1</w:t>
            </w:r>
            <w:r>
              <w:rPr>
                <w:rFonts w:hint="eastAsia" w:ascii="Times New Roman" w:hAnsi="Times New Roman" w:cs="Times New Roman"/>
                <w:szCs w:val="21"/>
                <w:lang w:val="en-US" w:eastAsia="zh-CN"/>
              </w:rPr>
              <w:t>46</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8</w:t>
            </w:r>
          </w:p>
        </w:tc>
      </w:tr>
      <w:tr w14:paraId="5913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19E509BC">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47CDBD8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199FD09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铅及其化合物</w:t>
            </w:r>
          </w:p>
        </w:tc>
        <w:tc>
          <w:tcPr>
            <w:tcW w:w="1683" w:type="dxa"/>
            <w:shd w:val="clear" w:color="auto" w:fill="auto"/>
            <w:vAlign w:val="center"/>
          </w:tcPr>
          <w:p w14:paraId="1C207135">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6.422</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-4</w:t>
            </w:r>
          </w:p>
        </w:tc>
        <w:tc>
          <w:tcPr>
            <w:tcW w:w="1467" w:type="dxa"/>
            <w:vAlign w:val="center"/>
          </w:tcPr>
          <w:p w14:paraId="3487A73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5.138</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-4</w:t>
            </w:r>
          </w:p>
        </w:tc>
        <w:tc>
          <w:tcPr>
            <w:tcW w:w="1414" w:type="dxa"/>
            <w:shd w:val="clear" w:color="auto" w:fill="auto"/>
            <w:vAlign w:val="center"/>
          </w:tcPr>
          <w:p w14:paraId="20A980A4">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1.</w:t>
            </w:r>
            <w:r>
              <w:rPr>
                <w:rFonts w:hint="eastAsia" w:ascii="Times New Roman" w:hAnsi="Times New Roman" w:cs="Times New Roman"/>
                <w:szCs w:val="21"/>
                <w:lang w:val="en-US" w:eastAsia="zh-CN"/>
              </w:rPr>
              <w:t>284</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-4</w:t>
            </w:r>
          </w:p>
        </w:tc>
      </w:tr>
      <w:tr w14:paraId="00E8A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2BEE3F73">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2ED354B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2C06512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镉及其化合物</w:t>
            </w:r>
          </w:p>
        </w:tc>
        <w:tc>
          <w:tcPr>
            <w:tcW w:w="1683" w:type="dxa"/>
            <w:shd w:val="clear" w:color="auto" w:fill="auto"/>
            <w:vAlign w:val="center"/>
          </w:tcPr>
          <w:p w14:paraId="607874D7">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7.665</w:t>
            </w:r>
            <w:r>
              <w:rPr>
                <w:rFonts w:hint="eastAsia" w:ascii="Times New Roman" w:hAnsi="Times New Roman" w:cs="Times New Roman" w:eastAsiaTheme="minorEastAsia"/>
                <w:szCs w:val="21"/>
                <w:lang w:val="en-US" w:eastAsia="zh-CN"/>
              </w:rPr>
              <w:t>×10</w:t>
            </w:r>
            <w:r>
              <w:rPr>
                <w:rFonts w:hint="eastAsia" w:ascii="Times New Roman" w:hAnsi="Times New Roman" w:cs="Times New Roman"/>
                <w:szCs w:val="21"/>
                <w:vertAlign w:val="superscript"/>
                <w:lang w:val="en-US" w:eastAsia="zh-CN"/>
              </w:rPr>
              <w:t>-6</w:t>
            </w:r>
          </w:p>
        </w:tc>
        <w:tc>
          <w:tcPr>
            <w:tcW w:w="1467" w:type="dxa"/>
            <w:vAlign w:val="center"/>
          </w:tcPr>
          <w:p w14:paraId="73575D5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6.132×10</w:t>
            </w:r>
            <w:r>
              <w:rPr>
                <w:rFonts w:hint="eastAsia" w:ascii="Times New Roman" w:hAnsi="Times New Roman" w:cs="Times New Roman"/>
                <w:szCs w:val="21"/>
                <w:vertAlign w:val="superscript"/>
                <w:lang w:val="en-US" w:eastAsia="zh-CN"/>
              </w:rPr>
              <w:t>-6</w:t>
            </w:r>
          </w:p>
        </w:tc>
        <w:tc>
          <w:tcPr>
            <w:tcW w:w="1414" w:type="dxa"/>
            <w:shd w:val="clear" w:color="auto" w:fill="auto"/>
            <w:vAlign w:val="center"/>
          </w:tcPr>
          <w:p w14:paraId="04684CCE">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highlight w:val="none"/>
                <w:lang w:val="en-US" w:eastAsia="zh-CN"/>
              </w:rPr>
              <w:t>1.533</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-6</w:t>
            </w:r>
          </w:p>
        </w:tc>
      </w:tr>
      <w:tr w14:paraId="61A85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3AB57F93">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3DCD453C">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539FD54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砷及其化合物</w:t>
            </w:r>
          </w:p>
        </w:tc>
        <w:tc>
          <w:tcPr>
            <w:tcW w:w="1683" w:type="dxa"/>
            <w:shd w:val="clear" w:color="auto" w:fill="auto"/>
            <w:vAlign w:val="center"/>
          </w:tcPr>
          <w:p w14:paraId="00F79109">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6.57</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-3</w:t>
            </w:r>
          </w:p>
        </w:tc>
        <w:tc>
          <w:tcPr>
            <w:tcW w:w="1467" w:type="dxa"/>
            <w:vAlign w:val="center"/>
          </w:tcPr>
          <w:p w14:paraId="2B73CF4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2.929×10</w:t>
            </w:r>
            <w:r>
              <w:rPr>
                <w:rFonts w:hint="eastAsia" w:ascii="Times New Roman" w:hAnsi="Times New Roman" w:cs="Times New Roman"/>
                <w:szCs w:val="21"/>
                <w:vertAlign w:val="superscript"/>
                <w:lang w:val="en-US" w:eastAsia="zh-CN"/>
              </w:rPr>
              <w:t>-3</w:t>
            </w:r>
          </w:p>
        </w:tc>
        <w:tc>
          <w:tcPr>
            <w:tcW w:w="1414" w:type="dxa"/>
            <w:shd w:val="clear" w:color="auto" w:fill="auto"/>
            <w:vAlign w:val="center"/>
          </w:tcPr>
          <w:p w14:paraId="635590BC">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1.314</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3</w:t>
            </w:r>
          </w:p>
        </w:tc>
      </w:tr>
      <w:tr w14:paraId="448FD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5180465A">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6C1027DC">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2845570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铬及其化合物</w:t>
            </w:r>
          </w:p>
        </w:tc>
        <w:tc>
          <w:tcPr>
            <w:tcW w:w="1683" w:type="dxa"/>
            <w:shd w:val="clear" w:color="auto" w:fill="auto"/>
            <w:vAlign w:val="center"/>
          </w:tcPr>
          <w:p w14:paraId="798CBBF4">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5.17</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-3</w:t>
            </w:r>
          </w:p>
        </w:tc>
        <w:tc>
          <w:tcPr>
            <w:tcW w:w="1467" w:type="dxa"/>
            <w:vAlign w:val="center"/>
          </w:tcPr>
          <w:p w14:paraId="52D7066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4.17×10</w:t>
            </w:r>
            <w:r>
              <w:rPr>
                <w:rFonts w:hint="eastAsia" w:ascii="Times New Roman" w:hAnsi="Times New Roman" w:cs="Times New Roman"/>
                <w:szCs w:val="21"/>
                <w:vertAlign w:val="superscript"/>
                <w:lang w:val="en-US" w:eastAsia="zh-CN"/>
              </w:rPr>
              <w:t>-3</w:t>
            </w:r>
          </w:p>
        </w:tc>
        <w:tc>
          <w:tcPr>
            <w:tcW w:w="1414" w:type="dxa"/>
            <w:shd w:val="clear" w:color="auto" w:fill="auto"/>
            <w:vAlign w:val="center"/>
          </w:tcPr>
          <w:p w14:paraId="70093C73">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0.001</w:t>
            </w:r>
          </w:p>
        </w:tc>
      </w:tr>
      <w:tr w14:paraId="49EC0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6098CEF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1FD2009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4B5F831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铊及其化合物</w:t>
            </w:r>
          </w:p>
        </w:tc>
        <w:tc>
          <w:tcPr>
            <w:tcW w:w="1683" w:type="dxa"/>
            <w:shd w:val="clear" w:color="auto" w:fill="auto"/>
            <w:vAlign w:val="center"/>
          </w:tcPr>
          <w:p w14:paraId="66ADA2BD">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9.598</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-6</w:t>
            </w:r>
          </w:p>
        </w:tc>
        <w:tc>
          <w:tcPr>
            <w:tcW w:w="1467" w:type="dxa"/>
            <w:vAlign w:val="center"/>
          </w:tcPr>
          <w:p w14:paraId="6AB8AB3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7.678×10</w:t>
            </w:r>
            <w:r>
              <w:rPr>
                <w:rFonts w:hint="eastAsia" w:ascii="Times New Roman" w:hAnsi="Times New Roman" w:cs="Times New Roman"/>
                <w:szCs w:val="21"/>
                <w:vertAlign w:val="superscript"/>
                <w:lang w:val="en-US" w:eastAsia="zh-CN"/>
              </w:rPr>
              <w:t>-6</w:t>
            </w:r>
          </w:p>
        </w:tc>
        <w:tc>
          <w:tcPr>
            <w:tcW w:w="1414" w:type="dxa"/>
            <w:shd w:val="clear" w:color="auto" w:fill="auto"/>
            <w:vAlign w:val="center"/>
          </w:tcPr>
          <w:p w14:paraId="14553744">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1.92</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6</w:t>
            </w:r>
          </w:p>
        </w:tc>
      </w:tr>
      <w:tr w14:paraId="51A39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39D5646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25C5AD6C">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365A17A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Sn+Sb+Cu+Mn+Ni</w:t>
            </w:r>
          </w:p>
        </w:tc>
        <w:tc>
          <w:tcPr>
            <w:tcW w:w="1683" w:type="dxa"/>
            <w:shd w:val="clear" w:color="auto" w:fill="auto"/>
            <w:vAlign w:val="center"/>
          </w:tcPr>
          <w:p w14:paraId="194801EF">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3.575</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-3</w:t>
            </w:r>
          </w:p>
        </w:tc>
        <w:tc>
          <w:tcPr>
            <w:tcW w:w="1467" w:type="dxa"/>
            <w:vAlign w:val="center"/>
          </w:tcPr>
          <w:p w14:paraId="1C1A5DF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286×10</w:t>
            </w:r>
            <w:r>
              <w:rPr>
                <w:rFonts w:hint="eastAsia" w:ascii="Times New Roman" w:hAnsi="Times New Roman" w:cs="Times New Roman"/>
                <w:szCs w:val="21"/>
                <w:vertAlign w:val="superscript"/>
                <w:lang w:val="en-US" w:eastAsia="zh-CN"/>
              </w:rPr>
              <w:t>-3</w:t>
            </w:r>
          </w:p>
        </w:tc>
        <w:tc>
          <w:tcPr>
            <w:tcW w:w="1414" w:type="dxa"/>
            <w:shd w:val="clear" w:color="auto" w:fill="auto"/>
            <w:vAlign w:val="center"/>
          </w:tcPr>
          <w:p w14:paraId="7D646752">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highlight w:val="none"/>
                <w:lang w:val="en-US" w:eastAsia="zh-CN"/>
              </w:rPr>
              <w:t>7.150</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-4</w:t>
            </w:r>
          </w:p>
        </w:tc>
      </w:tr>
      <w:tr w14:paraId="1E602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5AA178C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63174CB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090E0FE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二噁英类</w:t>
            </w:r>
          </w:p>
        </w:tc>
        <w:tc>
          <w:tcPr>
            <w:tcW w:w="1683" w:type="dxa"/>
            <w:shd w:val="clear" w:color="auto" w:fill="auto"/>
            <w:vAlign w:val="center"/>
          </w:tcPr>
          <w:p w14:paraId="2311A118">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6.293</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-10</w:t>
            </w:r>
          </w:p>
        </w:tc>
        <w:tc>
          <w:tcPr>
            <w:tcW w:w="1467" w:type="dxa"/>
            <w:vAlign w:val="center"/>
          </w:tcPr>
          <w:p w14:paraId="25D8CEE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5.79×10</w:t>
            </w:r>
            <w:r>
              <w:rPr>
                <w:rFonts w:hint="eastAsia" w:ascii="Times New Roman" w:hAnsi="Times New Roman" w:cs="Times New Roman"/>
                <w:szCs w:val="21"/>
                <w:vertAlign w:val="superscript"/>
                <w:lang w:val="en-US" w:eastAsia="zh-CN"/>
              </w:rPr>
              <w:t>-10</w:t>
            </w:r>
          </w:p>
        </w:tc>
        <w:tc>
          <w:tcPr>
            <w:tcW w:w="1414" w:type="dxa"/>
            <w:shd w:val="clear" w:color="auto" w:fill="auto"/>
            <w:vAlign w:val="center"/>
          </w:tcPr>
          <w:p w14:paraId="544DA5E0">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highlight w:val="none"/>
                <w:lang w:val="en-US" w:eastAsia="zh-CN"/>
              </w:rPr>
              <w:t>5.034</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-11</w:t>
            </w:r>
          </w:p>
        </w:tc>
      </w:tr>
      <w:tr w14:paraId="1699E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73" w:type="dxa"/>
            <w:vMerge w:val="continue"/>
            <w:vAlign w:val="center"/>
          </w:tcPr>
          <w:p w14:paraId="22F76657">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restart"/>
            <w:vAlign w:val="center"/>
          </w:tcPr>
          <w:p w14:paraId="101B594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医疗废物贮存废气</w:t>
            </w:r>
          </w:p>
        </w:tc>
        <w:tc>
          <w:tcPr>
            <w:tcW w:w="2017" w:type="dxa"/>
            <w:vAlign w:val="center"/>
          </w:tcPr>
          <w:p w14:paraId="4FCC20C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H</w:t>
            </w:r>
            <w:r>
              <w:rPr>
                <w:rFonts w:hint="eastAsia" w:ascii="Times New Roman" w:hAnsi="Times New Roman" w:cs="Times New Roman" w:eastAsiaTheme="minorEastAsia"/>
                <w:szCs w:val="21"/>
                <w:vertAlign w:val="subscript"/>
                <w:lang w:val="en-US" w:eastAsia="zh-CN"/>
              </w:rPr>
              <w:t>2</w:t>
            </w:r>
            <w:r>
              <w:rPr>
                <w:rFonts w:hint="eastAsia" w:ascii="Times New Roman" w:hAnsi="Times New Roman" w:cs="Times New Roman" w:eastAsiaTheme="minorEastAsia"/>
                <w:szCs w:val="21"/>
                <w:lang w:val="en-US" w:eastAsia="zh-CN"/>
              </w:rPr>
              <w:t>S</w:t>
            </w:r>
          </w:p>
        </w:tc>
        <w:tc>
          <w:tcPr>
            <w:tcW w:w="1683" w:type="dxa"/>
            <w:vAlign w:val="center"/>
          </w:tcPr>
          <w:p w14:paraId="7E201C9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0.047</w:t>
            </w:r>
          </w:p>
        </w:tc>
        <w:tc>
          <w:tcPr>
            <w:tcW w:w="1467" w:type="dxa"/>
            <w:vAlign w:val="center"/>
          </w:tcPr>
          <w:p w14:paraId="74D878C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0.042</w:t>
            </w:r>
          </w:p>
        </w:tc>
        <w:tc>
          <w:tcPr>
            <w:tcW w:w="1414" w:type="dxa"/>
            <w:shd w:val="clear" w:color="auto" w:fill="auto"/>
            <w:vAlign w:val="center"/>
          </w:tcPr>
          <w:p w14:paraId="485BA2F5">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4.678×10</w:t>
            </w:r>
            <w:r>
              <w:rPr>
                <w:rFonts w:hint="eastAsia" w:ascii="Times New Roman" w:hAnsi="Times New Roman" w:cs="Times New Roman"/>
                <w:szCs w:val="21"/>
                <w:vertAlign w:val="superscript"/>
                <w:lang w:val="en-US" w:eastAsia="zh-CN"/>
              </w:rPr>
              <w:t>-3</w:t>
            </w:r>
          </w:p>
        </w:tc>
      </w:tr>
      <w:tr w14:paraId="22A37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773" w:type="dxa"/>
            <w:vMerge w:val="continue"/>
            <w:vAlign w:val="center"/>
          </w:tcPr>
          <w:p w14:paraId="3091D8CA">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6D062FE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vAlign w:val="center"/>
          </w:tcPr>
          <w:p w14:paraId="619AD1F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NH</w:t>
            </w:r>
            <w:r>
              <w:rPr>
                <w:rFonts w:hint="eastAsia" w:ascii="Times New Roman" w:hAnsi="Times New Roman" w:cs="Times New Roman" w:eastAsiaTheme="minorEastAsia"/>
                <w:szCs w:val="21"/>
                <w:vertAlign w:val="subscript"/>
                <w:lang w:val="en-US" w:eastAsia="zh-CN"/>
              </w:rPr>
              <w:t>3</w:t>
            </w:r>
          </w:p>
        </w:tc>
        <w:tc>
          <w:tcPr>
            <w:tcW w:w="1683" w:type="dxa"/>
            <w:vAlign w:val="center"/>
          </w:tcPr>
          <w:p w14:paraId="4EDC6BE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0.037</w:t>
            </w:r>
          </w:p>
        </w:tc>
        <w:tc>
          <w:tcPr>
            <w:tcW w:w="1467" w:type="dxa"/>
            <w:vAlign w:val="center"/>
          </w:tcPr>
          <w:p w14:paraId="2210B997">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0.033</w:t>
            </w:r>
          </w:p>
        </w:tc>
        <w:tc>
          <w:tcPr>
            <w:tcW w:w="1414" w:type="dxa"/>
            <w:shd w:val="clear" w:color="auto" w:fill="auto"/>
            <w:vAlign w:val="center"/>
          </w:tcPr>
          <w:p w14:paraId="304C6967">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3.711×10</w:t>
            </w:r>
            <w:r>
              <w:rPr>
                <w:rFonts w:hint="eastAsia" w:ascii="Times New Roman" w:hAnsi="Times New Roman" w:cs="Times New Roman"/>
                <w:szCs w:val="21"/>
                <w:vertAlign w:val="superscript"/>
                <w:lang w:val="en-US" w:eastAsia="zh-CN"/>
              </w:rPr>
              <w:t>-3</w:t>
            </w:r>
          </w:p>
        </w:tc>
      </w:tr>
      <w:tr w14:paraId="29E89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restart"/>
            <w:vAlign w:val="center"/>
          </w:tcPr>
          <w:p w14:paraId="5033B4F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废水</w:t>
            </w:r>
          </w:p>
        </w:tc>
        <w:tc>
          <w:tcPr>
            <w:tcW w:w="1168" w:type="dxa"/>
            <w:shd w:val="clear" w:color="auto" w:fill="auto"/>
            <w:vAlign w:val="center"/>
          </w:tcPr>
          <w:p w14:paraId="09A95BF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循环冷却系统定排水</w:t>
            </w:r>
          </w:p>
        </w:tc>
        <w:tc>
          <w:tcPr>
            <w:tcW w:w="2017" w:type="dxa"/>
            <w:shd w:val="clear" w:color="auto" w:fill="auto"/>
            <w:vAlign w:val="center"/>
          </w:tcPr>
          <w:p w14:paraId="3D817C5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COD</w:t>
            </w:r>
          </w:p>
        </w:tc>
        <w:tc>
          <w:tcPr>
            <w:tcW w:w="1683" w:type="dxa"/>
            <w:shd w:val="clear" w:color="auto" w:fill="auto"/>
            <w:vAlign w:val="center"/>
          </w:tcPr>
          <w:p w14:paraId="585C5D6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7.008×10</w:t>
            </w:r>
            <w:r>
              <w:rPr>
                <w:rFonts w:hint="eastAsia" w:ascii="Times New Roman" w:hAnsi="Times New Roman" w:cs="Times New Roman" w:eastAsiaTheme="minorEastAsia"/>
                <w:szCs w:val="21"/>
                <w:vertAlign w:val="superscript"/>
                <w:lang w:val="en-US" w:eastAsia="zh-CN"/>
              </w:rPr>
              <w:t>-4</w:t>
            </w:r>
          </w:p>
        </w:tc>
        <w:tc>
          <w:tcPr>
            <w:tcW w:w="1467" w:type="dxa"/>
            <w:vAlign w:val="center"/>
          </w:tcPr>
          <w:p w14:paraId="6A1C610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c>
          <w:tcPr>
            <w:tcW w:w="1414" w:type="dxa"/>
            <w:shd w:val="clear" w:color="auto" w:fill="auto"/>
            <w:vAlign w:val="center"/>
          </w:tcPr>
          <w:p w14:paraId="6180882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w:t>
            </w:r>
          </w:p>
        </w:tc>
      </w:tr>
      <w:tr w14:paraId="343B2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3E589AB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shd w:val="clear" w:color="auto" w:fill="auto"/>
            <w:vAlign w:val="center"/>
          </w:tcPr>
          <w:p w14:paraId="3EC62BF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软水制备废水</w:t>
            </w:r>
          </w:p>
        </w:tc>
        <w:tc>
          <w:tcPr>
            <w:tcW w:w="2017" w:type="dxa"/>
            <w:shd w:val="clear" w:color="auto" w:fill="auto"/>
            <w:vAlign w:val="center"/>
          </w:tcPr>
          <w:p w14:paraId="7C83C9B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硬度</w:t>
            </w:r>
          </w:p>
        </w:tc>
        <w:tc>
          <w:tcPr>
            <w:tcW w:w="1683" w:type="dxa"/>
            <w:shd w:val="clear" w:color="auto" w:fill="auto"/>
            <w:vAlign w:val="center"/>
          </w:tcPr>
          <w:p w14:paraId="273E675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w:t>
            </w:r>
          </w:p>
        </w:tc>
        <w:tc>
          <w:tcPr>
            <w:tcW w:w="1467" w:type="dxa"/>
            <w:vAlign w:val="center"/>
          </w:tcPr>
          <w:p w14:paraId="28B38C1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w:t>
            </w:r>
          </w:p>
        </w:tc>
        <w:tc>
          <w:tcPr>
            <w:tcW w:w="1414" w:type="dxa"/>
            <w:shd w:val="clear" w:color="auto" w:fill="auto"/>
            <w:vAlign w:val="center"/>
          </w:tcPr>
          <w:p w14:paraId="535408D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w:t>
            </w:r>
          </w:p>
        </w:tc>
      </w:tr>
      <w:tr w14:paraId="46EC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3" w:type="dxa"/>
            <w:vMerge w:val="continue"/>
            <w:vAlign w:val="center"/>
          </w:tcPr>
          <w:p w14:paraId="6F248D85">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restart"/>
            <w:vAlign w:val="center"/>
          </w:tcPr>
          <w:p w14:paraId="693D24F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综合生产废水</w:t>
            </w:r>
          </w:p>
        </w:tc>
        <w:tc>
          <w:tcPr>
            <w:tcW w:w="2017" w:type="dxa"/>
            <w:shd w:val="clear" w:color="auto" w:fill="auto"/>
            <w:vAlign w:val="center"/>
          </w:tcPr>
          <w:p w14:paraId="74C6E3D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COD</w:t>
            </w:r>
          </w:p>
        </w:tc>
        <w:tc>
          <w:tcPr>
            <w:tcW w:w="1683" w:type="dxa"/>
            <w:shd w:val="clear" w:color="auto" w:fill="auto"/>
            <w:vAlign w:val="center"/>
          </w:tcPr>
          <w:p w14:paraId="63E1DF35">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0.291</w:t>
            </w:r>
          </w:p>
        </w:tc>
        <w:tc>
          <w:tcPr>
            <w:tcW w:w="1467" w:type="dxa"/>
            <w:vAlign w:val="center"/>
          </w:tcPr>
          <w:p w14:paraId="57A9F088">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0.394</w:t>
            </w:r>
          </w:p>
        </w:tc>
        <w:tc>
          <w:tcPr>
            <w:tcW w:w="1414" w:type="dxa"/>
            <w:shd w:val="clear" w:color="auto" w:fill="auto"/>
            <w:vAlign w:val="center"/>
          </w:tcPr>
          <w:p w14:paraId="44A90848">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0.036</w:t>
            </w:r>
          </w:p>
        </w:tc>
      </w:tr>
      <w:tr w14:paraId="23BD2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72A5CB8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7188C2D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1C73C8A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BOD</w:t>
            </w:r>
            <w:r>
              <w:rPr>
                <w:rFonts w:hint="eastAsia" w:ascii="Times New Roman" w:hAnsi="Times New Roman" w:cs="Times New Roman" w:eastAsiaTheme="minorEastAsia"/>
                <w:szCs w:val="21"/>
                <w:vertAlign w:val="subscript"/>
                <w:lang w:val="en-US" w:eastAsia="zh-CN"/>
              </w:rPr>
              <w:t>5</w:t>
            </w:r>
          </w:p>
        </w:tc>
        <w:tc>
          <w:tcPr>
            <w:tcW w:w="1683" w:type="dxa"/>
            <w:shd w:val="clear" w:color="auto" w:fill="auto"/>
            <w:vAlign w:val="center"/>
          </w:tcPr>
          <w:p w14:paraId="6BC74693">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0.145</w:t>
            </w:r>
          </w:p>
        </w:tc>
        <w:tc>
          <w:tcPr>
            <w:tcW w:w="1467" w:type="dxa"/>
            <w:vAlign w:val="center"/>
          </w:tcPr>
          <w:p w14:paraId="0F4EFFB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0.214</w:t>
            </w:r>
          </w:p>
        </w:tc>
        <w:tc>
          <w:tcPr>
            <w:tcW w:w="1414" w:type="dxa"/>
            <w:shd w:val="clear" w:color="auto" w:fill="auto"/>
            <w:vAlign w:val="center"/>
          </w:tcPr>
          <w:p w14:paraId="4615954C">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0.007</w:t>
            </w:r>
          </w:p>
        </w:tc>
      </w:tr>
      <w:tr w14:paraId="18D69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294E105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29A206E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7013C77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SS</w:t>
            </w:r>
          </w:p>
        </w:tc>
        <w:tc>
          <w:tcPr>
            <w:tcW w:w="1683" w:type="dxa"/>
            <w:shd w:val="clear" w:color="auto" w:fill="auto"/>
            <w:vAlign w:val="center"/>
          </w:tcPr>
          <w:p w14:paraId="374EA139">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0.226</w:t>
            </w:r>
          </w:p>
        </w:tc>
        <w:tc>
          <w:tcPr>
            <w:tcW w:w="1467" w:type="dxa"/>
            <w:vAlign w:val="center"/>
          </w:tcPr>
          <w:p w14:paraId="6AB76EC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0.327</w:t>
            </w:r>
          </w:p>
        </w:tc>
        <w:tc>
          <w:tcPr>
            <w:tcW w:w="1414" w:type="dxa"/>
            <w:shd w:val="clear" w:color="auto" w:fill="auto"/>
            <w:vAlign w:val="center"/>
          </w:tcPr>
          <w:p w14:paraId="444A48DF">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0.015</w:t>
            </w:r>
          </w:p>
        </w:tc>
      </w:tr>
      <w:tr w14:paraId="12D14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56FA76F5">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2C087AA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68F822D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NH</w:t>
            </w:r>
            <w:r>
              <w:rPr>
                <w:rFonts w:hint="eastAsia" w:ascii="Times New Roman" w:hAnsi="Times New Roman" w:cs="Times New Roman" w:eastAsiaTheme="minorEastAsia"/>
                <w:szCs w:val="21"/>
                <w:vertAlign w:val="subscript"/>
                <w:lang w:val="en-US" w:eastAsia="zh-CN"/>
              </w:rPr>
              <w:t>3</w:t>
            </w:r>
            <w:r>
              <w:rPr>
                <w:rFonts w:hint="eastAsia" w:ascii="Times New Roman" w:hAnsi="Times New Roman" w:cs="Times New Roman" w:eastAsiaTheme="minorEastAsia"/>
                <w:szCs w:val="21"/>
                <w:lang w:val="en-US" w:eastAsia="zh-CN"/>
              </w:rPr>
              <w:t>-N</w:t>
            </w:r>
          </w:p>
        </w:tc>
        <w:tc>
          <w:tcPr>
            <w:tcW w:w="1683" w:type="dxa"/>
            <w:shd w:val="clear" w:color="auto" w:fill="auto"/>
            <w:vAlign w:val="center"/>
          </w:tcPr>
          <w:p w14:paraId="456ACBE0">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0.019</w:t>
            </w:r>
          </w:p>
        </w:tc>
        <w:tc>
          <w:tcPr>
            <w:tcW w:w="1467" w:type="dxa"/>
            <w:vAlign w:val="center"/>
          </w:tcPr>
          <w:p w14:paraId="0C756C8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0.023</w:t>
            </w:r>
          </w:p>
        </w:tc>
        <w:tc>
          <w:tcPr>
            <w:tcW w:w="1414" w:type="dxa"/>
            <w:shd w:val="clear" w:color="auto" w:fill="auto"/>
            <w:vAlign w:val="center"/>
          </w:tcPr>
          <w:p w14:paraId="2CD2DDB9">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0.004</w:t>
            </w:r>
          </w:p>
        </w:tc>
      </w:tr>
      <w:tr w14:paraId="3B87A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00A51D77">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190ED7F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502DAA5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Hg</w:t>
            </w:r>
          </w:p>
        </w:tc>
        <w:tc>
          <w:tcPr>
            <w:tcW w:w="1683" w:type="dxa"/>
            <w:shd w:val="clear" w:color="auto" w:fill="auto"/>
            <w:vAlign w:val="center"/>
          </w:tcPr>
          <w:p w14:paraId="17C7655E">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2.907×10</w:t>
            </w:r>
            <w:r>
              <w:rPr>
                <w:rFonts w:hint="eastAsia" w:ascii="Times New Roman" w:hAnsi="Times New Roman" w:cs="Times New Roman"/>
                <w:szCs w:val="21"/>
                <w:vertAlign w:val="superscript"/>
                <w:lang w:val="en-US" w:eastAsia="zh-CN"/>
              </w:rPr>
              <w:t>-6</w:t>
            </w:r>
          </w:p>
        </w:tc>
        <w:tc>
          <w:tcPr>
            <w:tcW w:w="1467" w:type="dxa"/>
            <w:vAlign w:val="center"/>
          </w:tcPr>
          <w:p w14:paraId="064F335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w:t>
            </w:r>
          </w:p>
        </w:tc>
        <w:tc>
          <w:tcPr>
            <w:tcW w:w="1414" w:type="dxa"/>
            <w:shd w:val="clear" w:color="auto" w:fill="auto"/>
            <w:vAlign w:val="center"/>
          </w:tcPr>
          <w:p w14:paraId="795CB810">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2.907×10</w:t>
            </w:r>
            <w:r>
              <w:rPr>
                <w:rFonts w:hint="eastAsia" w:ascii="Times New Roman" w:hAnsi="Times New Roman" w:cs="Times New Roman"/>
                <w:szCs w:val="21"/>
                <w:vertAlign w:val="superscript"/>
                <w:lang w:val="en-US" w:eastAsia="zh-CN"/>
              </w:rPr>
              <w:t>-6</w:t>
            </w:r>
          </w:p>
        </w:tc>
      </w:tr>
      <w:tr w14:paraId="75CC4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103C7F6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4875AFC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3698F8D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Cd</w:t>
            </w:r>
          </w:p>
        </w:tc>
        <w:tc>
          <w:tcPr>
            <w:tcW w:w="1683" w:type="dxa"/>
            <w:shd w:val="clear" w:color="auto" w:fill="auto"/>
            <w:vAlign w:val="center"/>
          </w:tcPr>
          <w:p w14:paraId="4661C7E2">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1.09×10</w:t>
            </w:r>
            <w:r>
              <w:rPr>
                <w:rFonts w:hint="eastAsia" w:ascii="Times New Roman" w:hAnsi="Times New Roman" w:cs="Times New Roman"/>
                <w:szCs w:val="21"/>
                <w:vertAlign w:val="superscript"/>
                <w:lang w:val="en-US" w:eastAsia="zh-CN"/>
              </w:rPr>
              <w:t>-5</w:t>
            </w:r>
          </w:p>
        </w:tc>
        <w:tc>
          <w:tcPr>
            <w:tcW w:w="1467" w:type="dxa"/>
            <w:vAlign w:val="center"/>
          </w:tcPr>
          <w:p w14:paraId="2507892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w:t>
            </w:r>
          </w:p>
        </w:tc>
        <w:tc>
          <w:tcPr>
            <w:tcW w:w="1414" w:type="dxa"/>
            <w:shd w:val="clear" w:color="auto" w:fill="auto"/>
            <w:vAlign w:val="center"/>
          </w:tcPr>
          <w:p w14:paraId="79D99919">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1.09×10</w:t>
            </w:r>
            <w:r>
              <w:rPr>
                <w:rFonts w:hint="eastAsia" w:ascii="Times New Roman" w:hAnsi="Times New Roman" w:cs="Times New Roman"/>
                <w:szCs w:val="21"/>
                <w:vertAlign w:val="superscript"/>
                <w:lang w:val="en-US" w:eastAsia="zh-CN"/>
              </w:rPr>
              <w:t>-5</w:t>
            </w:r>
          </w:p>
        </w:tc>
      </w:tr>
      <w:tr w14:paraId="1A958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166201C3">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3C0E2D2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6BA3848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Pb</w:t>
            </w:r>
          </w:p>
        </w:tc>
        <w:tc>
          <w:tcPr>
            <w:tcW w:w="1683" w:type="dxa"/>
            <w:shd w:val="clear" w:color="auto" w:fill="auto"/>
            <w:vAlign w:val="center"/>
          </w:tcPr>
          <w:p w14:paraId="21BB3013">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4.433×10</w:t>
            </w:r>
            <w:r>
              <w:rPr>
                <w:rFonts w:hint="eastAsia" w:ascii="Times New Roman" w:hAnsi="Times New Roman" w:cs="Times New Roman"/>
                <w:szCs w:val="21"/>
                <w:vertAlign w:val="superscript"/>
                <w:lang w:val="en-US" w:eastAsia="zh-CN"/>
              </w:rPr>
              <w:t>-5</w:t>
            </w:r>
          </w:p>
        </w:tc>
        <w:tc>
          <w:tcPr>
            <w:tcW w:w="1467" w:type="dxa"/>
            <w:vAlign w:val="center"/>
          </w:tcPr>
          <w:p w14:paraId="07FF2BB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w:t>
            </w:r>
          </w:p>
        </w:tc>
        <w:tc>
          <w:tcPr>
            <w:tcW w:w="1414" w:type="dxa"/>
            <w:shd w:val="clear" w:color="auto" w:fill="auto"/>
            <w:vAlign w:val="center"/>
          </w:tcPr>
          <w:p w14:paraId="21640D99">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4.433×10</w:t>
            </w:r>
            <w:r>
              <w:rPr>
                <w:rFonts w:hint="eastAsia" w:ascii="Times New Roman" w:hAnsi="Times New Roman" w:cs="Times New Roman"/>
                <w:szCs w:val="21"/>
                <w:vertAlign w:val="superscript"/>
                <w:lang w:val="en-US" w:eastAsia="zh-CN"/>
              </w:rPr>
              <w:t>-5</w:t>
            </w:r>
          </w:p>
        </w:tc>
      </w:tr>
      <w:tr w14:paraId="36B17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03485673">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1096EEF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2232817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As</w:t>
            </w:r>
          </w:p>
        </w:tc>
        <w:tc>
          <w:tcPr>
            <w:tcW w:w="1683" w:type="dxa"/>
            <w:shd w:val="clear" w:color="auto" w:fill="auto"/>
            <w:vAlign w:val="center"/>
          </w:tcPr>
          <w:p w14:paraId="6801FF08">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5.523×10</w:t>
            </w:r>
            <w:r>
              <w:rPr>
                <w:rFonts w:hint="eastAsia" w:ascii="Times New Roman" w:hAnsi="Times New Roman" w:cs="Times New Roman"/>
                <w:szCs w:val="21"/>
                <w:vertAlign w:val="superscript"/>
                <w:lang w:val="en-US" w:eastAsia="zh-CN"/>
              </w:rPr>
              <w:t>-5</w:t>
            </w:r>
          </w:p>
        </w:tc>
        <w:tc>
          <w:tcPr>
            <w:tcW w:w="1467" w:type="dxa"/>
            <w:vAlign w:val="center"/>
          </w:tcPr>
          <w:p w14:paraId="798277B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w:t>
            </w:r>
          </w:p>
        </w:tc>
        <w:tc>
          <w:tcPr>
            <w:tcW w:w="1414" w:type="dxa"/>
            <w:shd w:val="clear" w:color="auto" w:fill="auto"/>
            <w:vAlign w:val="center"/>
          </w:tcPr>
          <w:p w14:paraId="19244F06">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5.523×10</w:t>
            </w:r>
            <w:r>
              <w:rPr>
                <w:rFonts w:hint="eastAsia" w:ascii="Times New Roman" w:hAnsi="Times New Roman" w:cs="Times New Roman"/>
                <w:szCs w:val="21"/>
                <w:vertAlign w:val="superscript"/>
                <w:lang w:val="en-US" w:eastAsia="zh-CN"/>
              </w:rPr>
              <w:t>-5</w:t>
            </w:r>
          </w:p>
        </w:tc>
      </w:tr>
      <w:tr w14:paraId="0631C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24D4C87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5956E17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40D499BC">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Cr</w:t>
            </w:r>
          </w:p>
        </w:tc>
        <w:tc>
          <w:tcPr>
            <w:tcW w:w="1683" w:type="dxa"/>
            <w:shd w:val="clear" w:color="auto" w:fill="auto"/>
            <w:vAlign w:val="center"/>
          </w:tcPr>
          <w:p w14:paraId="170CA3AF">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3.343×10</w:t>
            </w:r>
            <w:r>
              <w:rPr>
                <w:rFonts w:hint="eastAsia" w:ascii="Times New Roman" w:hAnsi="Times New Roman" w:cs="Times New Roman"/>
                <w:szCs w:val="21"/>
                <w:vertAlign w:val="superscript"/>
                <w:lang w:val="en-US" w:eastAsia="zh-CN"/>
              </w:rPr>
              <w:t>-5</w:t>
            </w:r>
          </w:p>
        </w:tc>
        <w:tc>
          <w:tcPr>
            <w:tcW w:w="1467" w:type="dxa"/>
            <w:vAlign w:val="center"/>
          </w:tcPr>
          <w:p w14:paraId="48522E7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w:t>
            </w:r>
          </w:p>
        </w:tc>
        <w:tc>
          <w:tcPr>
            <w:tcW w:w="1414" w:type="dxa"/>
            <w:shd w:val="clear" w:color="auto" w:fill="auto"/>
            <w:vAlign w:val="center"/>
          </w:tcPr>
          <w:p w14:paraId="3B8096CF">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3.343×10</w:t>
            </w:r>
            <w:r>
              <w:rPr>
                <w:rFonts w:hint="eastAsia" w:ascii="Times New Roman" w:hAnsi="Times New Roman" w:cs="Times New Roman"/>
                <w:szCs w:val="21"/>
                <w:vertAlign w:val="superscript"/>
                <w:lang w:val="en-US" w:eastAsia="zh-CN"/>
              </w:rPr>
              <w:t>-5</w:t>
            </w:r>
          </w:p>
        </w:tc>
      </w:tr>
      <w:tr w14:paraId="36D75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3" w:type="dxa"/>
            <w:vMerge w:val="continue"/>
            <w:vAlign w:val="center"/>
          </w:tcPr>
          <w:p w14:paraId="62C7CDD5">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46FDAEA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7874571D">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Cr</w:t>
            </w:r>
            <w:r>
              <w:rPr>
                <w:rFonts w:hint="eastAsia" w:ascii="Times New Roman" w:hAnsi="Times New Roman" w:cs="Times New Roman" w:eastAsiaTheme="minorEastAsia"/>
                <w:szCs w:val="21"/>
                <w:vertAlign w:val="superscript"/>
                <w:lang w:val="en-US" w:eastAsia="zh-CN"/>
              </w:rPr>
              <w:t>6+</w:t>
            </w:r>
          </w:p>
        </w:tc>
        <w:tc>
          <w:tcPr>
            <w:tcW w:w="1683" w:type="dxa"/>
            <w:shd w:val="clear" w:color="auto" w:fill="auto"/>
            <w:vAlign w:val="center"/>
          </w:tcPr>
          <w:p w14:paraId="16118197">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1.09×10</w:t>
            </w:r>
            <w:r>
              <w:rPr>
                <w:rFonts w:hint="eastAsia" w:ascii="Times New Roman" w:hAnsi="Times New Roman" w:cs="Times New Roman"/>
                <w:szCs w:val="21"/>
                <w:vertAlign w:val="superscript"/>
                <w:lang w:val="en-US" w:eastAsia="zh-CN"/>
              </w:rPr>
              <w:t>-5</w:t>
            </w:r>
          </w:p>
        </w:tc>
        <w:tc>
          <w:tcPr>
            <w:tcW w:w="1467" w:type="dxa"/>
            <w:vAlign w:val="center"/>
          </w:tcPr>
          <w:p w14:paraId="4FD6EF8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w:t>
            </w:r>
          </w:p>
        </w:tc>
        <w:tc>
          <w:tcPr>
            <w:tcW w:w="1414" w:type="dxa"/>
            <w:shd w:val="clear" w:color="auto" w:fill="auto"/>
            <w:vAlign w:val="center"/>
          </w:tcPr>
          <w:p w14:paraId="202CF91C">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1.09×10</w:t>
            </w:r>
            <w:r>
              <w:rPr>
                <w:rFonts w:hint="eastAsia" w:ascii="Times New Roman" w:hAnsi="Times New Roman" w:cs="Times New Roman"/>
                <w:szCs w:val="21"/>
                <w:vertAlign w:val="superscript"/>
                <w:lang w:val="en-US" w:eastAsia="zh-CN"/>
              </w:rPr>
              <w:t>-5</w:t>
            </w:r>
          </w:p>
        </w:tc>
      </w:tr>
      <w:tr w14:paraId="5B89C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1875DB5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325B38B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7E7F5533">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石油类</w:t>
            </w:r>
          </w:p>
        </w:tc>
        <w:tc>
          <w:tcPr>
            <w:tcW w:w="1683" w:type="dxa"/>
            <w:shd w:val="clear" w:color="auto" w:fill="auto"/>
            <w:vAlign w:val="center"/>
          </w:tcPr>
          <w:p w14:paraId="5A3631C7">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0.036</w:t>
            </w:r>
          </w:p>
        </w:tc>
        <w:tc>
          <w:tcPr>
            <w:tcW w:w="1467" w:type="dxa"/>
            <w:vAlign w:val="center"/>
          </w:tcPr>
          <w:p w14:paraId="3A6934A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0.022</w:t>
            </w:r>
          </w:p>
        </w:tc>
        <w:tc>
          <w:tcPr>
            <w:tcW w:w="1414" w:type="dxa"/>
            <w:shd w:val="clear" w:color="auto" w:fill="auto"/>
            <w:vAlign w:val="center"/>
          </w:tcPr>
          <w:p w14:paraId="5B03F0D5">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0.0007</w:t>
            </w:r>
          </w:p>
        </w:tc>
      </w:tr>
      <w:tr w14:paraId="686C5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restart"/>
            <w:vAlign w:val="center"/>
          </w:tcPr>
          <w:p w14:paraId="67C9FF7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固废</w:t>
            </w:r>
          </w:p>
        </w:tc>
        <w:tc>
          <w:tcPr>
            <w:tcW w:w="1168" w:type="dxa"/>
            <w:vMerge w:val="restart"/>
            <w:vAlign w:val="center"/>
          </w:tcPr>
          <w:p w14:paraId="7E314BF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一般固废</w:t>
            </w:r>
          </w:p>
        </w:tc>
        <w:tc>
          <w:tcPr>
            <w:tcW w:w="2017" w:type="dxa"/>
            <w:shd w:val="clear" w:color="auto" w:fill="auto"/>
            <w:vAlign w:val="center"/>
          </w:tcPr>
          <w:p w14:paraId="3641C1D4">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废离子交换树脂</w:t>
            </w:r>
          </w:p>
        </w:tc>
        <w:tc>
          <w:tcPr>
            <w:tcW w:w="1683" w:type="dxa"/>
            <w:shd w:val="clear" w:color="auto" w:fill="auto"/>
            <w:vAlign w:val="center"/>
          </w:tcPr>
          <w:p w14:paraId="7AD58401">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0.3</w:t>
            </w:r>
          </w:p>
        </w:tc>
        <w:tc>
          <w:tcPr>
            <w:tcW w:w="1467" w:type="dxa"/>
            <w:vAlign w:val="center"/>
          </w:tcPr>
          <w:p w14:paraId="2ADE0FF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w:t>
            </w:r>
          </w:p>
        </w:tc>
        <w:tc>
          <w:tcPr>
            <w:tcW w:w="1414" w:type="dxa"/>
            <w:shd w:val="clear" w:color="auto" w:fill="auto"/>
            <w:vAlign w:val="center"/>
          </w:tcPr>
          <w:p w14:paraId="46DE0102">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0.3</w:t>
            </w:r>
          </w:p>
        </w:tc>
      </w:tr>
      <w:tr w14:paraId="21B95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3BD666F7">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168" w:type="dxa"/>
            <w:vMerge w:val="continue"/>
            <w:vAlign w:val="center"/>
          </w:tcPr>
          <w:p w14:paraId="693CA57E">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2017" w:type="dxa"/>
            <w:shd w:val="clear" w:color="auto" w:fill="auto"/>
            <w:vAlign w:val="center"/>
          </w:tcPr>
          <w:p w14:paraId="59D31B1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废包装袋</w:t>
            </w:r>
          </w:p>
        </w:tc>
        <w:tc>
          <w:tcPr>
            <w:tcW w:w="1683" w:type="dxa"/>
            <w:shd w:val="clear" w:color="auto" w:fill="auto"/>
            <w:vAlign w:val="center"/>
          </w:tcPr>
          <w:p w14:paraId="0986624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w:t>
            </w:r>
          </w:p>
        </w:tc>
        <w:tc>
          <w:tcPr>
            <w:tcW w:w="1467" w:type="dxa"/>
            <w:vAlign w:val="center"/>
          </w:tcPr>
          <w:p w14:paraId="662E35BD">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0</w:t>
            </w:r>
          </w:p>
        </w:tc>
        <w:tc>
          <w:tcPr>
            <w:tcW w:w="1414" w:type="dxa"/>
            <w:shd w:val="clear" w:color="auto" w:fill="auto"/>
            <w:vAlign w:val="center"/>
          </w:tcPr>
          <w:p w14:paraId="757DE72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2</w:t>
            </w:r>
          </w:p>
        </w:tc>
      </w:tr>
      <w:tr w14:paraId="1ECBC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2698F715">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restart"/>
            <w:vAlign w:val="center"/>
          </w:tcPr>
          <w:p w14:paraId="0BE79D3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危险废物</w:t>
            </w:r>
          </w:p>
        </w:tc>
        <w:tc>
          <w:tcPr>
            <w:tcW w:w="2017" w:type="dxa"/>
            <w:shd w:val="clear" w:color="auto" w:fill="auto"/>
            <w:vAlign w:val="center"/>
          </w:tcPr>
          <w:p w14:paraId="6CAA5765">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飞灰</w:t>
            </w:r>
          </w:p>
        </w:tc>
        <w:tc>
          <w:tcPr>
            <w:tcW w:w="1683" w:type="dxa"/>
            <w:shd w:val="clear" w:color="auto" w:fill="auto"/>
            <w:vAlign w:val="center"/>
          </w:tcPr>
          <w:p w14:paraId="3208FC5E">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53.596</w:t>
            </w:r>
          </w:p>
        </w:tc>
        <w:tc>
          <w:tcPr>
            <w:tcW w:w="1467" w:type="dxa"/>
            <w:vAlign w:val="center"/>
          </w:tcPr>
          <w:p w14:paraId="51A8FB4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w:t>
            </w:r>
          </w:p>
        </w:tc>
        <w:tc>
          <w:tcPr>
            <w:tcW w:w="1414" w:type="dxa"/>
            <w:shd w:val="clear" w:color="auto" w:fill="auto"/>
            <w:vAlign w:val="center"/>
          </w:tcPr>
          <w:p w14:paraId="22298A6B">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53.596</w:t>
            </w:r>
          </w:p>
        </w:tc>
      </w:tr>
      <w:tr w14:paraId="6390F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4328F22A">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40344175">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2017" w:type="dxa"/>
            <w:shd w:val="clear" w:color="auto" w:fill="auto"/>
            <w:vAlign w:val="center"/>
          </w:tcPr>
          <w:p w14:paraId="516BF1C6">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lang w:val="en-US" w:eastAsia="zh-CN"/>
              </w:rPr>
              <w:t>炉渣</w:t>
            </w:r>
          </w:p>
        </w:tc>
        <w:tc>
          <w:tcPr>
            <w:tcW w:w="1683" w:type="dxa"/>
            <w:shd w:val="clear" w:color="auto" w:fill="auto"/>
            <w:vAlign w:val="center"/>
          </w:tcPr>
          <w:p w14:paraId="2B5CEB98">
            <w:pPr>
              <w:autoSpaceDE w:val="0"/>
              <w:autoSpaceDN w:val="0"/>
              <w:spacing w:line="300" w:lineRule="exact"/>
              <w:jc w:val="center"/>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szCs w:val="21"/>
                <w:lang w:val="en-US" w:eastAsia="zh-CN"/>
              </w:rPr>
              <w:t>182.5</w:t>
            </w:r>
          </w:p>
        </w:tc>
        <w:tc>
          <w:tcPr>
            <w:tcW w:w="1467" w:type="dxa"/>
            <w:vAlign w:val="center"/>
          </w:tcPr>
          <w:p w14:paraId="176B7C8E">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lang w:val="en-US" w:eastAsia="zh-CN"/>
              </w:rPr>
              <w:t>0</w:t>
            </w:r>
          </w:p>
        </w:tc>
        <w:tc>
          <w:tcPr>
            <w:tcW w:w="1414" w:type="dxa"/>
            <w:shd w:val="clear" w:color="auto" w:fill="auto"/>
            <w:vAlign w:val="center"/>
          </w:tcPr>
          <w:p w14:paraId="4DB59F52">
            <w:pPr>
              <w:autoSpaceDE w:val="0"/>
              <w:autoSpaceDN w:val="0"/>
              <w:spacing w:line="300" w:lineRule="exact"/>
              <w:jc w:val="center"/>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szCs w:val="21"/>
                <w:lang w:val="en-US" w:eastAsia="zh-CN"/>
              </w:rPr>
              <w:t>182.5</w:t>
            </w:r>
          </w:p>
        </w:tc>
      </w:tr>
      <w:tr w14:paraId="6FFB9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58E1D3C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49D90B6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2AEBCD1B">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废活性炭</w:t>
            </w:r>
          </w:p>
        </w:tc>
        <w:tc>
          <w:tcPr>
            <w:tcW w:w="1683" w:type="dxa"/>
            <w:shd w:val="clear" w:color="auto" w:fill="auto"/>
            <w:vAlign w:val="center"/>
          </w:tcPr>
          <w:p w14:paraId="065A7F8C">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0.303</w:t>
            </w:r>
          </w:p>
        </w:tc>
        <w:tc>
          <w:tcPr>
            <w:tcW w:w="1467" w:type="dxa"/>
            <w:vAlign w:val="center"/>
          </w:tcPr>
          <w:p w14:paraId="599083D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w:t>
            </w:r>
          </w:p>
        </w:tc>
        <w:tc>
          <w:tcPr>
            <w:tcW w:w="1414" w:type="dxa"/>
            <w:shd w:val="clear" w:color="auto" w:fill="auto"/>
            <w:vAlign w:val="center"/>
          </w:tcPr>
          <w:p w14:paraId="3D343161">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0.303</w:t>
            </w:r>
          </w:p>
        </w:tc>
      </w:tr>
      <w:tr w14:paraId="58E61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773" w:type="dxa"/>
            <w:vMerge w:val="continue"/>
            <w:vAlign w:val="center"/>
          </w:tcPr>
          <w:p w14:paraId="417EC89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2BE48D7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33EBCD54">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水处理污泥</w:t>
            </w:r>
          </w:p>
        </w:tc>
        <w:tc>
          <w:tcPr>
            <w:tcW w:w="1683" w:type="dxa"/>
            <w:shd w:val="clear" w:color="auto" w:fill="auto"/>
            <w:vAlign w:val="center"/>
          </w:tcPr>
          <w:p w14:paraId="22E6F6FC">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w:t>
            </w:r>
            <w:r>
              <w:rPr>
                <w:rFonts w:hint="eastAsia" w:ascii="Times New Roman" w:hAnsi="Times New Roman" w:cs="Times New Roman"/>
                <w:szCs w:val="21"/>
                <w:lang w:val="en-US" w:eastAsia="zh-CN"/>
              </w:rPr>
              <w:t>958</w:t>
            </w:r>
          </w:p>
        </w:tc>
        <w:tc>
          <w:tcPr>
            <w:tcW w:w="1467" w:type="dxa"/>
            <w:vAlign w:val="center"/>
          </w:tcPr>
          <w:p w14:paraId="3FE749A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w:t>
            </w:r>
          </w:p>
        </w:tc>
        <w:tc>
          <w:tcPr>
            <w:tcW w:w="1414" w:type="dxa"/>
            <w:shd w:val="clear" w:color="auto" w:fill="auto"/>
            <w:vAlign w:val="center"/>
          </w:tcPr>
          <w:p w14:paraId="0D2020F4">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w:t>
            </w:r>
            <w:r>
              <w:rPr>
                <w:rFonts w:hint="eastAsia" w:ascii="Times New Roman" w:hAnsi="Times New Roman" w:cs="Times New Roman"/>
                <w:szCs w:val="21"/>
                <w:lang w:val="en-US" w:eastAsia="zh-CN"/>
              </w:rPr>
              <w:t>958</w:t>
            </w:r>
          </w:p>
        </w:tc>
      </w:tr>
      <w:tr w14:paraId="500E1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3" w:type="dxa"/>
            <w:vMerge w:val="continue"/>
            <w:vAlign w:val="center"/>
          </w:tcPr>
          <w:p w14:paraId="55663E6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343E9195">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17B1D3D4">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废滤袋、废专用桶、废手套</w:t>
            </w:r>
          </w:p>
        </w:tc>
        <w:tc>
          <w:tcPr>
            <w:tcW w:w="1683" w:type="dxa"/>
            <w:shd w:val="clear" w:color="auto" w:fill="auto"/>
            <w:vAlign w:val="center"/>
          </w:tcPr>
          <w:p w14:paraId="5C79B468">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0.52</w:t>
            </w:r>
          </w:p>
        </w:tc>
        <w:tc>
          <w:tcPr>
            <w:tcW w:w="1467" w:type="dxa"/>
            <w:vAlign w:val="center"/>
          </w:tcPr>
          <w:p w14:paraId="43D02BC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w:t>
            </w:r>
          </w:p>
        </w:tc>
        <w:tc>
          <w:tcPr>
            <w:tcW w:w="1414" w:type="dxa"/>
            <w:shd w:val="clear" w:color="auto" w:fill="auto"/>
            <w:vAlign w:val="center"/>
          </w:tcPr>
          <w:p w14:paraId="23B20C95">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0.52</w:t>
            </w:r>
          </w:p>
        </w:tc>
      </w:tr>
      <w:tr w14:paraId="039B7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3" w:type="dxa"/>
            <w:vMerge w:val="continue"/>
            <w:vAlign w:val="center"/>
          </w:tcPr>
          <w:p w14:paraId="0AA6200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14DB7E3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5EB69ADB">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废机油</w:t>
            </w:r>
          </w:p>
        </w:tc>
        <w:tc>
          <w:tcPr>
            <w:tcW w:w="1683" w:type="dxa"/>
            <w:shd w:val="clear" w:color="auto" w:fill="auto"/>
            <w:vAlign w:val="center"/>
          </w:tcPr>
          <w:p w14:paraId="1B66ED52">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0.7</w:t>
            </w:r>
          </w:p>
        </w:tc>
        <w:tc>
          <w:tcPr>
            <w:tcW w:w="1467" w:type="dxa"/>
            <w:vAlign w:val="center"/>
          </w:tcPr>
          <w:p w14:paraId="15795F3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w:t>
            </w:r>
          </w:p>
        </w:tc>
        <w:tc>
          <w:tcPr>
            <w:tcW w:w="1414" w:type="dxa"/>
            <w:shd w:val="clear" w:color="auto" w:fill="auto"/>
            <w:vAlign w:val="center"/>
          </w:tcPr>
          <w:p w14:paraId="52184B83">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0.7</w:t>
            </w:r>
          </w:p>
        </w:tc>
      </w:tr>
    </w:tbl>
    <w:p w14:paraId="71B0C614">
      <w:pPr>
        <w:pStyle w:val="3"/>
        <w:spacing w:before="120" w:after="120" w:line="500" w:lineRule="exact"/>
        <w:ind w:left="375" w:hanging="375" w:firstLineChars="0"/>
        <w:contextualSpacing/>
        <w:rPr>
          <w:rFonts w:hint="eastAsia" w:ascii="Times New Roman" w:hAnsi="Times New Roman" w:cs="Times New Roman" w:eastAsiaTheme="minorEastAsia"/>
          <w:snapToGrid w:val="0"/>
          <w:kern w:val="0"/>
          <w:sz w:val="28"/>
          <w:szCs w:val="28"/>
          <w:lang w:val="en-US" w:eastAsia="zh-CN"/>
        </w:rPr>
      </w:pPr>
      <w:bookmarkStart w:id="163" w:name="_Toc14285"/>
      <w:r>
        <w:rPr>
          <w:rFonts w:hint="eastAsia" w:ascii="Times New Roman" w:hAnsi="Times New Roman" w:cs="Times New Roman" w:eastAsiaTheme="minorEastAsia"/>
          <w:snapToGrid w:val="0"/>
          <w:kern w:val="0"/>
          <w:sz w:val="28"/>
          <w:szCs w:val="28"/>
          <w:lang w:val="en-US" w:eastAsia="zh-CN"/>
        </w:rPr>
        <w:t>3.</w:t>
      </w:r>
      <w:r>
        <w:rPr>
          <w:rFonts w:hint="eastAsia" w:ascii="Times New Roman" w:hAnsi="Times New Roman" w:cs="Times New Roman"/>
          <w:snapToGrid w:val="0"/>
          <w:kern w:val="0"/>
          <w:sz w:val="28"/>
          <w:szCs w:val="28"/>
          <w:lang w:val="en-US" w:eastAsia="zh-CN"/>
        </w:rPr>
        <w:t>7</w:t>
      </w:r>
      <w:r>
        <w:rPr>
          <w:rFonts w:hint="eastAsia" w:ascii="Times New Roman" w:hAnsi="Times New Roman" w:cs="Times New Roman" w:eastAsiaTheme="minorEastAsia"/>
          <w:snapToGrid w:val="0"/>
          <w:kern w:val="0"/>
          <w:sz w:val="28"/>
          <w:szCs w:val="28"/>
          <w:lang w:val="en-US" w:eastAsia="zh-CN"/>
        </w:rPr>
        <w:t>清洁生产</w:t>
      </w:r>
      <w:bookmarkEnd w:id="163"/>
    </w:p>
    <w:p w14:paraId="47650521">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清洁生产是指不断通过改进工艺设计、使用清洁的能源和原料、采用先进的工艺技术与设备、改善管理、综合利用等措施，从源头削减污染，提高资源利用效率，减少或者避免生产、服务和产品使用过程中污染物的产生和排放，以减轻或者消除对人类健康和环境的危害。</w:t>
      </w:r>
    </w:p>
    <w:p w14:paraId="23499728">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64" w:name="_Toc4363"/>
      <w:r>
        <w:rPr>
          <w:rFonts w:hint="eastAsia" w:ascii="Times New Roman" w:hAnsi="Times New Roman" w:cs="Times New Roman" w:eastAsiaTheme="minorEastAsia"/>
          <w:kern w:val="0"/>
          <w:sz w:val="24"/>
          <w:szCs w:val="24"/>
          <w:lang w:val="en-US" w:eastAsia="zh-CN"/>
        </w:rPr>
        <w:t>3.</w:t>
      </w:r>
      <w:r>
        <w:rPr>
          <w:rFonts w:hint="eastAsia" w:ascii="Times New Roman" w:hAnsi="Times New Roman" w:cs="Times New Roman"/>
          <w:kern w:val="0"/>
          <w:sz w:val="24"/>
          <w:szCs w:val="24"/>
          <w:lang w:val="en-US" w:eastAsia="zh-CN"/>
        </w:rPr>
        <w:t>7</w:t>
      </w:r>
      <w:r>
        <w:rPr>
          <w:rFonts w:hint="eastAsia" w:ascii="Times New Roman" w:hAnsi="Times New Roman" w:cs="Times New Roman" w:eastAsiaTheme="minorEastAsia"/>
          <w:kern w:val="0"/>
          <w:sz w:val="24"/>
          <w:szCs w:val="24"/>
          <w:lang w:val="en-US" w:eastAsia="zh-CN"/>
        </w:rPr>
        <w:t>.1处理方法分析</w:t>
      </w:r>
      <w:bookmarkEnd w:id="164"/>
    </w:p>
    <w:p w14:paraId="7A0C8E6C">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分析世界各地处理医疗垃圾的技术应用情况，目前国际上处理医疗垃圾的主要方法仍然是焚烧法。以欧洲为例，超过</w:t>
      </w:r>
      <w:r>
        <w:rPr>
          <w:rFonts w:hint="default" w:ascii="Times New Roman" w:hAnsi="Times New Roman" w:cs="Times New Roman" w:eastAsiaTheme="minorEastAsia"/>
          <w:sz w:val="24"/>
          <w:highlight w:val="none"/>
          <w:lang w:val="en-US" w:eastAsia="zh-CN"/>
        </w:rPr>
        <w:t>70%</w:t>
      </w:r>
      <w:r>
        <w:rPr>
          <w:rFonts w:hint="eastAsia" w:ascii="Times New Roman" w:hAnsi="Times New Roman" w:cs="Times New Roman" w:eastAsiaTheme="minorEastAsia"/>
          <w:sz w:val="24"/>
          <w:highlight w:val="none"/>
          <w:lang w:val="en-US" w:eastAsia="zh-CN"/>
        </w:rPr>
        <w:t>的危险废物采用焚烧方法处理。但对于焚烧后的炉渣、飞灰和尾气控制非常严格，必须达到无菌、无毒才能够排放。此外由本报告书工程分析中设备比选部分可知，医疗垃圾焚烧设施的建设逐渐从就地热解气化炉逐渐转移到集中焚烧处置中心上来，这是一个大的趋势。因此从选择工艺和医疗垃圾集中处理的思路看本项目符合清洁生产指导思想。</w:t>
      </w:r>
    </w:p>
    <w:p w14:paraId="2966E34F">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165" w:name="_Toc5281"/>
      <w:r>
        <w:rPr>
          <w:rFonts w:hint="default" w:ascii="Times New Roman" w:hAnsi="Times New Roman" w:cs="Times New Roman" w:eastAsiaTheme="minorEastAsia"/>
          <w:kern w:val="0"/>
          <w:sz w:val="24"/>
          <w:szCs w:val="24"/>
          <w:lang w:val="en-US" w:eastAsia="zh-CN"/>
        </w:rPr>
        <w:t>3.</w:t>
      </w:r>
      <w:r>
        <w:rPr>
          <w:rFonts w:hint="eastAsia" w:ascii="Times New Roman" w:hAnsi="Times New Roman" w:cs="Times New Roman"/>
          <w:kern w:val="0"/>
          <w:sz w:val="24"/>
          <w:szCs w:val="24"/>
          <w:lang w:val="en-US" w:eastAsia="zh-CN"/>
        </w:rPr>
        <w:t>7</w:t>
      </w:r>
      <w:r>
        <w:rPr>
          <w:rFonts w:hint="default" w:ascii="Times New Roman" w:hAnsi="Times New Roman" w:cs="Times New Roman" w:eastAsiaTheme="minorEastAsia"/>
          <w:kern w:val="0"/>
          <w:sz w:val="24"/>
          <w:szCs w:val="24"/>
          <w:lang w:val="en-US" w:eastAsia="zh-CN"/>
        </w:rPr>
        <w:t xml:space="preserve">.2 </w:t>
      </w:r>
      <w:r>
        <w:rPr>
          <w:rFonts w:hint="eastAsia" w:ascii="Times New Roman" w:hAnsi="Times New Roman" w:cs="Times New Roman" w:eastAsiaTheme="minorEastAsia"/>
          <w:kern w:val="0"/>
          <w:sz w:val="24"/>
          <w:szCs w:val="24"/>
          <w:lang w:val="en-US" w:eastAsia="zh-CN"/>
        </w:rPr>
        <w:t>设备主要工艺参数比较</w:t>
      </w:r>
      <w:bookmarkEnd w:id="165"/>
    </w:p>
    <w:p w14:paraId="4FD2C19C">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本项目选择设备的工艺参数比较情况见表</w:t>
      </w:r>
      <w:r>
        <w:rPr>
          <w:rFonts w:hint="default" w:ascii="Times New Roman" w:hAnsi="Times New Roman" w:cs="Times New Roman" w:eastAsiaTheme="minorEastAsia"/>
          <w:sz w:val="24"/>
          <w:highlight w:val="none"/>
          <w:lang w:val="en-US" w:eastAsia="zh-CN"/>
        </w:rPr>
        <w:t>3.</w:t>
      </w:r>
      <w:r>
        <w:rPr>
          <w:rFonts w:hint="eastAsia" w:ascii="Times New Roman" w:hAnsi="Times New Roman" w:cs="Times New Roman"/>
          <w:sz w:val="24"/>
          <w:highlight w:val="none"/>
          <w:lang w:val="en-US" w:eastAsia="zh-CN"/>
        </w:rPr>
        <w:t>7</w:t>
      </w:r>
      <w:r>
        <w:rPr>
          <w:rFonts w:hint="default" w:ascii="Times New Roman" w:hAnsi="Times New Roman" w:cs="Times New Roman" w:eastAsiaTheme="minorEastAsia"/>
          <w:sz w:val="24"/>
          <w:highlight w:val="none"/>
          <w:lang w:val="en-US" w:eastAsia="zh-CN"/>
        </w:rPr>
        <w:t>-1</w:t>
      </w:r>
      <w:r>
        <w:rPr>
          <w:rFonts w:hint="eastAsia" w:ascii="Times New Roman" w:hAnsi="Times New Roman" w:cs="Times New Roman" w:eastAsiaTheme="minorEastAsia"/>
          <w:sz w:val="24"/>
          <w:highlight w:val="none"/>
          <w:lang w:val="en-US" w:eastAsia="zh-CN"/>
        </w:rPr>
        <w:t>和</w:t>
      </w:r>
      <w:r>
        <w:rPr>
          <w:rFonts w:hint="default" w:ascii="Times New Roman" w:hAnsi="Times New Roman" w:cs="Times New Roman" w:eastAsiaTheme="minorEastAsia"/>
          <w:sz w:val="24"/>
          <w:highlight w:val="none"/>
          <w:lang w:val="en-US" w:eastAsia="zh-CN"/>
        </w:rPr>
        <w:t>3.</w:t>
      </w:r>
      <w:r>
        <w:rPr>
          <w:rFonts w:hint="eastAsia" w:ascii="Times New Roman" w:hAnsi="Times New Roman" w:cs="Times New Roman"/>
          <w:sz w:val="24"/>
          <w:highlight w:val="none"/>
          <w:lang w:val="en-US" w:eastAsia="zh-CN"/>
        </w:rPr>
        <w:t>7</w:t>
      </w:r>
      <w:r>
        <w:rPr>
          <w:rFonts w:hint="default" w:ascii="Times New Roman" w:hAnsi="Times New Roman" w:cs="Times New Roman" w:eastAsiaTheme="minorEastAsia"/>
          <w:sz w:val="24"/>
          <w:highlight w:val="none"/>
          <w:lang w:val="en-US" w:eastAsia="zh-CN"/>
        </w:rPr>
        <w:t>-2</w:t>
      </w:r>
      <w:r>
        <w:rPr>
          <w:rFonts w:hint="eastAsia" w:ascii="Times New Roman" w:hAnsi="Times New Roman" w:cs="Times New Roman" w:eastAsiaTheme="minorEastAsia"/>
          <w:sz w:val="24"/>
          <w:highlight w:val="none"/>
          <w:lang w:val="en-US" w:eastAsia="zh-CN"/>
        </w:rPr>
        <w:t>。</w:t>
      </w:r>
    </w:p>
    <w:p w14:paraId="22C6985F">
      <w:pPr>
        <w:snapToGrid w:val="0"/>
        <w:spacing w:before="241"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表3.</w:t>
      </w:r>
      <w:r>
        <w:rPr>
          <w:rFonts w:hint="eastAsia" w:ascii="Times New Roman" w:hAnsi="Times New Roman" w:cs="Times New Roman"/>
          <w:b/>
          <w:szCs w:val="21"/>
          <w:lang w:val="en-US" w:eastAsia="zh-CN"/>
        </w:rPr>
        <w:t>7</w:t>
      </w:r>
      <w:r>
        <w:rPr>
          <w:rFonts w:hint="eastAsia" w:ascii="Times New Roman" w:hAnsi="Times New Roman" w:cs="Times New Roman" w:eastAsiaTheme="minorEastAsia"/>
          <w:b/>
          <w:szCs w:val="21"/>
          <w:lang w:val="en-US" w:eastAsia="zh-CN"/>
        </w:rPr>
        <w:t>-1  各类医疗垃圾处理设施效果比较</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4"/>
        <w:gridCol w:w="866"/>
        <w:gridCol w:w="817"/>
        <w:gridCol w:w="671"/>
        <w:gridCol w:w="1988"/>
        <w:gridCol w:w="975"/>
        <w:gridCol w:w="1511"/>
      </w:tblGrid>
      <w:tr w14:paraId="24A8B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vAlign w:val="center"/>
          </w:tcPr>
          <w:p w14:paraId="015F20C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技术</w:t>
            </w:r>
          </w:p>
        </w:tc>
        <w:tc>
          <w:tcPr>
            <w:tcW w:w="866" w:type="dxa"/>
            <w:vAlign w:val="center"/>
          </w:tcPr>
          <w:p w14:paraId="122FB0C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感染性废物</w:t>
            </w:r>
          </w:p>
        </w:tc>
        <w:tc>
          <w:tcPr>
            <w:tcW w:w="817" w:type="dxa"/>
            <w:vAlign w:val="center"/>
          </w:tcPr>
          <w:p w14:paraId="5A8FA5C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解剖</w:t>
            </w:r>
            <w:r>
              <w:rPr>
                <w:rFonts w:hint="eastAsia" w:ascii="Times New Roman" w:hAnsi="Times New Roman" w:cs="Times New Roman" w:eastAsiaTheme="minorEastAsia"/>
                <w:szCs w:val="21"/>
                <w:lang w:val="en-US" w:eastAsia="zh-CN"/>
              </w:rPr>
              <w:t>废物</w:t>
            </w:r>
          </w:p>
        </w:tc>
        <w:tc>
          <w:tcPr>
            <w:tcW w:w="671" w:type="dxa"/>
            <w:vAlign w:val="center"/>
          </w:tcPr>
          <w:p w14:paraId="5B247E1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锐器</w:t>
            </w:r>
          </w:p>
        </w:tc>
        <w:tc>
          <w:tcPr>
            <w:tcW w:w="1988" w:type="dxa"/>
            <w:vAlign w:val="center"/>
          </w:tcPr>
          <w:p w14:paraId="1692338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药品</w:t>
            </w:r>
          </w:p>
        </w:tc>
        <w:tc>
          <w:tcPr>
            <w:tcW w:w="975" w:type="dxa"/>
            <w:vAlign w:val="center"/>
          </w:tcPr>
          <w:p w14:paraId="5EBC134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细胞毒类废物</w:t>
            </w:r>
          </w:p>
        </w:tc>
        <w:tc>
          <w:tcPr>
            <w:tcW w:w="1511" w:type="dxa"/>
            <w:vAlign w:val="center"/>
          </w:tcPr>
          <w:p w14:paraId="7BED649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化学药剂废物</w:t>
            </w:r>
          </w:p>
        </w:tc>
      </w:tr>
      <w:tr w14:paraId="5C630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vAlign w:val="center"/>
          </w:tcPr>
          <w:p w14:paraId="759C5EF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回转窑焚烧炉</w:t>
            </w:r>
          </w:p>
        </w:tc>
        <w:tc>
          <w:tcPr>
            <w:tcW w:w="866" w:type="dxa"/>
            <w:vAlign w:val="center"/>
          </w:tcPr>
          <w:p w14:paraId="5852E87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c>
          <w:tcPr>
            <w:tcW w:w="817" w:type="dxa"/>
            <w:vAlign w:val="center"/>
          </w:tcPr>
          <w:p w14:paraId="7DC65F4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c>
          <w:tcPr>
            <w:tcW w:w="671" w:type="dxa"/>
            <w:vAlign w:val="center"/>
          </w:tcPr>
          <w:p w14:paraId="1BB6F06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c>
          <w:tcPr>
            <w:tcW w:w="1988" w:type="dxa"/>
            <w:vAlign w:val="center"/>
          </w:tcPr>
          <w:p w14:paraId="38151B8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c>
          <w:tcPr>
            <w:tcW w:w="975" w:type="dxa"/>
            <w:vAlign w:val="center"/>
          </w:tcPr>
          <w:p w14:paraId="129F895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c>
          <w:tcPr>
            <w:tcW w:w="1511" w:type="dxa"/>
            <w:vAlign w:val="center"/>
          </w:tcPr>
          <w:p w14:paraId="3260252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r>
      <w:tr w14:paraId="4465B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vAlign w:val="center"/>
          </w:tcPr>
          <w:p w14:paraId="619D791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单燃烧室焚烧炉</w:t>
            </w:r>
          </w:p>
        </w:tc>
        <w:tc>
          <w:tcPr>
            <w:tcW w:w="866" w:type="dxa"/>
            <w:vAlign w:val="center"/>
          </w:tcPr>
          <w:p w14:paraId="208BC461">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c>
          <w:tcPr>
            <w:tcW w:w="817" w:type="dxa"/>
            <w:vAlign w:val="center"/>
          </w:tcPr>
          <w:p w14:paraId="78F8F167">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c>
          <w:tcPr>
            <w:tcW w:w="671" w:type="dxa"/>
            <w:vAlign w:val="center"/>
          </w:tcPr>
          <w:p w14:paraId="5E674566">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c>
          <w:tcPr>
            <w:tcW w:w="1988" w:type="dxa"/>
            <w:vAlign w:val="center"/>
          </w:tcPr>
          <w:p w14:paraId="4690287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975" w:type="dxa"/>
            <w:vAlign w:val="center"/>
          </w:tcPr>
          <w:p w14:paraId="3282A37A">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1511" w:type="dxa"/>
            <w:vAlign w:val="center"/>
          </w:tcPr>
          <w:p w14:paraId="2A7A65F5">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r>
      <w:tr w14:paraId="12FB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vAlign w:val="center"/>
          </w:tcPr>
          <w:p w14:paraId="4C80DC2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热解汽化炉</w:t>
            </w:r>
          </w:p>
        </w:tc>
        <w:tc>
          <w:tcPr>
            <w:tcW w:w="866" w:type="dxa"/>
            <w:vAlign w:val="center"/>
          </w:tcPr>
          <w:p w14:paraId="267632C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c>
          <w:tcPr>
            <w:tcW w:w="817" w:type="dxa"/>
            <w:vAlign w:val="center"/>
          </w:tcPr>
          <w:p w14:paraId="0833A5E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c>
          <w:tcPr>
            <w:tcW w:w="671" w:type="dxa"/>
            <w:vAlign w:val="center"/>
          </w:tcPr>
          <w:p w14:paraId="5537EAC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c>
          <w:tcPr>
            <w:tcW w:w="1988" w:type="dxa"/>
            <w:vAlign w:val="center"/>
          </w:tcPr>
          <w:p w14:paraId="799A704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可以处理一小部分</w:t>
            </w:r>
          </w:p>
        </w:tc>
        <w:tc>
          <w:tcPr>
            <w:tcW w:w="975" w:type="dxa"/>
            <w:vAlign w:val="center"/>
          </w:tcPr>
          <w:p w14:paraId="712BB70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1511" w:type="dxa"/>
            <w:vAlign w:val="center"/>
          </w:tcPr>
          <w:p w14:paraId="0FD89D2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允许一小部分</w:t>
            </w:r>
          </w:p>
        </w:tc>
      </w:tr>
      <w:tr w14:paraId="4111A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vAlign w:val="center"/>
          </w:tcPr>
          <w:p w14:paraId="60025D4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等离子体法</w:t>
            </w:r>
          </w:p>
        </w:tc>
        <w:tc>
          <w:tcPr>
            <w:tcW w:w="866" w:type="dxa"/>
            <w:vAlign w:val="center"/>
          </w:tcPr>
          <w:p w14:paraId="7635843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c>
          <w:tcPr>
            <w:tcW w:w="817" w:type="dxa"/>
            <w:vAlign w:val="center"/>
          </w:tcPr>
          <w:p w14:paraId="365438F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c>
          <w:tcPr>
            <w:tcW w:w="671" w:type="dxa"/>
            <w:vAlign w:val="center"/>
          </w:tcPr>
          <w:p w14:paraId="587110F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c>
          <w:tcPr>
            <w:tcW w:w="1988" w:type="dxa"/>
            <w:vAlign w:val="center"/>
          </w:tcPr>
          <w:p w14:paraId="08C9E5D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c>
          <w:tcPr>
            <w:tcW w:w="975" w:type="dxa"/>
            <w:vAlign w:val="center"/>
          </w:tcPr>
          <w:p w14:paraId="283703C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c>
          <w:tcPr>
            <w:tcW w:w="1511" w:type="dxa"/>
            <w:vAlign w:val="center"/>
          </w:tcPr>
          <w:p w14:paraId="21F0D80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r>
      <w:tr w14:paraId="3E53A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vAlign w:val="center"/>
          </w:tcPr>
          <w:p w14:paraId="32AAA53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化学消毒法</w:t>
            </w:r>
          </w:p>
        </w:tc>
        <w:tc>
          <w:tcPr>
            <w:tcW w:w="866" w:type="dxa"/>
            <w:vAlign w:val="center"/>
          </w:tcPr>
          <w:p w14:paraId="1EBD06A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c>
          <w:tcPr>
            <w:tcW w:w="817" w:type="dxa"/>
            <w:vAlign w:val="center"/>
          </w:tcPr>
          <w:p w14:paraId="726D7FA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671" w:type="dxa"/>
            <w:vAlign w:val="center"/>
          </w:tcPr>
          <w:p w14:paraId="047DED4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c>
          <w:tcPr>
            <w:tcW w:w="1988" w:type="dxa"/>
            <w:vAlign w:val="center"/>
          </w:tcPr>
          <w:p w14:paraId="5CECD9F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975" w:type="dxa"/>
            <w:vAlign w:val="center"/>
          </w:tcPr>
          <w:p w14:paraId="0D6AE28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1511" w:type="dxa"/>
            <w:vAlign w:val="center"/>
          </w:tcPr>
          <w:p w14:paraId="28B6DC6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r>
      <w:tr w14:paraId="0ABC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vAlign w:val="center"/>
          </w:tcPr>
          <w:p w14:paraId="24E0C24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高温灭菌法</w:t>
            </w:r>
          </w:p>
        </w:tc>
        <w:tc>
          <w:tcPr>
            <w:tcW w:w="866" w:type="dxa"/>
            <w:vAlign w:val="center"/>
          </w:tcPr>
          <w:p w14:paraId="63535D0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c>
          <w:tcPr>
            <w:tcW w:w="817" w:type="dxa"/>
            <w:vAlign w:val="center"/>
          </w:tcPr>
          <w:p w14:paraId="2171C48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671" w:type="dxa"/>
            <w:vAlign w:val="center"/>
          </w:tcPr>
          <w:p w14:paraId="418B373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c>
          <w:tcPr>
            <w:tcW w:w="1988" w:type="dxa"/>
            <w:vAlign w:val="center"/>
          </w:tcPr>
          <w:p w14:paraId="67B72BD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975" w:type="dxa"/>
            <w:vAlign w:val="center"/>
          </w:tcPr>
          <w:p w14:paraId="552F0FC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1511" w:type="dxa"/>
            <w:vAlign w:val="center"/>
          </w:tcPr>
          <w:p w14:paraId="2F401BB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r>
      <w:tr w14:paraId="2DA1C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vAlign w:val="center"/>
          </w:tcPr>
          <w:p w14:paraId="772E9F0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电磁波灭菌法</w:t>
            </w:r>
          </w:p>
        </w:tc>
        <w:tc>
          <w:tcPr>
            <w:tcW w:w="866" w:type="dxa"/>
            <w:vAlign w:val="center"/>
          </w:tcPr>
          <w:p w14:paraId="5146D0E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c>
          <w:tcPr>
            <w:tcW w:w="817" w:type="dxa"/>
            <w:vAlign w:val="center"/>
          </w:tcPr>
          <w:p w14:paraId="0690AA8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671" w:type="dxa"/>
            <w:vAlign w:val="center"/>
          </w:tcPr>
          <w:p w14:paraId="4F16031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c>
          <w:tcPr>
            <w:tcW w:w="1988" w:type="dxa"/>
            <w:vAlign w:val="center"/>
          </w:tcPr>
          <w:p w14:paraId="3BC0B70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975" w:type="dxa"/>
            <w:vAlign w:val="center"/>
          </w:tcPr>
          <w:p w14:paraId="732DC0D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1511" w:type="dxa"/>
            <w:vAlign w:val="center"/>
          </w:tcPr>
          <w:p w14:paraId="1441E06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r>
      <w:tr w14:paraId="45F37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vAlign w:val="center"/>
          </w:tcPr>
          <w:p w14:paraId="763C3F2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卫生填埋法</w:t>
            </w:r>
          </w:p>
        </w:tc>
        <w:tc>
          <w:tcPr>
            <w:tcW w:w="866" w:type="dxa"/>
            <w:vAlign w:val="center"/>
          </w:tcPr>
          <w:p w14:paraId="44E9DF8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c>
          <w:tcPr>
            <w:tcW w:w="817" w:type="dxa"/>
            <w:vAlign w:val="center"/>
          </w:tcPr>
          <w:p w14:paraId="4C08AED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671" w:type="dxa"/>
            <w:vAlign w:val="center"/>
          </w:tcPr>
          <w:p w14:paraId="0F5576D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1988" w:type="dxa"/>
            <w:vAlign w:val="center"/>
          </w:tcPr>
          <w:p w14:paraId="171AA27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可以处理一小部分</w:t>
            </w:r>
          </w:p>
        </w:tc>
        <w:tc>
          <w:tcPr>
            <w:tcW w:w="975" w:type="dxa"/>
            <w:vAlign w:val="center"/>
          </w:tcPr>
          <w:p w14:paraId="04F8CFC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1511" w:type="dxa"/>
            <w:vAlign w:val="center"/>
          </w:tcPr>
          <w:p w14:paraId="14E5FA8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r>
      <w:tr w14:paraId="505DD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7"/>
            <w:vAlign w:val="center"/>
          </w:tcPr>
          <w:p w14:paraId="1D002A4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注：0表示可以处理，×表示不可以处理</w:t>
            </w:r>
          </w:p>
        </w:tc>
      </w:tr>
    </w:tbl>
    <w:p w14:paraId="79A5CD64">
      <w:pPr>
        <w:snapToGrid w:val="0"/>
        <w:spacing w:before="241"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表3.</w:t>
      </w:r>
      <w:r>
        <w:rPr>
          <w:rFonts w:hint="eastAsia" w:ascii="Times New Roman" w:hAnsi="Times New Roman" w:cs="Times New Roman"/>
          <w:b/>
          <w:szCs w:val="21"/>
          <w:lang w:val="en-US" w:eastAsia="zh-CN"/>
        </w:rPr>
        <w:t>7</w:t>
      </w:r>
      <w:r>
        <w:rPr>
          <w:rFonts w:hint="eastAsia" w:ascii="Times New Roman" w:hAnsi="Times New Roman" w:cs="Times New Roman" w:eastAsiaTheme="minorEastAsia"/>
          <w:b/>
          <w:szCs w:val="21"/>
          <w:lang w:val="en-US" w:eastAsia="zh-CN"/>
        </w:rPr>
        <w:t>-2  主要焚烧炉型工艺参数比较</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883"/>
        <w:gridCol w:w="1117"/>
        <w:gridCol w:w="783"/>
        <w:gridCol w:w="1183"/>
        <w:gridCol w:w="965"/>
        <w:gridCol w:w="779"/>
        <w:gridCol w:w="779"/>
        <w:gridCol w:w="779"/>
        <w:gridCol w:w="779"/>
      </w:tblGrid>
      <w:tr w14:paraId="2F782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 w:type="dxa"/>
            <w:vAlign w:val="center"/>
          </w:tcPr>
          <w:p w14:paraId="0C2B17C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编号</w:t>
            </w:r>
          </w:p>
        </w:tc>
        <w:tc>
          <w:tcPr>
            <w:tcW w:w="883" w:type="dxa"/>
            <w:vAlign w:val="center"/>
          </w:tcPr>
          <w:p w14:paraId="1D4A68E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技术种类</w:t>
            </w:r>
          </w:p>
        </w:tc>
        <w:tc>
          <w:tcPr>
            <w:tcW w:w="1117" w:type="dxa"/>
            <w:vAlign w:val="center"/>
          </w:tcPr>
          <w:p w14:paraId="4943577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成熟度</w:t>
            </w:r>
          </w:p>
        </w:tc>
        <w:tc>
          <w:tcPr>
            <w:tcW w:w="783" w:type="dxa"/>
            <w:vAlign w:val="center"/>
          </w:tcPr>
          <w:p w14:paraId="15E6AF9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废弃物种类</w:t>
            </w:r>
          </w:p>
        </w:tc>
        <w:tc>
          <w:tcPr>
            <w:tcW w:w="1183" w:type="dxa"/>
            <w:vAlign w:val="center"/>
          </w:tcPr>
          <w:p w14:paraId="2248EFF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可否处理医疗垃圾</w:t>
            </w:r>
          </w:p>
        </w:tc>
        <w:tc>
          <w:tcPr>
            <w:tcW w:w="965" w:type="dxa"/>
            <w:vAlign w:val="center"/>
          </w:tcPr>
          <w:p w14:paraId="200CA78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主反应区温度</w:t>
            </w:r>
          </w:p>
        </w:tc>
        <w:tc>
          <w:tcPr>
            <w:tcW w:w="779" w:type="dxa"/>
            <w:vAlign w:val="center"/>
          </w:tcPr>
          <w:p w14:paraId="1460798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尾气处理</w:t>
            </w:r>
          </w:p>
        </w:tc>
        <w:tc>
          <w:tcPr>
            <w:tcW w:w="779" w:type="dxa"/>
            <w:vAlign w:val="center"/>
          </w:tcPr>
          <w:p w14:paraId="2001B38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灰渣处理</w:t>
            </w:r>
          </w:p>
        </w:tc>
        <w:tc>
          <w:tcPr>
            <w:tcW w:w="779" w:type="dxa"/>
            <w:vAlign w:val="center"/>
          </w:tcPr>
          <w:p w14:paraId="795F567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初期投资</w:t>
            </w:r>
          </w:p>
        </w:tc>
        <w:tc>
          <w:tcPr>
            <w:tcW w:w="779" w:type="dxa"/>
            <w:vAlign w:val="center"/>
          </w:tcPr>
          <w:p w14:paraId="256622E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运行成本</w:t>
            </w:r>
          </w:p>
        </w:tc>
      </w:tr>
      <w:tr w14:paraId="08FE3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 w:type="dxa"/>
            <w:vAlign w:val="center"/>
          </w:tcPr>
          <w:p w14:paraId="7ED6294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w:t>
            </w:r>
          </w:p>
        </w:tc>
        <w:tc>
          <w:tcPr>
            <w:tcW w:w="883" w:type="dxa"/>
            <w:vAlign w:val="center"/>
          </w:tcPr>
          <w:p w14:paraId="7D6F61F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回转窑</w:t>
            </w:r>
          </w:p>
        </w:tc>
        <w:tc>
          <w:tcPr>
            <w:tcW w:w="1117" w:type="dxa"/>
            <w:vAlign w:val="center"/>
          </w:tcPr>
          <w:p w14:paraId="3EE8615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最成熟，占处理量的70%</w:t>
            </w:r>
          </w:p>
        </w:tc>
        <w:tc>
          <w:tcPr>
            <w:tcW w:w="783" w:type="dxa"/>
            <w:vAlign w:val="center"/>
          </w:tcPr>
          <w:p w14:paraId="44D0F64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最广，适合混合处理</w:t>
            </w:r>
          </w:p>
        </w:tc>
        <w:tc>
          <w:tcPr>
            <w:tcW w:w="1183" w:type="dxa"/>
            <w:vAlign w:val="center"/>
          </w:tcPr>
          <w:p w14:paraId="54CD6F6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可以</w:t>
            </w:r>
          </w:p>
        </w:tc>
        <w:tc>
          <w:tcPr>
            <w:tcW w:w="965" w:type="dxa"/>
            <w:vAlign w:val="center"/>
          </w:tcPr>
          <w:p w14:paraId="1F26461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1000℃左右</w:t>
            </w:r>
          </w:p>
        </w:tc>
        <w:tc>
          <w:tcPr>
            <w:tcW w:w="779" w:type="dxa"/>
            <w:vAlign w:val="center"/>
          </w:tcPr>
          <w:p w14:paraId="21F4A2A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需要</w:t>
            </w:r>
          </w:p>
        </w:tc>
        <w:tc>
          <w:tcPr>
            <w:tcW w:w="779" w:type="dxa"/>
            <w:vAlign w:val="center"/>
          </w:tcPr>
          <w:p w14:paraId="33DDC34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需要</w:t>
            </w:r>
          </w:p>
        </w:tc>
        <w:tc>
          <w:tcPr>
            <w:tcW w:w="779" w:type="dxa"/>
            <w:vAlign w:val="center"/>
          </w:tcPr>
          <w:p w14:paraId="5B78A74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一般</w:t>
            </w:r>
          </w:p>
        </w:tc>
        <w:tc>
          <w:tcPr>
            <w:tcW w:w="779" w:type="dxa"/>
            <w:vAlign w:val="center"/>
          </w:tcPr>
          <w:p w14:paraId="4C8AC5C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一般</w:t>
            </w:r>
          </w:p>
        </w:tc>
      </w:tr>
      <w:tr w14:paraId="61982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 w:type="dxa"/>
            <w:vAlign w:val="center"/>
          </w:tcPr>
          <w:p w14:paraId="2F51B97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w:t>
            </w:r>
          </w:p>
        </w:tc>
        <w:tc>
          <w:tcPr>
            <w:tcW w:w="883" w:type="dxa"/>
            <w:vAlign w:val="center"/>
          </w:tcPr>
          <w:p w14:paraId="0257C4E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热解气化炉</w:t>
            </w:r>
          </w:p>
        </w:tc>
        <w:tc>
          <w:tcPr>
            <w:tcW w:w="1117" w:type="dxa"/>
            <w:vAlign w:val="center"/>
          </w:tcPr>
          <w:p w14:paraId="6DA8BD1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成熟，国内有应用</w:t>
            </w:r>
          </w:p>
        </w:tc>
        <w:tc>
          <w:tcPr>
            <w:tcW w:w="783" w:type="dxa"/>
            <w:vAlign w:val="center"/>
          </w:tcPr>
          <w:p w14:paraId="6EF22E3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医疗垃圾</w:t>
            </w:r>
          </w:p>
        </w:tc>
        <w:tc>
          <w:tcPr>
            <w:tcW w:w="1183" w:type="dxa"/>
            <w:vAlign w:val="center"/>
          </w:tcPr>
          <w:p w14:paraId="13F3F77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可以</w:t>
            </w:r>
          </w:p>
        </w:tc>
        <w:tc>
          <w:tcPr>
            <w:tcW w:w="965" w:type="dxa"/>
            <w:vAlign w:val="center"/>
          </w:tcPr>
          <w:p w14:paraId="2CDE36B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1000℃左右</w:t>
            </w:r>
          </w:p>
        </w:tc>
        <w:tc>
          <w:tcPr>
            <w:tcW w:w="779" w:type="dxa"/>
            <w:vAlign w:val="center"/>
          </w:tcPr>
          <w:p w14:paraId="7227087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需要</w:t>
            </w:r>
          </w:p>
        </w:tc>
        <w:tc>
          <w:tcPr>
            <w:tcW w:w="779" w:type="dxa"/>
            <w:vAlign w:val="center"/>
          </w:tcPr>
          <w:p w14:paraId="0A04A8A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需要</w:t>
            </w:r>
          </w:p>
        </w:tc>
        <w:tc>
          <w:tcPr>
            <w:tcW w:w="779" w:type="dxa"/>
            <w:vAlign w:val="center"/>
          </w:tcPr>
          <w:p w14:paraId="6CAFF55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少</w:t>
            </w:r>
          </w:p>
        </w:tc>
        <w:tc>
          <w:tcPr>
            <w:tcW w:w="779" w:type="dxa"/>
            <w:vAlign w:val="center"/>
          </w:tcPr>
          <w:p w14:paraId="05DE0E4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较少</w:t>
            </w:r>
          </w:p>
        </w:tc>
      </w:tr>
      <w:tr w14:paraId="01641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 w:type="dxa"/>
            <w:vAlign w:val="center"/>
          </w:tcPr>
          <w:p w14:paraId="11AA42A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w:t>
            </w:r>
          </w:p>
        </w:tc>
        <w:tc>
          <w:tcPr>
            <w:tcW w:w="883" w:type="dxa"/>
            <w:vAlign w:val="center"/>
          </w:tcPr>
          <w:p w14:paraId="18B5751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链条炉和炉排炉</w:t>
            </w:r>
          </w:p>
        </w:tc>
        <w:tc>
          <w:tcPr>
            <w:tcW w:w="1117" w:type="dxa"/>
            <w:vAlign w:val="center"/>
          </w:tcPr>
          <w:p w14:paraId="0695BF5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成熟，国内有应用</w:t>
            </w:r>
          </w:p>
        </w:tc>
        <w:tc>
          <w:tcPr>
            <w:tcW w:w="783" w:type="dxa"/>
            <w:vAlign w:val="center"/>
          </w:tcPr>
          <w:p w14:paraId="432F44E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较广</w:t>
            </w:r>
          </w:p>
        </w:tc>
        <w:tc>
          <w:tcPr>
            <w:tcW w:w="1183" w:type="dxa"/>
            <w:vAlign w:val="center"/>
          </w:tcPr>
          <w:p w14:paraId="39132AD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可以</w:t>
            </w:r>
          </w:p>
        </w:tc>
        <w:tc>
          <w:tcPr>
            <w:tcW w:w="965" w:type="dxa"/>
            <w:vAlign w:val="center"/>
          </w:tcPr>
          <w:p w14:paraId="0BB011A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1000℃左右</w:t>
            </w:r>
          </w:p>
        </w:tc>
        <w:tc>
          <w:tcPr>
            <w:tcW w:w="779" w:type="dxa"/>
            <w:vAlign w:val="center"/>
          </w:tcPr>
          <w:p w14:paraId="18B7156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需求高</w:t>
            </w:r>
          </w:p>
        </w:tc>
        <w:tc>
          <w:tcPr>
            <w:tcW w:w="779" w:type="dxa"/>
            <w:vAlign w:val="center"/>
          </w:tcPr>
          <w:p w14:paraId="2B3074A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需求高</w:t>
            </w:r>
          </w:p>
        </w:tc>
        <w:tc>
          <w:tcPr>
            <w:tcW w:w="779" w:type="dxa"/>
            <w:vAlign w:val="center"/>
          </w:tcPr>
          <w:p w14:paraId="58F5213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少</w:t>
            </w:r>
          </w:p>
        </w:tc>
        <w:tc>
          <w:tcPr>
            <w:tcW w:w="779" w:type="dxa"/>
            <w:vAlign w:val="center"/>
          </w:tcPr>
          <w:p w14:paraId="3D4A481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一般</w:t>
            </w:r>
          </w:p>
        </w:tc>
      </w:tr>
      <w:tr w14:paraId="0FFDC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 w:type="dxa"/>
            <w:vAlign w:val="center"/>
          </w:tcPr>
          <w:p w14:paraId="03D843A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w:t>
            </w:r>
          </w:p>
        </w:tc>
        <w:tc>
          <w:tcPr>
            <w:tcW w:w="883" w:type="dxa"/>
            <w:vAlign w:val="center"/>
          </w:tcPr>
          <w:p w14:paraId="00BD417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等离子体</w:t>
            </w:r>
          </w:p>
        </w:tc>
        <w:tc>
          <w:tcPr>
            <w:tcW w:w="1117" w:type="dxa"/>
            <w:vAlign w:val="center"/>
          </w:tcPr>
          <w:p w14:paraId="5EF8CAF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国外商业化初期，有潜力</w:t>
            </w:r>
          </w:p>
        </w:tc>
        <w:tc>
          <w:tcPr>
            <w:tcW w:w="783" w:type="dxa"/>
            <w:vAlign w:val="center"/>
          </w:tcPr>
          <w:p w14:paraId="47AF625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不含汞的一切废物</w:t>
            </w:r>
          </w:p>
        </w:tc>
        <w:tc>
          <w:tcPr>
            <w:tcW w:w="1183" w:type="dxa"/>
            <w:vAlign w:val="center"/>
          </w:tcPr>
          <w:p w14:paraId="3C4D748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可以</w:t>
            </w:r>
          </w:p>
        </w:tc>
        <w:tc>
          <w:tcPr>
            <w:tcW w:w="965" w:type="dxa"/>
            <w:vAlign w:val="center"/>
          </w:tcPr>
          <w:p w14:paraId="660947F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1600-10000℃</w:t>
            </w:r>
          </w:p>
        </w:tc>
        <w:tc>
          <w:tcPr>
            <w:tcW w:w="779" w:type="dxa"/>
            <w:vAlign w:val="center"/>
          </w:tcPr>
          <w:p w14:paraId="0557CC3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需要</w:t>
            </w:r>
          </w:p>
        </w:tc>
        <w:tc>
          <w:tcPr>
            <w:tcW w:w="779" w:type="dxa"/>
            <w:vAlign w:val="center"/>
          </w:tcPr>
          <w:p w14:paraId="6DB83F5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需要</w:t>
            </w:r>
          </w:p>
        </w:tc>
        <w:tc>
          <w:tcPr>
            <w:tcW w:w="779" w:type="dxa"/>
            <w:vAlign w:val="center"/>
          </w:tcPr>
          <w:p w14:paraId="1147EFF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极高</w:t>
            </w:r>
          </w:p>
        </w:tc>
        <w:tc>
          <w:tcPr>
            <w:tcW w:w="779" w:type="dxa"/>
            <w:vAlign w:val="center"/>
          </w:tcPr>
          <w:p w14:paraId="5AFF9EF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一般</w:t>
            </w:r>
          </w:p>
        </w:tc>
      </w:tr>
    </w:tbl>
    <w:p w14:paraId="1663E41B">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由上表可以看出本项目使用热解气化炉工艺处理医疗垃圾，属于国内成熟工艺，投资少，处理效果可达中上水平。</w:t>
      </w:r>
    </w:p>
    <w:p w14:paraId="2E5CD2A7">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66" w:name="_Toc15838"/>
      <w:r>
        <w:rPr>
          <w:rFonts w:hint="eastAsia" w:ascii="Times New Roman" w:hAnsi="Times New Roman" w:cs="Times New Roman" w:eastAsiaTheme="minorEastAsia"/>
          <w:kern w:val="0"/>
          <w:sz w:val="24"/>
          <w:szCs w:val="24"/>
          <w:lang w:val="en-US" w:eastAsia="zh-CN"/>
        </w:rPr>
        <w:t>3.</w:t>
      </w:r>
      <w:r>
        <w:rPr>
          <w:rFonts w:hint="eastAsia" w:ascii="Times New Roman" w:hAnsi="Times New Roman" w:cs="Times New Roman"/>
          <w:kern w:val="0"/>
          <w:sz w:val="24"/>
          <w:szCs w:val="24"/>
          <w:lang w:val="en-US" w:eastAsia="zh-CN"/>
        </w:rPr>
        <w:t>7</w:t>
      </w:r>
      <w:r>
        <w:rPr>
          <w:rFonts w:hint="eastAsia" w:ascii="Times New Roman" w:hAnsi="Times New Roman" w:cs="Times New Roman" w:eastAsiaTheme="minorEastAsia"/>
          <w:kern w:val="0"/>
          <w:sz w:val="24"/>
          <w:szCs w:val="24"/>
          <w:lang w:val="en-US" w:eastAsia="zh-CN"/>
        </w:rPr>
        <w:t>.3污染控制</w:t>
      </w:r>
      <w:bookmarkEnd w:id="166"/>
    </w:p>
    <w:p w14:paraId="1B163035">
      <w:pPr>
        <w:adjustRightInd w:val="0"/>
        <w:snapToGrid w:val="0"/>
        <w:spacing w:line="500" w:lineRule="exact"/>
        <w:jc w:val="both"/>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3.7.3.1起始控制</w:t>
      </w:r>
    </w:p>
    <w:p w14:paraId="71EF2353">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生产设备采用新型高效真空泵、水泵、高效传热设备，提高能量转换和能量回收率；设备和管道的布置尽量紧凑，减少散热损失和压力损失；医疗废物上料系统、传送系统均采用自动化装置。</w:t>
      </w:r>
    </w:p>
    <w:p w14:paraId="7AD13BF7">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由上表可以看出本项目使用热解气化炉工艺处理医疗垃圾，属于国内成熟工艺，投资少，处理效果可达中上水平。</w:t>
      </w:r>
    </w:p>
    <w:p w14:paraId="5F0C7EEE">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default" w:ascii="Times New Roman" w:hAnsi="Times New Roman" w:cs="Times New Roman" w:eastAsiaTheme="minorEastAsia"/>
          <w:b/>
          <w:bCs/>
          <w:sz w:val="24"/>
          <w:lang w:val="en-US" w:eastAsia="zh-CN"/>
        </w:rPr>
        <w:t>3.</w:t>
      </w:r>
      <w:r>
        <w:rPr>
          <w:rFonts w:hint="eastAsia" w:ascii="Times New Roman" w:hAnsi="Times New Roman" w:cs="Times New Roman" w:eastAsiaTheme="minorEastAsia"/>
          <w:b/>
          <w:bCs/>
          <w:sz w:val="24"/>
          <w:lang w:val="en-US" w:eastAsia="zh-CN"/>
        </w:rPr>
        <w:t>7</w:t>
      </w:r>
      <w:r>
        <w:rPr>
          <w:rFonts w:hint="default" w:ascii="Times New Roman" w:hAnsi="Times New Roman" w:cs="Times New Roman" w:eastAsiaTheme="minorEastAsia"/>
          <w:b/>
          <w:bCs/>
          <w:sz w:val="24"/>
          <w:lang w:val="en-US" w:eastAsia="zh-CN"/>
        </w:rPr>
        <w:t>.3.2</w:t>
      </w:r>
      <w:r>
        <w:rPr>
          <w:rFonts w:hint="eastAsia" w:ascii="Times New Roman" w:hAnsi="Times New Roman" w:cs="Times New Roman" w:eastAsiaTheme="minorEastAsia"/>
          <w:b/>
          <w:bCs/>
          <w:sz w:val="24"/>
          <w:lang w:val="en-US" w:eastAsia="zh-CN"/>
        </w:rPr>
        <w:t>中间控制</w:t>
      </w:r>
    </w:p>
    <w:p w14:paraId="52B24026">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焚烧过程产生的热量可以经过热交换设备进行回用；对于冷却部分通过冷却水急冷，控制焚烧过程产生二噁英的量，同时提高了炉体的寿命，避免炉壁附着物的产生。燃烧室使焚烧更加彻底，减少了部分废气污染物产生和节约了能源。</w:t>
      </w:r>
    </w:p>
    <w:p w14:paraId="034631E6">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default" w:ascii="Times New Roman" w:hAnsi="Times New Roman" w:cs="Times New Roman" w:eastAsiaTheme="minorEastAsia"/>
          <w:b/>
          <w:bCs/>
          <w:sz w:val="24"/>
          <w:lang w:val="en-US" w:eastAsia="zh-CN"/>
        </w:rPr>
        <w:t>3.</w:t>
      </w:r>
      <w:r>
        <w:rPr>
          <w:rFonts w:hint="eastAsia" w:ascii="Times New Roman" w:hAnsi="Times New Roman" w:cs="Times New Roman" w:eastAsiaTheme="minorEastAsia"/>
          <w:b/>
          <w:bCs/>
          <w:sz w:val="24"/>
          <w:lang w:val="en-US" w:eastAsia="zh-CN"/>
        </w:rPr>
        <w:t>7</w:t>
      </w:r>
      <w:r>
        <w:rPr>
          <w:rFonts w:hint="default" w:ascii="Times New Roman" w:hAnsi="Times New Roman" w:cs="Times New Roman" w:eastAsiaTheme="minorEastAsia"/>
          <w:b/>
          <w:bCs/>
          <w:sz w:val="24"/>
          <w:lang w:val="en-US" w:eastAsia="zh-CN"/>
        </w:rPr>
        <w:t>.3.3</w:t>
      </w:r>
      <w:r>
        <w:rPr>
          <w:rFonts w:hint="eastAsia" w:ascii="Times New Roman" w:hAnsi="Times New Roman" w:cs="Times New Roman" w:eastAsiaTheme="minorEastAsia"/>
          <w:b/>
          <w:bCs/>
          <w:sz w:val="24"/>
          <w:lang w:val="en-US" w:eastAsia="zh-CN"/>
        </w:rPr>
        <w:t>末端控制</w:t>
      </w:r>
    </w:p>
    <w:p w14:paraId="5DB0D00D">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主要是指废气的污染控制，烟气采用</w:t>
      </w:r>
      <w:r>
        <w:rPr>
          <w:rFonts w:hint="eastAsia" w:ascii="Times New Roman" w:hAnsi="Times New Roman" w:cs="Times New Roman"/>
          <w:sz w:val="24"/>
          <w:lang w:val="en-US" w:eastAsia="zh-CN"/>
        </w:rPr>
        <w:t>“‘</w:t>
      </w:r>
      <w:r>
        <w:rPr>
          <w:rFonts w:hint="eastAsia" w:ascii="Times New Roman" w:hAnsi="Times New Roman" w:cs="Times New Roman" w:eastAsiaTheme="minorEastAsia"/>
          <w:sz w:val="24"/>
          <w:lang w:val="en-US" w:eastAsia="zh-CN"/>
        </w:rPr>
        <w:t>3T+E</w:t>
      </w:r>
      <w:r>
        <w:rPr>
          <w:rFonts w:hint="eastAsia" w:ascii="Times New Roman" w:hAnsi="Times New Roman" w:cs="Times New Roman"/>
          <w:sz w:val="24"/>
          <w:lang w:val="en-US" w:eastAsia="zh-CN"/>
        </w:rPr>
        <w:t>’</w:t>
      </w:r>
      <w:r>
        <w:rPr>
          <w:rFonts w:hint="eastAsia" w:ascii="Times New Roman" w:hAnsi="Times New Roman" w:cs="Times New Roman" w:eastAsiaTheme="minorEastAsia"/>
          <w:sz w:val="24"/>
          <w:lang w:val="en-US" w:eastAsia="zh-CN"/>
        </w:rPr>
        <w:t>燃烧控制+</w:t>
      </w:r>
      <w:r>
        <w:rPr>
          <w:rFonts w:hint="default" w:ascii="Times New Roman" w:hAnsi="Times New Roman" w:cs="Times New Roman" w:eastAsiaTheme="minorEastAsia"/>
          <w:sz w:val="24"/>
          <w:lang w:val="en-US" w:eastAsia="zh-CN"/>
        </w:rPr>
        <w:t>SNCR</w:t>
      </w:r>
      <w:r>
        <w:rPr>
          <w:rFonts w:hint="eastAsia" w:ascii="Times New Roman" w:hAnsi="Times New Roman" w:cs="Times New Roman" w:eastAsiaTheme="minorEastAsia"/>
          <w:sz w:val="24"/>
          <w:lang w:val="en-US" w:eastAsia="zh-CN"/>
        </w:rPr>
        <w:t>脱硝</w:t>
      </w: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旋风除尘+急冷塔＋干式脱酸塔＋活性炭喷射＋袋式除尘器＋洗涤塔</w:t>
      </w:r>
      <w:r>
        <w:rPr>
          <w:rFonts w:hint="eastAsia" w:ascii="Times New Roman" w:hAnsi="Times New Roman" w:cs="Times New Roman"/>
          <w:sz w:val="24"/>
          <w:lang w:val="en-US" w:eastAsia="zh-CN"/>
        </w:rPr>
        <w:t>”</w:t>
      </w:r>
      <w:r>
        <w:rPr>
          <w:rFonts w:hint="eastAsia" w:ascii="Times New Roman" w:hAnsi="Times New Roman" w:cs="Times New Roman" w:eastAsiaTheme="minorEastAsia"/>
          <w:sz w:val="24"/>
          <w:lang w:val="en-US" w:eastAsia="zh-CN"/>
        </w:rPr>
        <w:t>进行处置，对烟气中的</w:t>
      </w:r>
      <w:r>
        <w:rPr>
          <w:rFonts w:hint="default" w:ascii="Times New Roman" w:hAnsi="Times New Roman" w:cs="Times New Roman" w:eastAsiaTheme="minorEastAsia"/>
          <w:sz w:val="24"/>
          <w:lang w:val="en-US" w:eastAsia="zh-CN"/>
        </w:rPr>
        <w:t>SO</w:t>
      </w:r>
      <w:r>
        <w:rPr>
          <w:rFonts w:hint="default" w:ascii="Times New Roman" w:hAnsi="Times New Roman" w:cs="Times New Roman" w:eastAsiaTheme="minorEastAsia"/>
          <w:sz w:val="24"/>
          <w:vertAlign w:val="subscript"/>
          <w:lang w:val="en-US" w:eastAsia="zh-CN"/>
        </w:rPr>
        <w:t>2</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NOx</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HF</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HCl</w:t>
      </w:r>
      <w:r>
        <w:rPr>
          <w:rFonts w:hint="eastAsia" w:ascii="Times New Roman" w:hAnsi="Times New Roman" w:cs="Times New Roman" w:eastAsiaTheme="minorEastAsia"/>
          <w:sz w:val="24"/>
          <w:lang w:val="en-US" w:eastAsia="zh-CN"/>
        </w:rPr>
        <w:t>等的去除率较高，对粉尘等的去除率达到</w:t>
      </w:r>
      <w:r>
        <w:rPr>
          <w:rFonts w:hint="default" w:ascii="Times New Roman" w:hAnsi="Times New Roman" w:cs="Times New Roman" w:eastAsiaTheme="minorEastAsia"/>
          <w:sz w:val="24"/>
          <w:lang w:val="en-US" w:eastAsia="zh-CN"/>
        </w:rPr>
        <w:t>99.9%</w:t>
      </w:r>
      <w:r>
        <w:rPr>
          <w:rFonts w:hint="eastAsia" w:ascii="Times New Roman" w:hAnsi="Times New Roman" w:cs="Times New Roman" w:eastAsiaTheme="minorEastAsia"/>
          <w:sz w:val="24"/>
          <w:lang w:val="en-US" w:eastAsia="zh-CN"/>
        </w:rPr>
        <w:t>以上。</w:t>
      </w:r>
    </w:p>
    <w:p w14:paraId="625CC7E6">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default" w:ascii="Times New Roman" w:hAnsi="Times New Roman" w:cs="Times New Roman" w:eastAsiaTheme="minorEastAsia"/>
          <w:b/>
          <w:bCs/>
          <w:sz w:val="24"/>
          <w:lang w:val="en-US" w:eastAsia="zh-CN"/>
        </w:rPr>
        <w:t>3.</w:t>
      </w:r>
      <w:r>
        <w:rPr>
          <w:rFonts w:hint="eastAsia" w:ascii="Times New Roman" w:hAnsi="Times New Roman" w:cs="Times New Roman" w:eastAsiaTheme="minorEastAsia"/>
          <w:b/>
          <w:bCs/>
          <w:sz w:val="24"/>
          <w:lang w:val="en-US" w:eastAsia="zh-CN"/>
        </w:rPr>
        <w:t>7</w:t>
      </w:r>
      <w:r>
        <w:rPr>
          <w:rFonts w:hint="default" w:ascii="Times New Roman" w:hAnsi="Times New Roman" w:cs="Times New Roman" w:eastAsiaTheme="minorEastAsia"/>
          <w:b/>
          <w:bCs/>
          <w:sz w:val="24"/>
          <w:lang w:val="en-US" w:eastAsia="zh-CN"/>
        </w:rPr>
        <w:t>.3.4</w:t>
      </w:r>
      <w:r>
        <w:rPr>
          <w:rFonts w:hint="eastAsia" w:ascii="Times New Roman" w:hAnsi="Times New Roman" w:cs="Times New Roman" w:eastAsiaTheme="minorEastAsia"/>
          <w:b/>
          <w:bCs/>
          <w:sz w:val="24"/>
          <w:lang w:val="en-US" w:eastAsia="zh-CN"/>
        </w:rPr>
        <w:t>环境管理</w:t>
      </w:r>
    </w:p>
    <w:p w14:paraId="16DC5042">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本项目在生产过程中建议引进清洁生产的指导思路，要求：</w:t>
      </w:r>
    </w:p>
    <w:p w14:paraId="2F44DAC6">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（1）运营管理总则</w:t>
      </w:r>
    </w:p>
    <w:p w14:paraId="4CF2D679">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1）为实现医疗垃圾集中焚烧处置科学管理、规范作业、保证安全运行，提高生产效率、降低运行成本、有效防止二次污染，达到医疗垃圾无害化处置的目的，制定本运营管理要求。</w:t>
      </w:r>
    </w:p>
    <w:p w14:paraId="11041BAB">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2）按《医疗废物集中焚烧处置工程技术规范》（HJ 177-2023）对医疗垃圾集中焚烧处置厂的运行、维护及安全进行管理。</w:t>
      </w:r>
    </w:p>
    <w:p w14:paraId="4A2CC298">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3）医疗垃圾集中焚烧处置厂的运行、维护及安全管理应符合国家现行有关强制性标准的规定。</w:t>
      </w:r>
    </w:p>
    <w:p w14:paraId="5477BBF4">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（2）焚烧处置厂运行条件</w:t>
      </w:r>
    </w:p>
    <w:p w14:paraId="159F92E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1）焚烧厂必须具有省级以上人民政府环境保护行政主管部门颁发的经营许可证；未取得经营许可证的单位，不得从事有关医疗垃圾集中焚烧处置的活动。</w:t>
      </w:r>
    </w:p>
    <w:p w14:paraId="28051959">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2）医疗垃圾集中焚烧处理工程建设应符合《医疗废物集中焚烧处置工程技术规范》（HJ 177-2023）。</w:t>
      </w:r>
    </w:p>
    <w:p w14:paraId="33B4E219">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3）必须具有经过培训的技术人员、管理人员和相应数量的操作人员。</w:t>
      </w:r>
    </w:p>
    <w:p w14:paraId="0E1676B8">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4）具有完备的保障医疗垃圾安全处理处置的规章制度。</w:t>
      </w:r>
    </w:p>
    <w:p w14:paraId="6E831E2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5）具有保障医疗垃圾集中焚烧处置厂正常运行的周转资金和辅助原料。</w:t>
      </w:r>
    </w:p>
    <w:p w14:paraId="10F80E3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（3）机构设置与劳动定岗、定员</w:t>
      </w:r>
    </w:p>
    <w:p w14:paraId="53FC98C8">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1）焚烧厂运营机构的设置应以精简高效、安全生产、提高劳动生产率为原则，做到分工合理、职责分明。</w:t>
      </w:r>
    </w:p>
    <w:p w14:paraId="111DD96C">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2）焚烧厂劳动定员可分为生产人员、辅助生产人员和管理人员。管理人员应包括技术人员和安全管理人员。</w:t>
      </w:r>
    </w:p>
    <w:p w14:paraId="0A0814C0">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3）焚烧厂的劳动定员应按定岗定量的原则合理确定。</w:t>
      </w:r>
    </w:p>
    <w:p w14:paraId="234559B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（4）人员培训</w:t>
      </w:r>
    </w:p>
    <w:p w14:paraId="3723C737">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医疗垃圾集中焚烧厂应对操作人员、技术人员及管理人员进行相关法律法规、专业技术、安全防护、紧急处理等理论知识和操作技能的培训。</w:t>
      </w:r>
    </w:p>
    <w:p w14:paraId="29070B0C">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（5）医疗垃圾接收交接制度</w:t>
      </w:r>
    </w:p>
    <w:p w14:paraId="4B1F1F63">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1）医疗垃圾交接按照《医疗垃圾集中处置技术规范（试行）》的有关规定执行，采用《医疗垃圾运送登记卡》和《危险废物转移联单》（医疗垃圾专用）进行记录和管理。</w:t>
      </w:r>
    </w:p>
    <w:p w14:paraId="4FC7250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2）焚烧厂应对接收的医疗垃圾及时登记，并将进厂医疗垃圾的数量、重量等有关信息输入计算机管理系统。</w:t>
      </w:r>
    </w:p>
    <w:p w14:paraId="6F3D485D">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（6）焚烧厂运行记录制度</w:t>
      </w:r>
    </w:p>
    <w:p w14:paraId="11627CA7">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医疗垃圾集中焚烧厂应建立生产设施运行状况、设施维护和医疗垃圾焚烧处置生产活动等的登记制度。</w:t>
      </w:r>
    </w:p>
    <w:p w14:paraId="59CA0810">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（7）交接班制度</w:t>
      </w:r>
    </w:p>
    <w:p w14:paraId="180780AE">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为保证医疗垃圾集中焚烧处置厂生产活动安全有序进行，必须建立严格的交接班制度。</w:t>
      </w:r>
    </w:p>
    <w:p w14:paraId="255F48C7">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（8）劳动保护和安全生产</w:t>
      </w:r>
    </w:p>
    <w:p w14:paraId="165F58BF">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1）焚烧厂在设计、施工和生产过程中，必须高度重视安全卫生问题，采取有效的应对措施和各种预防手段，严格执行国家有关规范和标准。</w:t>
      </w:r>
    </w:p>
    <w:p w14:paraId="43C14C5F">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2）建设单位必须在焚烧厂建成运行的同时，保证安全和卫生设施同时投入使用，并制定相应的操作规程。</w:t>
      </w:r>
    </w:p>
    <w:p w14:paraId="5A3735BE">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3）加强员工的安全防护意识和消毒意识，定期对员工进行健康检查。</w:t>
      </w:r>
    </w:p>
    <w:p w14:paraId="205FCF45">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4）焚烧厂生产过程中安全卫生管理应符合现行国家《生产过程安全卫生要求总则》（GB/T 12801-2008）的有关规定。各岗位应根据工艺特征和具体要求，制定本岗位安全操作规程。</w:t>
      </w:r>
    </w:p>
    <w:p w14:paraId="7F037C2F">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5）定期对医疗垃圾处置效果、环境污染防治和卫生效果进行检测和评价，必要时应采取改进措施，每半年向地方环保和卫生行政主管部门报告一次。</w:t>
      </w:r>
    </w:p>
    <w:p w14:paraId="631663B9">
      <w:pPr>
        <w:pStyle w:val="3"/>
        <w:spacing w:before="120" w:after="120" w:line="500" w:lineRule="exact"/>
        <w:ind w:left="375" w:hanging="375" w:firstLineChars="0"/>
        <w:contextualSpacing/>
        <w:rPr>
          <w:rFonts w:hint="eastAsia" w:ascii="Times New Roman" w:hAnsi="Times New Roman" w:cs="Times New Roman" w:eastAsiaTheme="minorEastAsia"/>
          <w:snapToGrid w:val="0"/>
          <w:kern w:val="0"/>
          <w:sz w:val="28"/>
          <w:szCs w:val="28"/>
          <w:lang w:val="en-US" w:eastAsia="zh-CN"/>
        </w:rPr>
      </w:pPr>
      <w:bookmarkStart w:id="167" w:name="_Toc16469"/>
      <w:r>
        <w:rPr>
          <w:rFonts w:hint="eastAsia" w:ascii="Times New Roman" w:hAnsi="Times New Roman" w:cs="Times New Roman" w:eastAsiaTheme="minorEastAsia"/>
          <w:snapToGrid w:val="0"/>
          <w:kern w:val="0"/>
          <w:sz w:val="28"/>
          <w:szCs w:val="28"/>
          <w:lang w:val="en-US" w:eastAsia="zh-CN"/>
        </w:rPr>
        <w:t>3.</w:t>
      </w:r>
      <w:r>
        <w:rPr>
          <w:rFonts w:hint="eastAsia" w:ascii="Times New Roman" w:hAnsi="Times New Roman" w:cs="Times New Roman"/>
          <w:snapToGrid w:val="0"/>
          <w:kern w:val="0"/>
          <w:sz w:val="28"/>
          <w:szCs w:val="28"/>
          <w:lang w:val="en-US" w:eastAsia="zh-CN"/>
        </w:rPr>
        <w:t>8</w:t>
      </w:r>
      <w:r>
        <w:rPr>
          <w:rFonts w:hint="eastAsia" w:ascii="Times New Roman" w:hAnsi="Times New Roman" w:cs="Times New Roman" w:eastAsiaTheme="minorEastAsia"/>
          <w:snapToGrid w:val="0"/>
          <w:kern w:val="0"/>
          <w:sz w:val="28"/>
          <w:szCs w:val="28"/>
          <w:lang w:val="en-US" w:eastAsia="zh-CN"/>
        </w:rPr>
        <w:t>总量控制</w:t>
      </w:r>
      <w:bookmarkEnd w:id="167"/>
    </w:p>
    <w:p w14:paraId="50B5AE2E">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68" w:name="_Toc12249"/>
      <w:r>
        <w:rPr>
          <w:rFonts w:hint="eastAsia" w:ascii="Times New Roman" w:hAnsi="Times New Roman" w:cs="Times New Roman" w:eastAsiaTheme="minorEastAsia"/>
          <w:kern w:val="0"/>
          <w:sz w:val="24"/>
          <w:szCs w:val="24"/>
          <w:lang w:val="en-US" w:eastAsia="zh-CN"/>
        </w:rPr>
        <w:t>3.</w:t>
      </w:r>
      <w:r>
        <w:rPr>
          <w:rFonts w:hint="eastAsia" w:ascii="Times New Roman" w:hAnsi="Times New Roman" w:cs="Times New Roman"/>
          <w:kern w:val="0"/>
          <w:sz w:val="24"/>
          <w:szCs w:val="24"/>
          <w:lang w:val="en-US" w:eastAsia="zh-CN"/>
        </w:rPr>
        <w:t>8</w:t>
      </w:r>
      <w:r>
        <w:rPr>
          <w:rFonts w:hint="eastAsia" w:ascii="Times New Roman" w:hAnsi="Times New Roman" w:cs="Times New Roman" w:eastAsiaTheme="minorEastAsia"/>
          <w:kern w:val="0"/>
          <w:sz w:val="24"/>
          <w:szCs w:val="24"/>
          <w:lang w:val="en-US" w:eastAsia="zh-CN"/>
        </w:rPr>
        <w:t>.1总量控制因子</w:t>
      </w:r>
      <w:bookmarkEnd w:id="168"/>
    </w:p>
    <w:p w14:paraId="36B06F77">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bookmarkStart w:id="169" w:name="_Toc26695"/>
      <w:r>
        <w:rPr>
          <w:rFonts w:hint="eastAsia" w:ascii="Times New Roman" w:hAnsi="Times New Roman" w:cs="Times New Roman" w:eastAsiaTheme="minorEastAsia"/>
          <w:sz w:val="24"/>
          <w:lang w:val="en-US" w:eastAsia="zh-CN"/>
        </w:rPr>
        <w:t>“十</w:t>
      </w:r>
      <w:r>
        <w:rPr>
          <w:rFonts w:hint="eastAsia" w:ascii="Times New Roman" w:hAnsi="Times New Roman" w:cs="Times New Roman"/>
          <w:sz w:val="24"/>
          <w:lang w:val="en-US" w:eastAsia="zh-CN"/>
        </w:rPr>
        <w:t>五</w:t>
      </w:r>
      <w:r>
        <w:rPr>
          <w:rFonts w:hint="eastAsia" w:ascii="Times New Roman" w:hAnsi="Times New Roman" w:cs="Times New Roman" w:eastAsiaTheme="minorEastAsia"/>
          <w:sz w:val="24"/>
          <w:lang w:val="en-US" w:eastAsia="zh-CN"/>
        </w:rPr>
        <w:t>五”期间国家确定的污染物总量控制指标为VOCs、NOx、COD、</w:t>
      </w:r>
      <w:r>
        <w:rPr>
          <w:rFonts w:hint="eastAsia" w:ascii="Times New Roman" w:hAnsi="Times New Roman" w:cs="Times New Roman"/>
          <w:sz w:val="24"/>
          <w:lang w:val="en-US" w:eastAsia="zh-CN"/>
        </w:rPr>
        <w:t>总磷</w:t>
      </w:r>
      <w:r>
        <w:rPr>
          <w:rFonts w:hint="eastAsia" w:ascii="Times New Roman" w:hAnsi="Times New Roman" w:cs="Times New Roman" w:eastAsiaTheme="minorEastAsia"/>
          <w:sz w:val="24"/>
          <w:lang w:val="en-US" w:eastAsia="zh-CN"/>
        </w:rPr>
        <w:t>，结合拟建项目污染特征因子，确定总量控制因子为NOx。</w:t>
      </w:r>
    </w:p>
    <w:p w14:paraId="4240F06B">
      <w:pPr>
        <w:pStyle w:val="4"/>
        <w:spacing w:before="120" w:after="120" w:line="500" w:lineRule="exact"/>
        <w:rPr>
          <w:rFonts w:hint="eastAsia" w:ascii="Times New Roman" w:hAnsi="Times New Roman" w:cs="Times New Roman" w:eastAsiaTheme="minorEastAsia"/>
          <w:kern w:val="0"/>
          <w:sz w:val="24"/>
          <w:szCs w:val="24"/>
          <w:lang w:val="en-US" w:eastAsia="zh-CN"/>
        </w:rPr>
      </w:pPr>
      <w:r>
        <w:rPr>
          <w:rFonts w:hint="eastAsia" w:ascii="Times New Roman" w:hAnsi="Times New Roman" w:cs="Times New Roman" w:eastAsiaTheme="minorEastAsia"/>
          <w:kern w:val="0"/>
          <w:sz w:val="24"/>
          <w:szCs w:val="24"/>
          <w:lang w:val="en-US" w:eastAsia="zh-CN"/>
        </w:rPr>
        <w:t>3.8.2企业现有工程总量指标</w:t>
      </w:r>
      <w:bookmarkEnd w:id="169"/>
    </w:p>
    <w:p w14:paraId="221E6D47">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根据《关于莎车县医疗废物处置中心项目环境影响报告书的批复》（新环函</w:t>
      </w:r>
      <w:r>
        <w:rPr>
          <w:rFonts w:hint="eastAsia" w:ascii="Times New Roman" w:hAnsi="Times New Roman" w:cs="Times New Roman"/>
          <w:sz w:val="24"/>
          <w:lang w:val="en-US" w:eastAsia="zh-CN"/>
        </w:rPr>
        <w:t>〔2017〕83号</w:t>
      </w:r>
      <w:r>
        <w:rPr>
          <w:rFonts w:hint="eastAsia" w:ascii="Times New Roman" w:hAnsi="Times New Roman" w:cs="Times New Roman" w:eastAsiaTheme="minorEastAsia"/>
          <w:sz w:val="24"/>
          <w:lang w:val="en-US" w:eastAsia="zh-CN"/>
        </w:rPr>
        <w:t>）</w:t>
      </w:r>
      <w:r>
        <w:rPr>
          <w:rFonts w:hint="eastAsia" w:ascii="Times New Roman" w:hAnsi="Times New Roman" w:cs="Times New Roman"/>
          <w:sz w:val="24"/>
          <w:lang w:val="en-US" w:eastAsia="zh-CN"/>
        </w:rPr>
        <w:t>，企业现有工程污染物排放总量指标为：二氧化硫1.06吨/a、氮氧化物1.32吨/a。</w:t>
      </w:r>
    </w:p>
    <w:p w14:paraId="57B54C8F">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70" w:name="_Toc9981"/>
      <w:r>
        <w:rPr>
          <w:rFonts w:hint="eastAsia" w:ascii="Times New Roman" w:hAnsi="Times New Roman" w:cs="Times New Roman" w:eastAsiaTheme="minorEastAsia"/>
          <w:kern w:val="0"/>
          <w:sz w:val="24"/>
          <w:szCs w:val="24"/>
          <w:lang w:val="en-US" w:eastAsia="zh-CN"/>
        </w:rPr>
        <w:t>3.</w:t>
      </w:r>
      <w:r>
        <w:rPr>
          <w:rFonts w:hint="eastAsia" w:ascii="Times New Roman" w:hAnsi="Times New Roman" w:cs="Times New Roman"/>
          <w:kern w:val="0"/>
          <w:sz w:val="24"/>
          <w:szCs w:val="24"/>
          <w:lang w:val="en-US" w:eastAsia="zh-CN"/>
        </w:rPr>
        <w:t>8</w:t>
      </w:r>
      <w:r>
        <w:rPr>
          <w:rFonts w:hint="eastAsia" w:ascii="Times New Roman" w:hAnsi="Times New Roman" w:cs="Times New Roman" w:eastAsiaTheme="minorEastAsia"/>
          <w:kern w:val="0"/>
          <w:sz w:val="24"/>
          <w:szCs w:val="24"/>
          <w:lang w:val="en-US" w:eastAsia="zh-CN"/>
        </w:rPr>
        <w:t>.</w:t>
      </w:r>
      <w:r>
        <w:rPr>
          <w:rFonts w:hint="eastAsia" w:ascii="Times New Roman" w:hAnsi="Times New Roman" w:cs="Times New Roman"/>
          <w:kern w:val="0"/>
          <w:sz w:val="24"/>
          <w:szCs w:val="24"/>
          <w:lang w:val="en-US" w:eastAsia="zh-CN"/>
        </w:rPr>
        <w:t>3</w:t>
      </w:r>
      <w:r>
        <w:rPr>
          <w:rFonts w:hint="eastAsia" w:ascii="Times New Roman" w:hAnsi="Times New Roman" w:cs="Times New Roman" w:eastAsiaTheme="minorEastAsia"/>
          <w:kern w:val="0"/>
          <w:sz w:val="24"/>
          <w:szCs w:val="24"/>
          <w:lang w:val="en-US" w:eastAsia="zh-CN"/>
        </w:rPr>
        <w:t>污染物排放总量控制建议指标</w:t>
      </w:r>
      <w:bookmarkEnd w:id="170"/>
    </w:p>
    <w:p w14:paraId="0CEA5F24">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废气总量控制因子为NOx，新增排放量为1.252t/a，项目建成后莎车县海纳环保科技开发有限公司NOx总排放量为2.572t/a。根据环境影响预测和评价表明，按上述总量指标进行控制后，区域环境质量满足功能区标准要求，因而是合理可行的。</w:t>
      </w:r>
    </w:p>
    <w:p w14:paraId="40D6F5F8">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本项目的生产废水处理达标后综合利用，没有污染物外排，无需申请水污染物总量指标。</w:t>
      </w:r>
    </w:p>
    <w:p w14:paraId="4C7C9E65">
      <w:pPr>
        <w:pStyle w:val="3"/>
        <w:spacing w:before="120" w:after="120" w:line="500" w:lineRule="exact"/>
        <w:ind w:left="375" w:hanging="375" w:firstLineChars="0"/>
        <w:contextualSpacing/>
        <w:rPr>
          <w:rFonts w:hint="eastAsia" w:ascii="Times New Roman" w:hAnsi="Times New Roman" w:cs="Times New Roman" w:eastAsiaTheme="minorEastAsia"/>
          <w:snapToGrid w:val="0"/>
          <w:kern w:val="0"/>
          <w:sz w:val="28"/>
          <w:szCs w:val="28"/>
          <w:lang w:val="en-US" w:eastAsia="zh-CN"/>
        </w:rPr>
      </w:pPr>
      <w:bookmarkStart w:id="171" w:name="_Toc31753"/>
      <w:r>
        <w:rPr>
          <w:rFonts w:hint="eastAsia" w:ascii="Times New Roman" w:hAnsi="Times New Roman" w:cs="Times New Roman" w:eastAsiaTheme="minorEastAsia"/>
          <w:snapToGrid w:val="0"/>
          <w:kern w:val="0"/>
          <w:sz w:val="28"/>
          <w:szCs w:val="28"/>
          <w:lang w:val="en-US" w:eastAsia="zh-CN"/>
        </w:rPr>
        <w:t>3.9全厂“三本账变化情况”</w:t>
      </w:r>
      <w:bookmarkEnd w:id="171"/>
    </w:p>
    <w:p w14:paraId="4B7CB56C">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项目建成后，全厂“三本账”变化情况汇总见表3.</w:t>
      </w:r>
      <w:r>
        <w:rPr>
          <w:rFonts w:hint="eastAsia" w:ascii="Times New Roman" w:hAnsi="Times New Roman" w:cs="Times New Roman"/>
          <w:sz w:val="24"/>
          <w:highlight w:val="none"/>
          <w:lang w:val="en-US" w:eastAsia="zh-CN"/>
        </w:rPr>
        <w:t>9</w:t>
      </w:r>
      <w:r>
        <w:rPr>
          <w:rFonts w:hint="eastAsia" w:ascii="Times New Roman" w:hAnsi="Times New Roman" w:cs="Times New Roman" w:eastAsiaTheme="minorEastAsia"/>
          <w:sz w:val="24"/>
          <w:highlight w:val="none"/>
          <w:lang w:val="en-US" w:eastAsia="zh-CN"/>
        </w:rPr>
        <w:t>-1。</w:t>
      </w:r>
    </w:p>
    <w:p w14:paraId="6D7323EF">
      <w:pPr>
        <w:snapToGrid w:val="0"/>
        <w:spacing w:before="241" w:beforeLines="50"/>
        <w:jc w:val="center"/>
        <w:rPr>
          <w:rFonts w:hint="default"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表3.</w:t>
      </w:r>
      <w:r>
        <w:rPr>
          <w:rFonts w:hint="eastAsia" w:ascii="Times New Roman" w:hAnsi="Times New Roman" w:cs="Times New Roman"/>
          <w:b/>
          <w:szCs w:val="21"/>
          <w:lang w:val="en-US" w:eastAsia="zh-CN"/>
        </w:rPr>
        <w:t>9</w:t>
      </w:r>
      <w:r>
        <w:rPr>
          <w:rFonts w:hint="eastAsia" w:ascii="Times New Roman" w:hAnsi="Times New Roman" w:cs="Times New Roman" w:eastAsiaTheme="minorEastAsia"/>
          <w:b/>
          <w:szCs w:val="21"/>
          <w:lang w:val="en-US" w:eastAsia="zh-CN"/>
        </w:rPr>
        <w:t>-1  全厂主要污染物变化情况汇总表</w:t>
      </w:r>
    </w:p>
    <w:tbl>
      <w:tblPr>
        <w:tblStyle w:val="1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5"/>
        <w:gridCol w:w="2014"/>
        <w:gridCol w:w="1463"/>
        <w:gridCol w:w="1708"/>
        <w:gridCol w:w="1518"/>
        <w:gridCol w:w="1612"/>
      </w:tblGrid>
      <w:tr w14:paraId="6D9DF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Align w:val="center"/>
          </w:tcPr>
          <w:p w14:paraId="14EFA8B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类别</w:t>
            </w:r>
          </w:p>
        </w:tc>
        <w:tc>
          <w:tcPr>
            <w:tcW w:w="1099" w:type="pct"/>
            <w:vAlign w:val="center"/>
          </w:tcPr>
          <w:p w14:paraId="4122597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污染物名称</w:t>
            </w:r>
          </w:p>
        </w:tc>
        <w:tc>
          <w:tcPr>
            <w:tcW w:w="798" w:type="pct"/>
            <w:vAlign w:val="center"/>
          </w:tcPr>
          <w:p w14:paraId="097A1B9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现有项目排放量</w:t>
            </w:r>
            <w:r>
              <w:rPr>
                <w:rFonts w:hint="eastAsia" w:ascii="Times New Roman" w:hAnsi="Times New Roman" w:cs="Times New Roman" w:eastAsiaTheme="minorEastAsia"/>
                <w:szCs w:val="21"/>
                <w:lang w:val="en-US" w:eastAsia="zh-CN"/>
              </w:rPr>
              <w:t>（t/a）</w:t>
            </w:r>
          </w:p>
        </w:tc>
        <w:tc>
          <w:tcPr>
            <w:tcW w:w="932" w:type="pct"/>
            <w:shd w:val="clear" w:color="auto" w:fill="auto"/>
            <w:vAlign w:val="center"/>
          </w:tcPr>
          <w:p w14:paraId="4D983CC0">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本项目</w:t>
            </w:r>
            <w:r>
              <w:rPr>
                <w:rFonts w:hint="eastAsia" w:ascii="Times New Roman" w:hAnsi="Times New Roman" w:cs="Times New Roman" w:eastAsiaTheme="minorEastAsia"/>
                <w:szCs w:val="21"/>
                <w:lang w:val="en-US" w:eastAsia="zh-CN"/>
              </w:rPr>
              <w:t>排放量（t/a）</w:t>
            </w:r>
          </w:p>
        </w:tc>
        <w:tc>
          <w:tcPr>
            <w:tcW w:w="828" w:type="pct"/>
            <w:vAlign w:val="center"/>
          </w:tcPr>
          <w:p w14:paraId="61E6CBC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项目建成后全厂排放量</w:t>
            </w:r>
          </w:p>
        </w:tc>
        <w:tc>
          <w:tcPr>
            <w:tcW w:w="879" w:type="pct"/>
            <w:vAlign w:val="center"/>
          </w:tcPr>
          <w:p w14:paraId="0E1BAF73">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变化量</w:t>
            </w:r>
          </w:p>
        </w:tc>
      </w:tr>
      <w:tr w14:paraId="5EEB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61" w:type="pct"/>
            <w:vMerge w:val="restart"/>
            <w:vAlign w:val="center"/>
          </w:tcPr>
          <w:p w14:paraId="338E679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废气</w:t>
            </w:r>
          </w:p>
        </w:tc>
        <w:tc>
          <w:tcPr>
            <w:tcW w:w="1099" w:type="pct"/>
            <w:shd w:val="clear" w:color="auto" w:fill="auto"/>
            <w:vAlign w:val="center"/>
          </w:tcPr>
          <w:p w14:paraId="3606340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烟尘</w:t>
            </w:r>
          </w:p>
        </w:tc>
        <w:tc>
          <w:tcPr>
            <w:tcW w:w="798" w:type="pct"/>
            <w:shd w:val="clear" w:color="auto" w:fill="auto"/>
            <w:vAlign w:val="center"/>
          </w:tcPr>
          <w:p w14:paraId="5A9C0132">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0.088</w:t>
            </w:r>
          </w:p>
        </w:tc>
        <w:tc>
          <w:tcPr>
            <w:tcW w:w="932" w:type="pct"/>
            <w:shd w:val="clear" w:color="auto" w:fill="auto"/>
            <w:vAlign w:val="center"/>
          </w:tcPr>
          <w:p w14:paraId="022CD039">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highlight w:val="none"/>
                <w:lang w:val="en-US" w:eastAsia="zh-CN"/>
              </w:rPr>
              <w:t>0.</w:t>
            </w:r>
            <w:r>
              <w:rPr>
                <w:rFonts w:hint="eastAsia" w:ascii="Times New Roman" w:hAnsi="Times New Roman" w:cs="Times New Roman"/>
                <w:szCs w:val="21"/>
                <w:highlight w:val="none"/>
                <w:lang w:val="en-US" w:eastAsia="zh-CN"/>
              </w:rPr>
              <w:t>178</w:t>
            </w:r>
          </w:p>
        </w:tc>
        <w:tc>
          <w:tcPr>
            <w:tcW w:w="828" w:type="pct"/>
            <w:shd w:val="clear" w:color="auto" w:fill="auto"/>
            <w:vAlign w:val="center"/>
          </w:tcPr>
          <w:p w14:paraId="76B3D960">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0.266</w:t>
            </w:r>
          </w:p>
        </w:tc>
        <w:tc>
          <w:tcPr>
            <w:tcW w:w="879" w:type="pct"/>
            <w:shd w:val="clear" w:color="auto" w:fill="auto"/>
            <w:vAlign w:val="center"/>
          </w:tcPr>
          <w:p w14:paraId="01B7BE6A">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highlight w:val="none"/>
                <w:lang w:val="en-US" w:eastAsia="zh-CN"/>
              </w:rPr>
              <w:t>+</w:t>
            </w:r>
            <w:r>
              <w:rPr>
                <w:rFonts w:hint="eastAsia" w:ascii="Times New Roman" w:hAnsi="Times New Roman" w:cs="Times New Roman" w:eastAsiaTheme="minorEastAsia"/>
                <w:szCs w:val="21"/>
                <w:highlight w:val="none"/>
                <w:lang w:val="en-US" w:eastAsia="zh-CN"/>
              </w:rPr>
              <w:t>0.</w:t>
            </w:r>
            <w:r>
              <w:rPr>
                <w:rFonts w:hint="eastAsia" w:ascii="Times New Roman" w:hAnsi="Times New Roman" w:cs="Times New Roman"/>
                <w:szCs w:val="21"/>
                <w:highlight w:val="none"/>
                <w:lang w:val="en-US" w:eastAsia="zh-CN"/>
              </w:rPr>
              <w:t>178</w:t>
            </w:r>
          </w:p>
        </w:tc>
      </w:tr>
      <w:tr w14:paraId="76589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Merge w:val="continue"/>
            <w:vAlign w:val="center"/>
          </w:tcPr>
          <w:p w14:paraId="10DAECF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99" w:type="pct"/>
            <w:shd w:val="clear" w:color="auto" w:fill="auto"/>
            <w:vAlign w:val="center"/>
          </w:tcPr>
          <w:p w14:paraId="25D1FDA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SO</w:t>
            </w:r>
            <w:r>
              <w:rPr>
                <w:rFonts w:hint="eastAsia" w:ascii="Times New Roman" w:hAnsi="Times New Roman" w:cs="Times New Roman" w:eastAsiaTheme="minorEastAsia"/>
                <w:szCs w:val="21"/>
                <w:vertAlign w:val="subscript"/>
                <w:lang w:val="en-US" w:eastAsia="zh-CN"/>
              </w:rPr>
              <w:t>2</w:t>
            </w:r>
          </w:p>
        </w:tc>
        <w:tc>
          <w:tcPr>
            <w:tcW w:w="798" w:type="pct"/>
            <w:shd w:val="clear" w:color="auto" w:fill="auto"/>
            <w:vAlign w:val="center"/>
          </w:tcPr>
          <w:p w14:paraId="5546F200">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0.007</w:t>
            </w:r>
          </w:p>
        </w:tc>
        <w:tc>
          <w:tcPr>
            <w:tcW w:w="932" w:type="pct"/>
            <w:shd w:val="clear" w:color="auto" w:fill="auto"/>
            <w:vAlign w:val="center"/>
          </w:tcPr>
          <w:p w14:paraId="42FA7C5E">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highlight w:val="none"/>
                <w:lang w:val="en-US" w:eastAsia="zh-CN"/>
              </w:rPr>
              <w:t>0.</w:t>
            </w:r>
            <w:r>
              <w:rPr>
                <w:rFonts w:hint="eastAsia" w:ascii="Times New Roman" w:hAnsi="Times New Roman" w:cs="Times New Roman"/>
                <w:szCs w:val="21"/>
                <w:highlight w:val="none"/>
                <w:lang w:val="en-US" w:eastAsia="zh-CN"/>
              </w:rPr>
              <w:t>255</w:t>
            </w:r>
          </w:p>
        </w:tc>
        <w:tc>
          <w:tcPr>
            <w:tcW w:w="828" w:type="pct"/>
            <w:shd w:val="clear" w:color="auto" w:fill="auto"/>
            <w:vAlign w:val="center"/>
          </w:tcPr>
          <w:p w14:paraId="60104F2F">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0.262</w:t>
            </w:r>
          </w:p>
        </w:tc>
        <w:tc>
          <w:tcPr>
            <w:tcW w:w="879" w:type="pct"/>
            <w:shd w:val="clear" w:color="auto" w:fill="auto"/>
            <w:vAlign w:val="center"/>
          </w:tcPr>
          <w:p w14:paraId="42F7A0D7">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highlight w:val="none"/>
                <w:lang w:val="en-US" w:eastAsia="zh-CN"/>
              </w:rPr>
              <w:t>+</w:t>
            </w:r>
            <w:r>
              <w:rPr>
                <w:rFonts w:hint="eastAsia" w:ascii="Times New Roman" w:hAnsi="Times New Roman" w:cs="Times New Roman" w:eastAsiaTheme="minorEastAsia"/>
                <w:szCs w:val="21"/>
                <w:highlight w:val="none"/>
                <w:lang w:val="en-US" w:eastAsia="zh-CN"/>
              </w:rPr>
              <w:t>0.</w:t>
            </w:r>
            <w:r>
              <w:rPr>
                <w:rFonts w:hint="eastAsia" w:ascii="Times New Roman" w:hAnsi="Times New Roman" w:cs="Times New Roman"/>
                <w:szCs w:val="21"/>
                <w:highlight w:val="none"/>
                <w:lang w:val="en-US" w:eastAsia="zh-CN"/>
              </w:rPr>
              <w:t>255</w:t>
            </w:r>
          </w:p>
        </w:tc>
      </w:tr>
      <w:tr w14:paraId="38ADE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Merge w:val="continue"/>
            <w:vAlign w:val="center"/>
          </w:tcPr>
          <w:p w14:paraId="076C42C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99" w:type="pct"/>
            <w:shd w:val="clear" w:color="auto" w:fill="auto"/>
            <w:vAlign w:val="center"/>
          </w:tcPr>
          <w:p w14:paraId="26C8560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NOx</w:t>
            </w:r>
          </w:p>
        </w:tc>
        <w:tc>
          <w:tcPr>
            <w:tcW w:w="798" w:type="pct"/>
            <w:shd w:val="clear" w:color="auto" w:fill="auto"/>
            <w:vAlign w:val="center"/>
          </w:tcPr>
          <w:p w14:paraId="1D7D3703">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0.164</w:t>
            </w:r>
          </w:p>
        </w:tc>
        <w:tc>
          <w:tcPr>
            <w:tcW w:w="932" w:type="pct"/>
            <w:shd w:val="clear" w:color="auto" w:fill="auto"/>
            <w:vAlign w:val="center"/>
          </w:tcPr>
          <w:p w14:paraId="253A2335">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1.252</w:t>
            </w:r>
          </w:p>
        </w:tc>
        <w:tc>
          <w:tcPr>
            <w:tcW w:w="828" w:type="pct"/>
            <w:shd w:val="clear" w:color="auto" w:fill="auto"/>
            <w:vAlign w:val="center"/>
          </w:tcPr>
          <w:p w14:paraId="0CD6DB2B">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1.416</w:t>
            </w:r>
          </w:p>
        </w:tc>
        <w:tc>
          <w:tcPr>
            <w:tcW w:w="879" w:type="pct"/>
            <w:shd w:val="clear" w:color="auto" w:fill="auto"/>
            <w:vAlign w:val="center"/>
          </w:tcPr>
          <w:p w14:paraId="48E3237C">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+1.252</w:t>
            </w:r>
          </w:p>
        </w:tc>
      </w:tr>
      <w:tr w14:paraId="56A54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Merge w:val="continue"/>
            <w:vAlign w:val="center"/>
          </w:tcPr>
          <w:p w14:paraId="1885E0C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99" w:type="pct"/>
            <w:shd w:val="clear" w:color="auto" w:fill="auto"/>
            <w:vAlign w:val="center"/>
          </w:tcPr>
          <w:p w14:paraId="16BD26A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CO</w:t>
            </w:r>
          </w:p>
        </w:tc>
        <w:tc>
          <w:tcPr>
            <w:tcW w:w="798" w:type="pct"/>
            <w:shd w:val="clear" w:color="auto" w:fill="auto"/>
            <w:vAlign w:val="center"/>
          </w:tcPr>
          <w:p w14:paraId="2CDD3C3A">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0</w:t>
            </w:r>
          </w:p>
        </w:tc>
        <w:tc>
          <w:tcPr>
            <w:tcW w:w="932" w:type="pct"/>
            <w:shd w:val="clear" w:color="auto" w:fill="auto"/>
            <w:vAlign w:val="center"/>
          </w:tcPr>
          <w:p w14:paraId="00F7D67F">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w:t>
            </w:r>
            <w:r>
              <w:rPr>
                <w:rFonts w:hint="eastAsia" w:ascii="Times New Roman" w:hAnsi="Times New Roman" w:cs="Times New Roman"/>
                <w:szCs w:val="21"/>
                <w:lang w:val="en-US" w:eastAsia="zh-CN"/>
              </w:rPr>
              <w:t>345</w:t>
            </w:r>
          </w:p>
        </w:tc>
        <w:tc>
          <w:tcPr>
            <w:tcW w:w="828" w:type="pct"/>
            <w:shd w:val="clear" w:color="auto" w:fill="auto"/>
            <w:vAlign w:val="center"/>
          </w:tcPr>
          <w:p w14:paraId="4106B7DC">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w:t>
            </w:r>
            <w:r>
              <w:rPr>
                <w:rFonts w:hint="eastAsia" w:ascii="Times New Roman" w:hAnsi="Times New Roman" w:cs="Times New Roman"/>
                <w:szCs w:val="21"/>
                <w:lang w:val="en-US" w:eastAsia="zh-CN"/>
              </w:rPr>
              <w:t>345</w:t>
            </w:r>
          </w:p>
        </w:tc>
        <w:tc>
          <w:tcPr>
            <w:tcW w:w="879" w:type="pct"/>
            <w:shd w:val="clear" w:color="auto" w:fill="auto"/>
            <w:vAlign w:val="center"/>
          </w:tcPr>
          <w:p w14:paraId="2A5489DC">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0.</w:t>
            </w:r>
            <w:r>
              <w:rPr>
                <w:rFonts w:hint="eastAsia" w:ascii="Times New Roman" w:hAnsi="Times New Roman" w:cs="Times New Roman"/>
                <w:szCs w:val="21"/>
                <w:lang w:val="en-US" w:eastAsia="zh-CN"/>
              </w:rPr>
              <w:t>345</w:t>
            </w:r>
          </w:p>
        </w:tc>
      </w:tr>
      <w:tr w14:paraId="6B010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Merge w:val="continue"/>
            <w:vAlign w:val="center"/>
          </w:tcPr>
          <w:p w14:paraId="2A6CCED7">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99" w:type="pct"/>
            <w:shd w:val="clear" w:color="auto" w:fill="auto"/>
            <w:vAlign w:val="center"/>
          </w:tcPr>
          <w:p w14:paraId="138734E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HCl</w:t>
            </w:r>
          </w:p>
        </w:tc>
        <w:tc>
          <w:tcPr>
            <w:tcW w:w="798" w:type="pct"/>
            <w:shd w:val="clear" w:color="auto" w:fill="auto"/>
            <w:vAlign w:val="center"/>
          </w:tcPr>
          <w:p w14:paraId="4A6B701A">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0</w:t>
            </w:r>
          </w:p>
        </w:tc>
        <w:tc>
          <w:tcPr>
            <w:tcW w:w="932" w:type="pct"/>
            <w:shd w:val="clear" w:color="auto" w:fill="auto"/>
            <w:vAlign w:val="center"/>
          </w:tcPr>
          <w:p w14:paraId="35784808">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0.1</w:t>
            </w:r>
            <w:r>
              <w:rPr>
                <w:rFonts w:hint="eastAsia" w:ascii="Times New Roman" w:hAnsi="Times New Roman" w:cs="Times New Roman"/>
                <w:szCs w:val="21"/>
                <w:lang w:val="en-US" w:eastAsia="zh-CN"/>
              </w:rPr>
              <w:t>44</w:t>
            </w:r>
          </w:p>
        </w:tc>
        <w:tc>
          <w:tcPr>
            <w:tcW w:w="828" w:type="pct"/>
            <w:shd w:val="clear" w:color="auto" w:fill="auto"/>
            <w:vAlign w:val="center"/>
          </w:tcPr>
          <w:p w14:paraId="1C36A771">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0.1</w:t>
            </w:r>
            <w:r>
              <w:rPr>
                <w:rFonts w:hint="eastAsia" w:ascii="Times New Roman" w:hAnsi="Times New Roman" w:cs="Times New Roman"/>
                <w:szCs w:val="21"/>
                <w:lang w:val="en-US" w:eastAsia="zh-CN"/>
              </w:rPr>
              <w:t>44</w:t>
            </w:r>
          </w:p>
        </w:tc>
        <w:tc>
          <w:tcPr>
            <w:tcW w:w="879" w:type="pct"/>
            <w:shd w:val="clear" w:color="auto" w:fill="auto"/>
            <w:vAlign w:val="center"/>
          </w:tcPr>
          <w:p w14:paraId="451E6499">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0.1</w:t>
            </w:r>
            <w:r>
              <w:rPr>
                <w:rFonts w:hint="eastAsia" w:ascii="Times New Roman" w:hAnsi="Times New Roman" w:cs="Times New Roman"/>
                <w:szCs w:val="21"/>
                <w:lang w:val="en-US" w:eastAsia="zh-CN"/>
              </w:rPr>
              <w:t>44</w:t>
            </w:r>
          </w:p>
        </w:tc>
      </w:tr>
      <w:tr w14:paraId="56121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Merge w:val="continue"/>
            <w:vAlign w:val="center"/>
          </w:tcPr>
          <w:p w14:paraId="0C0CC87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99" w:type="pct"/>
            <w:shd w:val="clear" w:color="auto" w:fill="auto"/>
            <w:vAlign w:val="center"/>
          </w:tcPr>
          <w:p w14:paraId="3CBAC86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HF</w:t>
            </w:r>
          </w:p>
        </w:tc>
        <w:tc>
          <w:tcPr>
            <w:tcW w:w="798" w:type="pct"/>
            <w:shd w:val="clear" w:color="auto" w:fill="auto"/>
            <w:vAlign w:val="center"/>
          </w:tcPr>
          <w:p w14:paraId="17F2FBCD">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0</w:t>
            </w:r>
          </w:p>
        </w:tc>
        <w:tc>
          <w:tcPr>
            <w:tcW w:w="932" w:type="pct"/>
            <w:shd w:val="clear" w:color="auto" w:fill="auto"/>
            <w:vAlign w:val="center"/>
          </w:tcPr>
          <w:p w14:paraId="2C8174BE">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0.0</w:t>
            </w:r>
            <w:r>
              <w:rPr>
                <w:rFonts w:hint="eastAsia" w:ascii="Times New Roman" w:hAnsi="Times New Roman" w:cs="Times New Roman"/>
                <w:szCs w:val="21"/>
                <w:lang w:val="en-US" w:eastAsia="zh-CN"/>
              </w:rPr>
              <w:t>4</w:t>
            </w:r>
          </w:p>
        </w:tc>
        <w:tc>
          <w:tcPr>
            <w:tcW w:w="828" w:type="pct"/>
            <w:shd w:val="clear" w:color="auto" w:fill="auto"/>
            <w:vAlign w:val="center"/>
          </w:tcPr>
          <w:p w14:paraId="761B5A45">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0.0</w:t>
            </w:r>
            <w:r>
              <w:rPr>
                <w:rFonts w:hint="eastAsia" w:ascii="Times New Roman" w:hAnsi="Times New Roman" w:cs="Times New Roman"/>
                <w:szCs w:val="21"/>
                <w:lang w:val="en-US" w:eastAsia="zh-CN"/>
              </w:rPr>
              <w:t>4</w:t>
            </w:r>
          </w:p>
        </w:tc>
        <w:tc>
          <w:tcPr>
            <w:tcW w:w="879" w:type="pct"/>
            <w:shd w:val="clear" w:color="auto" w:fill="auto"/>
            <w:vAlign w:val="center"/>
          </w:tcPr>
          <w:p w14:paraId="2C1426E1">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0.0</w:t>
            </w:r>
            <w:r>
              <w:rPr>
                <w:rFonts w:hint="eastAsia" w:ascii="Times New Roman" w:hAnsi="Times New Roman" w:cs="Times New Roman"/>
                <w:szCs w:val="21"/>
                <w:lang w:val="en-US" w:eastAsia="zh-CN"/>
              </w:rPr>
              <w:t>4</w:t>
            </w:r>
          </w:p>
        </w:tc>
      </w:tr>
      <w:tr w14:paraId="5EA36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Merge w:val="continue"/>
            <w:vAlign w:val="center"/>
          </w:tcPr>
          <w:p w14:paraId="1F330BD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99" w:type="pct"/>
            <w:shd w:val="clear" w:color="auto" w:fill="auto"/>
            <w:vAlign w:val="center"/>
          </w:tcPr>
          <w:p w14:paraId="21ECFF8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汞及其化合物</w:t>
            </w:r>
          </w:p>
        </w:tc>
        <w:tc>
          <w:tcPr>
            <w:tcW w:w="798" w:type="pct"/>
            <w:shd w:val="clear" w:color="auto" w:fill="auto"/>
            <w:vAlign w:val="center"/>
          </w:tcPr>
          <w:p w14:paraId="3E0B2F92">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0</w:t>
            </w:r>
          </w:p>
        </w:tc>
        <w:tc>
          <w:tcPr>
            <w:tcW w:w="932" w:type="pct"/>
            <w:shd w:val="clear" w:color="auto" w:fill="auto"/>
            <w:vAlign w:val="center"/>
          </w:tcPr>
          <w:p w14:paraId="6D96DBCC">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7.1</w:t>
            </w:r>
            <w:r>
              <w:rPr>
                <w:rFonts w:hint="eastAsia" w:ascii="Times New Roman" w:hAnsi="Times New Roman" w:cs="Times New Roman"/>
                <w:szCs w:val="21"/>
                <w:lang w:val="en-US" w:eastAsia="zh-CN"/>
              </w:rPr>
              <w:t>46</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8</w:t>
            </w:r>
          </w:p>
        </w:tc>
        <w:tc>
          <w:tcPr>
            <w:tcW w:w="828" w:type="pct"/>
            <w:shd w:val="clear" w:color="auto" w:fill="auto"/>
            <w:vAlign w:val="center"/>
          </w:tcPr>
          <w:p w14:paraId="28633531">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7.1</w:t>
            </w:r>
            <w:r>
              <w:rPr>
                <w:rFonts w:hint="eastAsia" w:ascii="Times New Roman" w:hAnsi="Times New Roman" w:cs="Times New Roman"/>
                <w:szCs w:val="21"/>
                <w:lang w:val="en-US" w:eastAsia="zh-CN"/>
              </w:rPr>
              <w:t>46</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8</w:t>
            </w:r>
          </w:p>
        </w:tc>
        <w:tc>
          <w:tcPr>
            <w:tcW w:w="879" w:type="pct"/>
            <w:shd w:val="clear" w:color="auto" w:fill="auto"/>
            <w:vAlign w:val="center"/>
          </w:tcPr>
          <w:p w14:paraId="3EB52559">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7.1</w:t>
            </w:r>
            <w:r>
              <w:rPr>
                <w:rFonts w:hint="eastAsia" w:ascii="Times New Roman" w:hAnsi="Times New Roman" w:cs="Times New Roman"/>
                <w:szCs w:val="21"/>
                <w:lang w:val="en-US" w:eastAsia="zh-CN"/>
              </w:rPr>
              <w:t>46</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8</w:t>
            </w:r>
          </w:p>
        </w:tc>
      </w:tr>
      <w:tr w14:paraId="6A3A5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Merge w:val="continue"/>
            <w:vAlign w:val="center"/>
          </w:tcPr>
          <w:p w14:paraId="32B5A87C">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99" w:type="pct"/>
            <w:shd w:val="clear" w:color="auto" w:fill="auto"/>
            <w:vAlign w:val="center"/>
          </w:tcPr>
          <w:p w14:paraId="38576F5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铅及其化合物</w:t>
            </w:r>
          </w:p>
        </w:tc>
        <w:tc>
          <w:tcPr>
            <w:tcW w:w="798" w:type="pct"/>
            <w:shd w:val="clear" w:color="auto" w:fill="auto"/>
            <w:vAlign w:val="center"/>
          </w:tcPr>
          <w:p w14:paraId="46AE10B1">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0</w:t>
            </w:r>
          </w:p>
        </w:tc>
        <w:tc>
          <w:tcPr>
            <w:tcW w:w="932" w:type="pct"/>
            <w:shd w:val="clear" w:color="auto" w:fill="auto"/>
            <w:vAlign w:val="center"/>
          </w:tcPr>
          <w:p w14:paraId="1200A720">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1.</w:t>
            </w:r>
            <w:r>
              <w:rPr>
                <w:rFonts w:hint="eastAsia" w:ascii="Times New Roman" w:hAnsi="Times New Roman" w:cs="Times New Roman"/>
                <w:szCs w:val="21"/>
                <w:lang w:val="en-US" w:eastAsia="zh-CN"/>
              </w:rPr>
              <w:t>284</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-4</w:t>
            </w:r>
          </w:p>
        </w:tc>
        <w:tc>
          <w:tcPr>
            <w:tcW w:w="828" w:type="pct"/>
            <w:shd w:val="clear" w:color="auto" w:fill="auto"/>
            <w:vAlign w:val="center"/>
          </w:tcPr>
          <w:p w14:paraId="45914DE8">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1.</w:t>
            </w:r>
            <w:r>
              <w:rPr>
                <w:rFonts w:hint="eastAsia" w:ascii="Times New Roman" w:hAnsi="Times New Roman" w:cs="Times New Roman"/>
                <w:szCs w:val="21"/>
                <w:lang w:val="en-US" w:eastAsia="zh-CN"/>
              </w:rPr>
              <w:t>284</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-4</w:t>
            </w:r>
          </w:p>
        </w:tc>
        <w:tc>
          <w:tcPr>
            <w:tcW w:w="879" w:type="pct"/>
            <w:shd w:val="clear" w:color="auto" w:fill="auto"/>
            <w:vAlign w:val="center"/>
          </w:tcPr>
          <w:p w14:paraId="74977B64">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1.</w:t>
            </w:r>
            <w:r>
              <w:rPr>
                <w:rFonts w:hint="eastAsia" w:ascii="Times New Roman" w:hAnsi="Times New Roman" w:cs="Times New Roman"/>
                <w:szCs w:val="21"/>
                <w:lang w:val="en-US" w:eastAsia="zh-CN"/>
              </w:rPr>
              <w:t>284</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-4</w:t>
            </w:r>
          </w:p>
        </w:tc>
      </w:tr>
      <w:tr w14:paraId="30DB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Merge w:val="continue"/>
            <w:vAlign w:val="center"/>
          </w:tcPr>
          <w:p w14:paraId="60F6F80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99" w:type="pct"/>
            <w:shd w:val="clear" w:color="auto" w:fill="auto"/>
            <w:vAlign w:val="center"/>
          </w:tcPr>
          <w:p w14:paraId="03219A7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镉及其化合物</w:t>
            </w:r>
          </w:p>
        </w:tc>
        <w:tc>
          <w:tcPr>
            <w:tcW w:w="798" w:type="pct"/>
            <w:shd w:val="clear" w:color="auto" w:fill="auto"/>
            <w:vAlign w:val="center"/>
          </w:tcPr>
          <w:p w14:paraId="3918D313">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0</w:t>
            </w:r>
          </w:p>
        </w:tc>
        <w:tc>
          <w:tcPr>
            <w:tcW w:w="932" w:type="pct"/>
            <w:shd w:val="clear" w:color="auto" w:fill="auto"/>
            <w:vAlign w:val="center"/>
          </w:tcPr>
          <w:p w14:paraId="7F21E546">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highlight w:val="none"/>
                <w:lang w:val="en-US" w:eastAsia="zh-CN"/>
              </w:rPr>
              <w:t>1.533</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-6</w:t>
            </w:r>
          </w:p>
        </w:tc>
        <w:tc>
          <w:tcPr>
            <w:tcW w:w="828" w:type="pct"/>
            <w:shd w:val="clear" w:color="auto" w:fill="auto"/>
            <w:vAlign w:val="center"/>
          </w:tcPr>
          <w:p w14:paraId="52CD6371">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highlight w:val="none"/>
                <w:lang w:val="en-US" w:eastAsia="zh-CN"/>
              </w:rPr>
              <w:t>1.533</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-6</w:t>
            </w:r>
          </w:p>
        </w:tc>
        <w:tc>
          <w:tcPr>
            <w:tcW w:w="879" w:type="pct"/>
            <w:shd w:val="clear" w:color="auto" w:fill="auto"/>
            <w:vAlign w:val="center"/>
          </w:tcPr>
          <w:p w14:paraId="01124203">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highlight w:val="none"/>
                <w:lang w:val="en-US" w:eastAsia="zh-CN"/>
              </w:rPr>
              <w:t>+1.533</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-6</w:t>
            </w:r>
          </w:p>
        </w:tc>
      </w:tr>
      <w:tr w14:paraId="0912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Merge w:val="continue"/>
            <w:vAlign w:val="center"/>
          </w:tcPr>
          <w:p w14:paraId="0DF51AE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99" w:type="pct"/>
            <w:shd w:val="clear" w:color="auto" w:fill="auto"/>
            <w:vAlign w:val="center"/>
          </w:tcPr>
          <w:p w14:paraId="2682F24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砷及其化合物</w:t>
            </w:r>
          </w:p>
        </w:tc>
        <w:tc>
          <w:tcPr>
            <w:tcW w:w="798" w:type="pct"/>
            <w:shd w:val="clear" w:color="auto" w:fill="auto"/>
            <w:vAlign w:val="center"/>
          </w:tcPr>
          <w:p w14:paraId="0B76CDA9">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0</w:t>
            </w:r>
          </w:p>
        </w:tc>
        <w:tc>
          <w:tcPr>
            <w:tcW w:w="932" w:type="pct"/>
            <w:shd w:val="clear" w:color="auto" w:fill="auto"/>
            <w:vAlign w:val="center"/>
          </w:tcPr>
          <w:p w14:paraId="18591692">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1.314</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3</w:t>
            </w:r>
          </w:p>
        </w:tc>
        <w:tc>
          <w:tcPr>
            <w:tcW w:w="828" w:type="pct"/>
            <w:shd w:val="clear" w:color="auto" w:fill="auto"/>
            <w:vAlign w:val="center"/>
          </w:tcPr>
          <w:p w14:paraId="16529AAE">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1.314</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3</w:t>
            </w:r>
          </w:p>
        </w:tc>
        <w:tc>
          <w:tcPr>
            <w:tcW w:w="879" w:type="pct"/>
            <w:shd w:val="clear" w:color="auto" w:fill="auto"/>
            <w:vAlign w:val="center"/>
          </w:tcPr>
          <w:p w14:paraId="4E66544C">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+1.314</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3</w:t>
            </w:r>
          </w:p>
        </w:tc>
      </w:tr>
      <w:tr w14:paraId="55CFE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Merge w:val="continue"/>
            <w:vAlign w:val="center"/>
          </w:tcPr>
          <w:p w14:paraId="5E24186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99" w:type="pct"/>
            <w:shd w:val="clear" w:color="auto" w:fill="auto"/>
            <w:vAlign w:val="center"/>
          </w:tcPr>
          <w:p w14:paraId="553D411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铬及其化合物</w:t>
            </w:r>
          </w:p>
        </w:tc>
        <w:tc>
          <w:tcPr>
            <w:tcW w:w="798" w:type="pct"/>
            <w:shd w:val="clear" w:color="auto" w:fill="auto"/>
            <w:vAlign w:val="center"/>
          </w:tcPr>
          <w:p w14:paraId="5225667A">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0</w:t>
            </w:r>
          </w:p>
        </w:tc>
        <w:tc>
          <w:tcPr>
            <w:tcW w:w="932" w:type="pct"/>
            <w:shd w:val="clear" w:color="auto" w:fill="auto"/>
            <w:vAlign w:val="center"/>
          </w:tcPr>
          <w:p w14:paraId="0033F896">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0.001</w:t>
            </w:r>
          </w:p>
        </w:tc>
        <w:tc>
          <w:tcPr>
            <w:tcW w:w="828" w:type="pct"/>
            <w:shd w:val="clear" w:color="auto" w:fill="auto"/>
            <w:vAlign w:val="center"/>
          </w:tcPr>
          <w:p w14:paraId="62456701">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0.001</w:t>
            </w:r>
          </w:p>
        </w:tc>
        <w:tc>
          <w:tcPr>
            <w:tcW w:w="879" w:type="pct"/>
            <w:shd w:val="clear" w:color="auto" w:fill="auto"/>
            <w:vAlign w:val="center"/>
          </w:tcPr>
          <w:p w14:paraId="19A44E86">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+0.001</w:t>
            </w:r>
          </w:p>
        </w:tc>
      </w:tr>
      <w:tr w14:paraId="2606B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Merge w:val="continue"/>
            <w:vAlign w:val="center"/>
          </w:tcPr>
          <w:p w14:paraId="35A7C3B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99" w:type="pct"/>
            <w:shd w:val="clear" w:color="auto" w:fill="auto"/>
            <w:vAlign w:val="center"/>
          </w:tcPr>
          <w:p w14:paraId="05E5940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铊及其化合物</w:t>
            </w:r>
          </w:p>
        </w:tc>
        <w:tc>
          <w:tcPr>
            <w:tcW w:w="798" w:type="pct"/>
            <w:shd w:val="clear" w:color="auto" w:fill="auto"/>
            <w:vAlign w:val="center"/>
          </w:tcPr>
          <w:p w14:paraId="547C8D9B">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0</w:t>
            </w:r>
          </w:p>
        </w:tc>
        <w:tc>
          <w:tcPr>
            <w:tcW w:w="932" w:type="pct"/>
            <w:shd w:val="clear" w:color="auto" w:fill="auto"/>
            <w:vAlign w:val="center"/>
          </w:tcPr>
          <w:p w14:paraId="2C723F99">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1.92</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6</w:t>
            </w:r>
          </w:p>
        </w:tc>
        <w:tc>
          <w:tcPr>
            <w:tcW w:w="828" w:type="pct"/>
            <w:shd w:val="clear" w:color="auto" w:fill="auto"/>
            <w:vAlign w:val="center"/>
          </w:tcPr>
          <w:p w14:paraId="64891EB7">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1.92</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6</w:t>
            </w:r>
          </w:p>
        </w:tc>
        <w:tc>
          <w:tcPr>
            <w:tcW w:w="879" w:type="pct"/>
            <w:shd w:val="clear" w:color="auto" w:fill="auto"/>
            <w:vAlign w:val="center"/>
          </w:tcPr>
          <w:p w14:paraId="52965AF8">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+1.92</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6</w:t>
            </w:r>
          </w:p>
        </w:tc>
      </w:tr>
      <w:tr w14:paraId="2802B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Merge w:val="continue"/>
            <w:vAlign w:val="center"/>
          </w:tcPr>
          <w:p w14:paraId="488AC5B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99" w:type="pct"/>
            <w:shd w:val="clear" w:color="auto" w:fill="auto"/>
            <w:vAlign w:val="center"/>
          </w:tcPr>
          <w:p w14:paraId="31ECF72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Sn+Sb+Cu+Mn+Ni</w:t>
            </w:r>
          </w:p>
        </w:tc>
        <w:tc>
          <w:tcPr>
            <w:tcW w:w="798" w:type="pct"/>
            <w:shd w:val="clear" w:color="auto" w:fill="auto"/>
            <w:vAlign w:val="center"/>
          </w:tcPr>
          <w:p w14:paraId="7D9CD6C3">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0</w:t>
            </w:r>
          </w:p>
        </w:tc>
        <w:tc>
          <w:tcPr>
            <w:tcW w:w="932" w:type="pct"/>
            <w:shd w:val="clear" w:color="auto" w:fill="auto"/>
            <w:vAlign w:val="center"/>
          </w:tcPr>
          <w:p w14:paraId="5E044254">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highlight w:val="none"/>
                <w:lang w:val="en-US" w:eastAsia="zh-CN"/>
              </w:rPr>
              <w:t>7.150</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-4</w:t>
            </w:r>
          </w:p>
        </w:tc>
        <w:tc>
          <w:tcPr>
            <w:tcW w:w="828" w:type="pct"/>
            <w:shd w:val="clear" w:color="auto" w:fill="auto"/>
            <w:vAlign w:val="center"/>
          </w:tcPr>
          <w:p w14:paraId="2ED59CCE">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highlight w:val="none"/>
                <w:lang w:val="en-US" w:eastAsia="zh-CN"/>
              </w:rPr>
              <w:t>7.150</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-4</w:t>
            </w:r>
          </w:p>
        </w:tc>
        <w:tc>
          <w:tcPr>
            <w:tcW w:w="879" w:type="pct"/>
            <w:shd w:val="clear" w:color="auto" w:fill="auto"/>
            <w:vAlign w:val="center"/>
          </w:tcPr>
          <w:p w14:paraId="1A52834D">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highlight w:val="none"/>
                <w:lang w:val="en-US" w:eastAsia="zh-CN"/>
              </w:rPr>
              <w:t>+7.150</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-4</w:t>
            </w:r>
          </w:p>
        </w:tc>
      </w:tr>
      <w:tr w14:paraId="6C1B2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Merge w:val="continue"/>
            <w:vAlign w:val="center"/>
          </w:tcPr>
          <w:p w14:paraId="6AA1C41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99" w:type="pct"/>
            <w:shd w:val="clear" w:color="auto" w:fill="auto"/>
            <w:vAlign w:val="center"/>
          </w:tcPr>
          <w:p w14:paraId="4560A8E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二噁英类</w:t>
            </w:r>
          </w:p>
        </w:tc>
        <w:tc>
          <w:tcPr>
            <w:tcW w:w="798" w:type="pct"/>
            <w:shd w:val="clear" w:color="auto" w:fill="auto"/>
            <w:vAlign w:val="center"/>
          </w:tcPr>
          <w:p w14:paraId="432BC6D2">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0</w:t>
            </w:r>
          </w:p>
        </w:tc>
        <w:tc>
          <w:tcPr>
            <w:tcW w:w="932" w:type="pct"/>
            <w:shd w:val="clear" w:color="auto" w:fill="auto"/>
            <w:vAlign w:val="center"/>
          </w:tcPr>
          <w:p w14:paraId="476BC463">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highlight w:val="none"/>
                <w:lang w:val="en-US" w:eastAsia="zh-CN"/>
              </w:rPr>
              <w:t>5.034</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-11</w:t>
            </w:r>
          </w:p>
        </w:tc>
        <w:tc>
          <w:tcPr>
            <w:tcW w:w="828" w:type="pct"/>
            <w:shd w:val="clear" w:color="auto" w:fill="auto"/>
            <w:vAlign w:val="center"/>
          </w:tcPr>
          <w:p w14:paraId="0CECEB3F">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highlight w:val="none"/>
                <w:lang w:val="en-US" w:eastAsia="zh-CN"/>
              </w:rPr>
              <w:t>5.034</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-11</w:t>
            </w:r>
          </w:p>
        </w:tc>
        <w:tc>
          <w:tcPr>
            <w:tcW w:w="879" w:type="pct"/>
            <w:shd w:val="clear" w:color="auto" w:fill="auto"/>
            <w:vAlign w:val="center"/>
          </w:tcPr>
          <w:p w14:paraId="7AE83866">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highlight w:val="none"/>
                <w:lang w:val="en-US" w:eastAsia="zh-CN"/>
              </w:rPr>
              <w:t>+5.034</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-11</w:t>
            </w:r>
          </w:p>
        </w:tc>
      </w:tr>
      <w:tr w14:paraId="75A70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61" w:type="pct"/>
            <w:vMerge w:val="continue"/>
            <w:vAlign w:val="center"/>
          </w:tcPr>
          <w:p w14:paraId="6E244F43">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99" w:type="pct"/>
            <w:vAlign w:val="center"/>
          </w:tcPr>
          <w:p w14:paraId="5D5B741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H</w:t>
            </w:r>
            <w:r>
              <w:rPr>
                <w:rFonts w:hint="eastAsia" w:ascii="Times New Roman" w:hAnsi="Times New Roman" w:cs="Times New Roman" w:eastAsiaTheme="minorEastAsia"/>
                <w:szCs w:val="21"/>
                <w:highlight w:val="none"/>
                <w:vertAlign w:val="subscript"/>
                <w:lang w:val="en-US" w:eastAsia="zh-CN"/>
              </w:rPr>
              <w:t>2</w:t>
            </w:r>
            <w:r>
              <w:rPr>
                <w:rFonts w:hint="eastAsia" w:ascii="Times New Roman" w:hAnsi="Times New Roman" w:cs="Times New Roman" w:eastAsiaTheme="minorEastAsia"/>
                <w:szCs w:val="21"/>
                <w:highlight w:val="none"/>
                <w:lang w:val="en-US" w:eastAsia="zh-CN"/>
              </w:rPr>
              <w:t>S</w:t>
            </w:r>
          </w:p>
        </w:tc>
        <w:tc>
          <w:tcPr>
            <w:tcW w:w="798" w:type="pct"/>
            <w:vAlign w:val="center"/>
          </w:tcPr>
          <w:p w14:paraId="24F0079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0.044</w:t>
            </w:r>
          </w:p>
        </w:tc>
        <w:tc>
          <w:tcPr>
            <w:tcW w:w="932" w:type="pct"/>
            <w:shd w:val="clear" w:color="auto" w:fill="auto"/>
            <w:vAlign w:val="center"/>
          </w:tcPr>
          <w:p w14:paraId="3F0238D5">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4.678</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w:t>
            </w:r>
            <w:r>
              <w:rPr>
                <w:rFonts w:hint="eastAsia" w:ascii="Times New Roman" w:hAnsi="Times New Roman" w:cs="Times New Roman"/>
                <w:szCs w:val="21"/>
                <w:highlight w:val="none"/>
                <w:vertAlign w:val="superscript"/>
                <w:lang w:val="en-US" w:eastAsia="zh-CN"/>
              </w:rPr>
              <w:t>3</w:t>
            </w:r>
          </w:p>
        </w:tc>
        <w:tc>
          <w:tcPr>
            <w:tcW w:w="828" w:type="pct"/>
            <w:shd w:val="clear" w:color="auto" w:fill="auto"/>
            <w:vAlign w:val="center"/>
          </w:tcPr>
          <w:p w14:paraId="35236A08">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4.868×10</w:t>
            </w:r>
            <w:r>
              <w:rPr>
                <w:rFonts w:hint="eastAsia" w:ascii="Times New Roman" w:hAnsi="Times New Roman" w:cs="Times New Roman"/>
                <w:kern w:val="2"/>
                <w:sz w:val="21"/>
                <w:szCs w:val="21"/>
                <w:highlight w:val="none"/>
                <w:vertAlign w:val="superscript"/>
                <w:lang w:val="en-US" w:eastAsia="zh-CN" w:bidi="ar-SA"/>
              </w:rPr>
              <w:t>-2</w:t>
            </w:r>
          </w:p>
        </w:tc>
        <w:tc>
          <w:tcPr>
            <w:tcW w:w="879" w:type="pct"/>
            <w:shd w:val="clear" w:color="auto" w:fill="auto"/>
            <w:vAlign w:val="center"/>
          </w:tcPr>
          <w:p w14:paraId="6913F4CD">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+4.678</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w:t>
            </w:r>
            <w:r>
              <w:rPr>
                <w:rFonts w:hint="eastAsia" w:ascii="Times New Roman" w:hAnsi="Times New Roman" w:cs="Times New Roman"/>
                <w:szCs w:val="21"/>
                <w:highlight w:val="none"/>
                <w:vertAlign w:val="superscript"/>
                <w:lang w:val="en-US" w:eastAsia="zh-CN"/>
              </w:rPr>
              <w:t>3</w:t>
            </w:r>
          </w:p>
        </w:tc>
      </w:tr>
      <w:tr w14:paraId="088C5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Merge w:val="continue"/>
            <w:vAlign w:val="center"/>
          </w:tcPr>
          <w:p w14:paraId="5D6D37FA">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99" w:type="pct"/>
            <w:vAlign w:val="center"/>
          </w:tcPr>
          <w:p w14:paraId="1BFB0CB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NH</w:t>
            </w:r>
            <w:r>
              <w:rPr>
                <w:rFonts w:hint="eastAsia" w:ascii="Times New Roman" w:hAnsi="Times New Roman" w:cs="Times New Roman" w:eastAsiaTheme="minorEastAsia"/>
                <w:szCs w:val="21"/>
                <w:highlight w:val="none"/>
                <w:vertAlign w:val="subscript"/>
                <w:lang w:val="en-US" w:eastAsia="zh-CN"/>
              </w:rPr>
              <w:t>3</w:t>
            </w:r>
          </w:p>
        </w:tc>
        <w:tc>
          <w:tcPr>
            <w:tcW w:w="798" w:type="pct"/>
            <w:vAlign w:val="center"/>
          </w:tcPr>
          <w:p w14:paraId="332DCE4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0.011</w:t>
            </w:r>
          </w:p>
        </w:tc>
        <w:tc>
          <w:tcPr>
            <w:tcW w:w="932" w:type="pct"/>
            <w:shd w:val="clear" w:color="auto" w:fill="auto"/>
            <w:vAlign w:val="center"/>
          </w:tcPr>
          <w:p w14:paraId="26F10353">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3.711×10</w:t>
            </w:r>
            <w:r>
              <w:rPr>
                <w:rFonts w:hint="eastAsia" w:ascii="Times New Roman" w:hAnsi="Times New Roman" w:cs="Times New Roman"/>
                <w:szCs w:val="21"/>
                <w:highlight w:val="none"/>
                <w:vertAlign w:val="superscript"/>
                <w:lang w:val="en-US" w:eastAsia="zh-CN"/>
              </w:rPr>
              <w:t>-3</w:t>
            </w:r>
          </w:p>
        </w:tc>
        <w:tc>
          <w:tcPr>
            <w:tcW w:w="828" w:type="pct"/>
            <w:shd w:val="clear" w:color="auto" w:fill="auto"/>
            <w:vAlign w:val="center"/>
          </w:tcPr>
          <w:p w14:paraId="55D61A03">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1.471×10</w:t>
            </w:r>
            <w:r>
              <w:rPr>
                <w:rFonts w:hint="eastAsia" w:ascii="Times New Roman" w:hAnsi="Times New Roman" w:cs="Times New Roman"/>
                <w:kern w:val="2"/>
                <w:sz w:val="21"/>
                <w:szCs w:val="21"/>
                <w:highlight w:val="none"/>
                <w:vertAlign w:val="superscript"/>
                <w:lang w:val="en-US" w:eastAsia="zh-CN" w:bidi="ar-SA"/>
              </w:rPr>
              <w:t>-2</w:t>
            </w:r>
          </w:p>
        </w:tc>
        <w:tc>
          <w:tcPr>
            <w:tcW w:w="879" w:type="pct"/>
            <w:shd w:val="clear" w:color="auto" w:fill="auto"/>
            <w:vAlign w:val="center"/>
          </w:tcPr>
          <w:p w14:paraId="688E0A64">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+3.711×10</w:t>
            </w:r>
            <w:r>
              <w:rPr>
                <w:rFonts w:hint="eastAsia" w:ascii="Times New Roman" w:hAnsi="Times New Roman" w:cs="Times New Roman"/>
                <w:szCs w:val="21"/>
                <w:highlight w:val="none"/>
                <w:vertAlign w:val="superscript"/>
                <w:lang w:val="en-US" w:eastAsia="zh-CN"/>
              </w:rPr>
              <w:t>-3</w:t>
            </w:r>
          </w:p>
        </w:tc>
      </w:tr>
      <w:tr w14:paraId="0B09B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Merge w:val="restart"/>
            <w:vAlign w:val="center"/>
          </w:tcPr>
          <w:p w14:paraId="2A65478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废水</w:t>
            </w:r>
          </w:p>
        </w:tc>
        <w:tc>
          <w:tcPr>
            <w:tcW w:w="1099" w:type="pct"/>
            <w:shd w:val="clear" w:color="auto" w:fill="auto"/>
            <w:vAlign w:val="center"/>
          </w:tcPr>
          <w:p w14:paraId="682D108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COD</w:t>
            </w:r>
          </w:p>
        </w:tc>
        <w:tc>
          <w:tcPr>
            <w:tcW w:w="798" w:type="pct"/>
            <w:shd w:val="clear" w:color="auto" w:fill="auto"/>
            <w:vAlign w:val="center"/>
          </w:tcPr>
          <w:p w14:paraId="4C1F7FE7">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0.164</w:t>
            </w:r>
          </w:p>
        </w:tc>
        <w:tc>
          <w:tcPr>
            <w:tcW w:w="1708" w:type="dxa"/>
            <w:vAlign w:val="center"/>
          </w:tcPr>
          <w:p w14:paraId="5D97E13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0.036</w:t>
            </w:r>
          </w:p>
        </w:tc>
        <w:tc>
          <w:tcPr>
            <w:tcW w:w="828" w:type="pct"/>
            <w:shd w:val="clear" w:color="auto" w:fill="auto"/>
            <w:vAlign w:val="center"/>
          </w:tcPr>
          <w:p w14:paraId="2E710FF9">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0.2</w:t>
            </w:r>
          </w:p>
        </w:tc>
        <w:tc>
          <w:tcPr>
            <w:tcW w:w="1612" w:type="dxa"/>
            <w:shd w:val="clear" w:color="auto" w:fill="auto"/>
            <w:vAlign w:val="center"/>
          </w:tcPr>
          <w:p w14:paraId="4FA4F56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+0.036</w:t>
            </w:r>
          </w:p>
        </w:tc>
      </w:tr>
      <w:tr w14:paraId="6A01A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Merge w:val="continue"/>
            <w:vAlign w:val="center"/>
          </w:tcPr>
          <w:p w14:paraId="06988F5A">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99" w:type="pct"/>
            <w:shd w:val="clear" w:color="auto" w:fill="auto"/>
            <w:vAlign w:val="center"/>
          </w:tcPr>
          <w:p w14:paraId="50DAB17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BOD</w:t>
            </w:r>
            <w:r>
              <w:rPr>
                <w:rFonts w:hint="eastAsia" w:ascii="Times New Roman" w:hAnsi="Times New Roman" w:cs="Times New Roman" w:eastAsiaTheme="minorEastAsia"/>
                <w:szCs w:val="21"/>
                <w:vertAlign w:val="subscript"/>
                <w:lang w:val="en-US" w:eastAsia="zh-CN"/>
              </w:rPr>
              <w:t>5</w:t>
            </w:r>
          </w:p>
        </w:tc>
        <w:tc>
          <w:tcPr>
            <w:tcW w:w="798" w:type="pct"/>
            <w:shd w:val="clear" w:color="auto" w:fill="auto"/>
            <w:vAlign w:val="center"/>
          </w:tcPr>
          <w:p w14:paraId="68D65591">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0.055</w:t>
            </w:r>
          </w:p>
        </w:tc>
        <w:tc>
          <w:tcPr>
            <w:tcW w:w="1708" w:type="dxa"/>
            <w:vAlign w:val="center"/>
          </w:tcPr>
          <w:p w14:paraId="78238B1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0.007</w:t>
            </w:r>
          </w:p>
        </w:tc>
        <w:tc>
          <w:tcPr>
            <w:tcW w:w="828" w:type="pct"/>
            <w:shd w:val="clear" w:color="auto" w:fill="auto"/>
            <w:vAlign w:val="center"/>
          </w:tcPr>
          <w:p w14:paraId="7BBF6AD9">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0.062</w:t>
            </w:r>
          </w:p>
        </w:tc>
        <w:tc>
          <w:tcPr>
            <w:tcW w:w="1612" w:type="dxa"/>
            <w:shd w:val="clear" w:color="auto" w:fill="auto"/>
            <w:vAlign w:val="center"/>
          </w:tcPr>
          <w:p w14:paraId="16D6596C">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+0.007</w:t>
            </w:r>
          </w:p>
        </w:tc>
      </w:tr>
      <w:tr w14:paraId="40E1B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Merge w:val="continue"/>
            <w:vAlign w:val="center"/>
          </w:tcPr>
          <w:p w14:paraId="3F7BE9F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99" w:type="pct"/>
            <w:shd w:val="clear" w:color="auto" w:fill="auto"/>
            <w:vAlign w:val="center"/>
          </w:tcPr>
          <w:p w14:paraId="0BE9A5F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SS</w:t>
            </w:r>
          </w:p>
        </w:tc>
        <w:tc>
          <w:tcPr>
            <w:tcW w:w="798" w:type="pct"/>
            <w:shd w:val="clear" w:color="auto" w:fill="auto"/>
            <w:vAlign w:val="center"/>
          </w:tcPr>
          <w:p w14:paraId="216A7CCB">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0.055</w:t>
            </w:r>
          </w:p>
        </w:tc>
        <w:tc>
          <w:tcPr>
            <w:tcW w:w="1708" w:type="dxa"/>
            <w:vAlign w:val="center"/>
          </w:tcPr>
          <w:p w14:paraId="616B749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0.015</w:t>
            </w:r>
          </w:p>
        </w:tc>
        <w:tc>
          <w:tcPr>
            <w:tcW w:w="828" w:type="pct"/>
            <w:shd w:val="clear" w:color="auto" w:fill="auto"/>
            <w:vAlign w:val="center"/>
          </w:tcPr>
          <w:p w14:paraId="643D88D1">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0.07</w:t>
            </w:r>
          </w:p>
        </w:tc>
        <w:tc>
          <w:tcPr>
            <w:tcW w:w="1612" w:type="dxa"/>
            <w:shd w:val="clear" w:color="auto" w:fill="auto"/>
            <w:vAlign w:val="center"/>
          </w:tcPr>
          <w:p w14:paraId="7B0EF58E">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+0.015</w:t>
            </w:r>
          </w:p>
        </w:tc>
      </w:tr>
      <w:tr w14:paraId="43BDF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Merge w:val="continue"/>
            <w:vAlign w:val="center"/>
          </w:tcPr>
          <w:p w14:paraId="1D0ACD5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99" w:type="pct"/>
            <w:shd w:val="clear" w:color="auto" w:fill="auto"/>
            <w:vAlign w:val="center"/>
          </w:tcPr>
          <w:p w14:paraId="18475D9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NH</w:t>
            </w:r>
            <w:r>
              <w:rPr>
                <w:rFonts w:hint="eastAsia" w:ascii="Times New Roman" w:hAnsi="Times New Roman" w:cs="Times New Roman" w:eastAsiaTheme="minorEastAsia"/>
                <w:szCs w:val="21"/>
                <w:vertAlign w:val="subscript"/>
                <w:lang w:val="en-US" w:eastAsia="zh-CN"/>
              </w:rPr>
              <w:t>3</w:t>
            </w:r>
            <w:r>
              <w:rPr>
                <w:rFonts w:hint="eastAsia" w:ascii="Times New Roman" w:hAnsi="Times New Roman" w:cs="Times New Roman" w:eastAsiaTheme="minorEastAsia"/>
                <w:szCs w:val="21"/>
                <w:lang w:val="en-US" w:eastAsia="zh-CN"/>
              </w:rPr>
              <w:t>-N</w:t>
            </w:r>
          </w:p>
        </w:tc>
        <w:tc>
          <w:tcPr>
            <w:tcW w:w="798" w:type="pct"/>
            <w:shd w:val="clear" w:color="auto" w:fill="auto"/>
            <w:vAlign w:val="center"/>
          </w:tcPr>
          <w:p w14:paraId="613E3675">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0.41</w:t>
            </w:r>
          </w:p>
        </w:tc>
        <w:tc>
          <w:tcPr>
            <w:tcW w:w="1708" w:type="dxa"/>
            <w:vAlign w:val="center"/>
          </w:tcPr>
          <w:p w14:paraId="4366107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0.004</w:t>
            </w:r>
          </w:p>
        </w:tc>
        <w:tc>
          <w:tcPr>
            <w:tcW w:w="828" w:type="pct"/>
            <w:shd w:val="clear" w:color="auto" w:fill="auto"/>
            <w:vAlign w:val="center"/>
          </w:tcPr>
          <w:p w14:paraId="59E5162E">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0.414</w:t>
            </w:r>
          </w:p>
        </w:tc>
        <w:tc>
          <w:tcPr>
            <w:tcW w:w="1612" w:type="dxa"/>
            <w:shd w:val="clear" w:color="auto" w:fill="auto"/>
            <w:vAlign w:val="center"/>
          </w:tcPr>
          <w:p w14:paraId="236E6D75">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+0.004</w:t>
            </w:r>
          </w:p>
        </w:tc>
      </w:tr>
      <w:tr w14:paraId="65782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Merge w:val="continue"/>
            <w:vAlign w:val="center"/>
          </w:tcPr>
          <w:p w14:paraId="1AA6AB3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99" w:type="pct"/>
            <w:shd w:val="clear" w:color="auto" w:fill="auto"/>
            <w:vAlign w:val="center"/>
          </w:tcPr>
          <w:p w14:paraId="1105E7F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Hg</w:t>
            </w:r>
          </w:p>
        </w:tc>
        <w:tc>
          <w:tcPr>
            <w:tcW w:w="798" w:type="pct"/>
            <w:shd w:val="clear" w:color="auto" w:fill="auto"/>
            <w:vAlign w:val="center"/>
          </w:tcPr>
          <w:p w14:paraId="55501470">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0</w:t>
            </w:r>
          </w:p>
        </w:tc>
        <w:tc>
          <w:tcPr>
            <w:tcW w:w="1708" w:type="dxa"/>
            <w:vAlign w:val="center"/>
          </w:tcPr>
          <w:p w14:paraId="363DC3D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2.907×10</w:t>
            </w:r>
            <w:r>
              <w:rPr>
                <w:rFonts w:hint="eastAsia" w:ascii="Times New Roman" w:hAnsi="Times New Roman" w:cs="Times New Roman"/>
                <w:szCs w:val="21"/>
                <w:vertAlign w:val="superscript"/>
                <w:lang w:val="en-US" w:eastAsia="zh-CN"/>
              </w:rPr>
              <w:t>-6</w:t>
            </w:r>
          </w:p>
        </w:tc>
        <w:tc>
          <w:tcPr>
            <w:tcW w:w="1518" w:type="dxa"/>
            <w:shd w:val="clear" w:color="auto" w:fill="auto"/>
            <w:vAlign w:val="center"/>
          </w:tcPr>
          <w:p w14:paraId="0264AA4C">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2.907×10</w:t>
            </w:r>
            <w:r>
              <w:rPr>
                <w:rFonts w:hint="eastAsia" w:ascii="Times New Roman" w:hAnsi="Times New Roman" w:cs="Times New Roman"/>
                <w:szCs w:val="21"/>
                <w:vertAlign w:val="superscript"/>
                <w:lang w:val="en-US" w:eastAsia="zh-CN"/>
              </w:rPr>
              <w:t>-6</w:t>
            </w:r>
          </w:p>
        </w:tc>
        <w:tc>
          <w:tcPr>
            <w:tcW w:w="1612" w:type="dxa"/>
            <w:shd w:val="clear" w:color="auto" w:fill="auto"/>
            <w:vAlign w:val="center"/>
          </w:tcPr>
          <w:p w14:paraId="1A5DE1B9">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+2.907×10</w:t>
            </w:r>
            <w:r>
              <w:rPr>
                <w:rFonts w:hint="eastAsia" w:ascii="Times New Roman" w:hAnsi="Times New Roman" w:cs="Times New Roman"/>
                <w:szCs w:val="21"/>
                <w:vertAlign w:val="superscript"/>
                <w:lang w:val="en-US" w:eastAsia="zh-CN"/>
              </w:rPr>
              <w:t>-6</w:t>
            </w:r>
          </w:p>
        </w:tc>
      </w:tr>
      <w:tr w14:paraId="2F869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Merge w:val="continue"/>
            <w:vAlign w:val="center"/>
          </w:tcPr>
          <w:p w14:paraId="71FBD9E7">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99" w:type="pct"/>
            <w:shd w:val="clear" w:color="auto" w:fill="auto"/>
            <w:vAlign w:val="center"/>
          </w:tcPr>
          <w:p w14:paraId="4C219F8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Cd</w:t>
            </w:r>
          </w:p>
        </w:tc>
        <w:tc>
          <w:tcPr>
            <w:tcW w:w="798" w:type="pct"/>
            <w:shd w:val="clear" w:color="auto" w:fill="auto"/>
            <w:vAlign w:val="center"/>
          </w:tcPr>
          <w:p w14:paraId="1D70B2E5">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0</w:t>
            </w:r>
          </w:p>
        </w:tc>
        <w:tc>
          <w:tcPr>
            <w:tcW w:w="1708" w:type="dxa"/>
            <w:vAlign w:val="center"/>
          </w:tcPr>
          <w:p w14:paraId="185FBCC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1.09×10</w:t>
            </w:r>
            <w:r>
              <w:rPr>
                <w:rFonts w:hint="eastAsia" w:ascii="Times New Roman" w:hAnsi="Times New Roman" w:cs="Times New Roman"/>
                <w:szCs w:val="21"/>
                <w:vertAlign w:val="superscript"/>
                <w:lang w:val="en-US" w:eastAsia="zh-CN"/>
              </w:rPr>
              <w:t>-5</w:t>
            </w:r>
          </w:p>
        </w:tc>
        <w:tc>
          <w:tcPr>
            <w:tcW w:w="1518" w:type="dxa"/>
            <w:shd w:val="clear" w:color="auto" w:fill="auto"/>
            <w:vAlign w:val="center"/>
          </w:tcPr>
          <w:p w14:paraId="3AC8F5C2">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1.09×10</w:t>
            </w:r>
            <w:r>
              <w:rPr>
                <w:rFonts w:hint="eastAsia" w:ascii="Times New Roman" w:hAnsi="Times New Roman" w:cs="Times New Roman"/>
                <w:szCs w:val="21"/>
                <w:vertAlign w:val="superscript"/>
                <w:lang w:val="en-US" w:eastAsia="zh-CN"/>
              </w:rPr>
              <w:t>-5</w:t>
            </w:r>
          </w:p>
        </w:tc>
        <w:tc>
          <w:tcPr>
            <w:tcW w:w="1612" w:type="dxa"/>
            <w:shd w:val="clear" w:color="auto" w:fill="auto"/>
            <w:vAlign w:val="center"/>
          </w:tcPr>
          <w:p w14:paraId="1FBE9021">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+1.09×10</w:t>
            </w:r>
            <w:r>
              <w:rPr>
                <w:rFonts w:hint="eastAsia" w:ascii="Times New Roman" w:hAnsi="Times New Roman" w:cs="Times New Roman"/>
                <w:szCs w:val="21"/>
                <w:vertAlign w:val="superscript"/>
                <w:lang w:val="en-US" w:eastAsia="zh-CN"/>
              </w:rPr>
              <w:t>-5</w:t>
            </w:r>
          </w:p>
        </w:tc>
      </w:tr>
      <w:tr w14:paraId="4166F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Merge w:val="continue"/>
            <w:vAlign w:val="center"/>
          </w:tcPr>
          <w:p w14:paraId="79B0C497">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99" w:type="pct"/>
            <w:shd w:val="clear" w:color="auto" w:fill="auto"/>
            <w:vAlign w:val="center"/>
          </w:tcPr>
          <w:p w14:paraId="31DFE49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Pb</w:t>
            </w:r>
          </w:p>
        </w:tc>
        <w:tc>
          <w:tcPr>
            <w:tcW w:w="798" w:type="pct"/>
            <w:shd w:val="clear" w:color="auto" w:fill="auto"/>
            <w:vAlign w:val="center"/>
          </w:tcPr>
          <w:p w14:paraId="6A2E65B4">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0</w:t>
            </w:r>
          </w:p>
        </w:tc>
        <w:tc>
          <w:tcPr>
            <w:tcW w:w="1708" w:type="dxa"/>
            <w:vAlign w:val="center"/>
          </w:tcPr>
          <w:p w14:paraId="1BCF89C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4.433×10</w:t>
            </w:r>
            <w:r>
              <w:rPr>
                <w:rFonts w:hint="eastAsia" w:ascii="Times New Roman" w:hAnsi="Times New Roman" w:cs="Times New Roman"/>
                <w:szCs w:val="21"/>
                <w:vertAlign w:val="superscript"/>
                <w:lang w:val="en-US" w:eastAsia="zh-CN"/>
              </w:rPr>
              <w:t>-5</w:t>
            </w:r>
          </w:p>
        </w:tc>
        <w:tc>
          <w:tcPr>
            <w:tcW w:w="1518" w:type="dxa"/>
            <w:shd w:val="clear" w:color="auto" w:fill="auto"/>
            <w:vAlign w:val="center"/>
          </w:tcPr>
          <w:p w14:paraId="4E5F68C9">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4.433×10</w:t>
            </w:r>
            <w:r>
              <w:rPr>
                <w:rFonts w:hint="eastAsia" w:ascii="Times New Roman" w:hAnsi="Times New Roman" w:cs="Times New Roman"/>
                <w:szCs w:val="21"/>
                <w:vertAlign w:val="superscript"/>
                <w:lang w:val="en-US" w:eastAsia="zh-CN"/>
              </w:rPr>
              <w:t>-5</w:t>
            </w:r>
          </w:p>
        </w:tc>
        <w:tc>
          <w:tcPr>
            <w:tcW w:w="1612" w:type="dxa"/>
            <w:shd w:val="clear" w:color="auto" w:fill="auto"/>
            <w:vAlign w:val="center"/>
          </w:tcPr>
          <w:p w14:paraId="5A7F441A">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+4.433×10</w:t>
            </w:r>
            <w:r>
              <w:rPr>
                <w:rFonts w:hint="eastAsia" w:ascii="Times New Roman" w:hAnsi="Times New Roman" w:cs="Times New Roman"/>
                <w:szCs w:val="21"/>
                <w:vertAlign w:val="superscript"/>
                <w:lang w:val="en-US" w:eastAsia="zh-CN"/>
              </w:rPr>
              <w:t>-5</w:t>
            </w:r>
          </w:p>
        </w:tc>
      </w:tr>
      <w:tr w14:paraId="49D01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Merge w:val="continue"/>
            <w:vAlign w:val="center"/>
          </w:tcPr>
          <w:p w14:paraId="2A37996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99" w:type="pct"/>
            <w:shd w:val="clear" w:color="auto" w:fill="auto"/>
            <w:vAlign w:val="center"/>
          </w:tcPr>
          <w:p w14:paraId="62FC73F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As</w:t>
            </w:r>
          </w:p>
        </w:tc>
        <w:tc>
          <w:tcPr>
            <w:tcW w:w="798" w:type="pct"/>
            <w:shd w:val="clear" w:color="auto" w:fill="auto"/>
            <w:vAlign w:val="center"/>
          </w:tcPr>
          <w:p w14:paraId="4831671E">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0</w:t>
            </w:r>
          </w:p>
        </w:tc>
        <w:tc>
          <w:tcPr>
            <w:tcW w:w="1708" w:type="dxa"/>
            <w:vAlign w:val="center"/>
          </w:tcPr>
          <w:p w14:paraId="46C15EC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5.523×10</w:t>
            </w:r>
            <w:r>
              <w:rPr>
                <w:rFonts w:hint="eastAsia" w:ascii="Times New Roman" w:hAnsi="Times New Roman" w:cs="Times New Roman"/>
                <w:szCs w:val="21"/>
                <w:vertAlign w:val="superscript"/>
                <w:lang w:val="en-US" w:eastAsia="zh-CN"/>
              </w:rPr>
              <w:t>-5</w:t>
            </w:r>
          </w:p>
        </w:tc>
        <w:tc>
          <w:tcPr>
            <w:tcW w:w="1518" w:type="dxa"/>
            <w:shd w:val="clear" w:color="auto" w:fill="auto"/>
            <w:vAlign w:val="center"/>
          </w:tcPr>
          <w:p w14:paraId="67671721">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5.523×10</w:t>
            </w:r>
            <w:r>
              <w:rPr>
                <w:rFonts w:hint="eastAsia" w:ascii="Times New Roman" w:hAnsi="Times New Roman" w:cs="Times New Roman"/>
                <w:szCs w:val="21"/>
                <w:vertAlign w:val="superscript"/>
                <w:lang w:val="en-US" w:eastAsia="zh-CN"/>
              </w:rPr>
              <w:t>-5</w:t>
            </w:r>
          </w:p>
        </w:tc>
        <w:tc>
          <w:tcPr>
            <w:tcW w:w="1612" w:type="dxa"/>
            <w:shd w:val="clear" w:color="auto" w:fill="auto"/>
            <w:vAlign w:val="center"/>
          </w:tcPr>
          <w:p w14:paraId="4CE0B459">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+5.523×10</w:t>
            </w:r>
            <w:r>
              <w:rPr>
                <w:rFonts w:hint="eastAsia" w:ascii="Times New Roman" w:hAnsi="Times New Roman" w:cs="Times New Roman"/>
                <w:szCs w:val="21"/>
                <w:vertAlign w:val="superscript"/>
                <w:lang w:val="en-US" w:eastAsia="zh-CN"/>
              </w:rPr>
              <w:t>-5</w:t>
            </w:r>
          </w:p>
        </w:tc>
      </w:tr>
      <w:tr w14:paraId="548F0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Merge w:val="continue"/>
            <w:vAlign w:val="center"/>
          </w:tcPr>
          <w:p w14:paraId="02EBDD0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99" w:type="pct"/>
            <w:shd w:val="clear" w:color="auto" w:fill="auto"/>
            <w:vAlign w:val="center"/>
          </w:tcPr>
          <w:p w14:paraId="7DB0AEB0">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Cr</w:t>
            </w:r>
          </w:p>
        </w:tc>
        <w:tc>
          <w:tcPr>
            <w:tcW w:w="798" w:type="pct"/>
            <w:shd w:val="clear" w:color="auto" w:fill="auto"/>
            <w:vAlign w:val="center"/>
          </w:tcPr>
          <w:p w14:paraId="215E47E8">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0</w:t>
            </w:r>
          </w:p>
        </w:tc>
        <w:tc>
          <w:tcPr>
            <w:tcW w:w="1708" w:type="dxa"/>
            <w:vAlign w:val="center"/>
          </w:tcPr>
          <w:p w14:paraId="2E59052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3.343×10</w:t>
            </w:r>
            <w:r>
              <w:rPr>
                <w:rFonts w:hint="eastAsia" w:ascii="Times New Roman" w:hAnsi="Times New Roman" w:cs="Times New Roman"/>
                <w:szCs w:val="21"/>
                <w:vertAlign w:val="superscript"/>
                <w:lang w:val="en-US" w:eastAsia="zh-CN"/>
              </w:rPr>
              <w:t>-5</w:t>
            </w:r>
          </w:p>
        </w:tc>
        <w:tc>
          <w:tcPr>
            <w:tcW w:w="1518" w:type="dxa"/>
            <w:shd w:val="clear" w:color="auto" w:fill="auto"/>
            <w:vAlign w:val="center"/>
          </w:tcPr>
          <w:p w14:paraId="5849FFA6">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3.343×10</w:t>
            </w:r>
            <w:r>
              <w:rPr>
                <w:rFonts w:hint="eastAsia" w:ascii="Times New Roman" w:hAnsi="Times New Roman" w:cs="Times New Roman"/>
                <w:szCs w:val="21"/>
                <w:vertAlign w:val="superscript"/>
                <w:lang w:val="en-US" w:eastAsia="zh-CN"/>
              </w:rPr>
              <w:t>-5</w:t>
            </w:r>
          </w:p>
        </w:tc>
        <w:tc>
          <w:tcPr>
            <w:tcW w:w="1612" w:type="dxa"/>
            <w:shd w:val="clear" w:color="auto" w:fill="auto"/>
            <w:vAlign w:val="center"/>
          </w:tcPr>
          <w:p w14:paraId="3F64612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+3.343×10</w:t>
            </w:r>
            <w:r>
              <w:rPr>
                <w:rFonts w:hint="eastAsia" w:ascii="Times New Roman" w:hAnsi="Times New Roman" w:cs="Times New Roman"/>
                <w:szCs w:val="21"/>
                <w:vertAlign w:val="superscript"/>
                <w:lang w:val="en-US" w:eastAsia="zh-CN"/>
              </w:rPr>
              <w:t>-5</w:t>
            </w:r>
          </w:p>
        </w:tc>
      </w:tr>
      <w:tr w14:paraId="20E5B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Merge w:val="continue"/>
            <w:vAlign w:val="center"/>
          </w:tcPr>
          <w:p w14:paraId="76E1477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99" w:type="pct"/>
            <w:shd w:val="clear" w:color="auto" w:fill="auto"/>
            <w:vAlign w:val="center"/>
          </w:tcPr>
          <w:p w14:paraId="72213579">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Cr</w:t>
            </w:r>
            <w:r>
              <w:rPr>
                <w:rFonts w:hint="eastAsia" w:ascii="Times New Roman" w:hAnsi="Times New Roman" w:cs="Times New Roman" w:eastAsiaTheme="minorEastAsia"/>
                <w:szCs w:val="21"/>
                <w:vertAlign w:val="superscript"/>
                <w:lang w:val="en-US" w:eastAsia="zh-CN"/>
              </w:rPr>
              <w:t>6+</w:t>
            </w:r>
          </w:p>
        </w:tc>
        <w:tc>
          <w:tcPr>
            <w:tcW w:w="798" w:type="pct"/>
            <w:shd w:val="clear" w:color="auto" w:fill="auto"/>
            <w:vAlign w:val="center"/>
          </w:tcPr>
          <w:p w14:paraId="30C6A01E">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0</w:t>
            </w:r>
          </w:p>
        </w:tc>
        <w:tc>
          <w:tcPr>
            <w:tcW w:w="1708" w:type="dxa"/>
            <w:vAlign w:val="center"/>
          </w:tcPr>
          <w:p w14:paraId="74E2E3F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1.09×10</w:t>
            </w:r>
            <w:r>
              <w:rPr>
                <w:rFonts w:hint="eastAsia" w:ascii="Times New Roman" w:hAnsi="Times New Roman" w:cs="Times New Roman"/>
                <w:szCs w:val="21"/>
                <w:vertAlign w:val="superscript"/>
                <w:lang w:val="en-US" w:eastAsia="zh-CN"/>
              </w:rPr>
              <w:t>-5</w:t>
            </w:r>
          </w:p>
        </w:tc>
        <w:tc>
          <w:tcPr>
            <w:tcW w:w="1518" w:type="dxa"/>
            <w:shd w:val="clear" w:color="auto" w:fill="auto"/>
            <w:vAlign w:val="center"/>
          </w:tcPr>
          <w:p w14:paraId="0583105E">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1.09×10</w:t>
            </w:r>
            <w:r>
              <w:rPr>
                <w:rFonts w:hint="eastAsia" w:ascii="Times New Roman" w:hAnsi="Times New Roman" w:cs="Times New Roman"/>
                <w:szCs w:val="21"/>
                <w:vertAlign w:val="superscript"/>
                <w:lang w:val="en-US" w:eastAsia="zh-CN"/>
              </w:rPr>
              <w:t>-5</w:t>
            </w:r>
          </w:p>
        </w:tc>
        <w:tc>
          <w:tcPr>
            <w:tcW w:w="1612" w:type="dxa"/>
            <w:shd w:val="clear" w:color="auto" w:fill="auto"/>
            <w:vAlign w:val="center"/>
          </w:tcPr>
          <w:p w14:paraId="77339144">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+1.09×10</w:t>
            </w:r>
            <w:r>
              <w:rPr>
                <w:rFonts w:hint="eastAsia" w:ascii="Times New Roman" w:hAnsi="Times New Roman" w:cs="Times New Roman"/>
                <w:szCs w:val="21"/>
                <w:vertAlign w:val="superscript"/>
                <w:lang w:val="en-US" w:eastAsia="zh-CN"/>
              </w:rPr>
              <w:t>-5</w:t>
            </w:r>
          </w:p>
        </w:tc>
      </w:tr>
      <w:tr w14:paraId="4FFB1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Merge w:val="continue"/>
            <w:vAlign w:val="center"/>
          </w:tcPr>
          <w:p w14:paraId="12F858A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99" w:type="pct"/>
            <w:shd w:val="clear" w:color="auto" w:fill="auto"/>
            <w:vAlign w:val="center"/>
          </w:tcPr>
          <w:p w14:paraId="0305B20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石油类</w:t>
            </w:r>
          </w:p>
        </w:tc>
        <w:tc>
          <w:tcPr>
            <w:tcW w:w="798" w:type="pct"/>
            <w:shd w:val="clear" w:color="auto" w:fill="auto"/>
            <w:vAlign w:val="center"/>
          </w:tcPr>
          <w:p w14:paraId="13E57710">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0</w:t>
            </w:r>
          </w:p>
        </w:tc>
        <w:tc>
          <w:tcPr>
            <w:tcW w:w="1708" w:type="dxa"/>
            <w:vAlign w:val="center"/>
          </w:tcPr>
          <w:p w14:paraId="7B94647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0.0007</w:t>
            </w:r>
          </w:p>
        </w:tc>
        <w:tc>
          <w:tcPr>
            <w:tcW w:w="1518" w:type="dxa"/>
            <w:shd w:val="clear" w:color="auto" w:fill="auto"/>
            <w:vAlign w:val="center"/>
          </w:tcPr>
          <w:p w14:paraId="0EBC7202">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0.0007</w:t>
            </w:r>
          </w:p>
        </w:tc>
        <w:tc>
          <w:tcPr>
            <w:tcW w:w="1612" w:type="dxa"/>
            <w:shd w:val="clear" w:color="auto" w:fill="auto"/>
            <w:vAlign w:val="center"/>
          </w:tcPr>
          <w:p w14:paraId="51598984">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0.0007</w:t>
            </w:r>
          </w:p>
        </w:tc>
      </w:tr>
      <w:tr w14:paraId="72463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Merge w:val="restart"/>
            <w:vAlign w:val="center"/>
          </w:tcPr>
          <w:p w14:paraId="15CB9B4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一般</w:t>
            </w:r>
            <w:r>
              <w:rPr>
                <w:rFonts w:hint="eastAsia" w:ascii="Times New Roman" w:hAnsi="Times New Roman" w:cs="Times New Roman"/>
                <w:szCs w:val="21"/>
                <w:lang w:val="en-US" w:eastAsia="zh-CN"/>
              </w:rPr>
              <w:t>固废</w:t>
            </w:r>
          </w:p>
        </w:tc>
        <w:tc>
          <w:tcPr>
            <w:tcW w:w="1099" w:type="pct"/>
            <w:shd w:val="clear" w:color="auto" w:fill="auto"/>
            <w:vAlign w:val="center"/>
          </w:tcPr>
          <w:p w14:paraId="4DC3DEB0">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废离子交换树脂</w:t>
            </w:r>
          </w:p>
        </w:tc>
        <w:tc>
          <w:tcPr>
            <w:tcW w:w="798" w:type="pct"/>
            <w:shd w:val="clear" w:color="auto" w:fill="auto"/>
            <w:vAlign w:val="center"/>
          </w:tcPr>
          <w:p w14:paraId="423F0682">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0</w:t>
            </w:r>
          </w:p>
        </w:tc>
        <w:tc>
          <w:tcPr>
            <w:tcW w:w="932" w:type="pct"/>
            <w:vAlign w:val="center"/>
          </w:tcPr>
          <w:p w14:paraId="4D77985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0.3</w:t>
            </w:r>
          </w:p>
        </w:tc>
        <w:tc>
          <w:tcPr>
            <w:tcW w:w="828" w:type="pct"/>
            <w:shd w:val="clear" w:color="auto" w:fill="auto"/>
            <w:vAlign w:val="center"/>
          </w:tcPr>
          <w:p w14:paraId="507C3509">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0.3</w:t>
            </w:r>
          </w:p>
        </w:tc>
        <w:tc>
          <w:tcPr>
            <w:tcW w:w="879" w:type="pct"/>
            <w:shd w:val="clear" w:color="auto" w:fill="auto"/>
            <w:vAlign w:val="center"/>
          </w:tcPr>
          <w:p w14:paraId="43CB0E46">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0.3</w:t>
            </w:r>
          </w:p>
        </w:tc>
      </w:tr>
      <w:tr w14:paraId="2179B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Merge w:val="continue"/>
            <w:vAlign w:val="center"/>
          </w:tcPr>
          <w:p w14:paraId="6EA8F647">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099" w:type="pct"/>
            <w:shd w:val="clear" w:color="auto" w:fill="auto"/>
            <w:vAlign w:val="center"/>
          </w:tcPr>
          <w:p w14:paraId="290847D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废包装袋</w:t>
            </w:r>
          </w:p>
        </w:tc>
        <w:tc>
          <w:tcPr>
            <w:tcW w:w="798" w:type="pct"/>
            <w:shd w:val="clear" w:color="auto" w:fill="auto"/>
            <w:vAlign w:val="center"/>
          </w:tcPr>
          <w:p w14:paraId="3D9E5E9E">
            <w:pPr>
              <w:autoSpaceDE w:val="0"/>
              <w:autoSpaceDN w:val="0"/>
              <w:spacing w:line="300" w:lineRule="exact"/>
              <w:jc w:val="center"/>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0</w:t>
            </w:r>
          </w:p>
        </w:tc>
        <w:tc>
          <w:tcPr>
            <w:tcW w:w="932" w:type="pct"/>
            <w:vAlign w:val="center"/>
          </w:tcPr>
          <w:p w14:paraId="48176CF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w:t>
            </w:r>
          </w:p>
        </w:tc>
        <w:tc>
          <w:tcPr>
            <w:tcW w:w="828" w:type="pct"/>
            <w:shd w:val="clear" w:color="auto" w:fill="auto"/>
            <w:vAlign w:val="center"/>
          </w:tcPr>
          <w:p w14:paraId="447C60F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w:t>
            </w:r>
          </w:p>
        </w:tc>
        <w:tc>
          <w:tcPr>
            <w:tcW w:w="879" w:type="pct"/>
            <w:shd w:val="clear" w:color="auto" w:fill="auto"/>
            <w:vAlign w:val="center"/>
          </w:tcPr>
          <w:p w14:paraId="19632965">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+1</w:t>
            </w:r>
          </w:p>
        </w:tc>
      </w:tr>
      <w:tr w14:paraId="711DF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Merge w:val="restart"/>
            <w:vAlign w:val="center"/>
          </w:tcPr>
          <w:p w14:paraId="2B0EA70F">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危险废物</w:t>
            </w:r>
          </w:p>
        </w:tc>
        <w:tc>
          <w:tcPr>
            <w:tcW w:w="1099" w:type="pct"/>
            <w:shd w:val="clear" w:color="auto" w:fill="auto"/>
            <w:vAlign w:val="center"/>
          </w:tcPr>
          <w:p w14:paraId="1BFB6DB9">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炉渣</w:t>
            </w:r>
          </w:p>
        </w:tc>
        <w:tc>
          <w:tcPr>
            <w:tcW w:w="798" w:type="pct"/>
            <w:shd w:val="clear" w:color="auto" w:fill="auto"/>
            <w:vAlign w:val="center"/>
          </w:tcPr>
          <w:p w14:paraId="32458B29">
            <w:pPr>
              <w:autoSpaceDE w:val="0"/>
              <w:autoSpaceDN w:val="0"/>
              <w:spacing w:line="300" w:lineRule="exact"/>
              <w:jc w:val="center"/>
              <w:rPr>
                <w:rFonts w:hint="eastAsia"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0</w:t>
            </w:r>
          </w:p>
        </w:tc>
        <w:tc>
          <w:tcPr>
            <w:tcW w:w="932" w:type="pct"/>
            <w:vAlign w:val="center"/>
          </w:tcPr>
          <w:p w14:paraId="36C3CBF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182.5</w:t>
            </w:r>
          </w:p>
        </w:tc>
        <w:tc>
          <w:tcPr>
            <w:tcW w:w="828" w:type="pct"/>
            <w:shd w:val="clear" w:color="auto" w:fill="auto"/>
            <w:vAlign w:val="center"/>
          </w:tcPr>
          <w:p w14:paraId="638E6861">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182.5</w:t>
            </w:r>
          </w:p>
        </w:tc>
        <w:tc>
          <w:tcPr>
            <w:tcW w:w="879" w:type="pct"/>
            <w:shd w:val="clear" w:color="auto" w:fill="auto"/>
            <w:vAlign w:val="center"/>
          </w:tcPr>
          <w:p w14:paraId="72874756">
            <w:pPr>
              <w:autoSpaceDE w:val="0"/>
              <w:autoSpaceDN w:val="0"/>
              <w:spacing w:line="300" w:lineRule="exact"/>
              <w:jc w:val="center"/>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+182.5</w:t>
            </w:r>
          </w:p>
        </w:tc>
      </w:tr>
      <w:tr w14:paraId="0D648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Merge w:val="continue"/>
            <w:vAlign w:val="center"/>
          </w:tcPr>
          <w:p w14:paraId="77F382F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99" w:type="pct"/>
            <w:shd w:val="clear" w:color="auto" w:fill="auto"/>
            <w:vAlign w:val="center"/>
          </w:tcPr>
          <w:p w14:paraId="449CEE86">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飞灰</w:t>
            </w:r>
          </w:p>
        </w:tc>
        <w:tc>
          <w:tcPr>
            <w:tcW w:w="798" w:type="pct"/>
            <w:shd w:val="clear" w:color="auto" w:fill="auto"/>
            <w:vAlign w:val="center"/>
          </w:tcPr>
          <w:p w14:paraId="6951A50D">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0</w:t>
            </w:r>
          </w:p>
        </w:tc>
        <w:tc>
          <w:tcPr>
            <w:tcW w:w="932" w:type="pct"/>
            <w:vAlign w:val="center"/>
          </w:tcPr>
          <w:p w14:paraId="4960AA4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53.596</w:t>
            </w:r>
          </w:p>
        </w:tc>
        <w:tc>
          <w:tcPr>
            <w:tcW w:w="828" w:type="pct"/>
            <w:shd w:val="clear" w:color="auto" w:fill="auto"/>
            <w:vAlign w:val="center"/>
          </w:tcPr>
          <w:p w14:paraId="2AEC5E1C">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53.596</w:t>
            </w:r>
          </w:p>
        </w:tc>
        <w:tc>
          <w:tcPr>
            <w:tcW w:w="879" w:type="pct"/>
            <w:shd w:val="clear" w:color="auto" w:fill="auto"/>
            <w:vAlign w:val="center"/>
          </w:tcPr>
          <w:p w14:paraId="48DCDD3D">
            <w:pPr>
              <w:autoSpaceDE w:val="0"/>
              <w:autoSpaceDN w:val="0"/>
              <w:spacing w:line="300" w:lineRule="exact"/>
              <w:jc w:val="center"/>
              <w:rPr>
                <w:rFonts w:hint="eastAsia"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w:t>
            </w:r>
            <w:r>
              <w:rPr>
                <w:rFonts w:hint="eastAsia" w:ascii="Times New Roman" w:hAnsi="Times New Roman" w:cs="Times New Roman"/>
                <w:szCs w:val="21"/>
                <w:highlight w:val="none"/>
                <w:lang w:val="en-US" w:eastAsia="zh-CN"/>
              </w:rPr>
              <w:t>53.596</w:t>
            </w:r>
          </w:p>
        </w:tc>
      </w:tr>
      <w:tr w14:paraId="3762F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Merge w:val="continue"/>
            <w:vAlign w:val="center"/>
          </w:tcPr>
          <w:p w14:paraId="7EA6C44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99" w:type="pct"/>
            <w:shd w:val="clear" w:color="auto" w:fill="auto"/>
            <w:vAlign w:val="center"/>
          </w:tcPr>
          <w:p w14:paraId="2253FF77">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废活性炭</w:t>
            </w:r>
          </w:p>
        </w:tc>
        <w:tc>
          <w:tcPr>
            <w:tcW w:w="798" w:type="pct"/>
            <w:shd w:val="clear" w:color="auto" w:fill="auto"/>
            <w:vAlign w:val="center"/>
          </w:tcPr>
          <w:p w14:paraId="2FA3E5E9">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1.5</w:t>
            </w:r>
          </w:p>
        </w:tc>
        <w:tc>
          <w:tcPr>
            <w:tcW w:w="932" w:type="pct"/>
            <w:vAlign w:val="center"/>
          </w:tcPr>
          <w:p w14:paraId="38995D0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0.303</w:t>
            </w:r>
          </w:p>
        </w:tc>
        <w:tc>
          <w:tcPr>
            <w:tcW w:w="828" w:type="pct"/>
            <w:shd w:val="clear" w:color="auto" w:fill="auto"/>
            <w:vAlign w:val="center"/>
          </w:tcPr>
          <w:p w14:paraId="0DB17237">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1.803</w:t>
            </w:r>
          </w:p>
        </w:tc>
        <w:tc>
          <w:tcPr>
            <w:tcW w:w="879" w:type="pct"/>
            <w:shd w:val="clear" w:color="auto" w:fill="auto"/>
            <w:vAlign w:val="center"/>
          </w:tcPr>
          <w:p w14:paraId="4147FD87">
            <w:pPr>
              <w:autoSpaceDE w:val="0"/>
              <w:autoSpaceDN w:val="0"/>
              <w:spacing w:line="300" w:lineRule="exact"/>
              <w:jc w:val="center"/>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+0.303</w:t>
            </w:r>
          </w:p>
        </w:tc>
      </w:tr>
      <w:tr w14:paraId="14710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Merge w:val="continue"/>
            <w:vAlign w:val="center"/>
          </w:tcPr>
          <w:p w14:paraId="2151896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99" w:type="pct"/>
            <w:shd w:val="clear" w:color="auto" w:fill="auto"/>
            <w:vAlign w:val="center"/>
          </w:tcPr>
          <w:p w14:paraId="6791D629">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水处理污泥</w:t>
            </w:r>
          </w:p>
        </w:tc>
        <w:tc>
          <w:tcPr>
            <w:tcW w:w="798" w:type="pct"/>
            <w:shd w:val="clear" w:color="auto" w:fill="auto"/>
            <w:vAlign w:val="center"/>
          </w:tcPr>
          <w:p w14:paraId="61606B69">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6</w:t>
            </w:r>
          </w:p>
        </w:tc>
        <w:tc>
          <w:tcPr>
            <w:tcW w:w="932" w:type="pct"/>
            <w:vAlign w:val="center"/>
          </w:tcPr>
          <w:p w14:paraId="00287B8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r>
              <w:rPr>
                <w:rFonts w:hint="eastAsia" w:ascii="Times New Roman" w:hAnsi="Times New Roman" w:cs="Times New Roman"/>
                <w:szCs w:val="21"/>
                <w:lang w:val="en-US" w:eastAsia="zh-CN"/>
              </w:rPr>
              <w:t>958</w:t>
            </w:r>
          </w:p>
        </w:tc>
        <w:tc>
          <w:tcPr>
            <w:tcW w:w="828" w:type="pct"/>
            <w:shd w:val="clear" w:color="auto" w:fill="auto"/>
            <w:vAlign w:val="center"/>
          </w:tcPr>
          <w:p w14:paraId="6C219796">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6</w:t>
            </w:r>
            <w:r>
              <w:rPr>
                <w:rFonts w:hint="eastAsia" w:ascii="Times New Roman" w:hAnsi="Times New Roman" w:cs="Times New Roman" w:eastAsiaTheme="minorEastAsia"/>
                <w:szCs w:val="21"/>
                <w:lang w:val="en-US" w:eastAsia="zh-CN"/>
              </w:rPr>
              <w:t>.</w:t>
            </w:r>
            <w:r>
              <w:rPr>
                <w:rFonts w:hint="eastAsia" w:ascii="Times New Roman" w:hAnsi="Times New Roman" w:cs="Times New Roman"/>
                <w:szCs w:val="21"/>
                <w:lang w:val="en-US" w:eastAsia="zh-CN"/>
              </w:rPr>
              <w:t>958</w:t>
            </w:r>
          </w:p>
        </w:tc>
        <w:tc>
          <w:tcPr>
            <w:tcW w:w="879" w:type="pct"/>
            <w:shd w:val="clear" w:color="auto" w:fill="auto"/>
            <w:vAlign w:val="center"/>
          </w:tcPr>
          <w:p w14:paraId="5A99EF16">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0.</w:t>
            </w:r>
            <w:r>
              <w:rPr>
                <w:rFonts w:hint="eastAsia" w:ascii="Times New Roman" w:hAnsi="Times New Roman" w:cs="Times New Roman"/>
                <w:szCs w:val="21"/>
                <w:lang w:val="en-US" w:eastAsia="zh-CN"/>
              </w:rPr>
              <w:t>958</w:t>
            </w:r>
          </w:p>
        </w:tc>
      </w:tr>
      <w:tr w14:paraId="3045C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Merge w:val="continue"/>
            <w:vAlign w:val="center"/>
          </w:tcPr>
          <w:p w14:paraId="79A2580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99" w:type="pct"/>
            <w:shd w:val="clear" w:color="auto" w:fill="auto"/>
            <w:vAlign w:val="center"/>
          </w:tcPr>
          <w:p w14:paraId="57BC0A6C">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废滤袋、废专用桶、废手套、次氯酸钠、氢氧化钠等包装袋</w:t>
            </w:r>
          </w:p>
        </w:tc>
        <w:tc>
          <w:tcPr>
            <w:tcW w:w="798" w:type="pct"/>
            <w:shd w:val="clear" w:color="auto" w:fill="auto"/>
            <w:vAlign w:val="center"/>
          </w:tcPr>
          <w:p w14:paraId="6102C7C6">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2</w:t>
            </w:r>
          </w:p>
        </w:tc>
        <w:tc>
          <w:tcPr>
            <w:tcW w:w="932" w:type="pct"/>
            <w:vAlign w:val="center"/>
          </w:tcPr>
          <w:p w14:paraId="1A2A9CE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2</w:t>
            </w:r>
            <w:r>
              <w:rPr>
                <w:rFonts w:hint="eastAsia" w:ascii="Times New Roman" w:hAnsi="Times New Roman" w:cs="Times New Roman" w:eastAsiaTheme="minorEastAsia"/>
                <w:szCs w:val="21"/>
                <w:lang w:val="en-US" w:eastAsia="zh-CN"/>
              </w:rPr>
              <w:t>.52</w:t>
            </w:r>
          </w:p>
        </w:tc>
        <w:tc>
          <w:tcPr>
            <w:tcW w:w="828" w:type="pct"/>
            <w:shd w:val="clear" w:color="auto" w:fill="auto"/>
            <w:vAlign w:val="center"/>
          </w:tcPr>
          <w:p w14:paraId="7DD2565C">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0.52</w:t>
            </w:r>
          </w:p>
        </w:tc>
        <w:tc>
          <w:tcPr>
            <w:tcW w:w="879" w:type="pct"/>
            <w:shd w:val="clear" w:color="auto" w:fill="auto"/>
            <w:vAlign w:val="center"/>
          </w:tcPr>
          <w:p w14:paraId="4C4F9F2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0.52</w:t>
            </w:r>
          </w:p>
        </w:tc>
      </w:tr>
      <w:tr w14:paraId="5164C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vMerge w:val="continue"/>
            <w:vAlign w:val="center"/>
          </w:tcPr>
          <w:p w14:paraId="1B3B427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99" w:type="pct"/>
            <w:shd w:val="clear" w:color="auto" w:fill="auto"/>
            <w:vAlign w:val="center"/>
          </w:tcPr>
          <w:p w14:paraId="04BD87DE">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废机油</w:t>
            </w:r>
          </w:p>
        </w:tc>
        <w:tc>
          <w:tcPr>
            <w:tcW w:w="798" w:type="pct"/>
            <w:shd w:val="clear" w:color="auto" w:fill="auto"/>
            <w:vAlign w:val="center"/>
          </w:tcPr>
          <w:p w14:paraId="44217F4F">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kern w:val="2"/>
                <w:sz w:val="21"/>
                <w:szCs w:val="21"/>
                <w:lang w:val="en-US" w:eastAsia="zh-CN" w:bidi="ar-SA"/>
              </w:rPr>
              <w:t>0</w:t>
            </w:r>
          </w:p>
        </w:tc>
        <w:tc>
          <w:tcPr>
            <w:tcW w:w="932" w:type="pct"/>
            <w:vAlign w:val="center"/>
          </w:tcPr>
          <w:p w14:paraId="6C318FF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0.7</w:t>
            </w:r>
          </w:p>
        </w:tc>
        <w:tc>
          <w:tcPr>
            <w:tcW w:w="828" w:type="pct"/>
            <w:shd w:val="clear" w:color="auto" w:fill="auto"/>
            <w:vAlign w:val="center"/>
          </w:tcPr>
          <w:p w14:paraId="75A5C862">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0.7</w:t>
            </w:r>
          </w:p>
        </w:tc>
        <w:tc>
          <w:tcPr>
            <w:tcW w:w="879" w:type="pct"/>
            <w:shd w:val="clear" w:color="auto" w:fill="auto"/>
            <w:vAlign w:val="center"/>
          </w:tcPr>
          <w:p w14:paraId="28E24CCD">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0.7</w:t>
            </w:r>
          </w:p>
        </w:tc>
      </w:tr>
    </w:tbl>
    <w:p w14:paraId="10ADE16B">
      <w:pPr>
        <w:rPr>
          <w:rFonts w:hint="default" w:ascii="Times New Roman" w:hAnsi="Times New Roman" w:eastAsia="华文中宋" w:cs="Times New Roman"/>
          <w:kern w:val="2"/>
          <w:sz w:val="24"/>
          <w:szCs w:val="24"/>
          <w:lang w:val="en-US" w:eastAsia="zh-CN" w:bidi="ar-SA"/>
        </w:rPr>
      </w:pPr>
    </w:p>
    <w:p w14:paraId="0B78FF19">
      <w:pPr>
        <w:rPr>
          <w:rFonts w:hint="eastAsia" w:ascii="Times New Roman" w:hAnsi="Times New Roman" w:eastAsia="华文中宋" w:cs="Times New Roman"/>
          <w:kern w:val="2"/>
          <w:sz w:val="24"/>
          <w:szCs w:val="24"/>
          <w:lang w:val="en-US" w:eastAsia="zh-CN" w:bidi="ar-SA"/>
        </w:rPr>
      </w:pPr>
      <w:r>
        <w:rPr>
          <w:rFonts w:hint="eastAsia" w:ascii="Times New Roman" w:hAnsi="Times New Roman" w:eastAsia="华文中宋" w:cs="Times New Roman"/>
          <w:kern w:val="2"/>
          <w:sz w:val="24"/>
          <w:szCs w:val="24"/>
          <w:lang w:val="en-US" w:eastAsia="zh-CN" w:bidi="ar-SA"/>
        </w:rPr>
        <w:br w:type="page"/>
      </w:r>
    </w:p>
    <w:p w14:paraId="494AF995">
      <w:pPr>
        <w:pStyle w:val="2"/>
        <w:keepNext/>
        <w:keepLines/>
        <w:pageBreakBefore/>
        <w:spacing w:before="241" w:beforeLines="50" w:after="241" w:afterLines="50" w:line="560" w:lineRule="exact"/>
        <w:ind w:left="554" w:hanging="555" w:hangingChars="152"/>
        <w:jc w:val="both"/>
        <w:rPr>
          <w:rFonts w:hint="eastAsia" w:ascii="Times New Roman" w:hAnsi="Times New Roman" w:cs="Times New Roman" w:eastAsiaTheme="minorEastAsia"/>
          <w:snapToGrid w:val="0"/>
          <w:spacing w:val="2"/>
          <w:kern w:val="44"/>
          <w:sz w:val="36"/>
          <w:szCs w:val="44"/>
          <w:lang w:val="en-US" w:eastAsia="zh-CN"/>
        </w:rPr>
      </w:pPr>
      <w:bookmarkStart w:id="172" w:name="_Toc11724"/>
      <w:r>
        <w:rPr>
          <w:rFonts w:hint="eastAsia" w:ascii="Times New Roman" w:hAnsi="Times New Roman" w:cs="Times New Roman" w:eastAsiaTheme="minorEastAsia"/>
          <w:snapToGrid w:val="0"/>
          <w:spacing w:val="2"/>
          <w:kern w:val="44"/>
          <w:sz w:val="36"/>
          <w:szCs w:val="44"/>
          <w:lang w:val="en-US" w:eastAsia="zh-CN"/>
        </w:rPr>
        <w:t>4环境现状调查与评价</w:t>
      </w:r>
      <w:bookmarkEnd w:id="172"/>
    </w:p>
    <w:p w14:paraId="51C0FA7D">
      <w:pPr>
        <w:pStyle w:val="3"/>
        <w:spacing w:before="120" w:after="120" w:line="500" w:lineRule="exact"/>
        <w:ind w:left="375" w:hanging="375" w:firstLineChars="0"/>
        <w:contextualSpacing/>
        <w:rPr>
          <w:rFonts w:hint="eastAsia" w:ascii="Times New Roman" w:hAnsi="Times New Roman" w:cs="Times New Roman" w:eastAsiaTheme="minorEastAsia"/>
          <w:snapToGrid w:val="0"/>
          <w:kern w:val="0"/>
          <w:sz w:val="28"/>
          <w:szCs w:val="28"/>
          <w:lang w:val="en-US" w:eastAsia="zh-CN"/>
        </w:rPr>
      </w:pPr>
      <w:bookmarkStart w:id="173" w:name="_Toc6275"/>
      <w:r>
        <w:rPr>
          <w:rFonts w:hint="eastAsia" w:ascii="Times New Roman" w:hAnsi="Times New Roman" w:cs="Times New Roman" w:eastAsiaTheme="minorEastAsia"/>
          <w:snapToGrid w:val="0"/>
          <w:kern w:val="0"/>
          <w:sz w:val="28"/>
          <w:szCs w:val="28"/>
          <w:lang w:val="en-US" w:eastAsia="zh-CN"/>
        </w:rPr>
        <w:t>4.1自然环境现状调查与评价</w:t>
      </w:r>
      <w:bookmarkEnd w:id="173"/>
    </w:p>
    <w:p w14:paraId="1074A163">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74" w:name="_Toc24649"/>
      <w:r>
        <w:rPr>
          <w:rFonts w:hint="eastAsia" w:ascii="Times New Roman" w:hAnsi="Times New Roman" w:cs="Times New Roman" w:eastAsiaTheme="minorEastAsia"/>
          <w:kern w:val="0"/>
          <w:sz w:val="24"/>
          <w:szCs w:val="24"/>
          <w:lang w:val="en-US" w:eastAsia="zh-CN"/>
        </w:rPr>
        <w:t>4.1.1地理位置</w:t>
      </w:r>
      <w:bookmarkEnd w:id="174"/>
    </w:p>
    <w:p w14:paraId="46F7446F">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喀什地区位于中国西陲，东临塔克拉玛干沙漠，南依喀喇昆仑山与西藏阿里地区，西靠帕米尔高原，东北与阿克苏地区柯坪县、阿瓦提县相连，西北与克孜勒苏柯尔克孜自治州的阿图什市、乌恰县、阿克陶县相连，东南与和田地区皮山县相连。喀什市是喀什地区的政治、经济、文化中心，位于喀什地区的西北部。市境东西部均与疏勒县接壤，北倚古玛塔格山与克孜勒苏柯尔克孜自治州首府阿图什市毗邻，南面与疏勒县隔克孜勒河遥相对望。</w:t>
      </w:r>
    </w:p>
    <w:p w14:paraId="552C8D8A">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莎车县位于新疆西南边陲，昆仑山北麓，帕米尔高原南面，地处塔克拉玛干沙漠和布古里沙漠之间的叶尔羌河冲积扇平原中上游。南邻喀喇昆仑山，东靠塔克拉玛干大沙漠，西连英吉沙黑孜戈壁和铁里木乡，北以麦盖提县西屯为界。莎车县南北长，东西较窄，南北最长</w:t>
      </w:r>
      <w:r>
        <w:rPr>
          <w:rFonts w:hint="default" w:ascii="Times New Roman" w:hAnsi="Times New Roman" w:cs="Times New Roman" w:eastAsiaTheme="minorEastAsia"/>
          <w:sz w:val="24"/>
          <w:lang w:val="en-US" w:eastAsia="zh-CN"/>
        </w:rPr>
        <w:t>190km</w:t>
      </w:r>
      <w:r>
        <w:rPr>
          <w:rFonts w:hint="eastAsia" w:ascii="Times New Roman" w:hAnsi="Times New Roman" w:cs="Times New Roman" w:eastAsiaTheme="minorEastAsia"/>
          <w:sz w:val="24"/>
          <w:lang w:val="en-US" w:eastAsia="zh-CN"/>
        </w:rPr>
        <w:t>，东西最宽</w:t>
      </w:r>
      <w:r>
        <w:rPr>
          <w:rFonts w:hint="default" w:ascii="Times New Roman" w:hAnsi="Times New Roman" w:cs="Times New Roman" w:eastAsiaTheme="minorEastAsia"/>
          <w:sz w:val="24"/>
          <w:lang w:val="en-US" w:eastAsia="zh-CN"/>
        </w:rPr>
        <w:t>86km</w:t>
      </w:r>
      <w:r>
        <w:rPr>
          <w:rFonts w:hint="eastAsia" w:ascii="Times New Roman" w:hAnsi="Times New Roman" w:cs="Times New Roman" w:eastAsiaTheme="minorEastAsia"/>
          <w:sz w:val="24"/>
          <w:lang w:val="en-US" w:eastAsia="zh-CN"/>
        </w:rPr>
        <w:t>，总面积</w:t>
      </w:r>
      <w:r>
        <w:rPr>
          <w:rFonts w:hint="default" w:ascii="Times New Roman" w:hAnsi="Times New Roman" w:cs="Times New Roman" w:eastAsiaTheme="minorEastAsia"/>
          <w:sz w:val="24"/>
          <w:lang w:val="en-US" w:eastAsia="zh-CN"/>
        </w:rPr>
        <w:t>8829.69km</w:t>
      </w:r>
      <w:r>
        <w:rPr>
          <w:rFonts w:hint="default" w:ascii="Times New Roman" w:hAnsi="Times New Roman" w:cs="Times New Roman" w:eastAsiaTheme="minorEastAsia"/>
          <w:sz w:val="24"/>
          <w:vertAlign w:val="superscript"/>
          <w:lang w:val="en-US" w:eastAsia="zh-CN"/>
        </w:rPr>
        <w:t>2</w:t>
      </w:r>
      <w:r>
        <w:rPr>
          <w:rFonts w:hint="eastAsia" w:ascii="Times New Roman" w:hAnsi="Times New Roman" w:cs="Times New Roman" w:eastAsiaTheme="minorEastAsia"/>
          <w:sz w:val="24"/>
          <w:lang w:val="en-US" w:eastAsia="zh-CN"/>
        </w:rPr>
        <w:t>。</w:t>
      </w:r>
    </w:p>
    <w:p w14:paraId="358A7B92">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莎车县阿斯兰巴格工业园区，距离县城</w:t>
      </w:r>
      <w:r>
        <w:rPr>
          <w:rFonts w:hint="default" w:ascii="Times New Roman" w:hAnsi="Times New Roman" w:cs="Times New Roman" w:eastAsiaTheme="minorEastAsia"/>
          <w:sz w:val="24"/>
          <w:lang w:val="en-US" w:eastAsia="zh-CN"/>
        </w:rPr>
        <w:t>25km</w:t>
      </w:r>
      <w:r>
        <w:rPr>
          <w:rFonts w:hint="eastAsia" w:ascii="Times New Roman" w:hAnsi="Times New Roman" w:cs="Times New Roman" w:eastAsiaTheme="minorEastAsia"/>
          <w:sz w:val="24"/>
          <w:lang w:val="en-US" w:eastAsia="zh-CN"/>
        </w:rPr>
        <w:t>，规划面积</w:t>
      </w:r>
      <w:r>
        <w:rPr>
          <w:rFonts w:hint="default" w:ascii="Times New Roman" w:hAnsi="Times New Roman" w:cs="Times New Roman" w:eastAsiaTheme="minorEastAsia"/>
          <w:sz w:val="24"/>
          <w:lang w:val="en-US" w:eastAsia="zh-CN"/>
        </w:rPr>
        <w:t>7.35km</w:t>
      </w:r>
      <w:r>
        <w:rPr>
          <w:rFonts w:hint="default" w:ascii="Times New Roman" w:hAnsi="Times New Roman" w:cs="Times New Roman" w:eastAsiaTheme="minorEastAsia"/>
          <w:sz w:val="24"/>
          <w:vertAlign w:val="superscript"/>
          <w:lang w:val="en-US" w:eastAsia="zh-CN"/>
        </w:rPr>
        <w:t>2</w:t>
      </w:r>
      <w:r>
        <w:rPr>
          <w:rFonts w:hint="eastAsia" w:ascii="Times New Roman" w:hAnsi="Times New Roman" w:cs="Times New Roman" w:eastAsiaTheme="minorEastAsia"/>
          <w:sz w:val="24"/>
          <w:lang w:val="en-US" w:eastAsia="zh-CN"/>
        </w:rPr>
        <w:t>。园区范围北至喀群公路，东以部队弹药库道路为界，南至南部高压线，西以隆基水泥厂西侧道路为界。北临喀群公路，交通较为便利。随着国道</w:t>
      </w:r>
      <w:r>
        <w:rPr>
          <w:rFonts w:hint="default" w:ascii="Times New Roman" w:hAnsi="Times New Roman" w:cs="Times New Roman" w:eastAsiaTheme="minorEastAsia"/>
          <w:sz w:val="24"/>
          <w:lang w:val="en-US" w:eastAsia="zh-CN"/>
        </w:rPr>
        <w:t>314</w:t>
      </w:r>
      <w:r>
        <w:rPr>
          <w:rFonts w:hint="eastAsia" w:ascii="Times New Roman" w:hAnsi="Times New Roman" w:cs="Times New Roman" w:eastAsiaTheme="minorEastAsia"/>
          <w:sz w:val="24"/>
          <w:lang w:val="en-US" w:eastAsia="zh-CN"/>
        </w:rPr>
        <w:t>线的改扩建、吐鲁番至库尔勒段铁路二线建设、南疆铁路喀什到和田段的延伸，工业区交通将更加便利。</w:t>
      </w:r>
    </w:p>
    <w:p w14:paraId="20763099">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建设项目厂址位于莎车县阿斯兰巴格工业园区西南侧，项目地北侧为新疆亚迪凯国际贸易有限责任公司，东侧为恒昌路，对面为喀什宝盛节水有限公司，西侧及南侧为莎车三丰新型环保科技有限公司。项目周边关系图见4.1-2。</w:t>
      </w:r>
    </w:p>
    <w:p w14:paraId="6DBAE45F">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75" w:name="_Toc6499"/>
      <w:r>
        <w:rPr>
          <w:rFonts w:hint="eastAsia" w:ascii="Times New Roman" w:hAnsi="Times New Roman" w:cs="Times New Roman" w:eastAsiaTheme="minorEastAsia"/>
          <w:kern w:val="0"/>
          <w:sz w:val="24"/>
          <w:szCs w:val="24"/>
          <w:lang w:val="en-US" w:eastAsia="zh-CN"/>
        </w:rPr>
        <w:t>4.1.2地形、地貌</w:t>
      </w:r>
      <w:bookmarkEnd w:id="175"/>
    </w:p>
    <w:p w14:paraId="37720C42">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莎车地处帕米尔高原东北麓，其地势由西南向东北大幅度倾斜。区内地势复杂多变，县境西南属帕米尔高原东缘山地；北部、西部为塔里木盆地西缘平原。其间，叶尔羌河、提孜那甫河由山谷奔流北下，谷深</w:t>
      </w:r>
      <w:r>
        <w:rPr>
          <w:rFonts w:hint="default" w:ascii="Times New Roman" w:hAnsi="Times New Roman" w:cs="Times New Roman" w:eastAsiaTheme="minorEastAsia"/>
          <w:sz w:val="24"/>
          <w:lang w:val="en-US" w:eastAsia="zh-CN"/>
        </w:rPr>
        <w:t>80</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150m</w:t>
      </w:r>
      <w:r>
        <w:rPr>
          <w:rFonts w:hint="eastAsia" w:ascii="Times New Roman" w:hAnsi="Times New Roman" w:cs="Times New Roman" w:eastAsiaTheme="minorEastAsia"/>
          <w:sz w:val="24"/>
          <w:lang w:val="en-US" w:eastAsia="zh-CN"/>
        </w:rPr>
        <w:t>、宽</w:t>
      </w:r>
      <w:r>
        <w:rPr>
          <w:rFonts w:hint="default" w:ascii="Times New Roman" w:hAnsi="Times New Roman" w:cs="Times New Roman" w:eastAsiaTheme="minorEastAsia"/>
          <w:sz w:val="24"/>
          <w:lang w:val="en-US" w:eastAsia="zh-CN"/>
        </w:rPr>
        <w:t>200</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1000m</w:t>
      </w:r>
      <w:r>
        <w:rPr>
          <w:rFonts w:hint="eastAsia" w:ascii="Times New Roman" w:hAnsi="Times New Roman" w:cs="Times New Roman" w:eastAsiaTheme="minorEastAsia"/>
          <w:sz w:val="24"/>
          <w:lang w:val="en-US" w:eastAsia="zh-CN"/>
        </w:rPr>
        <w:t>，沿河形成冲积扇和砂土绿洲平原。阿斯兰巴格工业园区位于叶尔羌河流域冲洪积扇的上部。</w:t>
      </w:r>
    </w:p>
    <w:p w14:paraId="1860251C">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县境地貌自山区向平原共分</w:t>
      </w:r>
      <w:r>
        <w:rPr>
          <w:rFonts w:hint="default" w:ascii="Times New Roman" w:hAnsi="Times New Roman" w:cs="Times New Roman" w:eastAsiaTheme="minorEastAsia"/>
          <w:sz w:val="24"/>
          <w:lang w:val="en-US" w:eastAsia="zh-CN"/>
        </w:rPr>
        <w:t>5</w:t>
      </w:r>
      <w:r>
        <w:rPr>
          <w:rFonts w:hint="eastAsia" w:ascii="Times New Roman" w:hAnsi="Times New Roman" w:cs="Times New Roman" w:eastAsiaTheme="minorEastAsia"/>
          <w:sz w:val="24"/>
          <w:lang w:val="en-US" w:eastAsia="zh-CN"/>
        </w:rPr>
        <w:t>个地貌景观带：</w:t>
      </w:r>
    </w:p>
    <w:p w14:paraId="283B1EC2">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1</w:t>
      </w:r>
      <w:r>
        <w:rPr>
          <w:rFonts w:hint="eastAsia" w:ascii="Times New Roman" w:hAnsi="Times New Roman" w:cs="Times New Roman" w:eastAsiaTheme="minorEastAsia"/>
          <w:sz w:val="24"/>
          <w:lang w:val="en-US" w:eastAsia="zh-CN"/>
        </w:rPr>
        <w:t>、中高山带：这一地带分布于莎车县西南部，海拔</w:t>
      </w:r>
      <w:r>
        <w:rPr>
          <w:rFonts w:hint="default" w:ascii="Times New Roman" w:hAnsi="Times New Roman" w:cs="Times New Roman" w:eastAsiaTheme="minorEastAsia"/>
          <w:sz w:val="24"/>
          <w:lang w:val="en-US" w:eastAsia="zh-CN"/>
        </w:rPr>
        <w:t>3500m</w:t>
      </w:r>
      <w:r>
        <w:rPr>
          <w:rFonts w:hint="eastAsia" w:ascii="Times New Roman" w:hAnsi="Times New Roman" w:cs="Times New Roman" w:eastAsiaTheme="minorEastAsia"/>
          <w:sz w:val="24"/>
          <w:lang w:val="en-US" w:eastAsia="zh-CN"/>
        </w:rPr>
        <w:t>以上，相对海拔差</w:t>
      </w:r>
      <w:r>
        <w:rPr>
          <w:rFonts w:hint="default" w:ascii="Times New Roman" w:hAnsi="Times New Roman" w:cs="Times New Roman" w:eastAsiaTheme="minorEastAsia"/>
          <w:sz w:val="24"/>
          <w:lang w:val="en-US" w:eastAsia="zh-CN"/>
        </w:rPr>
        <w:t>800</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1000m</w:t>
      </w:r>
      <w:r>
        <w:rPr>
          <w:rFonts w:hint="eastAsia" w:ascii="Times New Roman" w:hAnsi="Times New Roman" w:cs="Times New Roman" w:eastAsiaTheme="minorEastAsia"/>
          <w:sz w:val="24"/>
          <w:lang w:val="en-US" w:eastAsia="zh-CN"/>
        </w:rPr>
        <w:t>，山体岩石裸露，侵蚀剥离作用强烈，呈极端的岩漠化，岩漠高达</w:t>
      </w:r>
      <w:r>
        <w:rPr>
          <w:rFonts w:hint="default" w:ascii="Times New Roman" w:hAnsi="Times New Roman" w:cs="Times New Roman" w:eastAsiaTheme="minorEastAsia"/>
          <w:sz w:val="24"/>
          <w:lang w:val="en-US" w:eastAsia="zh-CN"/>
        </w:rPr>
        <w:t xml:space="preserve">500m </w:t>
      </w:r>
      <w:r>
        <w:rPr>
          <w:rFonts w:hint="eastAsia" w:ascii="Times New Roman" w:hAnsi="Times New Roman" w:cs="Times New Roman" w:eastAsiaTheme="minorEastAsia"/>
          <w:sz w:val="24"/>
          <w:lang w:val="en-US" w:eastAsia="zh-CN"/>
        </w:rPr>
        <w:t>左右，直抵雪线附近。在中高山后缘山岭，为峰峦叠嶂的积雪区。</w:t>
      </w:r>
    </w:p>
    <w:p w14:paraId="7747F189">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2</w:t>
      </w:r>
      <w:r>
        <w:rPr>
          <w:rFonts w:hint="eastAsia" w:ascii="Times New Roman" w:hAnsi="Times New Roman" w:cs="Times New Roman" w:eastAsiaTheme="minorEastAsia"/>
          <w:sz w:val="24"/>
          <w:lang w:val="en-US" w:eastAsia="zh-CN"/>
        </w:rPr>
        <w:t>、低山丘陵带：该区海拔</w:t>
      </w:r>
      <w:r>
        <w:rPr>
          <w:rFonts w:hint="default" w:ascii="Times New Roman" w:hAnsi="Times New Roman" w:cs="Times New Roman" w:eastAsiaTheme="minorEastAsia"/>
          <w:sz w:val="24"/>
          <w:lang w:val="en-US" w:eastAsia="zh-CN"/>
        </w:rPr>
        <w:t>2200</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3500m</w:t>
      </w:r>
      <w:r>
        <w:rPr>
          <w:rFonts w:hint="eastAsia" w:ascii="Times New Roman" w:hAnsi="Times New Roman" w:cs="Times New Roman" w:eastAsiaTheme="minorEastAsia"/>
          <w:sz w:val="24"/>
          <w:lang w:val="en-US" w:eastAsia="zh-CN"/>
        </w:rPr>
        <w:t>，相对高差</w:t>
      </w:r>
      <w:r>
        <w:rPr>
          <w:rFonts w:hint="default" w:ascii="Times New Roman" w:hAnsi="Times New Roman" w:cs="Times New Roman" w:eastAsiaTheme="minorEastAsia"/>
          <w:sz w:val="24"/>
          <w:lang w:val="en-US" w:eastAsia="zh-CN"/>
        </w:rPr>
        <w:t>150</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400m</w:t>
      </w:r>
      <w:r>
        <w:rPr>
          <w:rFonts w:hint="eastAsia" w:ascii="Times New Roman" w:hAnsi="Times New Roman" w:cs="Times New Roman" w:eastAsiaTheme="minorEastAsia"/>
          <w:sz w:val="24"/>
          <w:lang w:val="en-US" w:eastAsia="zh-CN"/>
        </w:rPr>
        <w:t>。莎车凹陷中区厚的新第三纪及第四纪初期山前冲积沉积物质，由于基底地层移位伴着覆盖沉积层的错动，而形成数列褶皱的前山带。山体平缓浑圆，多被沙尘覆盖。在低丘前缘，因受新构造运动的影响，褶皱隆起，形成东西向隆岗和洼地，改变了山前平原地貌岩相带的连续性。</w:t>
      </w:r>
    </w:p>
    <w:p w14:paraId="2E0824AD">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3</w:t>
      </w:r>
      <w:r>
        <w:rPr>
          <w:rFonts w:hint="eastAsia" w:ascii="Times New Roman" w:hAnsi="Times New Roman" w:cs="Times New Roman" w:eastAsiaTheme="minorEastAsia"/>
          <w:sz w:val="24"/>
          <w:lang w:val="en-US" w:eastAsia="zh-CN"/>
        </w:rPr>
        <w:t>、戈壁砾石带：此地带为冲洪积扇所联成，比较宽广，坡降为</w:t>
      </w:r>
      <w:r>
        <w:rPr>
          <w:rFonts w:hint="default" w:ascii="Times New Roman" w:hAnsi="Times New Roman" w:cs="Times New Roman" w:eastAsiaTheme="minorEastAsia"/>
          <w:sz w:val="24"/>
          <w:lang w:val="en-US" w:eastAsia="zh-CN"/>
        </w:rPr>
        <w:t>5</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10</w:t>
      </w:r>
      <w:r>
        <w:rPr>
          <w:rFonts w:hint="eastAsia" w:ascii="Times New Roman" w:hAnsi="Times New Roman" w:cs="Times New Roman" w:eastAsiaTheme="minorEastAsia"/>
          <w:sz w:val="24"/>
          <w:lang w:val="en-US" w:eastAsia="zh-CN"/>
        </w:rPr>
        <w:t>°%，系深厚的砂卵石和砂砾石戈壁。其坡度向北东渐缓，山洪径流中的携带物逐级分选，出现薄层黄土状细土沉积漠境砾面态，质地较松。山洪的切蚀线状侵蚀强烈。</w:t>
      </w:r>
    </w:p>
    <w:p w14:paraId="60C64062">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4</w:t>
      </w:r>
      <w:r>
        <w:rPr>
          <w:rFonts w:hint="eastAsia" w:ascii="Times New Roman" w:hAnsi="Times New Roman" w:cs="Times New Roman" w:eastAsiaTheme="minorEastAsia"/>
          <w:sz w:val="24"/>
          <w:lang w:val="en-US" w:eastAsia="zh-CN"/>
        </w:rPr>
        <w:t>、砾石绿洲带：该带为叶尔羌河、提孜那甫河侵蚀堆积作用形成的冲积层三角洲细土平原，地势平坦，坡降小于</w:t>
      </w:r>
      <w:r>
        <w:rPr>
          <w:rFonts w:hint="default" w:ascii="Times New Roman" w:hAnsi="Times New Roman" w:cs="Times New Roman" w:eastAsiaTheme="minorEastAsia"/>
          <w:sz w:val="24"/>
          <w:lang w:val="en-US" w:eastAsia="zh-CN"/>
        </w:rPr>
        <w:t>5</w:t>
      </w:r>
      <w:r>
        <w:rPr>
          <w:rFonts w:hint="eastAsia" w:ascii="Times New Roman" w:hAnsi="Times New Roman" w:cs="Times New Roman" w:eastAsiaTheme="minorEastAsia"/>
          <w:sz w:val="24"/>
          <w:lang w:val="en-US" w:eastAsia="zh-CN"/>
        </w:rPr>
        <w:t>°%，多为农业区，植物茂盛，居民稠密。河网水系分布多呈树枝状。在依盖尔其、伯什坎特、阿瓦提、荒地、托木吾斯塘等乡镇地带，因潜水溢出形成小片沼泽湿地。平原区由于受河流剧烈切割侵蚀，形成</w:t>
      </w:r>
      <w:r>
        <w:rPr>
          <w:rFonts w:hint="default" w:ascii="Times New Roman" w:hAnsi="Times New Roman" w:cs="Times New Roman" w:eastAsiaTheme="minorEastAsia"/>
          <w:sz w:val="24"/>
          <w:lang w:val="en-US" w:eastAsia="zh-CN"/>
        </w:rPr>
        <w:t>1</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2</w:t>
      </w:r>
      <w:r>
        <w:rPr>
          <w:rFonts w:hint="eastAsia" w:ascii="Times New Roman" w:hAnsi="Times New Roman" w:cs="Times New Roman" w:eastAsiaTheme="minorEastAsia"/>
          <w:sz w:val="24"/>
          <w:lang w:val="en-US" w:eastAsia="zh-CN"/>
        </w:rPr>
        <w:t>级侵蚀阶地，高出河床</w:t>
      </w:r>
      <w:r>
        <w:rPr>
          <w:rFonts w:hint="default" w:ascii="Times New Roman" w:hAnsi="Times New Roman" w:cs="Times New Roman" w:eastAsiaTheme="minorEastAsia"/>
          <w:sz w:val="24"/>
          <w:lang w:val="en-US" w:eastAsia="zh-CN"/>
        </w:rPr>
        <w:t>3.5</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7m</w:t>
      </w:r>
      <w:r>
        <w:rPr>
          <w:rFonts w:hint="eastAsia" w:ascii="Times New Roman" w:hAnsi="Times New Roman" w:cs="Times New Roman" w:eastAsiaTheme="minorEastAsia"/>
          <w:sz w:val="24"/>
          <w:lang w:val="en-US" w:eastAsia="zh-CN"/>
        </w:rPr>
        <w:t>，谷宽</w:t>
      </w:r>
      <w:r>
        <w:rPr>
          <w:rFonts w:hint="default" w:ascii="Times New Roman" w:hAnsi="Times New Roman" w:cs="Times New Roman" w:eastAsiaTheme="minorEastAsia"/>
          <w:sz w:val="24"/>
          <w:lang w:val="en-US" w:eastAsia="zh-CN"/>
        </w:rPr>
        <w:t>300</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500m</w:t>
      </w:r>
      <w:r>
        <w:rPr>
          <w:rFonts w:hint="eastAsia" w:ascii="Times New Roman" w:hAnsi="Times New Roman" w:cs="Times New Roman" w:eastAsiaTheme="minorEastAsia"/>
          <w:sz w:val="24"/>
          <w:lang w:val="en-US" w:eastAsia="zh-CN"/>
        </w:rPr>
        <w:t>，最宽达</w:t>
      </w:r>
      <w:r>
        <w:rPr>
          <w:rFonts w:hint="default" w:ascii="Times New Roman" w:hAnsi="Times New Roman" w:cs="Times New Roman" w:eastAsiaTheme="minorEastAsia"/>
          <w:sz w:val="24"/>
          <w:lang w:val="en-US" w:eastAsia="zh-CN"/>
        </w:rPr>
        <w:t>2000m</w:t>
      </w:r>
      <w:r>
        <w:rPr>
          <w:rFonts w:hint="eastAsia" w:ascii="Times New Roman" w:hAnsi="Times New Roman" w:cs="Times New Roman" w:eastAsiaTheme="minorEastAsia"/>
          <w:sz w:val="24"/>
          <w:lang w:val="en-US" w:eastAsia="zh-CN"/>
        </w:rPr>
        <w:t>。一级阶地呈条带状、桌状、沿河流呈大连续分布，阶面平坦。河流中上游二级侵蚀堆积阶地呈带状沿河谷展布。河谷多呈“</w:t>
      </w:r>
      <w:r>
        <w:rPr>
          <w:rFonts w:hint="default" w:ascii="Times New Roman" w:hAnsi="Times New Roman" w:cs="Times New Roman" w:eastAsiaTheme="minorEastAsia"/>
          <w:sz w:val="24"/>
          <w:lang w:val="en-US" w:eastAsia="zh-CN"/>
        </w:rPr>
        <w:t>U”</w:t>
      </w:r>
      <w:r>
        <w:rPr>
          <w:rFonts w:hint="eastAsia" w:ascii="Times New Roman" w:hAnsi="Times New Roman" w:cs="Times New Roman" w:eastAsiaTheme="minorEastAsia"/>
          <w:sz w:val="24"/>
          <w:lang w:val="en-US" w:eastAsia="zh-CN"/>
        </w:rPr>
        <w:t>字形，或呈箱形谷。绿洲带不断受到沙漠扩大化的影响，在边缘地区，沙漠堵塞道路，吞没农田。</w:t>
      </w:r>
    </w:p>
    <w:p w14:paraId="75F659D7">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5</w:t>
      </w:r>
      <w:r>
        <w:rPr>
          <w:rFonts w:hint="eastAsia" w:ascii="Times New Roman" w:hAnsi="Times New Roman" w:cs="Times New Roman" w:eastAsiaTheme="minorEastAsia"/>
          <w:sz w:val="24"/>
          <w:lang w:val="en-US" w:eastAsia="zh-CN"/>
        </w:rPr>
        <w:t>、沙漠地带：绿洲带东北部为塔克拉玛干大沙漠，西部为布古力沙漠。沙漠地带沙丘分布极广，相对高度几米到数十米，呈新月形、垅岗形和沙丘链地貌特征。</w:t>
      </w:r>
    </w:p>
    <w:p w14:paraId="02939B72">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176" w:name="_Toc1091"/>
      <w:r>
        <w:rPr>
          <w:rFonts w:hint="eastAsia" w:ascii="Times New Roman" w:hAnsi="Times New Roman" w:cs="Times New Roman" w:eastAsiaTheme="minorEastAsia"/>
          <w:kern w:val="0"/>
          <w:sz w:val="24"/>
          <w:szCs w:val="24"/>
          <w:lang w:val="en-US" w:eastAsia="zh-CN"/>
        </w:rPr>
        <w:t>4.1.3地质特征</w:t>
      </w:r>
      <w:bookmarkEnd w:id="176"/>
    </w:p>
    <w:p w14:paraId="592CB19A">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（1）区域地层</w:t>
      </w:r>
    </w:p>
    <w:p w14:paraId="72EBECA4">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阿斯兰巴格工业园区所在区域位于西南天山和昆仑山的凹陷带之间，南天山向斜褶皱带及天山、昆仑山山间凹陷带广阔的陆源性沉积层便成了河流冲刷切割侵蚀的基础，构成了山前及第四系地层的物质来源，沉积了较厚的第四系地层。评估区出露地层为上更新统洪积层（Q3PL），岩性以灰色、浅褐色松散砂砾石，卵砾石为主，亚砂土为次。砂砾石分选性较好，磨圆度中等，砾径一般1-5cm，最大可达30cm左右，砂土质充填物约占30%，具有明显的沉积韵律。</w:t>
      </w:r>
    </w:p>
    <w:p w14:paraId="51957CEC">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（2）项目区地层</w:t>
      </w:r>
    </w:p>
    <w:p w14:paraId="12E077DC">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项目区揭露的地层为第四系全新统冲洪积层（Q4al+pl）。</w:t>
      </w:r>
    </w:p>
    <w:p w14:paraId="528E61FC">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第四系全新统冲洪积层（Q4al+pl）：地层岩性以圆砾为主，呈灰褐-褐黄色，上部含有少量植物根系，在整个场地内均匀分布，最大可见厚度为25m，勘察未揭穿该层。圆砾层颗粒磨圆度较好，呈圆-亚圆状，一般粒径为20mm，最大粒径为100mm。局部地段含有少量粉、细砂薄层透镜体，稍密，层厚0.3-0.8米，骨架颗粒间以中粗砂充填，干-稍湿，稍密-密实。</w:t>
      </w:r>
    </w:p>
    <w:p w14:paraId="37728E45">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（3）地质构造与地震</w:t>
      </w:r>
    </w:p>
    <w:p w14:paraId="13E301D9">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莎车县处于昆仑山构造带的西端北翼。由 WW一SEE 向的复式强烈挤压褶皱带和逆掩断裂带组合而成。该构造带由南向北主要分为三个一级构造单元，一是中高山地槽型褶皱断裂带；二是低山丘陵及山前区的西南拗陷；三是细土平原区向北东缓隆的西南台坡。莎车县的平原区位于西南台坡的南沿，紧靠西南坳陷，是地质构造的复合转换带，区域地壳稳定性较差，呈现南上升北沉降为主的新构造运动趋势。南部山前倾斜平原区在前山地带的地貌特征表明，第三纪末期以来新构造运动频繁，地壳上升运动产生的河流侵蚀下切作用形成深谷，第四系至今下切深度达130m。河谷两侧不对称分布的六级高度不同，时代不一的阶地显示此区有六次新构造上升运动，山前领斜平原的上部河流有四级以上阶地，到冲积平原区，阶地基本消失，呈相对下降趋势。</w:t>
      </w:r>
    </w:p>
    <w:p w14:paraId="4DC2FE8C">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项目所在</w:t>
      </w:r>
      <w:r>
        <w:rPr>
          <w:rFonts w:hint="eastAsia" w:ascii="Times New Roman" w:hAnsi="Times New Roman" w:cs="Times New Roman"/>
          <w:sz w:val="24"/>
          <w:lang w:val="en-US" w:eastAsia="zh-CN"/>
        </w:rPr>
        <w:t>地</w:t>
      </w:r>
      <w:r>
        <w:rPr>
          <w:rFonts w:hint="eastAsia" w:ascii="Times New Roman" w:hAnsi="Times New Roman" w:cs="Times New Roman" w:eastAsiaTheme="minorEastAsia"/>
          <w:sz w:val="24"/>
          <w:lang w:val="en-US" w:eastAsia="zh-CN"/>
        </w:rPr>
        <w:t>阿斯巴兰工业区地形西南高、东北低，工业区用地多为戈壁，属于戈壁砾石带，此地带为冲洪积扇所连成，比较宽广，坡降为5%o~10%o，系深厚的砂卵石和砂砾石戈壁。山洪径流中的携带物逐级分选，出现薄层黄土状细土沉积漠境砾面态，质地较松，山洪的切实线状侵蚀强烈，根据《中国地震烈度区划图》，莎车县地震基本烈度为Ⅶ度。</w:t>
      </w:r>
    </w:p>
    <w:p w14:paraId="44C7C9C0">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77" w:name="_Toc27337"/>
      <w:r>
        <w:rPr>
          <w:rFonts w:hint="eastAsia" w:ascii="Times New Roman" w:hAnsi="Times New Roman" w:cs="Times New Roman" w:eastAsiaTheme="minorEastAsia"/>
          <w:kern w:val="0"/>
          <w:sz w:val="24"/>
          <w:szCs w:val="24"/>
          <w:lang w:val="en-US" w:eastAsia="zh-CN"/>
        </w:rPr>
        <w:t>4.1.4气候、气象</w:t>
      </w:r>
      <w:bookmarkEnd w:id="177"/>
    </w:p>
    <w:p w14:paraId="734E475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莎车县属暖温带大陆性干旱气候，四季分明，气候干燥，日照时数长，晴好天气多，降水少，蒸发量大、昼夜温差大。</w:t>
      </w:r>
    </w:p>
    <w:p w14:paraId="0661132D">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1</w:t>
      </w:r>
      <w:r>
        <w:rPr>
          <w:rFonts w:hint="eastAsia" w:ascii="Times New Roman" w:hAnsi="Times New Roman" w:cs="Times New Roman" w:eastAsiaTheme="minorEastAsia"/>
          <w:sz w:val="24"/>
          <w:lang w:val="en-US" w:eastAsia="zh-CN"/>
        </w:rPr>
        <w:t>）气温</w:t>
      </w:r>
    </w:p>
    <w:p w14:paraId="53A0D4E3">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境内年平均气温</w:t>
      </w:r>
      <w:r>
        <w:rPr>
          <w:rFonts w:hint="default" w:ascii="Times New Roman" w:hAnsi="Times New Roman" w:cs="Times New Roman" w:eastAsiaTheme="minorEastAsia"/>
          <w:sz w:val="24"/>
          <w:lang w:val="en-US" w:eastAsia="zh-CN"/>
        </w:rPr>
        <w:t>11.4</w:t>
      </w:r>
      <w:r>
        <w:rPr>
          <w:rFonts w:hint="eastAsia" w:ascii="Times New Roman" w:hAnsi="Times New Roman" w:cs="Times New Roman" w:eastAsiaTheme="minorEastAsia"/>
          <w:sz w:val="24"/>
          <w:lang w:val="en-US" w:eastAsia="zh-CN"/>
        </w:rPr>
        <w:t>℃，极端高温</w:t>
      </w:r>
      <w:r>
        <w:rPr>
          <w:rFonts w:hint="default" w:ascii="Times New Roman" w:hAnsi="Times New Roman" w:cs="Times New Roman" w:eastAsiaTheme="minorEastAsia"/>
          <w:sz w:val="24"/>
          <w:lang w:val="en-US" w:eastAsia="zh-CN"/>
        </w:rPr>
        <w:t>40.7</w:t>
      </w:r>
      <w:r>
        <w:rPr>
          <w:rFonts w:hint="eastAsia" w:ascii="Times New Roman" w:hAnsi="Times New Roman" w:cs="Times New Roman" w:eastAsiaTheme="minorEastAsia"/>
          <w:sz w:val="24"/>
          <w:lang w:val="en-US" w:eastAsia="zh-CN"/>
        </w:rPr>
        <w:t>℃，极端低温</w:t>
      </w:r>
      <w:r>
        <w:rPr>
          <w:rFonts w:hint="default" w:ascii="Times New Roman" w:hAnsi="Times New Roman" w:cs="Times New Roman" w:eastAsiaTheme="minorEastAsia"/>
          <w:sz w:val="24"/>
          <w:lang w:val="en-US" w:eastAsia="zh-CN"/>
        </w:rPr>
        <w:t>–24.1</w:t>
      </w:r>
      <w:r>
        <w:rPr>
          <w:rFonts w:hint="eastAsia" w:ascii="Times New Roman" w:hAnsi="Times New Roman" w:cs="Times New Roman" w:eastAsiaTheme="minorEastAsia"/>
          <w:sz w:val="24"/>
          <w:lang w:val="en-US" w:eastAsia="zh-CN"/>
        </w:rPr>
        <w:t>℃。山区和平原差异较大，平原地区夏季炎热，冬季寒冷，山区夏季凉爽，冬季较暖。</w:t>
      </w:r>
    </w:p>
    <w:p w14:paraId="1F1F4EC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2</w:t>
      </w:r>
      <w:r>
        <w:rPr>
          <w:rFonts w:hint="eastAsia" w:ascii="Times New Roman" w:hAnsi="Times New Roman" w:cs="Times New Roman" w:eastAsiaTheme="minorEastAsia"/>
          <w:sz w:val="24"/>
          <w:lang w:val="en-US" w:eastAsia="zh-CN"/>
        </w:rPr>
        <w:t>）风</w:t>
      </w:r>
    </w:p>
    <w:p w14:paraId="4CBA6544">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县境位于塔里木盆地西南缘，受昆仑山气流的影响，是多风地区。风向以西北风为多，夏季有东北风。因受空旷沙漠暖热气流和西伯利亚冷气流交融的影响，常年多大风和浮尘天气。</w:t>
      </w:r>
    </w:p>
    <w:p w14:paraId="0F3169C8">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3</w:t>
      </w:r>
      <w:r>
        <w:rPr>
          <w:rFonts w:hint="eastAsia" w:ascii="Times New Roman" w:hAnsi="Times New Roman" w:cs="Times New Roman" w:eastAsiaTheme="minorEastAsia"/>
          <w:sz w:val="24"/>
          <w:lang w:val="en-US" w:eastAsia="zh-CN"/>
        </w:rPr>
        <w:t>）降水与蒸发</w:t>
      </w:r>
    </w:p>
    <w:p w14:paraId="77BE8C3F">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平原年降水量为</w:t>
      </w:r>
      <w:r>
        <w:rPr>
          <w:rFonts w:hint="default" w:ascii="Times New Roman" w:hAnsi="Times New Roman" w:cs="Times New Roman" w:eastAsiaTheme="minorEastAsia"/>
          <w:sz w:val="24"/>
          <w:lang w:val="en-US" w:eastAsia="zh-CN"/>
        </w:rPr>
        <w:t>44mm</w:t>
      </w:r>
      <w:r>
        <w:rPr>
          <w:rFonts w:hint="eastAsia" w:ascii="Times New Roman" w:hAnsi="Times New Roman" w:cs="Times New Roman" w:eastAsiaTheme="minorEastAsia"/>
          <w:sz w:val="24"/>
          <w:lang w:val="en-US" w:eastAsia="zh-CN"/>
        </w:rPr>
        <w:t>，山区稍多，可达</w:t>
      </w:r>
      <w:r>
        <w:rPr>
          <w:rFonts w:hint="default" w:ascii="Times New Roman" w:hAnsi="Times New Roman" w:cs="Times New Roman" w:eastAsiaTheme="minorEastAsia"/>
          <w:sz w:val="24"/>
          <w:lang w:val="en-US" w:eastAsia="zh-CN"/>
        </w:rPr>
        <w:t>93mm</w:t>
      </w:r>
      <w:r>
        <w:rPr>
          <w:rFonts w:hint="eastAsia" w:ascii="Times New Roman" w:hAnsi="Times New Roman" w:cs="Times New Roman" w:eastAsiaTheme="minorEastAsia"/>
          <w:sz w:val="24"/>
          <w:lang w:val="en-US" w:eastAsia="zh-CN"/>
        </w:rPr>
        <w:t>，降水多集中于夏季，多阵性降水。常年造成水土流失，山区多发生山洪危害。气候干燥，蒸发量较大，年平均蒸发量为</w:t>
      </w:r>
      <w:r>
        <w:rPr>
          <w:rFonts w:hint="default" w:ascii="Times New Roman" w:hAnsi="Times New Roman" w:cs="Times New Roman" w:eastAsiaTheme="minorEastAsia"/>
          <w:sz w:val="24"/>
          <w:lang w:val="en-US" w:eastAsia="zh-CN"/>
        </w:rPr>
        <w:t>2236mm</w:t>
      </w:r>
      <w:r>
        <w:rPr>
          <w:rFonts w:hint="eastAsia" w:ascii="Times New Roman" w:hAnsi="Times New Roman" w:cs="Times New Roman" w:eastAsiaTheme="minorEastAsia"/>
          <w:sz w:val="24"/>
          <w:lang w:val="en-US" w:eastAsia="zh-CN"/>
        </w:rPr>
        <w:t>，强烈的蒸发，促使地表积盐过程较长。相对湿度较低，年平均为</w:t>
      </w:r>
      <w:r>
        <w:rPr>
          <w:rFonts w:hint="default" w:ascii="Times New Roman" w:hAnsi="Times New Roman" w:cs="Times New Roman" w:eastAsiaTheme="minorEastAsia"/>
          <w:sz w:val="24"/>
          <w:lang w:val="en-US" w:eastAsia="zh-CN"/>
        </w:rPr>
        <w:t>58.3%</w:t>
      </w:r>
      <w:r>
        <w:rPr>
          <w:rFonts w:hint="eastAsia" w:ascii="Times New Roman" w:hAnsi="Times New Roman" w:cs="Times New Roman" w:eastAsiaTheme="minorEastAsia"/>
          <w:sz w:val="24"/>
          <w:lang w:val="en-US" w:eastAsia="zh-CN"/>
        </w:rPr>
        <w:t>，最低</w:t>
      </w:r>
      <w:r>
        <w:rPr>
          <w:rFonts w:hint="default" w:ascii="Times New Roman" w:hAnsi="Times New Roman" w:cs="Times New Roman" w:eastAsiaTheme="minorEastAsia"/>
          <w:sz w:val="24"/>
          <w:lang w:val="en-US" w:eastAsia="zh-CN"/>
        </w:rPr>
        <w:t>4</w:t>
      </w:r>
      <w:r>
        <w:rPr>
          <w:rFonts w:hint="eastAsia" w:ascii="Times New Roman" w:hAnsi="Times New Roman" w:cs="Times New Roman" w:eastAsiaTheme="minorEastAsia"/>
          <w:sz w:val="24"/>
          <w:lang w:val="en-US" w:eastAsia="zh-CN"/>
        </w:rPr>
        <w:t>月平均占有</w:t>
      </w:r>
      <w:r>
        <w:rPr>
          <w:rFonts w:hint="default" w:ascii="Times New Roman" w:hAnsi="Times New Roman" w:cs="Times New Roman" w:eastAsiaTheme="minorEastAsia"/>
          <w:sz w:val="24"/>
          <w:lang w:val="en-US" w:eastAsia="zh-CN"/>
        </w:rPr>
        <w:t>39%</w:t>
      </w:r>
      <w:r>
        <w:rPr>
          <w:rFonts w:hint="eastAsia" w:ascii="Times New Roman" w:hAnsi="Times New Roman" w:cs="Times New Roman" w:eastAsiaTheme="minorEastAsia"/>
          <w:sz w:val="24"/>
          <w:lang w:val="en-US" w:eastAsia="zh-CN"/>
        </w:rPr>
        <w:t>，对作物生长不利</w:t>
      </w:r>
      <w:r>
        <w:rPr>
          <w:rFonts w:hint="default" w:ascii="Times New Roman" w:hAnsi="Times New Roman" w:cs="Times New Roman" w:eastAsiaTheme="minorEastAsia"/>
          <w:sz w:val="24"/>
          <w:lang w:val="en-US" w:eastAsia="zh-CN"/>
        </w:rPr>
        <w:t>4-6</w:t>
      </w:r>
      <w:r>
        <w:rPr>
          <w:rFonts w:hint="eastAsia" w:ascii="Times New Roman" w:hAnsi="Times New Roman" w:cs="Times New Roman" w:eastAsiaTheme="minorEastAsia"/>
          <w:sz w:val="24"/>
          <w:lang w:val="en-US" w:eastAsia="zh-CN"/>
        </w:rPr>
        <w:t>月平均只有39%～41%，常出现干热风危害，影响小麦的产量。</w:t>
      </w:r>
    </w:p>
    <w:p w14:paraId="068CE495">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4</w:t>
      </w:r>
      <w:r>
        <w:rPr>
          <w:rFonts w:hint="eastAsia" w:ascii="Times New Roman" w:hAnsi="Times New Roman" w:cs="Times New Roman" w:eastAsiaTheme="minorEastAsia"/>
          <w:sz w:val="24"/>
          <w:lang w:val="en-US" w:eastAsia="zh-CN"/>
        </w:rPr>
        <w:t>）无霜期与霜冻</w:t>
      </w:r>
    </w:p>
    <w:p w14:paraId="41D56EED">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莎车初霜一般在</w:t>
      </w:r>
      <w:r>
        <w:rPr>
          <w:rFonts w:hint="default" w:ascii="Times New Roman" w:hAnsi="Times New Roman" w:cs="Times New Roman" w:eastAsiaTheme="minorEastAsia"/>
          <w:sz w:val="24"/>
          <w:lang w:val="en-US" w:eastAsia="zh-CN"/>
        </w:rPr>
        <w:t>10</w:t>
      </w:r>
      <w:r>
        <w:rPr>
          <w:rFonts w:hint="eastAsia" w:ascii="Times New Roman" w:hAnsi="Times New Roman" w:cs="Times New Roman" w:eastAsiaTheme="minorEastAsia"/>
          <w:sz w:val="24"/>
          <w:lang w:val="en-US" w:eastAsia="zh-CN"/>
        </w:rPr>
        <w:t>月上旬，最早为</w:t>
      </w:r>
      <w:r>
        <w:rPr>
          <w:rFonts w:hint="default" w:ascii="Times New Roman" w:hAnsi="Times New Roman" w:cs="Times New Roman" w:eastAsiaTheme="minorEastAsia"/>
          <w:sz w:val="24"/>
          <w:lang w:val="en-US" w:eastAsia="zh-CN"/>
        </w:rPr>
        <w:t>9</w:t>
      </w:r>
      <w:r>
        <w:rPr>
          <w:rFonts w:hint="eastAsia" w:ascii="Times New Roman" w:hAnsi="Times New Roman" w:cs="Times New Roman" w:eastAsiaTheme="minorEastAsia"/>
          <w:sz w:val="24"/>
          <w:lang w:val="en-US" w:eastAsia="zh-CN"/>
        </w:rPr>
        <w:t>月</w:t>
      </w:r>
      <w:r>
        <w:rPr>
          <w:rFonts w:hint="default" w:ascii="Times New Roman" w:hAnsi="Times New Roman" w:cs="Times New Roman" w:eastAsiaTheme="minorEastAsia"/>
          <w:sz w:val="24"/>
          <w:lang w:val="en-US" w:eastAsia="zh-CN"/>
        </w:rPr>
        <w:t>21</w:t>
      </w:r>
      <w:r>
        <w:rPr>
          <w:rFonts w:hint="eastAsia" w:ascii="Times New Roman" w:hAnsi="Times New Roman" w:cs="Times New Roman" w:eastAsiaTheme="minorEastAsia"/>
          <w:sz w:val="24"/>
          <w:lang w:val="en-US" w:eastAsia="zh-CN"/>
        </w:rPr>
        <w:t>日（</w:t>
      </w:r>
      <w:r>
        <w:rPr>
          <w:rFonts w:hint="default" w:ascii="Times New Roman" w:hAnsi="Times New Roman" w:cs="Times New Roman" w:eastAsiaTheme="minorEastAsia"/>
          <w:sz w:val="24"/>
          <w:lang w:val="en-US" w:eastAsia="zh-CN"/>
        </w:rPr>
        <w:t>1984</w:t>
      </w:r>
      <w:r>
        <w:rPr>
          <w:rFonts w:hint="eastAsia" w:ascii="Times New Roman" w:hAnsi="Times New Roman" w:cs="Times New Roman" w:eastAsiaTheme="minorEastAsia"/>
          <w:sz w:val="24"/>
          <w:lang w:val="en-US" w:eastAsia="zh-CN"/>
        </w:rPr>
        <w:t>年），最晚在</w:t>
      </w:r>
      <w:r>
        <w:rPr>
          <w:rFonts w:hint="default" w:ascii="Times New Roman" w:hAnsi="Times New Roman" w:cs="Times New Roman" w:eastAsiaTheme="minorEastAsia"/>
          <w:sz w:val="24"/>
          <w:lang w:val="en-US" w:eastAsia="zh-CN"/>
        </w:rPr>
        <w:t>10</w:t>
      </w:r>
      <w:r>
        <w:rPr>
          <w:rFonts w:hint="eastAsia" w:ascii="Times New Roman" w:hAnsi="Times New Roman" w:cs="Times New Roman" w:eastAsiaTheme="minorEastAsia"/>
          <w:sz w:val="24"/>
          <w:lang w:val="en-US" w:eastAsia="zh-CN"/>
        </w:rPr>
        <w:t>月</w:t>
      </w:r>
      <w:r>
        <w:rPr>
          <w:rFonts w:hint="default" w:ascii="Times New Roman" w:hAnsi="Times New Roman" w:cs="Times New Roman" w:eastAsiaTheme="minorEastAsia"/>
          <w:sz w:val="24"/>
          <w:lang w:val="en-US" w:eastAsia="zh-CN"/>
        </w:rPr>
        <w:t>18</w:t>
      </w:r>
      <w:r>
        <w:rPr>
          <w:rFonts w:hint="eastAsia" w:ascii="Times New Roman" w:hAnsi="Times New Roman" w:cs="Times New Roman" w:eastAsiaTheme="minorEastAsia"/>
          <w:sz w:val="24"/>
          <w:lang w:val="en-US" w:eastAsia="zh-CN"/>
        </w:rPr>
        <w:t>日（</w:t>
      </w:r>
      <w:r>
        <w:rPr>
          <w:rFonts w:hint="default" w:ascii="Times New Roman" w:hAnsi="Times New Roman" w:cs="Times New Roman" w:eastAsiaTheme="minorEastAsia"/>
          <w:sz w:val="24"/>
          <w:lang w:val="en-US" w:eastAsia="zh-CN"/>
        </w:rPr>
        <w:t>1977</w:t>
      </w:r>
      <w:r>
        <w:rPr>
          <w:rFonts w:hint="eastAsia" w:ascii="Times New Roman" w:hAnsi="Times New Roman" w:cs="Times New Roman" w:eastAsiaTheme="minorEastAsia"/>
          <w:sz w:val="24"/>
          <w:lang w:val="en-US" w:eastAsia="zh-CN"/>
        </w:rPr>
        <w:t>年），终霜期最晚在</w:t>
      </w:r>
      <w:r>
        <w:rPr>
          <w:rFonts w:hint="default" w:ascii="Times New Roman" w:hAnsi="Times New Roman" w:cs="Times New Roman" w:eastAsiaTheme="minorEastAsia"/>
          <w:sz w:val="24"/>
          <w:lang w:val="en-US" w:eastAsia="zh-CN"/>
        </w:rPr>
        <w:t>5</w:t>
      </w:r>
      <w:r>
        <w:rPr>
          <w:rFonts w:hint="eastAsia" w:ascii="Times New Roman" w:hAnsi="Times New Roman" w:cs="Times New Roman" w:eastAsiaTheme="minorEastAsia"/>
          <w:sz w:val="24"/>
          <w:lang w:val="en-US" w:eastAsia="zh-CN"/>
        </w:rPr>
        <w:t>月</w:t>
      </w:r>
      <w:r>
        <w:rPr>
          <w:rFonts w:hint="default" w:ascii="Times New Roman" w:hAnsi="Times New Roman" w:cs="Times New Roman" w:eastAsiaTheme="minorEastAsia"/>
          <w:sz w:val="24"/>
          <w:lang w:val="en-US" w:eastAsia="zh-CN"/>
        </w:rPr>
        <w:t>23</w:t>
      </w:r>
      <w:r>
        <w:rPr>
          <w:rFonts w:hint="eastAsia" w:ascii="Times New Roman" w:hAnsi="Times New Roman" w:cs="Times New Roman" w:eastAsiaTheme="minorEastAsia"/>
          <w:sz w:val="24"/>
          <w:lang w:val="en-US" w:eastAsia="zh-CN"/>
        </w:rPr>
        <w:t>日（</w:t>
      </w:r>
      <w:r>
        <w:rPr>
          <w:rFonts w:hint="default" w:ascii="Times New Roman" w:hAnsi="Times New Roman" w:cs="Times New Roman" w:eastAsiaTheme="minorEastAsia"/>
          <w:sz w:val="24"/>
          <w:lang w:val="en-US" w:eastAsia="zh-CN"/>
        </w:rPr>
        <w:t>1982</w:t>
      </w:r>
      <w:r>
        <w:rPr>
          <w:rFonts w:hint="eastAsia" w:ascii="Times New Roman" w:hAnsi="Times New Roman" w:cs="Times New Roman" w:eastAsiaTheme="minorEastAsia"/>
          <w:sz w:val="24"/>
          <w:lang w:val="en-US" w:eastAsia="zh-CN"/>
        </w:rPr>
        <w:t>年），最早为</w:t>
      </w:r>
      <w:r>
        <w:rPr>
          <w:rFonts w:hint="default" w:ascii="Times New Roman" w:hAnsi="Times New Roman" w:cs="Times New Roman" w:eastAsiaTheme="minorEastAsia"/>
          <w:sz w:val="24"/>
          <w:lang w:val="en-US" w:eastAsia="zh-CN"/>
        </w:rPr>
        <w:t>3</w:t>
      </w:r>
      <w:r>
        <w:rPr>
          <w:rFonts w:hint="eastAsia" w:ascii="Times New Roman" w:hAnsi="Times New Roman" w:cs="Times New Roman" w:eastAsiaTheme="minorEastAsia"/>
          <w:sz w:val="24"/>
          <w:lang w:val="en-US" w:eastAsia="zh-CN"/>
        </w:rPr>
        <w:t>月</w:t>
      </w:r>
      <w:r>
        <w:rPr>
          <w:rFonts w:hint="default" w:ascii="Times New Roman" w:hAnsi="Times New Roman" w:cs="Times New Roman" w:eastAsiaTheme="minorEastAsia"/>
          <w:sz w:val="24"/>
          <w:lang w:val="en-US" w:eastAsia="zh-CN"/>
        </w:rPr>
        <w:t>24</w:t>
      </w:r>
      <w:r>
        <w:rPr>
          <w:rFonts w:hint="eastAsia" w:ascii="Times New Roman" w:hAnsi="Times New Roman" w:cs="Times New Roman" w:eastAsiaTheme="minorEastAsia"/>
          <w:sz w:val="24"/>
          <w:lang w:val="en-US" w:eastAsia="zh-CN"/>
        </w:rPr>
        <w:t>日（</w:t>
      </w:r>
      <w:r>
        <w:rPr>
          <w:rFonts w:hint="default" w:ascii="Times New Roman" w:hAnsi="Times New Roman" w:cs="Times New Roman" w:eastAsiaTheme="minorEastAsia"/>
          <w:sz w:val="24"/>
          <w:lang w:val="en-US" w:eastAsia="zh-CN"/>
        </w:rPr>
        <w:t>1978</w:t>
      </w:r>
      <w:r>
        <w:rPr>
          <w:rFonts w:hint="eastAsia" w:ascii="Times New Roman" w:hAnsi="Times New Roman" w:cs="Times New Roman" w:eastAsiaTheme="minorEastAsia"/>
          <w:sz w:val="24"/>
          <w:lang w:val="en-US" w:eastAsia="zh-CN"/>
        </w:rPr>
        <w:t>年），一般为</w:t>
      </w:r>
      <w:r>
        <w:rPr>
          <w:rFonts w:hint="default" w:ascii="Times New Roman" w:hAnsi="Times New Roman" w:cs="Times New Roman" w:eastAsiaTheme="minorEastAsia"/>
          <w:sz w:val="24"/>
          <w:lang w:val="en-US" w:eastAsia="zh-CN"/>
        </w:rPr>
        <w:t>4</w:t>
      </w:r>
      <w:r>
        <w:rPr>
          <w:rFonts w:hint="eastAsia" w:ascii="Times New Roman" w:hAnsi="Times New Roman" w:cs="Times New Roman" w:eastAsiaTheme="minorEastAsia"/>
          <w:sz w:val="24"/>
          <w:lang w:val="en-US" w:eastAsia="zh-CN"/>
        </w:rPr>
        <w:t>月</w:t>
      </w:r>
      <w:r>
        <w:rPr>
          <w:rFonts w:hint="default" w:ascii="Times New Roman" w:hAnsi="Times New Roman" w:cs="Times New Roman" w:eastAsiaTheme="minorEastAsia"/>
          <w:sz w:val="24"/>
          <w:lang w:val="en-US" w:eastAsia="zh-CN"/>
        </w:rPr>
        <w:t>17</w:t>
      </w:r>
      <w:r>
        <w:rPr>
          <w:rFonts w:hint="eastAsia" w:ascii="Times New Roman" w:hAnsi="Times New Roman" w:cs="Times New Roman" w:eastAsiaTheme="minorEastAsia"/>
          <w:sz w:val="24"/>
          <w:lang w:val="en-US" w:eastAsia="zh-CN"/>
        </w:rPr>
        <w:t>日。无霜期平均</w:t>
      </w:r>
      <w:r>
        <w:rPr>
          <w:rFonts w:hint="default" w:ascii="Times New Roman" w:hAnsi="Times New Roman" w:cs="Times New Roman" w:eastAsiaTheme="minorEastAsia"/>
          <w:sz w:val="24"/>
          <w:lang w:val="en-US" w:eastAsia="zh-CN"/>
        </w:rPr>
        <w:t>173</w:t>
      </w:r>
      <w:r>
        <w:rPr>
          <w:rFonts w:hint="eastAsia" w:ascii="Times New Roman" w:hAnsi="Times New Roman" w:cs="Times New Roman" w:eastAsiaTheme="minorEastAsia"/>
          <w:sz w:val="24"/>
          <w:lang w:val="en-US" w:eastAsia="zh-CN"/>
        </w:rPr>
        <w:t>天，最长</w:t>
      </w:r>
      <w:r>
        <w:rPr>
          <w:rFonts w:hint="default" w:ascii="Times New Roman" w:hAnsi="Times New Roman" w:cs="Times New Roman" w:eastAsiaTheme="minorEastAsia"/>
          <w:sz w:val="24"/>
          <w:lang w:val="en-US" w:eastAsia="zh-CN"/>
        </w:rPr>
        <w:t>199</w:t>
      </w:r>
      <w:r>
        <w:rPr>
          <w:rFonts w:hint="eastAsia" w:ascii="Times New Roman" w:hAnsi="Times New Roman" w:cs="Times New Roman" w:eastAsiaTheme="minorEastAsia"/>
          <w:sz w:val="24"/>
          <w:lang w:val="en-US" w:eastAsia="zh-CN"/>
        </w:rPr>
        <w:t>天，最短</w:t>
      </w:r>
      <w:r>
        <w:rPr>
          <w:rFonts w:hint="default" w:ascii="Times New Roman" w:hAnsi="Times New Roman" w:cs="Times New Roman" w:eastAsiaTheme="minorEastAsia"/>
          <w:sz w:val="24"/>
          <w:lang w:val="en-US" w:eastAsia="zh-CN"/>
        </w:rPr>
        <w:t>142</w:t>
      </w:r>
      <w:r>
        <w:rPr>
          <w:rFonts w:hint="eastAsia" w:ascii="Times New Roman" w:hAnsi="Times New Roman" w:cs="Times New Roman" w:eastAsiaTheme="minorEastAsia"/>
          <w:sz w:val="24"/>
          <w:lang w:val="en-US" w:eastAsia="zh-CN"/>
        </w:rPr>
        <w:t>天。山区无霜期随地势升高而缩短。冻土从</w:t>
      </w:r>
      <w:r>
        <w:rPr>
          <w:rFonts w:hint="default" w:ascii="Times New Roman" w:hAnsi="Times New Roman" w:cs="Times New Roman" w:eastAsiaTheme="minorEastAsia"/>
          <w:sz w:val="24"/>
          <w:lang w:val="en-US" w:eastAsia="zh-CN"/>
        </w:rPr>
        <w:t>11</w:t>
      </w:r>
      <w:r>
        <w:rPr>
          <w:rFonts w:hint="eastAsia" w:ascii="Times New Roman" w:hAnsi="Times New Roman" w:cs="Times New Roman" w:eastAsiaTheme="minorEastAsia"/>
          <w:sz w:val="24"/>
          <w:lang w:val="en-US" w:eastAsia="zh-CN"/>
        </w:rPr>
        <w:t>月下旬开始，冻土层平均厚度为</w:t>
      </w:r>
      <w:r>
        <w:rPr>
          <w:rFonts w:hint="default" w:ascii="Times New Roman" w:hAnsi="Times New Roman" w:cs="Times New Roman" w:eastAsiaTheme="minorEastAsia"/>
          <w:sz w:val="24"/>
          <w:lang w:val="en-US" w:eastAsia="zh-CN"/>
        </w:rPr>
        <w:t>72cm</w:t>
      </w:r>
      <w:r>
        <w:rPr>
          <w:rFonts w:hint="eastAsia" w:ascii="Times New Roman" w:hAnsi="Times New Roman" w:cs="Times New Roman" w:eastAsiaTheme="minorEastAsia"/>
          <w:sz w:val="24"/>
          <w:lang w:val="en-US" w:eastAsia="zh-CN"/>
        </w:rPr>
        <w:t>，最厚</w:t>
      </w:r>
      <w:r>
        <w:rPr>
          <w:rFonts w:hint="default" w:ascii="Times New Roman" w:hAnsi="Times New Roman" w:cs="Times New Roman" w:eastAsiaTheme="minorEastAsia"/>
          <w:sz w:val="24"/>
          <w:lang w:val="en-US" w:eastAsia="zh-CN"/>
        </w:rPr>
        <w:t>98cm</w:t>
      </w:r>
      <w:r>
        <w:rPr>
          <w:rFonts w:hint="eastAsia" w:ascii="Times New Roman" w:hAnsi="Times New Roman" w:cs="Times New Roman" w:eastAsiaTheme="minorEastAsia"/>
          <w:sz w:val="24"/>
          <w:lang w:val="en-US" w:eastAsia="zh-CN"/>
        </w:rPr>
        <w:t>，最小</w:t>
      </w:r>
      <w:r>
        <w:rPr>
          <w:rFonts w:hint="default" w:ascii="Times New Roman" w:hAnsi="Times New Roman" w:cs="Times New Roman" w:eastAsiaTheme="minorEastAsia"/>
          <w:sz w:val="24"/>
          <w:lang w:val="en-US" w:eastAsia="zh-CN"/>
        </w:rPr>
        <w:t>53cm</w:t>
      </w:r>
      <w:r>
        <w:rPr>
          <w:rFonts w:hint="eastAsia" w:ascii="Times New Roman" w:hAnsi="Times New Roman" w:cs="Times New Roman" w:eastAsiaTheme="minorEastAsia"/>
          <w:sz w:val="24"/>
          <w:lang w:val="en-US" w:eastAsia="zh-CN"/>
        </w:rPr>
        <w:t>。</w:t>
      </w:r>
    </w:p>
    <w:p w14:paraId="39B40A2C">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78" w:name="_Toc17593"/>
      <w:r>
        <w:rPr>
          <w:rFonts w:hint="eastAsia" w:ascii="Times New Roman" w:hAnsi="Times New Roman" w:cs="Times New Roman" w:eastAsiaTheme="minorEastAsia"/>
          <w:kern w:val="0"/>
          <w:sz w:val="24"/>
          <w:szCs w:val="24"/>
          <w:lang w:val="en-US" w:eastAsia="zh-CN"/>
        </w:rPr>
        <w:t>4.1.5水系、水文</w:t>
      </w:r>
      <w:bookmarkEnd w:id="178"/>
    </w:p>
    <w:p w14:paraId="18A92081">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莎车县干旱少雨，按全国降水径流分区标准，干旱指数大于</w:t>
      </w:r>
      <w:r>
        <w:rPr>
          <w:rFonts w:hint="default" w:ascii="Times New Roman" w:hAnsi="Times New Roman" w:cs="Times New Roman" w:eastAsiaTheme="minorEastAsia"/>
          <w:sz w:val="24"/>
          <w:highlight w:val="none"/>
          <w:lang w:val="en-US" w:eastAsia="zh-CN"/>
        </w:rPr>
        <w:t>7</w:t>
      </w:r>
      <w:r>
        <w:rPr>
          <w:rFonts w:hint="eastAsia" w:ascii="Times New Roman" w:hAnsi="Times New Roman" w:cs="Times New Roman" w:eastAsiaTheme="minorEastAsia"/>
          <w:sz w:val="24"/>
          <w:highlight w:val="none"/>
          <w:lang w:val="en-US" w:eastAsia="zh-CN"/>
        </w:rPr>
        <w:t>，即划为干旱地区，莎车干旱指数高达</w:t>
      </w:r>
      <w:r>
        <w:rPr>
          <w:rFonts w:hint="default" w:ascii="Times New Roman" w:hAnsi="Times New Roman" w:cs="Times New Roman" w:eastAsiaTheme="minorEastAsia"/>
          <w:sz w:val="24"/>
          <w:highlight w:val="none"/>
          <w:lang w:val="en-US" w:eastAsia="zh-CN"/>
        </w:rPr>
        <w:t>50</w:t>
      </w:r>
      <w:r>
        <w:rPr>
          <w:rFonts w:hint="eastAsia" w:ascii="Times New Roman" w:hAnsi="Times New Roman" w:cs="Times New Roman" w:eastAsiaTheme="minorEastAsia"/>
          <w:sz w:val="24"/>
          <w:highlight w:val="none"/>
          <w:lang w:val="en-US" w:eastAsia="zh-CN"/>
        </w:rPr>
        <w:t>。境内有发源于喀喇昆仑山、昆仑山的叶尔羌河、提孜那甫河流过，成为全县工农业生产、人民生活的主要水源。</w:t>
      </w:r>
    </w:p>
    <w:p w14:paraId="3B1B4512">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莎车县主要</w:t>
      </w:r>
      <w:r>
        <w:rPr>
          <w:rFonts w:hint="eastAsia" w:ascii="Times New Roman" w:hAnsi="Times New Roman" w:cs="Times New Roman"/>
          <w:sz w:val="24"/>
          <w:highlight w:val="none"/>
          <w:lang w:val="en-US" w:eastAsia="zh-CN"/>
        </w:rPr>
        <w:t>的</w:t>
      </w:r>
      <w:r>
        <w:rPr>
          <w:rFonts w:hint="eastAsia" w:ascii="Times New Roman" w:hAnsi="Times New Roman" w:cs="Times New Roman" w:eastAsiaTheme="minorEastAsia"/>
          <w:sz w:val="24"/>
          <w:highlight w:val="none"/>
          <w:lang w:val="en-US" w:eastAsia="zh-CN"/>
        </w:rPr>
        <w:t>河流有</w:t>
      </w:r>
      <w:r>
        <w:rPr>
          <w:rFonts w:hint="default" w:ascii="Times New Roman" w:hAnsi="Times New Roman" w:cs="Times New Roman" w:eastAsiaTheme="minorEastAsia"/>
          <w:sz w:val="24"/>
          <w:highlight w:val="none"/>
          <w:lang w:val="en-US" w:eastAsia="zh-CN"/>
        </w:rPr>
        <w:t>2</w:t>
      </w:r>
      <w:r>
        <w:rPr>
          <w:rFonts w:hint="eastAsia" w:ascii="Times New Roman" w:hAnsi="Times New Roman" w:cs="Times New Roman" w:eastAsiaTheme="minorEastAsia"/>
          <w:sz w:val="24"/>
          <w:highlight w:val="none"/>
          <w:lang w:val="en-US" w:eastAsia="zh-CN"/>
        </w:rPr>
        <w:t>条，即叶尔羌河和提孜那甫河，并有调洪灌溉等类型的水库</w:t>
      </w:r>
      <w:r>
        <w:rPr>
          <w:rFonts w:hint="default" w:ascii="Times New Roman" w:hAnsi="Times New Roman" w:cs="Times New Roman" w:eastAsiaTheme="minorEastAsia"/>
          <w:sz w:val="24"/>
          <w:highlight w:val="none"/>
          <w:lang w:val="en-US" w:eastAsia="zh-CN"/>
        </w:rPr>
        <w:t>17</w:t>
      </w:r>
      <w:r>
        <w:rPr>
          <w:rFonts w:hint="eastAsia" w:ascii="Times New Roman" w:hAnsi="Times New Roman" w:cs="Times New Roman" w:eastAsiaTheme="minorEastAsia"/>
          <w:sz w:val="24"/>
          <w:highlight w:val="none"/>
          <w:lang w:val="en-US" w:eastAsia="zh-CN"/>
        </w:rPr>
        <w:t>座。</w:t>
      </w:r>
    </w:p>
    <w:p w14:paraId="14C97157">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叶尔羌河：叶尔羌河发源于喀喇昆仑山，由西南流向东北，干流经喀什地区的六座县城和</w:t>
      </w:r>
      <w:r>
        <w:rPr>
          <w:rFonts w:hint="eastAsia" w:ascii="Times New Roman" w:hAnsi="Times New Roman" w:cs="Times New Roman"/>
          <w:sz w:val="24"/>
          <w:highlight w:val="none"/>
          <w:lang w:val="en-US" w:eastAsia="zh-CN"/>
        </w:rPr>
        <w:t>克孜勒苏柯尔克孜自治州</w:t>
      </w:r>
      <w:r>
        <w:rPr>
          <w:rFonts w:hint="eastAsia" w:ascii="Times New Roman" w:hAnsi="Times New Roman" w:cs="Times New Roman" w:eastAsiaTheme="minorEastAsia"/>
          <w:sz w:val="24"/>
          <w:highlight w:val="none"/>
          <w:lang w:val="en-US" w:eastAsia="zh-CN"/>
        </w:rPr>
        <w:t>的阿克陶县，最终与阿克苏河汇合注入塔里木河，全长</w:t>
      </w:r>
      <w:r>
        <w:rPr>
          <w:rFonts w:hint="default" w:ascii="Times New Roman" w:hAnsi="Times New Roman" w:cs="Times New Roman" w:eastAsiaTheme="minorEastAsia"/>
          <w:sz w:val="24"/>
          <w:highlight w:val="none"/>
          <w:lang w:val="en-US" w:eastAsia="zh-CN"/>
        </w:rPr>
        <w:t>1179km</w:t>
      </w:r>
      <w:r>
        <w:rPr>
          <w:rFonts w:hint="eastAsia" w:ascii="Times New Roman" w:hAnsi="Times New Roman" w:cs="Times New Roman" w:eastAsiaTheme="minorEastAsia"/>
          <w:sz w:val="24"/>
          <w:highlight w:val="none"/>
          <w:lang w:val="en-US" w:eastAsia="zh-CN"/>
        </w:rPr>
        <w:t>。叶尔羌河是莎车农业用水和农村饮用水的主要水源，多年平均径流量约</w:t>
      </w:r>
      <w:r>
        <w:rPr>
          <w:rFonts w:hint="default" w:ascii="Times New Roman" w:hAnsi="Times New Roman" w:cs="Times New Roman" w:eastAsiaTheme="minorEastAsia"/>
          <w:sz w:val="24"/>
          <w:highlight w:val="none"/>
          <w:lang w:val="en-US" w:eastAsia="zh-CN"/>
        </w:rPr>
        <w:t>64</w:t>
      </w:r>
      <w:r>
        <w:rPr>
          <w:rFonts w:hint="eastAsia" w:ascii="Times New Roman" w:hAnsi="Times New Roman" w:cs="Times New Roman" w:eastAsiaTheme="minorEastAsia"/>
          <w:sz w:val="24"/>
          <w:highlight w:val="none"/>
          <w:lang w:val="en-US" w:eastAsia="zh-CN"/>
        </w:rPr>
        <w:t>亿</w:t>
      </w:r>
      <w:r>
        <w:rPr>
          <w:rFonts w:hint="default" w:ascii="Times New Roman" w:hAnsi="Times New Roman" w:cs="Times New Roman" w:eastAsiaTheme="minorEastAsia"/>
          <w:sz w:val="24"/>
          <w:highlight w:val="none"/>
          <w:lang w:val="en-US" w:eastAsia="zh-CN"/>
        </w:rPr>
        <w:t>m</w:t>
      </w:r>
      <w:r>
        <w:rPr>
          <w:rFonts w:hint="default"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w:t>
      </w:r>
    </w:p>
    <w:p w14:paraId="5F093789">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提孜那甫河：提孜那甫河发源于昆仑山琼依勒克北坡，系叶尔羌河山外支流，全长</w:t>
      </w:r>
      <w:r>
        <w:rPr>
          <w:rFonts w:hint="default" w:ascii="Times New Roman" w:hAnsi="Times New Roman" w:cs="Times New Roman" w:eastAsiaTheme="minorEastAsia"/>
          <w:sz w:val="24"/>
          <w:highlight w:val="none"/>
          <w:lang w:val="en-US" w:eastAsia="zh-CN"/>
        </w:rPr>
        <w:t>335km</w:t>
      </w:r>
      <w:r>
        <w:rPr>
          <w:rFonts w:hint="eastAsia" w:ascii="Times New Roman" w:hAnsi="Times New Roman" w:cs="Times New Roman" w:eastAsiaTheme="minorEastAsia"/>
          <w:sz w:val="24"/>
          <w:highlight w:val="none"/>
          <w:lang w:val="en-US" w:eastAsia="zh-CN"/>
        </w:rPr>
        <w:t>，境内流程约</w:t>
      </w:r>
      <w:r>
        <w:rPr>
          <w:rFonts w:hint="default" w:ascii="Times New Roman" w:hAnsi="Times New Roman" w:cs="Times New Roman" w:eastAsiaTheme="minorEastAsia"/>
          <w:sz w:val="24"/>
          <w:highlight w:val="none"/>
          <w:lang w:val="en-US" w:eastAsia="zh-CN"/>
        </w:rPr>
        <w:t>43km</w:t>
      </w:r>
      <w:r>
        <w:rPr>
          <w:rFonts w:hint="eastAsia" w:ascii="Times New Roman" w:hAnsi="Times New Roman" w:cs="Times New Roman" w:eastAsiaTheme="minorEastAsia"/>
          <w:sz w:val="24"/>
          <w:highlight w:val="none"/>
          <w:lang w:val="en-US" w:eastAsia="zh-CN"/>
        </w:rPr>
        <w:t>，年平均径流量</w:t>
      </w:r>
      <w:r>
        <w:rPr>
          <w:rFonts w:hint="default" w:ascii="Times New Roman" w:hAnsi="Times New Roman" w:cs="Times New Roman" w:eastAsiaTheme="minorEastAsia"/>
          <w:sz w:val="24"/>
          <w:highlight w:val="none"/>
          <w:lang w:val="en-US" w:eastAsia="zh-CN"/>
        </w:rPr>
        <w:t>7.8</w:t>
      </w:r>
      <w:r>
        <w:rPr>
          <w:rFonts w:hint="eastAsia" w:ascii="Times New Roman" w:hAnsi="Times New Roman" w:cs="Times New Roman" w:eastAsiaTheme="minorEastAsia"/>
          <w:sz w:val="24"/>
          <w:highlight w:val="none"/>
          <w:lang w:val="en-US" w:eastAsia="zh-CN"/>
        </w:rPr>
        <w:t>亿</w:t>
      </w:r>
      <w:r>
        <w:rPr>
          <w:rFonts w:hint="default" w:ascii="Times New Roman" w:hAnsi="Times New Roman" w:cs="Times New Roman" w:eastAsiaTheme="minorEastAsia"/>
          <w:sz w:val="24"/>
          <w:highlight w:val="none"/>
          <w:lang w:val="en-US" w:eastAsia="zh-CN"/>
        </w:rPr>
        <w:t>m</w:t>
      </w:r>
      <w:r>
        <w:rPr>
          <w:rFonts w:hint="default"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提孜那甫河经叶城、泽普两县后进入莎车县。其本河道产水已被上述两县基本用完。为解决叶尔羌河东岸的灌溉缺水问题，通过叶尔羌河东岸大渠引水到提孜那甫河，在莎车县境内的提孜那甫河水实际上引自叶尔羌河。</w:t>
      </w:r>
    </w:p>
    <w:p w14:paraId="049801F5">
      <w:pPr>
        <w:adjustRightInd w:val="0"/>
        <w:snapToGrid w:val="0"/>
        <w:spacing w:line="500" w:lineRule="exact"/>
        <w:ind w:firstLine="480" w:firstLineChars="200"/>
        <w:jc w:val="left"/>
        <w:rPr>
          <w:rFonts w:hint="eastAsia" w:ascii="Times New Roman" w:hAnsi="Times New Roman" w:eastAsia="华文中宋" w:cs="Times New Roman"/>
          <w:sz w:val="24"/>
          <w:lang w:val="en-US" w:eastAsia="zh-CN"/>
        </w:rPr>
      </w:pPr>
      <w:r>
        <w:rPr>
          <w:rFonts w:hint="eastAsia" w:ascii="Times New Roman" w:hAnsi="Times New Roman" w:cs="Times New Roman" w:eastAsiaTheme="minorEastAsia"/>
          <w:sz w:val="24"/>
          <w:highlight w:val="none"/>
          <w:lang w:val="en-US" w:eastAsia="zh-CN"/>
        </w:rPr>
        <w:t>水库：莎车县平原水库有</w:t>
      </w:r>
      <w:r>
        <w:rPr>
          <w:rFonts w:hint="default" w:ascii="Times New Roman" w:hAnsi="Times New Roman" w:cs="Times New Roman" w:eastAsiaTheme="minorEastAsia"/>
          <w:sz w:val="24"/>
          <w:highlight w:val="none"/>
          <w:lang w:val="en-US" w:eastAsia="zh-CN"/>
        </w:rPr>
        <w:t>17</w:t>
      </w:r>
      <w:r>
        <w:rPr>
          <w:rFonts w:hint="eastAsia" w:ascii="Times New Roman" w:hAnsi="Times New Roman" w:cs="Times New Roman" w:eastAsiaTheme="minorEastAsia"/>
          <w:sz w:val="24"/>
          <w:highlight w:val="none"/>
          <w:lang w:val="en-US" w:eastAsia="zh-CN"/>
        </w:rPr>
        <w:t>座，设计总库容</w:t>
      </w:r>
      <w:r>
        <w:rPr>
          <w:rFonts w:hint="default" w:ascii="Times New Roman" w:hAnsi="Times New Roman" w:cs="Times New Roman" w:eastAsiaTheme="minorEastAsia"/>
          <w:sz w:val="24"/>
          <w:highlight w:val="none"/>
          <w:lang w:val="en-US" w:eastAsia="zh-CN"/>
        </w:rPr>
        <w:t>2</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2</w:t>
      </w:r>
      <w:r>
        <w:rPr>
          <w:rFonts w:hint="eastAsia" w:ascii="Times New Roman" w:hAnsi="Times New Roman" w:cs="Times New Roman" w:eastAsiaTheme="minorEastAsia"/>
          <w:sz w:val="24"/>
          <w:highlight w:val="none"/>
          <w:lang w:val="en-US" w:eastAsia="zh-CN"/>
        </w:rPr>
        <w:t>亿</w:t>
      </w:r>
      <w:r>
        <w:rPr>
          <w:rFonts w:hint="default" w:ascii="Times New Roman" w:hAnsi="Times New Roman" w:cs="Times New Roman" w:eastAsiaTheme="minorEastAsia"/>
          <w:sz w:val="24"/>
          <w:highlight w:val="none"/>
          <w:lang w:val="en-US" w:eastAsia="zh-CN"/>
        </w:rPr>
        <w:t>m</w:t>
      </w:r>
      <w:r>
        <w:rPr>
          <w:rFonts w:hint="default"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，实际库容</w:t>
      </w:r>
      <w:r>
        <w:rPr>
          <w:rFonts w:hint="default" w:ascii="Times New Roman" w:hAnsi="Times New Roman" w:cs="Times New Roman" w:eastAsiaTheme="minorEastAsia"/>
          <w:sz w:val="24"/>
          <w:highlight w:val="none"/>
          <w:lang w:val="en-US" w:eastAsia="zh-CN"/>
        </w:rPr>
        <w:t>1.44</w:t>
      </w:r>
      <w:r>
        <w:rPr>
          <w:rFonts w:hint="eastAsia" w:ascii="Times New Roman" w:hAnsi="Times New Roman" w:cs="Times New Roman" w:eastAsiaTheme="minorEastAsia"/>
          <w:sz w:val="24"/>
          <w:highlight w:val="none"/>
          <w:lang w:val="en-US" w:eastAsia="zh-CN"/>
        </w:rPr>
        <w:t>亿</w:t>
      </w:r>
      <w:r>
        <w:rPr>
          <w:rFonts w:hint="default" w:ascii="Times New Roman" w:hAnsi="Times New Roman" w:cs="Times New Roman" w:eastAsiaTheme="minorEastAsia"/>
          <w:sz w:val="24"/>
          <w:highlight w:val="none"/>
          <w:lang w:val="en-US" w:eastAsia="zh-CN"/>
        </w:rPr>
        <w:t>m</w:t>
      </w:r>
      <w:r>
        <w:rPr>
          <w:rFonts w:hint="default"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。年蓄水量合计约</w:t>
      </w:r>
      <w:r>
        <w:rPr>
          <w:rFonts w:hint="default" w:ascii="Times New Roman" w:hAnsi="Times New Roman" w:cs="Times New Roman" w:eastAsiaTheme="minorEastAsia"/>
          <w:sz w:val="24"/>
          <w:highlight w:val="none"/>
          <w:lang w:val="en-US" w:eastAsia="zh-CN"/>
        </w:rPr>
        <w:t>2.9</w:t>
      </w:r>
      <w:r>
        <w:rPr>
          <w:rFonts w:hint="eastAsia" w:ascii="Times New Roman" w:hAnsi="Times New Roman" w:cs="Times New Roman" w:eastAsiaTheme="minorEastAsia"/>
          <w:sz w:val="24"/>
          <w:highlight w:val="none"/>
          <w:lang w:val="en-US" w:eastAsia="zh-CN"/>
        </w:rPr>
        <w:t>亿</w:t>
      </w:r>
      <w:r>
        <w:rPr>
          <w:rFonts w:hint="default" w:ascii="Times New Roman" w:hAnsi="Times New Roman" w:cs="Times New Roman" w:eastAsiaTheme="minorEastAsia"/>
          <w:sz w:val="24"/>
          <w:highlight w:val="none"/>
          <w:lang w:val="en-US" w:eastAsia="zh-CN"/>
        </w:rPr>
        <w:t>m</w:t>
      </w:r>
      <w:r>
        <w:rPr>
          <w:rFonts w:hint="default"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。除莎车县的</w:t>
      </w:r>
      <w:r>
        <w:rPr>
          <w:rFonts w:hint="default" w:ascii="Times New Roman" w:hAnsi="Times New Roman" w:cs="Times New Roman" w:eastAsiaTheme="minorEastAsia"/>
          <w:sz w:val="24"/>
          <w:highlight w:val="none"/>
          <w:lang w:val="en-US" w:eastAsia="zh-CN"/>
        </w:rPr>
        <w:t>17</w:t>
      </w:r>
      <w:r>
        <w:rPr>
          <w:rFonts w:hint="eastAsia" w:ascii="Times New Roman" w:hAnsi="Times New Roman" w:cs="Times New Roman" w:eastAsiaTheme="minorEastAsia"/>
          <w:sz w:val="24"/>
          <w:highlight w:val="none"/>
          <w:lang w:val="en-US" w:eastAsia="zh-CN"/>
        </w:rPr>
        <w:t>座水库外，还有</w:t>
      </w:r>
      <w:r>
        <w:rPr>
          <w:rFonts w:hint="default" w:ascii="Times New Roman" w:hAnsi="Times New Roman" w:cs="Times New Roman" w:eastAsiaTheme="minorEastAsia"/>
          <w:sz w:val="24"/>
          <w:highlight w:val="none"/>
          <w:lang w:val="en-US" w:eastAsia="zh-CN"/>
        </w:rPr>
        <w:t>2</w:t>
      </w:r>
      <w:r>
        <w:rPr>
          <w:rFonts w:hint="eastAsia" w:ascii="Times New Roman" w:hAnsi="Times New Roman" w:cs="Times New Roman" w:eastAsiaTheme="minorEastAsia"/>
          <w:sz w:val="24"/>
          <w:highlight w:val="none"/>
          <w:lang w:val="en-US" w:eastAsia="zh-CN"/>
        </w:rPr>
        <w:t>座位于莎车县平原区叶尔羌河管理处管理的流域水库，即苏库恰克水库和依干其水库。两水库给莎车县及叶尔羌河灌区的其他县给水。</w:t>
      </w:r>
    </w:p>
    <w:p w14:paraId="25CC4BFA">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179" w:name="_Toc17805"/>
      <w:r>
        <w:rPr>
          <w:rFonts w:hint="eastAsia" w:ascii="Times New Roman" w:hAnsi="Times New Roman" w:cs="Times New Roman" w:eastAsiaTheme="minorEastAsia"/>
          <w:kern w:val="0"/>
          <w:sz w:val="24"/>
          <w:szCs w:val="24"/>
          <w:lang w:val="en-US" w:eastAsia="zh-CN"/>
        </w:rPr>
        <w:t>4.1.6植物及生物多样性</w:t>
      </w:r>
      <w:bookmarkEnd w:id="179"/>
    </w:p>
    <w:p w14:paraId="7C3FF76D">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莎车县植被属亚非荒漠区、塔里木盆地灌木荒漠植被省，地带性植被为灌木荒漠，树群种是膜果麻黄、泡泡刺、木霸王、沙拐枣等，各河谷冲积平原发育有大面积的胡杨、芦苇、甘草等。具体划分为高山植被、荒漠植被、盐土植被、沼泽植被和沙生植被。山区植被较少，覆盖率低，主要有雪岭云杉、忍冬等，以天然零星的片状分布为主，介于山区与平原间的丘陵地带，植被稀疏，有零星荒漠植物分布。平原大致分为绿洲农区和戈壁沙漠两部分。戈壁沙漠地带分布有沙生、荒漠、盐土植被。绿洲附近及河道两岸分布有天然胡杨林与红柳林。</w:t>
      </w:r>
    </w:p>
    <w:p w14:paraId="79CB131D">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野生植物主要有红柳、柽柳、芦苇、罗布麻、菖蒲、冰草、芨芨草、马莲、骆驼刺、骆驼蓬、三棱草、盐棱、棱旋花、蓟草、灰灰菜、苦豆子、稗草、苦苣菜、蒺藜、龙葵、茼麻、狗尾草、画眉草、间荆、曼陀罗、毛连、草菊、列当、菟丝子、灰藜、地肤、黄须草、碱蓬、苦菊、扁蔷、大叶落藜、黄花苦豆子、拂子草、三叶草、水柏枝、野西瓜、香蒲、东方蓼、野薄荷等。</w:t>
      </w:r>
    </w:p>
    <w:p w14:paraId="38D2656B">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莎车县的林木资源，用材林有杨、柳、柏、松、白蜡、杉、槐、榆、桑等</w:t>
      </w:r>
      <w:r>
        <w:rPr>
          <w:rFonts w:hint="default" w:ascii="Times New Roman" w:hAnsi="Times New Roman" w:cs="Times New Roman" w:eastAsiaTheme="minorEastAsia"/>
          <w:sz w:val="24"/>
          <w:lang w:val="en-US" w:eastAsia="zh-CN"/>
        </w:rPr>
        <w:t>151</w:t>
      </w:r>
      <w:r>
        <w:rPr>
          <w:rFonts w:hint="eastAsia" w:ascii="Times New Roman" w:hAnsi="Times New Roman" w:cs="Times New Roman" w:eastAsiaTheme="minorEastAsia"/>
          <w:sz w:val="24"/>
          <w:lang w:val="en-US" w:eastAsia="zh-CN"/>
        </w:rPr>
        <w:t>种，果木林有桃、杏、苹果、梨、巴旦木、核桃等</w:t>
      </w:r>
      <w:r>
        <w:rPr>
          <w:rFonts w:hint="default" w:ascii="Times New Roman" w:hAnsi="Times New Roman" w:cs="Times New Roman" w:eastAsiaTheme="minorEastAsia"/>
          <w:sz w:val="24"/>
          <w:lang w:val="en-US" w:eastAsia="zh-CN"/>
        </w:rPr>
        <w:t>12</w:t>
      </w:r>
      <w:r>
        <w:rPr>
          <w:rFonts w:hint="eastAsia" w:ascii="Times New Roman" w:hAnsi="Times New Roman" w:cs="Times New Roman" w:eastAsiaTheme="minorEastAsia"/>
          <w:sz w:val="24"/>
          <w:lang w:val="en-US" w:eastAsia="zh-CN"/>
        </w:rPr>
        <w:t>种。</w:t>
      </w:r>
    </w:p>
    <w:p w14:paraId="517E8ED6">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莎车县的野生动物资源有野鸡、鹰、野鸭、黄羊、狐狸、喜鹊、麻雀等</w:t>
      </w:r>
      <w:r>
        <w:rPr>
          <w:rFonts w:hint="default" w:ascii="Times New Roman" w:hAnsi="Times New Roman" w:cs="Times New Roman" w:eastAsiaTheme="minorEastAsia"/>
          <w:sz w:val="24"/>
          <w:lang w:val="en-US" w:eastAsia="zh-CN"/>
        </w:rPr>
        <w:t>320</w:t>
      </w:r>
      <w:r>
        <w:rPr>
          <w:rFonts w:hint="eastAsia" w:ascii="Times New Roman" w:hAnsi="Times New Roman" w:cs="Times New Roman" w:eastAsiaTheme="minorEastAsia"/>
          <w:sz w:val="24"/>
          <w:lang w:val="en-US" w:eastAsia="zh-CN"/>
        </w:rPr>
        <w:t>种。</w:t>
      </w:r>
    </w:p>
    <w:p w14:paraId="0554C954">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莎车县的水生动物有鲤鱼、鲫鱼、鲢鱼、草鱼、青鱼、鳙鱼等。此外，还有本地品种大头鱼、叶尔羌条鳅、球吻条鳅等。</w:t>
      </w:r>
    </w:p>
    <w:p w14:paraId="6127F599">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莎车县的野生饲草有芦苇、骆驼刺等。药材有大黄、麻黄、甘草、车前、蒲公英、党参、马齿苋、薄荷、阿魏、红花、当归等。</w:t>
      </w:r>
    </w:p>
    <w:p w14:paraId="1EDE1832">
      <w:pPr>
        <w:pStyle w:val="3"/>
        <w:spacing w:before="120" w:after="120" w:line="500" w:lineRule="exact"/>
        <w:ind w:left="375" w:hanging="375" w:firstLineChars="0"/>
        <w:contextualSpacing/>
        <w:rPr>
          <w:rFonts w:hint="eastAsia" w:ascii="Times New Roman" w:hAnsi="Times New Roman" w:cs="Times New Roman" w:eastAsiaTheme="minorEastAsia"/>
          <w:snapToGrid w:val="0"/>
          <w:kern w:val="0"/>
          <w:sz w:val="28"/>
          <w:szCs w:val="28"/>
          <w:lang w:val="en-US" w:eastAsia="zh-CN"/>
        </w:rPr>
      </w:pPr>
      <w:bookmarkStart w:id="180" w:name="_Toc12696"/>
      <w:r>
        <w:rPr>
          <w:rFonts w:hint="eastAsia" w:ascii="Times New Roman" w:hAnsi="Times New Roman" w:cs="Times New Roman" w:eastAsiaTheme="minorEastAsia"/>
          <w:snapToGrid w:val="0"/>
          <w:kern w:val="0"/>
          <w:sz w:val="28"/>
          <w:szCs w:val="28"/>
          <w:lang w:val="en-US" w:eastAsia="zh-CN"/>
        </w:rPr>
        <w:t>4.2社会环境简况</w:t>
      </w:r>
      <w:bookmarkEnd w:id="180"/>
    </w:p>
    <w:p w14:paraId="5C60988F">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81" w:name="_Toc4761"/>
      <w:r>
        <w:rPr>
          <w:rFonts w:hint="eastAsia" w:ascii="Times New Roman" w:hAnsi="Times New Roman" w:cs="Times New Roman" w:eastAsiaTheme="minorEastAsia"/>
          <w:kern w:val="0"/>
          <w:sz w:val="24"/>
          <w:szCs w:val="24"/>
          <w:lang w:val="en-US" w:eastAsia="zh-CN"/>
        </w:rPr>
        <w:t>4.2.1行政区域</w:t>
      </w:r>
      <w:bookmarkEnd w:id="181"/>
    </w:p>
    <w:p w14:paraId="77D0884C">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莎车县位于昆仑山北麓、帕米尔高原南缘，塔克拉玛干沙漠和布古里沙漠之间的叶尔羌河冲积扇平原中上游，总面积</w:t>
      </w:r>
      <w:r>
        <w:rPr>
          <w:rFonts w:hint="default" w:ascii="Times New Roman" w:hAnsi="Times New Roman" w:cs="Times New Roman" w:eastAsiaTheme="minorEastAsia"/>
          <w:sz w:val="24"/>
          <w:lang w:val="en-US" w:eastAsia="zh-CN"/>
        </w:rPr>
        <w:t>9037</w:t>
      </w:r>
      <w:r>
        <w:rPr>
          <w:rFonts w:hint="eastAsia" w:ascii="Times New Roman" w:hAnsi="Times New Roman" w:cs="Times New Roman" w:eastAsiaTheme="minorEastAsia"/>
          <w:sz w:val="24"/>
          <w:lang w:val="en-US" w:eastAsia="zh-CN"/>
        </w:rPr>
        <w:t>平方公里，南与泽普、叶城相接，西靠英吉沙县和克孜勒苏柯尔克孜自治州阿克陶县，东与麦盖提县相连，西北与岳普湖县、疏勒县为邻，西南与塔什库尔干塔吉克自治县接壤。</w:t>
      </w:r>
    </w:p>
    <w:p w14:paraId="4AC867D5">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莎车县有</w:t>
      </w:r>
      <w:r>
        <w:rPr>
          <w:rFonts w:hint="default" w:ascii="Times New Roman" w:hAnsi="Times New Roman" w:cs="Times New Roman" w:eastAsiaTheme="minorEastAsia"/>
          <w:sz w:val="24"/>
          <w:lang w:val="en-US" w:eastAsia="zh-CN"/>
        </w:rPr>
        <w:t>3000</w:t>
      </w:r>
      <w:r>
        <w:rPr>
          <w:rFonts w:hint="eastAsia" w:ascii="Times New Roman" w:hAnsi="Times New Roman" w:cs="Times New Roman" w:eastAsiaTheme="minorEastAsia"/>
          <w:sz w:val="24"/>
          <w:lang w:val="en-US" w:eastAsia="zh-CN"/>
        </w:rPr>
        <w:t>多年的历史，是古丝绸之路的要冲和军事重地。莎车县是多民族聚居区，辖</w:t>
      </w:r>
      <w:r>
        <w:rPr>
          <w:rFonts w:hint="default" w:ascii="Times New Roman" w:hAnsi="Times New Roman" w:cs="Times New Roman" w:eastAsiaTheme="minorEastAsia"/>
          <w:sz w:val="24"/>
          <w:lang w:val="en-US" w:eastAsia="zh-CN"/>
        </w:rPr>
        <w:t>15</w:t>
      </w:r>
      <w:r>
        <w:rPr>
          <w:rFonts w:hint="eastAsia" w:ascii="Times New Roman" w:hAnsi="Times New Roman" w:cs="Times New Roman" w:eastAsiaTheme="minorEastAsia"/>
          <w:sz w:val="24"/>
          <w:lang w:val="en-US" w:eastAsia="zh-CN"/>
        </w:rPr>
        <w:t>个乡、</w:t>
      </w:r>
      <w:r>
        <w:rPr>
          <w:rFonts w:hint="default" w:ascii="Times New Roman" w:hAnsi="Times New Roman" w:cs="Times New Roman" w:eastAsiaTheme="minorEastAsia"/>
          <w:sz w:val="24"/>
          <w:lang w:val="en-US" w:eastAsia="zh-CN"/>
        </w:rPr>
        <w:t>14</w:t>
      </w:r>
      <w:r>
        <w:rPr>
          <w:rFonts w:hint="eastAsia" w:ascii="Times New Roman" w:hAnsi="Times New Roman" w:cs="Times New Roman" w:eastAsiaTheme="minorEastAsia"/>
          <w:sz w:val="24"/>
          <w:lang w:val="en-US" w:eastAsia="zh-CN"/>
        </w:rPr>
        <w:t>个镇、</w:t>
      </w:r>
      <w:r>
        <w:rPr>
          <w:rFonts w:hint="default" w:ascii="Times New Roman" w:hAnsi="Times New Roman" w:cs="Times New Roman" w:eastAsiaTheme="minorEastAsia"/>
          <w:sz w:val="24"/>
          <w:lang w:val="en-US" w:eastAsia="zh-CN"/>
        </w:rPr>
        <w:t>5</w:t>
      </w:r>
      <w:r>
        <w:rPr>
          <w:rFonts w:hint="eastAsia" w:ascii="Times New Roman" w:hAnsi="Times New Roman" w:cs="Times New Roman" w:eastAsiaTheme="minorEastAsia"/>
          <w:sz w:val="24"/>
          <w:lang w:val="en-US" w:eastAsia="zh-CN"/>
        </w:rPr>
        <w:t>个街道、</w:t>
      </w:r>
      <w:r>
        <w:rPr>
          <w:rFonts w:hint="default" w:ascii="Times New Roman" w:hAnsi="Times New Roman" w:cs="Times New Roman" w:eastAsiaTheme="minorEastAsia"/>
          <w:sz w:val="24"/>
          <w:lang w:val="en-US" w:eastAsia="zh-CN"/>
        </w:rPr>
        <w:t>2</w:t>
      </w:r>
      <w:r>
        <w:rPr>
          <w:rFonts w:hint="eastAsia" w:ascii="Times New Roman" w:hAnsi="Times New Roman" w:cs="Times New Roman" w:eastAsiaTheme="minorEastAsia"/>
          <w:sz w:val="24"/>
          <w:lang w:val="en-US" w:eastAsia="zh-CN"/>
        </w:rPr>
        <w:t>个管委会，有维吾尔、汉、回、塔吉克等</w:t>
      </w:r>
      <w:r>
        <w:rPr>
          <w:rFonts w:hint="default" w:ascii="Times New Roman" w:hAnsi="Times New Roman" w:cs="Times New Roman" w:eastAsiaTheme="minorEastAsia"/>
          <w:sz w:val="24"/>
          <w:lang w:val="en-US" w:eastAsia="zh-CN"/>
        </w:rPr>
        <w:t>13</w:t>
      </w:r>
      <w:r>
        <w:rPr>
          <w:rFonts w:hint="eastAsia" w:ascii="Times New Roman" w:hAnsi="Times New Roman" w:cs="Times New Roman" w:eastAsiaTheme="minorEastAsia"/>
          <w:sz w:val="24"/>
          <w:lang w:val="en-US" w:eastAsia="zh-CN"/>
        </w:rPr>
        <w:t>个民族，少数民族占</w:t>
      </w:r>
      <w:r>
        <w:rPr>
          <w:rFonts w:hint="default" w:ascii="Times New Roman" w:hAnsi="Times New Roman" w:cs="Times New Roman" w:eastAsiaTheme="minorEastAsia"/>
          <w:sz w:val="24"/>
          <w:lang w:val="en-US" w:eastAsia="zh-CN"/>
        </w:rPr>
        <w:t>93.6%</w:t>
      </w:r>
      <w:r>
        <w:rPr>
          <w:rFonts w:hint="eastAsia" w:ascii="Times New Roman" w:hAnsi="Times New Roman" w:cs="Times New Roman" w:eastAsiaTheme="minorEastAsia"/>
          <w:sz w:val="24"/>
          <w:lang w:val="en-US" w:eastAsia="zh-CN"/>
        </w:rPr>
        <w:t>。</w:t>
      </w:r>
    </w:p>
    <w:p w14:paraId="58D1FBF4">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莎车县土地资源丰富，现有耕地</w:t>
      </w:r>
      <w:r>
        <w:rPr>
          <w:rFonts w:hint="default" w:ascii="Times New Roman" w:hAnsi="Times New Roman" w:cs="Times New Roman" w:eastAsiaTheme="minorEastAsia"/>
          <w:sz w:val="24"/>
          <w:lang w:val="en-US" w:eastAsia="zh-CN"/>
        </w:rPr>
        <w:t>209</w:t>
      </w:r>
      <w:r>
        <w:rPr>
          <w:rFonts w:hint="eastAsia" w:ascii="Times New Roman" w:hAnsi="Times New Roman" w:cs="Times New Roman" w:eastAsiaTheme="minorEastAsia"/>
          <w:sz w:val="24"/>
          <w:lang w:val="en-US" w:eastAsia="zh-CN"/>
        </w:rPr>
        <w:t>万亩、林地</w:t>
      </w:r>
      <w:r>
        <w:rPr>
          <w:rFonts w:hint="default" w:ascii="Times New Roman" w:hAnsi="Times New Roman" w:cs="Times New Roman" w:eastAsiaTheme="minorEastAsia"/>
          <w:sz w:val="24"/>
          <w:lang w:val="en-US" w:eastAsia="zh-CN"/>
        </w:rPr>
        <w:t>208.1</w:t>
      </w:r>
      <w:r>
        <w:rPr>
          <w:rFonts w:hint="eastAsia" w:ascii="Times New Roman" w:hAnsi="Times New Roman" w:cs="Times New Roman" w:eastAsiaTheme="minorEastAsia"/>
          <w:sz w:val="24"/>
          <w:lang w:val="en-US" w:eastAsia="zh-CN"/>
        </w:rPr>
        <w:t>万亩、天然草场</w:t>
      </w:r>
      <w:r>
        <w:rPr>
          <w:rFonts w:hint="default" w:ascii="Times New Roman" w:hAnsi="Times New Roman" w:cs="Times New Roman" w:eastAsiaTheme="minorEastAsia"/>
          <w:sz w:val="24"/>
          <w:lang w:val="en-US" w:eastAsia="zh-CN"/>
        </w:rPr>
        <w:t>234</w:t>
      </w:r>
      <w:r>
        <w:rPr>
          <w:rFonts w:hint="eastAsia" w:ascii="Times New Roman" w:hAnsi="Times New Roman" w:cs="Times New Roman" w:eastAsiaTheme="minorEastAsia"/>
          <w:sz w:val="24"/>
          <w:lang w:val="en-US" w:eastAsia="zh-CN"/>
        </w:rPr>
        <w:t>万亩；全年日照时间平均</w:t>
      </w:r>
      <w:r>
        <w:rPr>
          <w:rFonts w:hint="default" w:ascii="Times New Roman" w:hAnsi="Times New Roman" w:cs="Times New Roman" w:eastAsiaTheme="minorEastAsia"/>
          <w:sz w:val="24"/>
          <w:lang w:val="en-US" w:eastAsia="zh-CN"/>
        </w:rPr>
        <w:t>2860</w:t>
      </w:r>
      <w:r>
        <w:rPr>
          <w:rFonts w:hint="eastAsia" w:ascii="Times New Roman" w:hAnsi="Times New Roman" w:cs="Times New Roman" w:eastAsiaTheme="minorEastAsia"/>
          <w:sz w:val="24"/>
          <w:lang w:val="en-US" w:eastAsia="zh-CN"/>
        </w:rPr>
        <w:t>小时。</w:t>
      </w:r>
      <w:r>
        <w:rPr>
          <w:rFonts w:hint="default" w:ascii="Times New Roman" w:hAnsi="Times New Roman" w:cs="Times New Roman" w:eastAsiaTheme="minorEastAsia"/>
          <w:sz w:val="24"/>
          <w:lang w:val="en-US" w:eastAsia="zh-CN"/>
        </w:rPr>
        <w:t>2020</w:t>
      </w:r>
      <w:r>
        <w:rPr>
          <w:rFonts w:hint="eastAsia" w:ascii="Times New Roman" w:hAnsi="Times New Roman" w:cs="Times New Roman" w:eastAsiaTheme="minorEastAsia"/>
          <w:sz w:val="24"/>
          <w:lang w:val="en-US" w:eastAsia="zh-CN"/>
        </w:rPr>
        <w:t>年全年粮食总产量达</w:t>
      </w:r>
      <w:r>
        <w:rPr>
          <w:rFonts w:hint="default" w:ascii="Times New Roman" w:hAnsi="Times New Roman" w:cs="Times New Roman" w:eastAsiaTheme="minorEastAsia"/>
          <w:sz w:val="24"/>
          <w:lang w:val="en-US" w:eastAsia="zh-CN"/>
        </w:rPr>
        <w:t>48.79</w:t>
      </w:r>
      <w:r>
        <w:rPr>
          <w:rFonts w:hint="eastAsia" w:ascii="Times New Roman" w:hAnsi="Times New Roman" w:cs="Times New Roman" w:eastAsiaTheme="minorEastAsia"/>
          <w:sz w:val="24"/>
          <w:lang w:val="en-US" w:eastAsia="zh-CN"/>
        </w:rPr>
        <w:t>万吨、瓜类产量</w:t>
      </w:r>
      <w:r>
        <w:rPr>
          <w:rFonts w:hint="default" w:ascii="Times New Roman" w:hAnsi="Times New Roman" w:cs="Times New Roman" w:eastAsiaTheme="minorEastAsia"/>
          <w:sz w:val="24"/>
          <w:lang w:val="en-US" w:eastAsia="zh-CN"/>
        </w:rPr>
        <w:t>115500</w:t>
      </w:r>
      <w:r>
        <w:rPr>
          <w:rFonts w:hint="eastAsia" w:ascii="Times New Roman" w:hAnsi="Times New Roman" w:cs="Times New Roman" w:eastAsiaTheme="minorEastAsia"/>
          <w:sz w:val="24"/>
          <w:lang w:val="en-US" w:eastAsia="zh-CN"/>
        </w:rPr>
        <w:t>吨、林果产量</w:t>
      </w:r>
      <w:r>
        <w:rPr>
          <w:rFonts w:hint="default" w:ascii="Times New Roman" w:hAnsi="Times New Roman" w:cs="Times New Roman" w:eastAsiaTheme="minorEastAsia"/>
          <w:sz w:val="24"/>
          <w:lang w:val="en-US" w:eastAsia="zh-CN"/>
        </w:rPr>
        <w:t>282784</w:t>
      </w:r>
      <w:r>
        <w:rPr>
          <w:rFonts w:hint="eastAsia" w:ascii="Times New Roman" w:hAnsi="Times New Roman" w:cs="Times New Roman" w:eastAsiaTheme="minorEastAsia"/>
          <w:sz w:val="24"/>
          <w:lang w:val="en-US" w:eastAsia="zh-CN"/>
        </w:rPr>
        <w:t>吨、牲畜存栏</w:t>
      </w:r>
      <w:r>
        <w:rPr>
          <w:rFonts w:hint="default" w:ascii="Times New Roman" w:hAnsi="Times New Roman" w:cs="Times New Roman" w:eastAsiaTheme="minorEastAsia"/>
          <w:sz w:val="24"/>
          <w:lang w:val="en-US" w:eastAsia="zh-CN"/>
        </w:rPr>
        <w:t>114.96</w:t>
      </w:r>
      <w:r>
        <w:rPr>
          <w:rFonts w:hint="eastAsia" w:ascii="Times New Roman" w:hAnsi="Times New Roman" w:cs="Times New Roman" w:eastAsiaTheme="minorEastAsia"/>
          <w:sz w:val="24"/>
          <w:lang w:val="en-US" w:eastAsia="zh-CN"/>
        </w:rPr>
        <w:t>万头（只）、牲畜出栏</w:t>
      </w:r>
      <w:r>
        <w:rPr>
          <w:rFonts w:hint="default" w:ascii="Times New Roman" w:hAnsi="Times New Roman" w:cs="Times New Roman" w:eastAsiaTheme="minorEastAsia"/>
          <w:sz w:val="24"/>
          <w:lang w:val="en-US" w:eastAsia="zh-CN"/>
        </w:rPr>
        <w:t>82.71</w:t>
      </w:r>
      <w:r>
        <w:rPr>
          <w:rFonts w:hint="eastAsia" w:ascii="Times New Roman" w:hAnsi="Times New Roman" w:cs="Times New Roman" w:eastAsiaTheme="minorEastAsia"/>
          <w:sz w:val="24"/>
          <w:lang w:val="en-US" w:eastAsia="zh-CN"/>
        </w:rPr>
        <w:t>万头（只）、家禽存栏</w:t>
      </w:r>
      <w:r>
        <w:rPr>
          <w:rFonts w:hint="default" w:ascii="Times New Roman" w:hAnsi="Times New Roman" w:cs="Times New Roman" w:eastAsiaTheme="minorEastAsia"/>
          <w:sz w:val="24"/>
          <w:lang w:val="en-US" w:eastAsia="zh-CN"/>
        </w:rPr>
        <w:t>112.25</w:t>
      </w:r>
      <w:r>
        <w:rPr>
          <w:rFonts w:hint="eastAsia" w:ascii="Times New Roman" w:hAnsi="Times New Roman" w:cs="Times New Roman" w:eastAsiaTheme="minorEastAsia"/>
          <w:sz w:val="24"/>
          <w:lang w:val="en-US" w:eastAsia="zh-CN"/>
        </w:rPr>
        <w:t>万只（羽）、家禽出栏</w:t>
      </w:r>
      <w:r>
        <w:rPr>
          <w:rFonts w:hint="default" w:ascii="Times New Roman" w:hAnsi="Times New Roman" w:cs="Times New Roman" w:eastAsiaTheme="minorEastAsia"/>
          <w:sz w:val="24"/>
          <w:lang w:val="en-US" w:eastAsia="zh-CN"/>
        </w:rPr>
        <w:t>139.79</w:t>
      </w:r>
      <w:r>
        <w:rPr>
          <w:rFonts w:hint="eastAsia" w:ascii="Times New Roman" w:hAnsi="Times New Roman" w:cs="Times New Roman" w:eastAsiaTheme="minorEastAsia"/>
          <w:sz w:val="24"/>
          <w:lang w:val="en-US" w:eastAsia="zh-CN"/>
        </w:rPr>
        <w:t>万只（羽），全年肉类总产量</w:t>
      </w:r>
      <w:r>
        <w:rPr>
          <w:rFonts w:hint="default" w:ascii="Times New Roman" w:hAnsi="Times New Roman" w:cs="Times New Roman" w:eastAsiaTheme="minorEastAsia"/>
          <w:sz w:val="24"/>
          <w:lang w:val="en-US" w:eastAsia="zh-CN"/>
        </w:rPr>
        <w:t>18813</w:t>
      </w:r>
      <w:r>
        <w:rPr>
          <w:rFonts w:hint="eastAsia" w:ascii="Times New Roman" w:hAnsi="Times New Roman" w:cs="Times New Roman" w:eastAsiaTheme="minorEastAsia"/>
          <w:sz w:val="24"/>
          <w:lang w:val="en-US" w:eastAsia="zh-CN"/>
        </w:rPr>
        <w:t>吨、奶产量</w:t>
      </w:r>
      <w:r>
        <w:rPr>
          <w:rFonts w:hint="default" w:ascii="Times New Roman" w:hAnsi="Times New Roman" w:cs="Times New Roman" w:eastAsiaTheme="minorEastAsia"/>
          <w:sz w:val="24"/>
          <w:lang w:val="en-US" w:eastAsia="zh-CN"/>
        </w:rPr>
        <w:t>15630</w:t>
      </w:r>
      <w:r>
        <w:rPr>
          <w:rFonts w:hint="eastAsia" w:ascii="Times New Roman" w:hAnsi="Times New Roman" w:cs="Times New Roman" w:eastAsiaTheme="minorEastAsia"/>
          <w:sz w:val="24"/>
          <w:lang w:val="en-US" w:eastAsia="zh-CN"/>
        </w:rPr>
        <w:t>吨、禽蛋产量</w:t>
      </w:r>
      <w:r>
        <w:rPr>
          <w:rFonts w:hint="default" w:ascii="Times New Roman" w:hAnsi="Times New Roman" w:cs="Times New Roman" w:eastAsiaTheme="minorEastAsia"/>
          <w:sz w:val="24"/>
          <w:lang w:val="en-US" w:eastAsia="zh-CN"/>
        </w:rPr>
        <w:t>5998</w:t>
      </w:r>
      <w:r>
        <w:rPr>
          <w:rFonts w:hint="eastAsia" w:ascii="Times New Roman" w:hAnsi="Times New Roman" w:cs="Times New Roman" w:eastAsiaTheme="minorEastAsia"/>
          <w:sz w:val="24"/>
          <w:lang w:val="en-US" w:eastAsia="zh-CN"/>
        </w:rPr>
        <w:t>吨、毛产量</w:t>
      </w:r>
      <w:r>
        <w:rPr>
          <w:rFonts w:hint="default" w:ascii="Times New Roman" w:hAnsi="Times New Roman" w:cs="Times New Roman" w:eastAsiaTheme="minorEastAsia"/>
          <w:sz w:val="24"/>
          <w:lang w:val="en-US" w:eastAsia="zh-CN"/>
        </w:rPr>
        <w:t>1853.92</w:t>
      </w:r>
      <w:r>
        <w:rPr>
          <w:rFonts w:hint="eastAsia" w:ascii="Times New Roman" w:hAnsi="Times New Roman" w:cs="Times New Roman" w:eastAsiaTheme="minorEastAsia"/>
          <w:sz w:val="24"/>
          <w:lang w:val="en-US" w:eastAsia="zh-CN"/>
        </w:rPr>
        <w:t>吨，全年水产养殖面积</w:t>
      </w:r>
      <w:r>
        <w:rPr>
          <w:rFonts w:hint="default" w:ascii="Times New Roman" w:hAnsi="Times New Roman" w:cs="Times New Roman" w:eastAsiaTheme="minorEastAsia"/>
          <w:sz w:val="24"/>
          <w:lang w:val="en-US" w:eastAsia="zh-CN"/>
        </w:rPr>
        <w:t>3.2</w:t>
      </w:r>
      <w:r>
        <w:rPr>
          <w:rFonts w:hint="eastAsia" w:ascii="Times New Roman" w:hAnsi="Times New Roman" w:cs="Times New Roman" w:eastAsiaTheme="minorEastAsia"/>
          <w:sz w:val="24"/>
          <w:lang w:val="en-US" w:eastAsia="zh-CN"/>
        </w:rPr>
        <w:t>万亩、水产品产量</w:t>
      </w:r>
      <w:r>
        <w:rPr>
          <w:rFonts w:hint="default" w:ascii="Times New Roman" w:hAnsi="Times New Roman" w:cs="Times New Roman" w:eastAsiaTheme="minorEastAsia"/>
          <w:sz w:val="24"/>
          <w:lang w:val="en-US" w:eastAsia="zh-CN"/>
        </w:rPr>
        <w:t>3639.11</w:t>
      </w:r>
      <w:r>
        <w:rPr>
          <w:rFonts w:hint="eastAsia" w:ascii="Times New Roman" w:hAnsi="Times New Roman" w:cs="Times New Roman" w:eastAsiaTheme="minorEastAsia"/>
          <w:sz w:val="24"/>
          <w:lang w:val="en-US" w:eastAsia="zh-CN"/>
        </w:rPr>
        <w:t>吨。</w:t>
      </w:r>
    </w:p>
    <w:p w14:paraId="0F068B47">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2022</w:t>
      </w:r>
      <w:r>
        <w:rPr>
          <w:rFonts w:hint="eastAsia" w:ascii="Times New Roman" w:hAnsi="Times New Roman" w:cs="Times New Roman" w:eastAsiaTheme="minorEastAsia"/>
          <w:sz w:val="24"/>
          <w:lang w:val="en-US" w:eastAsia="zh-CN"/>
        </w:rPr>
        <w:t>年莎车县实现生产总值（</w:t>
      </w:r>
      <w:r>
        <w:rPr>
          <w:rFonts w:hint="default" w:ascii="Times New Roman" w:hAnsi="Times New Roman" w:cs="Times New Roman" w:eastAsiaTheme="minorEastAsia"/>
          <w:sz w:val="24"/>
          <w:lang w:val="en-US" w:eastAsia="zh-CN"/>
        </w:rPr>
        <w:t>GDP</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1578522</w:t>
      </w:r>
      <w:r>
        <w:rPr>
          <w:rFonts w:hint="eastAsia" w:ascii="Times New Roman" w:hAnsi="Times New Roman" w:cs="Times New Roman" w:eastAsiaTheme="minorEastAsia"/>
          <w:sz w:val="24"/>
          <w:lang w:val="en-US" w:eastAsia="zh-CN"/>
        </w:rPr>
        <w:t>万元，比上年增长</w:t>
      </w:r>
      <w:r>
        <w:rPr>
          <w:rFonts w:hint="default" w:ascii="Times New Roman" w:hAnsi="Times New Roman" w:cs="Times New Roman" w:eastAsiaTheme="minorEastAsia"/>
          <w:sz w:val="24"/>
          <w:lang w:val="en-US" w:eastAsia="zh-CN"/>
        </w:rPr>
        <w:t>1.0%</w:t>
      </w:r>
      <w:r>
        <w:rPr>
          <w:rFonts w:hint="eastAsia" w:ascii="Times New Roman" w:hAnsi="Times New Roman" w:cs="Times New Roman" w:eastAsiaTheme="minorEastAsia"/>
          <w:sz w:val="24"/>
          <w:lang w:val="en-US" w:eastAsia="zh-CN"/>
        </w:rPr>
        <w:t>；其中，第一产业增加值</w:t>
      </w:r>
      <w:r>
        <w:rPr>
          <w:rFonts w:hint="default" w:ascii="Times New Roman" w:hAnsi="Times New Roman" w:cs="Times New Roman" w:eastAsiaTheme="minorEastAsia"/>
          <w:sz w:val="24"/>
          <w:lang w:val="en-US" w:eastAsia="zh-CN"/>
        </w:rPr>
        <w:t>567671</w:t>
      </w:r>
      <w:r>
        <w:rPr>
          <w:rFonts w:hint="eastAsia" w:ascii="Times New Roman" w:hAnsi="Times New Roman" w:cs="Times New Roman" w:eastAsiaTheme="minorEastAsia"/>
          <w:sz w:val="24"/>
          <w:lang w:val="en-US" w:eastAsia="zh-CN"/>
        </w:rPr>
        <w:t>万元，比上年增长</w:t>
      </w:r>
      <w:r>
        <w:rPr>
          <w:rFonts w:hint="default" w:ascii="Times New Roman" w:hAnsi="Times New Roman" w:cs="Times New Roman" w:eastAsiaTheme="minorEastAsia"/>
          <w:sz w:val="24"/>
          <w:lang w:val="en-US" w:eastAsia="zh-CN"/>
        </w:rPr>
        <w:t>4.3%</w:t>
      </w:r>
      <w:r>
        <w:rPr>
          <w:rFonts w:hint="eastAsia" w:ascii="Times New Roman" w:hAnsi="Times New Roman" w:cs="Times New Roman" w:eastAsiaTheme="minorEastAsia"/>
          <w:sz w:val="24"/>
          <w:lang w:val="en-US" w:eastAsia="zh-CN"/>
        </w:rPr>
        <w:t>；第二产业增加值</w:t>
      </w:r>
      <w:r>
        <w:rPr>
          <w:rFonts w:hint="default" w:ascii="Times New Roman" w:hAnsi="Times New Roman" w:cs="Times New Roman" w:eastAsiaTheme="minorEastAsia"/>
          <w:sz w:val="24"/>
          <w:lang w:val="en-US" w:eastAsia="zh-CN"/>
        </w:rPr>
        <w:t>261097</w:t>
      </w:r>
      <w:r>
        <w:rPr>
          <w:rFonts w:hint="eastAsia" w:ascii="Times New Roman" w:hAnsi="Times New Roman" w:cs="Times New Roman" w:eastAsiaTheme="minorEastAsia"/>
          <w:sz w:val="24"/>
          <w:lang w:val="en-US" w:eastAsia="zh-CN"/>
        </w:rPr>
        <w:t>万元，比上年增长</w:t>
      </w:r>
      <w:r>
        <w:rPr>
          <w:rFonts w:hint="default" w:ascii="Times New Roman" w:hAnsi="Times New Roman" w:cs="Times New Roman" w:eastAsiaTheme="minorEastAsia"/>
          <w:sz w:val="24"/>
          <w:lang w:val="en-US" w:eastAsia="zh-CN"/>
        </w:rPr>
        <w:t>0.1%</w:t>
      </w:r>
      <w:r>
        <w:rPr>
          <w:rFonts w:hint="eastAsia" w:ascii="Times New Roman" w:hAnsi="Times New Roman" w:cs="Times New Roman" w:eastAsiaTheme="minorEastAsia"/>
          <w:sz w:val="24"/>
          <w:lang w:val="en-US" w:eastAsia="zh-CN"/>
        </w:rPr>
        <w:t>；第三产业增加值</w:t>
      </w:r>
      <w:r>
        <w:rPr>
          <w:rFonts w:hint="default" w:ascii="Times New Roman" w:hAnsi="Times New Roman" w:cs="Times New Roman" w:eastAsiaTheme="minorEastAsia"/>
          <w:sz w:val="24"/>
          <w:lang w:val="en-US" w:eastAsia="zh-CN"/>
        </w:rPr>
        <w:t>749754</w:t>
      </w:r>
      <w:r>
        <w:rPr>
          <w:rFonts w:hint="eastAsia" w:ascii="Times New Roman" w:hAnsi="Times New Roman" w:cs="Times New Roman" w:eastAsiaTheme="minorEastAsia"/>
          <w:sz w:val="24"/>
          <w:lang w:val="en-US" w:eastAsia="zh-CN"/>
        </w:rPr>
        <w:t>万元，比上年下降</w:t>
      </w:r>
      <w:r>
        <w:rPr>
          <w:rFonts w:hint="default" w:ascii="Times New Roman" w:hAnsi="Times New Roman" w:cs="Times New Roman" w:eastAsiaTheme="minorEastAsia"/>
          <w:sz w:val="24"/>
          <w:lang w:val="en-US" w:eastAsia="zh-CN"/>
        </w:rPr>
        <w:t>0.9%</w:t>
      </w:r>
      <w:r>
        <w:rPr>
          <w:rFonts w:hint="eastAsia" w:ascii="Times New Roman" w:hAnsi="Times New Roman" w:cs="Times New Roman" w:eastAsiaTheme="minorEastAsia"/>
          <w:sz w:val="24"/>
          <w:lang w:val="en-US" w:eastAsia="zh-CN"/>
        </w:rPr>
        <w:t>。第一产业增加值占地区生产总值的比重为</w:t>
      </w:r>
      <w:r>
        <w:rPr>
          <w:rFonts w:hint="default" w:ascii="Times New Roman" w:hAnsi="Times New Roman" w:cs="Times New Roman" w:eastAsiaTheme="minorEastAsia"/>
          <w:sz w:val="24"/>
          <w:lang w:val="en-US" w:eastAsia="zh-CN"/>
        </w:rPr>
        <w:t>36%</w:t>
      </w:r>
      <w:r>
        <w:rPr>
          <w:rFonts w:hint="eastAsia" w:ascii="Times New Roman" w:hAnsi="Times New Roman" w:cs="Times New Roman" w:eastAsiaTheme="minorEastAsia"/>
          <w:sz w:val="24"/>
          <w:lang w:val="en-US" w:eastAsia="zh-CN"/>
        </w:rPr>
        <w:t>，第二产业增加值占地区生产总值的比重为</w:t>
      </w:r>
      <w:r>
        <w:rPr>
          <w:rFonts w:hint="default" w:ascii="Times New Roman" w:hAnsi="Times New Roman" w:cs="Times New Roman" w:eastAsiaTheme="minorEastAsia"/>
          <w:sz w:val="24"/>
          <w:lang w:val="en-US" w:eastAsia="zh-CN"/>
        </w:rPr>
        <w:t>16.5%</w:t>
      </w:r>
      <w:r>
        <w:rPr>
          <w:rFonts w:hint="eastAsia" w:ascii="Times New Roman" w:hAnsi="Times New Roman" w:cs="Times New Roman" w:eastAsiaTheme="minorEastAsia"/>
          <w:sz w:val="24"/>
          <w:lang w:val="en-US" w:eastAsia="zh-CN"/>
        </w:rPr>
        <w:t>，第三产业增加值占地区生产总值的比重为</w:t>
      </w:r>
      <w:r>
        <w:rPr>
          <w:rFonts w:hint="default" w:ascii="Times New Roman" w:hAnsi="Times New Roman" w:cs="Times New Roman" w:eastAsiaTheme="minorEastAsia"/>
          <w:sz w:val="24"/>
          <w:lang w:val="en-US" w:eastAsia="zh-CN"/>
        </w:rPr>
        <w:t>47.5%</w:t>
      </w:r>
      <w:r>
        <w:rPr>
          <w:rFonts w:hint="eastAsia" w:ascii="Times New Roman" w:hAnsi="Times New Roman" w:cs="Times New Roman" w:eastAsiaTheme="minorEastAsia"/>
          <w:sz w:val="24"/>
          <w:lang w:val="en-US" w:eastAsia="zh-CN"/>
        </w:rPr>
        <w:t>。</w:t>
      </w:r>
    </w:p>
    <w:p w14:paraId="4A68C66D">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全县拥有各级各类学校</w:t>
      </w:r>
      <w:r>
        <w:rPr>
          <w:rFonts w:hint="default" w:ascii="Times New Roman" w:hAnsi="Times New Roman" w:cs="Times New Roman" w:eastAsiaTheme="minorEastAsia"/>
          <w:sz w:val="24"/>
          <w:lang w:val="en-US" w:eastAsia="zh-CN"/>
        </w:rPr>
        <w:t>555</w:t>
      </w:r>
      <w:r>
        <w:rPr>
          <w:rFonts w:hint="eastAsia" w:ascii="Times New Roman" w:hAnsi="Times New Roman" w:cs="Times New Roman" w:eastAsiaTheme="minorEastAsia"/>
          <w:sz w:val="24"/>
          <w:lang w:val="en-US" w:eastAsia="zh-CN"/>
        </w:rPr>
        <w:t>所，其中：普通高中</w:t>
      </w:r>
      <w:r>
        <w:rPr>
          <w:rFonts w:hint="default" w:ascii="Times New Roman" w:hAnsi="Times New Roman" w:cs="Times New Roman" w:eastAsiaTheme="minorEastAsia"/>
          <w:sz w:val="24"/>
          <w:lang w:val="en-US" w:eastAsia="zh-CN"/>
        </w:rPr>
        <w:t>4</w:t>
      </w:r>
      <w:r>
        <w:rPr>
          <w:rFonts w:hint="eastAsia" w:ascii="Times New Roman" w:hAnsi="Times New Roman" w:cs="Times New Roman" w:eastAsiaTheme="minorEastAsia"/>
          <w:sz w:val="24"/>
          <w:lang w:val="en-US" w:eastAsia="zh-CN"/>
        </w:rPr>
        <w:t>所、职业高中</w:t>
      </w:r>
      <w:r>
        <w:rPr>
          <w:rFonts w:hint="default" w:ascii="Times New Roman" w:hAnsi="Times New Roman" w:cs="Times New Roman" w:eastAsiaTheme="minorEastAsia"/>
          <w:sz w:val="24"/>
          <w:lang w:val="en-US" w:eastAsia="zh-CN"/>
        </w:rPr>
        <w:t>2</w:t>
      </w:r>
      <w:r>
        <w:rPr>
          <w:rFonts w:hint="eastAsia" w:ascii="Times New Roman" w:hAnsi="Times New Roman" w:cs="Times New Roman" w:eastAsiaTheme="minorEastAsia"/>
          <w:sz w:val="24"/>
          <w:lang w:val="en-US" w:eastAsia="zh-CN"/>
        </w:rPr>
        <w:t>所、初中</w:t>
      </w:r>
      <w:r>
        <w:rPr>
          <w:rFonts w:hint="default" w:ascii="Times New Roman" w:hAnsi="Times New Roman" w:cs="Times New Roman" w:eastAsiaTheme="minorEastAsia"/>
          <w:sz w:val="24"/>
          <w:lang w:val="en-US" w:eastAsia="zh-CN"/>
        </w:rPr>
        <w:t>33</w:t>
      </w:r>
      <w:r>
        <w:rPr>
          <w:rFonts w:hint="eastAsia" w:ascii="Times New Roman" w:hAnsi="Times New Roman" w:cs="Times New Roman" w:eastAsiaTheme="minorEastAsia"/>
          <w:sz w:val="24"/>
          <w:lang w:val="en-US" w:eastAsia="zh-CN"/>
        </w:rPr>
        <w:t>所、小学</w:t>
      </w:r>
      <w:r>
        <w:rPr>
          <w:rFonts w:hint="default" w:ascii="Times New Roman" w:hAnsi="Times New Roman" w:cs="Times New Roman" w:eastAsiaTheme="minorEastAsia"/>
          <w:sz w:val="24"/>
          <w:lang w:val="en-US" w:eastAsia="zh-CN"/>
        </w:rPr>
        <w:t>196</w:t>
      </w:r>
      <w:r>
        <w:rPr>
          <w:rFonts w:hint="eastAsia" w:ascii="Times New Roman" w:hAnsi="Times New Roman" w:cs="Times New Roman" w:eastAsiaTheme="minorEastAsia"/>
          <w:sz w:val="24"/>
          <w:lang w:val="en-US" w:eastAsia="zh-CN"/>
        </w:rPr>
        <w:t>所、特殊教育学校</w:t>
      </w:r>
      <w:r>
        <w:rPr>
          <w:rFonts w:hint="default" w:ascii="Times New Roman" w:hAnsi="Times New Roman" w:cs="Times New Roman" w:eastAsiaTheme="minorEastAsia"/>
          <w:sz w:val="24"/>
          <w:lang w:val="en-US" w:eastAsia="zh-CN"/>
        </w:rPr>
        <w:t>1</w:t>
      </w:r>
      <w:r>
        <w:rPr>
          <w:rFonts w:hint="eastAsia" w:ascii="Times New Roman" w:hAnsi="Times New Roman" w:cs="Times New Roman" w:eastAsiaTheme="minorEastAsia"/>
          <w:sz w:val="24"/>
          <w:lang w:val="en-US" w:eastAsia="zh-CN"/>
        </w:rPr>
        <w:t>所、盲人学校</w:t>
      </w:r>
      <w:r>
        <w:rPr>
          <w:rFonts w:hint="default" w:ascii="Times New Roman" w:hAnsi="Times New Roman" w:cs="Times New Roman" w:eastAsiaTheme="minorEastAsia"/>
          <w:sz w:val="24"/>
          <w:lang w:val="en-US" w:eastAsia="zh-CN"/>
        </w:rPr>
        <w:t>1</w:t>
      </w:r>
      <w:r>
        <w:rPr>
          <w:rFonts w:hint="eastAsia" w:ascii="Times New Roman" w:hAnsi="Times New Roman" w:cs="Times New Roman" w:eastAsiaTheme="minorEastAsia"/>
          <w:sz w:val="24"/>
          <w:lang w:val="en-US" w:eastAsia="zh-CN"/>
        </w:rPr>
        <w:t>所、幼儿园</w:t>
      </w:r>
      <w:r>
        <w:rPr>
          <w:rFonts w:hint="default" w:ascii="Times New Roman" w:hAnsi="Times New Roman" w:cs="Times New Roman" w:eastAsiaTheme="minorEastAsia"/>
          <w:sz w:val="24"/>
          <w:lang w:val="en-US" w:eastAsia="zh-CN"/>
        </w:rPr>
        <w:t>318</w:t>
      </w:r>
      <w:r>
        <w:rPr>
          <w:rFonts w:hint="eastAsia" w:ascii="Times New Roman" w:hAnsi="Times New Roman" w:cs="Times New Roman" w:eastAsiaTheme="minorEastAsia"/>
          <w:sz w:val="24"/>
          <w:lang w:val="en-US" w:eastAsia="zh-CN"/>
        </w:rPr>
        <w:t>所。各级各类学校在校教职工</w:t>
      </w:r>
      <w:r>
        <w:rPr>
          <w:rFonts w:hint="default" w:ascii="Times New Roman" w:hAnsi="Times New Roman" w:cs="Times New Roman" w:eastAsiaTheme="minorEastAsia"/>
          <w:sz w:val="24"/>
          <w:lang w:val="en-US" w:eastAsia="zh-CN"/>
        </w:rPr>
        <w:t>17031</w:t>
      </w:r>
      <w:r>
        <w:rPr>
          <w:rFonts w:hint="eastAsia" w:ascii="Times New Roman" w:hAnsi="Times New Roman" w:cs="Times New Roman" w:eastAsiaTheme="minorEastAsia"/>
          <w:sz w:val="24"/>
          <w:lang w:val="en-US" w:eastAsia="zh-CN"/>
        </w:rPr>
        <w:t>人，在校学生</w:t>
      </w:r>
      <w:r>
        <w:rPr>
          <w:rFonts w:hint="default" w:ascii="Times New Roman" w:hAnsi="Times New Roman" w:cs="Times New Roman" w:eastAsiaTheme="minorEastAsia"/>
          <w:sz w:val="24"/>
          <w:lang w:val="en-US" w:eastAsia="zh-CN"/>
        </w:rPr>
        <w:t>290399</w:t>
      </w:r>
      <w:r>
        <w:rPr>
          <w:rFonts w:hint="eastAsia" w:ascii="Times New Roman" w:hAnsi="Times New Roman" w:cs="Times New Roman" w:eastAsiaTheme="minorEastAsia"/>
          <w:sz w:val="24"/>
          <w:lang w:val="en-US" w:eastAsia="zh-CN"/>
        </w:rPr>
        <w:t>人，其中：小学在校生</w:t>
      </w:r>
      <w:r>
        <w:rPr>
          <w:rFonts w:hint="default" w:ascii="Times New Roman" w:hAnsi="Times New Roman" w:cs="Times New Roman" w:eastAsiaTheme="minorEastAsia"/>
          <w:sz w:val="24"/>
          <w:lang w:val="en-US" w:eastAsia="zh-CN"/>
        </w:rPr>
        <w:t>166425</w:t>
      </w:r>
      <w:r>
        <w:rPr>
          <w:rFonts w:hint="eastAsia" w:ascii="Times New Roman" w:hAnsi="Times New Roman" w:cs="Times New Roman" w:eastAsiaTheme="minorEastAsia"/>
          <w:sz w:val="24"/>
          <w:lang w:val="en-US" w:eastAsia="zh-CN"/>
        </w:rPr>
        <w:t>人，小学学龄儿童入学率为</w:t>
      </w:r>
      <w:r>
        <w:rPr>
          <w:rFonts w:hint="default" w:ascii="Times New Roman" w:hAnsi="Times New Roman" w:cs="Times New Roman" w:eastAsiaTheme="minorEastAsia"/>
          <w:sz w:val="24"/>
          <w:lang w:val="en-US" w:eastAsia="zh-CN"/>
        </w:rPr>
        <w:t>100%</w:t>
      </w:r>
      <w:r>
        <w:rPr>
          <w:rFonts w:hint="eastAsia" w:ascii="Times New Roman" w:hAnsi="Times New Roman" w:cs="Times New Roman" w:eastAsiaTheme="minorEastAsia"/>
          <w:sz w:val="24"/>
          <w:lang w:val="en-US" w:eastAsia="zh-CN"/>
        </w:rPr>
        <w:t>；初中在校生</w:t>
      </w:r>
      <w:r>
        <w:rPr>
          <w:rFonts w:hint="default" w:ascii="Times New Roman" w:hAnsi="Times New Roman" w:cs="Times New Roman" w:eastAsiaTheme="minorEastAsia"/>
          <w:sz w:val="24"/>
          <w:lang w:val="en-US" w:eastAsia="zh-CN"/>
        </w:rPr>
        <w:t xml:space="preserve">64296 </w:t>
      </w:r>
      <w:r>
        <w:rPr>
          <w:rFonts w:hint="eastAsia" w:ascii="Times New Roman" w:hAnsi="Times New Roman" w:cs="Times New Roman" w:eastAsiaTheme="minorEastAsia"/>
          <w:sz w:val="24"/>
          <w:lang w:val="en-US" w:eastAsia="zh-CN"/>
        </w:rPr>
        <w:t>人，初中入学率</w:t>
      </w:r>
      <w:r>
        <w:rPr>
          <w:rFonts w:hint="default" w:ascii="Times New Roman" w:hAnsi="Times New Roman" w:cs="Times New Roman" w:eastAsiaTheme="minorEastAsia"/>
          <w:sz w:val="24"/>
          <w:lang w:val="en-US" w:eastAsia="zh-CN"/>
        </w:rPr>
        <w:t>100%</w:t>
      </w:r>
      <w:r>
        <w:rPr>
          <w:rFonts w:hint="eastAsia" w:ascii="Times New Roman" w:hAnsi="Times New Roman" w:cs="Times New Roman" w:eastAsiaTheme="minorEastAsia"/>
          <w:sz w:val="24"/>
          <w:lang w:val="en-US" w:eastAsia="zh-CN"/>
        </w:rPr>
        <w:t>；普通高中在校生</w:t>
      </w:r>
      <w:r>
        <w:rPr>
          <w:rFonts w:hint="default" w:ascii="Times New Roman" w:hAnsi="Times New Roman" w:cs="Times New Roman" w:eastAsiaTheme="minorEastAsia"/>
          <w:sz w:val="24"/>
          <w:lang w:val="en-US" w:eastAsia="zh-CN"/>
        </w:rPr>
        <w:t>21129</w:t>
      </w:r>
      <w:r>
        <w:rPr>
          <w:rFonts w:hint="eastAsia" w:ascii="Times New Roman" w:hAnsi="Times New Roman" w:cs="Times New Roman" w:eastAsiaTheme="minorEastAsia"/>
          <w:sz w:val="24"/>
          <w:lang w:val="en-US" w:eastAsia="zh-CN"/>
        </w:rPr>
        <w:t>人，普通高中入学率</w:t>
      </w:r>
      <w:r>
        <w:rPr>
          <w:rFonts w:hint="default" w:ascii="Times New Roman" w:hAnsi="Times New Roman" w:cs="Times New Roman" w:eastAsiaTheme="minorEastAsia"/>
          <w:sz w:val="24"/>
          <w:lang w:val="en-US" w:eastAsia="zh-CN"/>
        </w:rPr>
        <w:t>99.24%</w:t>
      </w:r>
      <w:r>
        <w:rPr>
          <w:rFonts w:hint="eastAsia" w:ascii="Times New Roman" w:hAnsi="Times New Roman" w:cs="Times New Roman" w:eastAsiaTheme="minorEastAsia"/>
          <w:sz w:val="24"/>
          <w:lang w:val="en-US" w:eastAsia="zh-CN"/>
        </w:rPr>
        <w:t>，高中阶段升学率为</w:t>
      </w:r>
      <w:r>
        <w:rPr>
          <w:rFonts w:hint="default" w:ascii="Times New Roman" w:hAnsi="Times New Roman" w:cs="Times New Roman" w:eastAsiaTheme="minorEastAsia"/>
          <w:sz w:val="24"/>
          <w:lang w:val="en-US" w:eastAsia="zh-CN"/>
        </w:rPr>
        <w:t>99.2%</w:t>
      </w:r>
      <w:r>
        <w:rPr>
          <w:rFonts w:hint="eastAsia" w:ascii="Times New Roman" w:hAnsi="Times New Roman" w:cs="Times New Roman" w:eastAsiaTheme="minorEastAsia"/>
          <w:sz w:val="24"/>
          <w:lang w:val="en-US" w:eastAsia="zh-CN"/>
        </w:rPr>
        <w:t>；职业高中在校生</w:t>
      </w:r>
      <w:r>
        <w:rPr>
          <w:rFonts w:hint="default" w:ascii="Times New Roman" w:hAnsi="Times New Roman" w:cs="Times New Roman" w:eastAsiaTheme="minorEastAsia"/>
          <w:sz w:val="24"/>
          <w:lang w:val="en-US" w:eastAsia="zh-CN"/>
        </w:rPr>
        <w:t xml:space="preserve">12892 </w:t>
      </w:r>
      <w:r>
        <w:rPr>
          <w:rFonts w:hint="eastAsia" w:ascii="Times New Roman" w:hAnsi="Times New Roman" w:cs="Times New Roman" w:eastAsiaTheme="minorEastAsia"/>
          <w:sz w:val="24"/>
          <w:lang w:val="en-US" w:eastAsia="zh-CN"/>
        </w:rPr>
        <w:t>人，职业高中入学率</w:t>
      </w:r>
      <w:r>
        <w:rPr>
          <w:rFonts w:hint="default" w:ascii="Times New Roman" w:hAnsi="Times New Roman" w:cs="Times New Roman" w:eastAsiaTheme="minorEastAsia"/>
          <w:sz w:val="24"/>
          <w:lang w:val="en-US" w:eastAsia="zh-CN"/>
        </w:rPr>
        <w:t>97.78%</w:t>
      </w:r>
      <w:r>
        <w:rPr>
          <w:rFonts w:hint="eastAsia" w:ascii="Times New Roman" w:hAnsi="Times New Roman" w:cs="Times New Roman" w:eastAsiaTheme="minorEastAsia"/>
          <w:sz w:val="24"/>
          <w:lang w:val="en-US" w:eastAsia="zh-CN"/>
        </w:rPr>
        <w:t>。</w:t>
      </w:r>
    </w:p>
    <w:p w14:paraId="798ACE09">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全县卫生机构</w:t>
      </w:r>
      <w:r>
        <w:rPr>
          <w:rFonts w:hint="default" w:ascii="Times New Roman" w:hAnsi="Times New Roman" w:cs="Times New Roman" w:eastAsiaTheme="minorEastAsia"/>
          <w:sz w:val="24"/>
          <w:lang w:val="en-US" w:eastAsia="zh-CN"/>
        </w:rPr>
        <w:t>710</w:t>
      </w:r>
      <w:r>
        <w:rPr>
          <w:rFonts w:hint="eastAsia" w:ascii="Times New Roman" w:hAnsi="Times New Roman" w:cs="Times New Roman" w:eastAsiaTheme="minorEastAsia"/>
          <w:sz w:val="24"/>
          <w:lang w:val="en-US" w:eastAsia="zh-CN"/>
        </w:rPr>
        <w:t>个，其中：医院</w:t>
      </w:r>
      <w:r>
        <w:rPr>
          <w:rFonts w:hint="default" w:ascii="Times New Roman" w:hAnsi="Times New Roman" w:cs="Times New Roman" w:eastAsiaTheme="minorEastAsia"/>
          <w:sz w:val="24"/>
          <w:lang w:val="en-US" w:eastAsia="zh-CN"/>
        </w:rPr>
        <w:t>17</w:t>
      </w:r>
      <w:r>
        <w:rPr>
          <w:rFonts w:hint="eastAsia" w:ascii="Times New Roman" w:hAnsi="Times New Roman" w:cs="Times New Roman" w:eastAsiaTheme="minorEastAsia"/>
          <w:sz w:val="24"/>
          <w:lang w:val="en-US" w:eastAsia="zh-CN"/>
        </w:rPr>
        <w:t>个，基层医疗卫生机构</w:t>
      </w:r>
      <w:r>
        <w:rPr>
          <w:rFonts w:hint="default" w:ascii="Times New Roman" w:hAnsi="Times New Roman" w:cs="Times New Roman" w:eastAsiaTheme="minorEastAsia"/>
          <w:sz w:val="24"/>
          <w:lang w:val="en-US" w:eastAsia="zh-CN"/>
        </w:rPr>
        <w:t>602</w:t>
      </w:r>
      <w:r>
        <w:rPr>
          <w:rFonts w:hint="eastAsia" w:ascii="Times New Roman" w:hAnsi="Times New Roman" w:cs="Times New Roman" w:eastAsiaTheme="minorEastAsia"/>
          <w:sz w:val="24"/>
          <w:lang w:val="en-US" w:eastAsia="zh-CN"/>
        </w:rPr>
        <w:t>个，专业公共卫生机构</w:t>
      </w:r>
      <w:r>
        <w:rPr>
          <w:rFonts w:hint="default" w:ascii="Times New Roman" w:hAnsi="Times New Roman" w:cs="Times New Roman" w:eastAsiaTheme="minorEastAsia"/>
          <w:sz w:val="24"/>
          <w:lang w:val="en-US" w:eastAsia="zh-CN"/>
        </w:rPr>
        <w:t>2</w:t>
      </w:r>
      <w:r>
        <w:rPr>
          <w:rFonts w:hint="eastAsia" w:ascii="Times New Roman" w:hAnsi="Times New Roman" w:cs="Times New Roman" w:eastAsiaTheme="minorEastAsia"/>
          <w:sz w:val="24"/>
          <w:lang w:val="en-US" w:eastAsia="zh-CN"/>
        </w:rPr>
        <w:t>个，其他卫生机构</w:t>
      </w:r>
      <w:r>
        <w:rPr>
          <w:rFonts w:hint="default" w:ascii="Times New Roman" w:hAnsi="Times New Roman" w:cs="Times New Roman" w:eastAsiaTheme="minorEastAsia"/>
          <w:sz w:val="24"/>
          <w:lang w:val="en-US" w:eastAsia="zh-CN"/>
        </w:rPr>
        <w:t>89</w:t>
      </w:r>
      <w:r>
        <w:rPr>
          <w:rFonts w:hint="eastAsia" w:ascii="Times New Roman" w:hAnsi="Times New Roman" w:cs="Times New Roman" w:eastAsiaTheme="minorEastAsia"/>
          <w:sz w:val="24"/>
          <w:lang w:val="en-US" w:eastAsia="zh-CN"/>
        </w:rPr>
        <w:t>个；全县卫生机构拥有床位</w:t>
      </w:r>
      <w:r>
        <w:rPr>
          <w:rFonts w:hint="default" w:ascii="Times New Roman" w:hAnsi="Times New Roman" w:cs="Times New Roman" w:eastAsiaTheme="minorEastAsia"/>
          <w:sz w:val="24"/>
          <w:lang w:val="en-US" w:eastAsia="zh-CN"/>
        </w:rPr>
        <w:t>2922</w:t>
      </w:r>
      <w:r>
        <w:rPr>
          <w:rFonts w:hint="eastAsia" w:ascii="Times New Roman" w:hAnsi="Times New Roman" w:cs="Times New Roman" w:eastAsiaTheme="minorEastAsia"/>
          <w:sz w:val="24"/>
          <w:lang w:val="en-US" w:eastAsia="zh-CN"/>
        </w:rPr>
        <w:t>张，其中：医院</w:t>
      </w:r>
      <w:r>
        <w:rPr>
          <w:rFonts w:hint="default" w:ascii="Times New Roman" w:hAnsi="Times New Roman" w:cs="Times New Roman" w:eastAsiaTheme="minorEastAsia"/>
          <w:sz w:val="24"/>
          <w:lang w:val="en-US" w:eastAsia="zh-CN"/>
        </w:rPr>
        <w:t>1465</w:t>
      </w:r>
      <w:r>
        <w:rPr>
          <w:rFonts w:hint="eastAsia" w:ascii="Times New Roman" w:hAnsi="Times New Roman" w:cs="Times New Roman" w:eastAsiaTheme="minorEastAsia"/>
          <w:sz w:val="24"/>
          <w:lang w:val="en-US" w:eastAsia="zh-CN"/>
        </w:rPr>
        <w:t>张，基层医疗卫生机构</w:t>
      </w:r>
      <w:r>
        <w:rPr>
          <w:rFonts w:hint="default" w:ascii="Times New Roman" w:hAnsi="Times New Roman" w:cs="Times New Roman" w:eastAsiaTheme="minorEastAsia"/>
          <w:sz w:val="24"/>
          <w:lang w:val="en-US" w:eastAsia="zh-CN"/>
        </w:rPr>
        <w:t>1271</w:t>
      </w:r>
      <w:r>
        <w:rPr>
          <w:rFonts w:hint="eastAsia" w:ascii="Times New Roman" w:hAnsi="Times New Roman" w:cs="Times New Roman" w:eastAsiaTheme="minorEastAsia"/>
          <w:sz w:val="24"/>
          <w:lang w:val="en-US" w:eastAsia="zh-CN"/>
        </w:rPr>
        <w:t>张，专业公共卫生机构</w:t>
      </w:r>
      <w:r>
        <w:rPr>
          <w:rFonts w:hint="default" w:ascii="Times New Roman" w:hAnsi="Times New Roman" w:cs="Times New Roman" w:eastAsiaTheme="minorEastAsia"/>
          <w:sz w:val="24"/>
          <w:lang w:val="en-US" w:eastAsia="zh-CN"/>
        </w:rPr>
        <w:t>19</w:t>
      </w:r>
      <w:r>
        <w:rPr>
          <w:rFonts w:hint="eastAsia" w:ascii="Times New Roman" w:hAnsi="Times New Roman" w:cs="Times New Roman" w:eastAsiaTheme="minorEastAsia"/>
          <w:sz w:val="24"/>
          <w:lang w:val="en-US" w:eastAsia="zh-CN"/>
        </w:rPr>
        <w:t>张，其他卫生机构</w:t>
      </w:r>
      <w:r>
        <w:rPr>
          <w:rFonts w:hint="default" w:ascii="Times New Roman" w:hAnsi="Times New Roman" w:cs="Times New Roman" w:eastAsiaTheme="minorEastAsia"/>
          <w:sz w:val="24"/>
          <w:lang w:val="en-US" w:eastAsia="zh-CN"/>
        </w:rPr>
        <w:t>167</w:t>
      </w:r>
      <w:r>
        <w:rPr>
          <w:rFonts w:hint="eastAsia" w:ascii="Times New Roman" w:hAnsi="Times New Roman" w:cs="Times New Roman" w:eastAsiaTheme="minorEastAsia"/>
          <w:sz w:val="24"/>
          <w:lang w:val="en-US" w:eastAsia="zh-CN"/>
        </w:rPr>
        <w:t>张；卫生技术人员</w:t>
      </w:r>
      <w:r>
        <w:rPr>
          <w:rFonts w:hint="default" w:ascii="Times New Roman" w:hAnsi="Times New Roman" w:cs="Times New Roman" w:eastAsiaTheme="minorEastAsia"/>
          <w:sz w:val="24"/>
          <w:lang w:val="en-US" w:eastAsia="zh-CN"/>
        </w:rPr>
        <w:t>4441</w:t>
      </w:r>
      <w:r>
        <w:rPr>
          <w:rFonts w:hint="eastAsia" w:ascii="Times New Roman" w:hAnsi="Times New Roman" w:cs="Times New Roman" w:eastAsiaTheme="minorEastAsia"/>
          <w:sz w:val="24"/>
          <w:lang w:val="en-US" w:eastAsia="zh-CN"/>
        </w:rPr>
        <w:t>人，其中：医师</w:t>
      </w:r>
      <w:r>
        <w:rPr>
          <w:rFonts w:hint="default" w:ascii="Times New Roman" w:hAnsi="Times New Roman" w:cs="Times New Roman" w:eastAsiaTheme="minorEastAsia"/>
          <w:sz w:val="24"/>
          <w:lang w:val="en-US" w:eastAsia="zh-CN"/>
        </w:rPr>
        <w:t>1607</w:t>
      </w:r>
      <w:r>
        <w:rPr>
          <w:rFonts w:hint="eastAsia" w:ascii="Times New Roman" w:hAnsi="Times New Roman" w:cs="Times New Roman" w:eastAsiaTheme="minorEastAsia"/>
          <w:sz w:val="24"/>
          <w:lang w:val="en-US" w:eastAsia="zh-CN"/>
        </w:rPr>
        <w:t>人、护士</w:t>
      </w:r>
      <w:r>
        <w:rPr>
          <w:rFonts w:hint="default" w:ascii="Times New Roman" w:hAnsi="Times New Roman" w:cs="Times New Roman" w:eastAsiaTheme="minorEastAsia"/>
          <w:sz w:val="24"/>
          <w:lang w:val="en-US" w:eastAsia="zh-CN"/>
        </w:rPr>
        <w:t>2079</w:t>
      </w:r>
      <w:r>
        <w:rPr>
          <w:rFonts w:hint="eastAsia" w:ascii="Times New Roman" w:hAnsi="Times New Roman" w:cs="Times New Roman" w:eastAsiaTheme="minorEastAsia"/>
          <w:sz w:val="24"/>
          <w:lang w:val="en-US" w:eastAsia="zh-CN"/>
        </w:rPr>
        <w:t>人、药师</w:t>
      </w:r>
      <w:r>
        <w:rPr>
          <w:rFonts w:hint="default" w:ascii="Times New Roman" w:hAnsi="Times New Roman" w:cs="Times New Roman" w:eastAsiaTheme="minorEastAsia"/>
          <w:sz w:val="24"/>
          <w:lang w:val="en-US" w:eastAsia="zh-CN"/>
        </w:rPr>
        <w:t>220</w:t>
      </w:r>
      <w:r>
        <w:rPr>
          <w:rFonts w:hint="eastAsia" w:ascii="Times New Roman" w:hAnsi="Times New Roman" w:cs="Times New Roman" w:eastAsiaTheme="minorEastAsia"/>
          <w:sz w:val="24"/>
          <w:lang w:val="en-US" w:eastAsia="zh-CN"/>
        </w:rPr>
        <w:t>人、技师</w:t>
      </w:r>
      <w:r>
        <w:rPr>
          <w:rFonts w:hint="default" w:ascii="Times New Roman" w:hAnsi="Times New Roman" w:cs="Times New Roman" w:eastAsiaTheme="minorEastAsia"/>
          <w:sz w:val="24"/>
          <w:lang w:val="en-US" w:eastAsia="zh-CN"/>
        </w:rPr>
        <w:t>489</w:t>
      </w:r>
      <w:r>
        <w:rPr>
          <w:rFonts w:hint="eastAsia" w:ascii="Times New Roman" w:hAnsi="Times New Roman" w:cs="Times New Roman" w:eastAsiaTheme="minorEastAsia"/>
          <w:sz w:val="24"/>
          <w:lang w:val="en-US" w:eastAsia="zh-CN"/>
        </w:rPr>
        <w:t>人、其他</w:t>
      </w:r>
      <w:r>
        <w:rPr>
          <w:rFonts w:hint="default" w:ascii="Times New Roman" w:hAnsi="Times New Roman" w:cs="Times New Roman" w:eastAsiaTheme="minorEastAsia"/>
          <w:sz w:val="24"/>
          <w:lang w:val="en-US" w:eastAsia="zh-CN"/>
        </w:rPr>
        <w:t>46</w:t>
      </w:r>
      <w:r>
        <w:rPr>
          <w:rFonts w:hint="eastAsia" w:ascii="Times New Roman" w:hAnsi="Times New Roman" w:cs="Times New Roman" w:eastAsiaTheme="minorEastAsia"/>
          <w:sz w:val="24"/>
          <w:lang w:val="en-US" w:eastAsia="zh-CN"/>
        </w:rPr>
        <w:t>人。全县乡镇卫生院</w:t>
      </w:r>
      <w:r>
        <w:rPr>
          <w:rFonts w:hint="default" w:ascii="Times New Roman" w:hAnsi="Times New Roman" w:cs="Times New Roman" w:eastAsiaTheme="minorEastAsia"/>
          <w:sz w:val="24"/>
          <w:lang w:val="en-US" w:eastAsia="zh-CN"/>
        </w:rPr>
        <w:t>31</w:t>
      </w:r>
      <w:r>
        <w:rPr>
          <w:rFonts w:hint="eastAsia" w:ascii="Times New Roman" w:hAnsi="Times New Roman" w:cs="Times New Roman" w:eastAsiaTheme="minorEastAsia"/>
          <w:sz w:val="24"/>
          <w:lang w:val="en-US" w:eastAsia="zh-CN"/>
        </w:rPr>
        <w:t>个，床位</w:t>
      </w:r>
      <w:r>
        <w:rPr>
          <w:rFonts w:hint="default" w:ascii="Times New Roman" w:hAnsi="Times New Roman" w:cs="Times New Roman" w:eastAsiaTheme="minorEastAsia"/>
          <w:sz w:val="24"/>
          <w:lang w:val="en-US" w:eastAsia="zh-CN"/>
        </w:rPr>
        <w:t>1161</w:t>
      </w:r>
      <w:r>
        <w:rPr>
          <w:rFonts w:hint="eastAsia" w:ascii="Times New Roman" w:hAnsi="Times New Roman" w:cs="Times New Roman" w:eastAsiaTheme="minorEastAsia"/>
          <w:sz w:val="24"/>
          <w:lang w:val="en-US" w:eastAsia="zh-CN"/>
        </w:rPr>
        <w:t>张，卫生技术人员</w:t>
      </w:r>
      <w:r>
        <w:rPr>
          <w:rFonts w:hint="default" w:ascii="Times New Roman" w:hAnsi="Times New Roman" w:cs="Times New Roman" w:eastAsiaTheme="minorEastAsia"/>
          <w:sz w:val="24"/>
          <w:lang w:val="en-US" w:eastAsia="zh-CN"/>
        </w:rPr>
        <w:t>2128</w:t>
      </w:r>
      <w:r>
        <w:rPr>
          <w:rFonts w:hint="eastAsia" w:ascii="Times New Roman" w:hAnsi="Times New Roman" w:cs="Times New Roman" w:eastAsiaTheme="minorEastAsia"/>
          <w:sz w:val="24"/>
          <w:lang w:val="en-US" w:eastAsia="zh-CN"/>
        </w:rPr>
        <w:t>人，其中：医师</w:t>
      </w:r>
      <w:r>
        <w:rPr>
          <w:rFonts w:hint="default" w:ascii="Times New Roman" w:hAnsi="Times New Roman" w:cs="Times New Roman" w:eastAsiaTheme="minorEastAsia"/>
          <w:sz w:val="24"/>
          <w:lang w:val="en-US" w:eastAsia="zh-CN"/>
        </w:rPr>
        <w:t>804</w:t>
      </w:r>
      <w:r>
        <w:rPr>
          <w:rFonts w:hint="eastAsia" w:ascii="Times New Roman" w:hAnsi="Times New Roman" w:cs="Times New Roman" w:eastAsiaTheme="minorEastAsia"/>
          <w:sz w:val="24"/>
          <w:lang w:val="en-US" w:eastAsia="zh-CN"/>
        </w:rPr>
        <w:t>人、护士</w:t>
      </w:r>
      <w:r>
        <w:rPr>
          <w:rFonts w:hint="default" w:ascii="Times New Roman" w:hAnsi="Times New Roman" w:cs="Times New Roman" w:eastAsiaTheme="minorEastAsia"/>
          <w:sz w:val="24"/>
          <w:lang w:val="en-US" w:eastAsia="zh-CN"/>
        </w:rPr>
        <w:t>903</w:t>
      </w:r>
      <w:r>
        <w:rPr>
          <w:rFonts w:hint="eastAsia" w:ascii="Times New Roman" w:hAnsi="Times New Roman" w:cs="Times New Roman" w:eastAsiaTheme="minorEastAsia"/>
          <w:sz w:val="24"/>
          <w:lang w:val="en-US" w:eastAsia="zh-CN"/>
        </w:rPr>
        <w:t>人。</w:t>
      </w:r>
    </w:p>
    <w:p w14:paraId="627779E3">
      <w:pPr>
        <w:pStyle w:val="4"/>
        <w:spacing w:before="120" w:after="120" w:line="500" w:lineRule="exact"/>
        <w:rPr>
          <w:rFonts w:hint="eastAsia" w:ascii="Times New Roman" w:hAnsi="Times New Roman" w:cs="Times New Roman"/>
          <w:kern w:val="0"/>
          <w:sz w:val="24"/>
          <w:szCs w:val="24"/>
          <w:lang w:val="en-US" w:eastAsia="zh-CN"/>
        </w:rPr>
      </w:pPr>
      <w:bookmarkStart w:id="182" w:name="_Toc28188"/>
      <w:r>
        <w:rPr>
          <w:rFonts w:hint="eastAsia" w:ascii="Times New Roman" w:hAnsi="Times New Roman" w:cs="Times New Roman" w:eastAsiaTheme="minorEastAsia"/>
          <w:kern w:val="0"/>
          <w:sz w:val="24"/>
          <w:szCs w:val="24"/>
          <w:lang w:val="en-US" w:eastAsia="zh-CN"/>
        </w:rPr>
        <w:t>4.2.2</w:t>
      </w:r>
      <w:bookmarkEnd w:id="182"/>
      <w:r>
        <w:rPr>
          <w:rFonts w:hint="eastAsia" w:ascii="Times New Roman" w:hAnsi="Times New Roman" w:cs="Times New Roman"/>
          <w:kern w:val="0"/>
          <w:sz w:val="24"/>
          <w:szCs w:val="24"/>
          <w:lang w:val="en-US" w:eastAsia="zh-CN"/>
        </w:rPr>
        <w:t>莎车工业园区概括</w:t>
      </w:r>
    </w:p>
    <w:p w14:paraId="18B7106D">
      <w:pPr>
        <w:rPr>
          <w:rFonts w:hint="eastAsia" w:ascii="Times New Roman" w:hAnsi="Times New Roman" w:cs="Times New Roman" w:eastAsiaTheme="minorEastAsia"/>
          <w:b/>
          <w:bCs/>
          <w:kern w:val="0"/>
          <w:sz w:val="24"/>
          <w:szCs w:val="24"/>
          <w:lang w:val="en-US" w:eastAsia="zh-CN" w:bidi="ar-SA"/>
        </w:rPr>
      </w:pPr>
      <w:r>
        <w:rPr>
          <w:rFonts w:hint="eastAsia" w:ascii="Times New Roman" w:hAnsi="Times New Roman" w:cs="Times New Roman" w:eastAsiaTheme="minorEastAsia"/>
          <w:b/>
          <w:bCs/>
          <w:kern w:val="0"/>
          <w:sz w:val="24"/>
          <w:szCs w:val="24"/>
          <w:lang w:val="en-US" w:eastAsia="zh-CN" w:bidi="ar-SA"/>
        </w:rPr>
        <w:t>4.2.2.1规划概括</w:t>
      </w:r>
    </w:p>
    <w:p w14:paraId="570CD8AF">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2025年，莎车工业园区管理委员会委托乌鲁木齐中科帝俊环境技术有限责任公司编制《莎车工业园区国土空间专项规划（2023-2035年）（修订）环境影响报告书》，于2026年3月18日取得审查意见（新环审〔2026〕126号）；莎车工业园区管理委员会委托浙江恒欣建筑设计股份有限公司编制《莎车工业园区国土空间专项规划（2023—2035年）》，于2026年3月8日取得批复（莎政复〔2026〕9号）。</w:t>
      </w:r>
    </w:p>
    <w:p w14:paraId="794593D1">
      <w:pPr>
        <w:rPr>
          <w:rFonts w:hint="default" w:ascii="Times New Roman" w:hAnsi="Times New Roman" w:cs="Times New Roman" w:eastAsiaTheme="minorEastAsia"/>
          <w:b/>
          <w:bCs/>
          <w:kern w:val="0"/>
          <w:sz w:val="24"/>
          <w:szCs w:val="24"/>
          <w:lang w:val="en-US" w:eastAsia="zh-CN" w:bidi="ar-SA"/>
        </w:rPr>
      </w:pPr>
      <w:r>
        <w:rPr>
          <w:rFonts w:hint="eastAsia" w:ascii="Times New Roman" w:hAnsi="Times New Roman" w:cs="Times New Roman" w:eastAsiaTheme="minorEastAsia"/>
          <w:b/>
          <w:bCs/>
          <w:kern w:val="0"/>
          <w:sz w:val="24"/>
          <w:szCs w:val="24"/>
          <w:lang w:val="en-US" w:eastAsia="zh-CN" w:bidi="ar-SA"/>
        </w:rPr>
        <w:t>4.2.2.2莎车工业园区国土空间专项规划（2023-2035年）（修订）环境影响报告书情况</w:t>
      </w:r>
    </w:p>
    <w:p w14:paraId="6E1761A9">
      <w:pPr>
        <w:adjustRightInd w:val="0"/>
        <w:snapToGrid w:val="0"/>
        <w:spacing w:line="500" w:lineRule="exact"/>
        <w:ind w:firstLine="482" w:firstLineChars="200"/>
        <w:jc w:val="left"/>
        <w:rPr>
          <w:rFonts w:hint="default"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（1）园区地理位置以及规划面积</w:t>
      </w:r>
    </w:p>
    <w:p w14:paraId="4DBEAF29">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莎车工业园区由一园三区组成，其中</w:t>
      </w:r>
      <w:r>
        <w:rPr>
          <w:rFonts w:hint="default" w:ascii="Times New Roman" w:hAnsi="Times New Roman" w:cs="Times New Roman" w:eastAsiaTheme="minorEastAsia"/>
          <w:sz w:val="24"/>
          <w:lang w:val="en-US" w:eastAsia="zh-CN"/>
        </w:rPr>
        <w:t>阿斯兰巴格</w:t>
      </w:r>
      <w:r>
        <w:rPr>
          <w:rFonts w:hint="eastAsia" w:ascii="Times New Roman" w:hAnsi="Times New Roman" w:cs="Times New Roman" w:eastAsiaTheme="minorEastAsia"/>
          <w:sz w:val="24"/>
          <w:lang w:val="en-US" w:eastAsia="zh-CN"/>
        </w:rPr>
        <w:t>产业区</w:t>
      </w:r>
      <w:r>
        <w:rPr>
          <w:rFonts w:hint="default" w:ascii="Times New Roman" w:hAnsi="Times New Roman" w:cs="Times New Roman" w:eastAsiaTheme="minorEastAsia"/>
          <w:sz w:val="24"/>
          <w:lang w:val="en-US" w:eastAsia="zh-CN"/>
        </w:rPr>
        <w:t>位于莎车县城以南约22km，</w:t>
      </w:r>
      <w:r>
        <w:rPr>
          <w:rFonts w:hint="eastAsia" w:ascii="Times New Roman" w:hAnsi="Times New Roman" w:cs="Times New Roman" w:eastAsiaTheme="minorEastAsia"/>
          <w:sz w:val="24"/>
          <w:lang w:val="en-US" w:eastAsia="zh-CN"/>
        </w:rPr>
        <w:t>东至库木霍伊拉村处为界，南至纬四路以南</w:t>
      </w:r>
      <w:r>
        <w:rPr>
          <w:rFonts w:hint="default" w:ascii="Times New Roman" w:hAnsi="Times New Roman" w:cs="Times New Roman" w:eastAsiaTheme="minorEastAsia"/>
          <w:sz w:val="24"/>
          <w:lang w:val="en-US" w:eastAsia="zh-CN"/>
        </w:rPr>
        <w:t>300</w:t>
      </w:r>
      <w:r>
        <w:rPr>
          <w:rFonts w:hint="eastAsia" w:ascii="Times New Roman" w:hAnsi="Times New Roman" w:cs="Times New Roman" w:eastAsiaTheme="minorEastAsia"/>
          <w:sz w:val="24"/>
          <w:lang w:val="en-US" w:eastAsia="zh-CN"/>
        </w:rPr>
        <w:t>米处为界，西至苏库恰克水库引水渠处为界，北至喀群公路以北</w:t>
      </w:r>
      <w:r>
        <w:rPr>
          <w:rFonts w:hint="default" w:ascii="Times New Roman" w:hAnsi="Times New Roman" w:cs="Times New Roman" w:eastAsiaTheme="minorEastAsia"/>
          <w:sz w:val="24"/>
          <w:lang w:val="en-US" w:eastAsia="zh-CN"/>
        </w:rPr>
        <w:t>450</w:t>
      </w:r>
      <w:r>
        <w:rPr>
          <w:rFonts w:hint="eastAsia" w:ascii="Times New Roman" w:hAnsi="Times New Roman" w:cs="Times New Roman" w:eastAsiaTheme="minorEastAsia"/>
          <w:sz w:val="24"/>
          <w:lang w:val="en-US" w:eastAsia="zh-CN"/>
        </w:rPr>
        <w:t>米处为界；</w:t>
      </w:r>
      <w:r>
        <w:rPr>
          <w:rFonts w:hint="default" w:ascii="Times New Roman" w:hAnsi="Times New Roman" w:cs="Times New Roman" w:eastAsiaTheme="minorEastAsia"/>
          <w:sz w:val="24"/>
          <w:lang w:val="en-US" w:eastAsia="zh-CN"/>
        </w:rPr>
        <w:t>卡拉库木</w:t>
      </w:r>
      <w:r>
        <w:rPr>
          <w:rFonts w:hint="eastAsia" w:ascii="Times New Roman" w:hAnsi="Times New Roman" w:cs="Times New Roman" w:eastAsiaTheme="minorEastAsia"/>
          <w:sz w:val="24"/>
          <w:lang w:val="en-US" w:eastAsia="zh-CN"/>
        </w:rPr>
        <w:t>产业区</w:t>
      </w:r>
      <w:r>
        <w:rPr>
          <w:rFonts w:hint="default" w:ascii="Times New Roman" w:hAnsi="Times New Roman" w:cs="Times New Roman" w:eastAsiaTheme="minorEastAsia"/>
          <w:sz w:val="24"/>
          <w:lang w:val="en-US" w:eastAsia="zh-CN"/>
        </w:rPr>
        <w:t>位于莎车县城西</w:t>
      </w:r>
      <w:r>
        <w:rPr>
          <w:rFonts w:hint="eastAsia" w:ascii="Times New Roman" w:hAnsi="Times New Roman" w:cs="Times New Roman" w:eastAsiaTheme="minorEastAsia"/>
          <w:sz w:val="24"/>
          <w:lang w:val="en-US" w:eastAsia="zh-CN"/>
        </w:rPr>
        <w:t>北7</w:t>
      </w:r>
      <w:r>
        <w:rPr>
          <w:rFonts w:hint="default" w:ascii="Times New Roman" w:hAnsi="Times New Roman" w:cs="Times New Roman" w:eastAsiaTheme="minorEastAsia"/>
          <w:sz w:val="24"/>
          <w:lang w:val="en-US" w:eastAsia="zh-CN"/>
        </w:rPr>
        <w:t>km，</w:t>
      </w:r>
      <w:r>
        <w:rPr>
          <w:rFonts w:hint="eastAsia" w:ascii="Times New Roman" w:hAnsi="Times New Roman" w:cs="Times New Roman" w:eastAsiaTheme="minorEastAsia"/>
          <w:sz w:val="24"/>
          <w:lang w:val="en-US" w:eastAsia="zh-CN"/>
        </w:rPr>
        <w:t>东至经四路以东</w:t>
      </w:r>
      <w:r>
        <w:rPr>
          <w:rFonts w:hint="default" w:ascii="Times New Roman" w:hAnsi="Times New Roman" w:cs="Times New Roman" w:eastAsiaTheme="minorEastAsia"/>
          <w:sz w:val="24"/>
          <w:lang w:val="en-US" w:eastAsia="zh-CN"/>
        </w:rPr>
        <w:t>200</w:t>
      </w:r>
      <w:r>
        <w:rPr>
          <w:rFonts w:hint="eastAsia" w:ascii="Times New Roman" w:hAnsi="Times New Roman" w:cs="Times New Roman" w:eastAsiaTheme="minorEastAsia"/>
          <w:sz w:val="24"/>
          <w:lang w:val="en-US" w:eastAsia="zh-CN"/>
        </w:rPr>
        <w:t>米处为界，南至机耕道路边线为界，西至三莎高速以东</w:t>
      </w:r>
      <w:r>
        <w:rPr>
          <w:rFonts w:hint="default" w:ascii="Times New Roman" w:hAnsi="Times New Roman" w:cs="Times New Roman" w:eastAsiaTheme="minorEastAsia"/>
          <w:sz w:val="24"/>
          <w:lang w:val="en-US" w:eastAsia="zh-CN"/>
        </w:rPr>
        <w:t>200</w:t>
      </w:r>
      <w:r>
        <w:rPr>
          <w:rFonts w:hint="eastAsia" w:ascii="Times New Roman" w:hAnsi="Times New Roman" w:cs="Times New Roman" w:eastAsiaTheme="minorEastAsia"/>
          <w:sz w:val="24"/>
          <w:lang w:val="en-US" w:eastAsia="zh-CN"/>
        </w:rPr>
        <w:t>米（经一路）处为界，北至尤勒滚巴格村（纬一路）处为界；火车西站产业区位于县城以西17km，东至祝桥路以东约</w:t>
      </w:r>
      <w:r>
        <w:rPr>
          <w:rFonts w:hint="default" w:ascii="Times New Roman" w:hAnsi="Times New Roman" w:cs="Times New Roman" w:eastAsiaTheme="minorEastAsia"/>
          <w:sz w:val="24"/>
          <w:lang w:val="en-US" w:eastAsia="zh-CN"/>
        </w:rPr>
        <w:t>1100</w:t>
      </w:r>
      <w:r>
        <w:rPr>
          <w:rFonts w:hint="eastAsia" w:ascii="Times New Roman" w:hAnsi="Times New Roman" w:cs="Times New Roman" w:eastAsiaTheme="minorEastAsia"/>
          <w:sz w:val="24"/>
          <w:lang w:val="en-US" w:eastAsia="zh-CN"/>
        </w:rPr>
        <w:t>米处为界，南至吐和高速为界，西至苏库恰克水库引水渠为界，北至喀和铁路为界。</w:t>
      </w:r>
      <w:r>
        <w:rPr>
          <w:rFonts w:hint="eastAsia"/>
          <w:b w:val="0"/>
          <w:bCs w:val="0"/>
          <w:color w:val="auto"/>
          <w:sz w:val="24"/>
          <w:szCs w:val="24"/>
          <w:lang w:val="en-US" w:eastAsia="zh-CN"/>
        </w:rPr>
        <w:t>莎车工业园区规划面积13.43平方公里。</w:t>
      </w:r>
    </w:p>
    <w:p w14:paraId="5E4792DA">
      <w:pPr>
        <w:adjustRightInd w:val="0"/>
        <w:snapToGrid w:val="0"/>
        <w:spacing w:line="500" w:lineRule="exact"/>
        <w:ind w:firstLine="482" w:firstLineChars="200"/>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（2）规划环评情况</w:t>
      </w:r>
    </w:p>
    <w:p w14:paraId="716C1197">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于2026年3月18日取得《关于〈莎车县工业园区国土空间规划（2023-2035）环评报告书〉的审查意见》（新环审〔2026〕59号）。</w:t>
      </w:r>
    </w:p>
    <w:p w14:paraId="5FE24EA4">
      <w:pPr>
        <w:adjustRightInd w:val="0"/>
        <w:snapToGrid w:val="0"/>
        <w:spacing w:line="500" w:lineRule="exact"/>
        <w:ind w:firstLine="482" w:firstLineChars="200"/>
        <w:jc w:val="left"/>
        <w:rPr>
          <w:rFonts w:hint="eastAsia" w:ascii="Times New Roman" w:hAnsi="Times New Roman" w:cs="Times New Roman"/>
          <w:b/>
          <w:bCs/>
          <w:sz w:val="24"/>
          <w:lang w:val="en-US" w:eastAsia="zh-CN"/>
        </w:rPr>
      </w:pPr>
      <w:r>
        <w:rPr>
          <w:rFonts w:hint="eastAsia" w:ascii="Times New Roman" w:hAnsi="Times New Roman" w:cs="Times New Roman"/>
          <w:b/>
          <w:bCs/>
          <w:sz w:val="24"/>
          <w:lang w:val="en-US" w:eastAsia="zh-CN"/>
        </w:rPr>
        <w:t>（3）规划时限</w:t>
      </w:r>
    </w:p>
    <w:p w14:paraId="2EC2B2C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规划期限为202</w:t>
      </w:r>
      <w:r>
        <w:rPr>
          <w:rFonts w:hint="eastAsia" w:ascii="Times New Roman" w:hAnsi="Times New Roman" w:cs="Times New Roman" w:eastAsiaTheme="minorEastAsia"/>
          <w:sz w:val="24"/>
          <w:lang w:val="en-US" w:eastAsia="zh-CN"/>
        </w:rPr>
        <w:t>3</w:t>
      </w:r>
      <w:r>
        <w:rPr>
          <w:rFonts w:hint="default" w:ascii="Times New Roman" w:hAnsi="Times New Roman" w:cs="Times New Roman" w:eastAsiaTheme="minorEastAsia"/>
          <w:sz w:val="24"/>
          <w:lang w:val="en-US" w:eastAsia="zh-CN"/>
        </w:rPr>
        <w:t>—2035年，规划基期为202</w:t>
      </w:r>
      <w:r>
        <w:rPr>
          <w:rFonts w:hint="eastAsia" w:ascii="Times New Roman" w:hAnsi="Times New Roman" w:cs="Times New Roman" w:eastAsiaTheme="minorEastAsia"/>
          <w:sz w:val="24"/>
          <w:lang w:val="en-US" w:eastAsia="zh-CN"/>
        </w:rPr>
        <w:t>4</w:t>
      </w:r>
      <w:r>
        <w:rPr>
          <w:rFonts w:hint="default" w:ascii="Times New Roman" w:hAnsi="Times New Roman" w:cs="Times New Roman" w:eastAsiaTheme="minorEastAsia"/>
          <w:sz w:val="24"/>
          <w:lang w:val="en-US" w:eastAsia="zh-CN"/>
        </w:rPr>
        <w:t>年，近期目标为20</w:t>
      </w:r>
      <w:r>
        <w:rPr>
          <w:rFonts w:hint="eastAsia" w:ascii="Times New Roman" w:hAnsi="Times New Roman" w:cs="Times New Roman" w:eastAsiaTheme="minorEastAsia"/>
          <w:sz w:val="24"/>
          <w:lang w:val="en-US" w:eastAsia="zh-CN"/>
        </w:rPr>
        <w:t>30</w:t>
      </w:r>
      <w:r>
        <w:rPr>
          <w:rFonts w:hint="default" w:ascii="Times New Roman" w:hAnsi="Times New Roman" w:cs="Times New Roman" w:eastAsiaTheme="minorEastAsia"/>
          <w:sz w:val="24"/>
          <w:lang w:val="en-US" w:eastAsia="zh-CN"/>
        </w:rPr>
        <w:t>年，远期目标为2035年。</w:t>
      </w:r>
    </w:p>
    <w:p w14:paraId="3C0AFF06">
      <w:pPr>
        <w:adjustRightInd w:val="0"/>
        <w:snapToGrid w:val="0"/>
        <w:spacing w:line="500" w:lineRule="exact"/>
        <w:ind w:firstLine="482" w:firstLineChars="200"/>
        <w:jc w:val="left"/>
        <w:rPr>
          <w:rFonts w:hint="eastAsia" w:ascii="Times New Roman" w:hAnsi="Times New Roman" w:cs="Times New Roman"/>
          <w:b/>
          <w:bCs/>
          <w:sz w:val="24"/>
          <w:lang w:val="en-US" w:eastAsia="zh-CN"/>
        </w:rPr>
      </w:pPr>
      <w:r>
        <w:rPr>
          <w:rFonts w:hint="eastAsia" w:ascii="Times New Roman" w:hAnsi="Times New Roman" w:cs="Times New Roman"/>
          <w:b/>
          <w:bCs/>
          <w:sz w:val="24"/>
          <w:lang w:val="en-US" w:eastAsia="zh-CN"/>
        </w:rPr>
        <w:t>（4）战略定位及发展规划</w:t>
      </w:r>
    </w:p>
    <w:p w14:paraId="3D8A5B33">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1）总体定位</w:t>
      </w:r>
    </w:p>
    <w:p w14:paraId="7BE7464F">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贯穿一条主线，既铸牢中华民族共同体意识是新时代党的民族工作的主线；立足两个定位，既叶尔羌河流域喀什副中心城市定位和莎车</w:t>
      </w: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图木舒克城镇组群中心定位；优先发展三大产业集群，既纺织服装业、有色金属冶炼及延伸产业和制造业及新能源新材料业；强化四项支撑，既科技人才支撑、基础设施支撑、财税金融支撑、水资源支撑；建设五个现代化蓝图城市，既现代文明宜居之城、表里并重韧性之城、科技赋能智慧之城、千年古韵魅力之城和开放包容活力之城；努力实现一个目标：产业兴、法治彰、农牧强文旅旺、人才聚、兵地融、军民建、生态优），实施“</w:t>
      </w:r>
      <w:r>
        <w:rPr>
          <w:rFonts w:hint="default" w:ascii="Times New Roman" w:hAnsi="Times New Roman" w:cs="Times New Roman" w:eastAsiaTheme="minorEastAsia"/>
          <w:sz w:val="24"/>
          <w:lang w:val="en-US" w:eastAsia="zh-CN"/>
        </w:rPr>
        <w:t>12345+N+1</w:t>
      </w:r>
      <w:r>
        <w:rPr>
          <w:rFonts w:hint="eastAsia" w:ascii="Times New Roman" w:hAnsi="Times New Roman" w:cs="Times New Roman" w:eastAsiaTheme="minorEastAsia"/>
          <w:sz w:val="24"/>
          <w:lang w:val="en-US" w:eastAsia="zh-CN"/>
        </w:rPr>
        <w:t>”战略，改造提升、做优做强传统优势产业，引进培育壮大战略性新兴产业，加快建设具有莎车特色的现代化经济体系，着力实现莎车经济在链条化、市场化、智能化、资本化和协同化方面的重大突破，助推全县经济高质量发展迈上新台阶。</w:t>
      </w:r>
    </w:p>
    <w:p w14:paraId="48969D43">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2）产业功能定位</w:t>
      </w:r>
    </w:p>
    <w:p w14:paraId="2AA9F196">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培育壮大莎车工业园区一园三区</w:t>
      </w:r>
      <w:r>
        <w:rPr>
          <w:rFonts w:hint="eastAsia" w:ascii="Times New Roman" w:hAnsi="Times New Roman" w:cs="Times New Roman" w:eastAsiaTheme="minorEastAsia"/>
          <w:sz w:val="24"/>
          <w:lang w:val="en-US" w:eastAsia="zh-CN"/>
        </w:rPr>
        <w:t>的</w:t>
      </w:r>
      <w:r>
        <w:rPr>
          <w:rFonts w:hint="default" w:ascii="Times New Roman" w:hAnsi="Times New Roman" w:cs="Times New Roman" w:eastAsiaTheme="minorEastAsia"/>
          <w:sz w:val="24"/>
          <w:lang w:val="en-US" w:eastAsia="zh-CN"/>
        </w:rPr>
        <w:t>特色优势产业，加快发展以“三大产业集群”为支撑的现代产业体系</w:t>
      </w:r>
      <w:r>
        <w:rPr>
          <w:rFonts w:hint="eastAsia" w:ascii="Times New Roman" w:hAnsi="Times New Roman" w:cs="Times New Roman" w:eastAsiaTheme="minorEastAsia"/>
          <w:sz w:val="24"/>
          <w:lang w:val="en-US" w:eastAsia="zh-CN"/>
        </w:rPr>
        <w:t>，确定工业园区的产业功能定位如下：以重点发展有色金属冶炼及延伸产业、纺织服装、服饰业、农副食品加工业为主的三大主导产业，稳步发展食品制造业、制造业及新能源新材料产业、现代商贸仓储物流等辅助产业。建立一个立足南疆面向全国的自治区级工业园区。工业园区按各个组团分区进行建设，组团各自形成其鲜明的产业特征，相关产业集中发展，形成聚集效应，也符合循环经济发展理念。</w:t>
      </w:r>
    </w:p>
    <w:p w14:paraId="2699BA6F">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3）空间布局结构及产业功能分区</w:t>
      </w:r>
    </w:p>
    <w:p w14:paraId="7865E182">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①</w:t>
      </w:r>
      <w:r>
        <w:rPr>
          <w:rFonts w:hint="eastAsia" w:ascii="Times New Roman" w:hAnsi="Times New Roman" w:cs="Times New Roman" w:eastAsiaTheme="minorEastAsia"/>
          <w:sz w:val="24"/>
          <w:lang w:val="en-US" w:eastAsia="zh-CN"/>
        </w:rPr>
        <w:t>阿斯兰巴格产业区</w:t>
      </w:r>
    </w:p>
    <w:p w14:paraId="5DF3F6FE">
      <w:pPr>
        <w:adjustRightInd w:val="0"/>
        <w:snapToGrid w:val="0"/>
        <w:spacing w:line="500" w:lineRule="exact"/>
        <w:ind w:firstLine="480" w:firstLineChars="200"/>
        <w:jc w:val="left"/>
        <w:rPr>
          <w:rFonts w:hint="eastAsia" w:ascii="Times New Roman" w:hAnsi="Times New Roman" w:cs="Times New Roman" w:eastAsiaTheme="minorEastAsia"/>
          <w:sz w:val="24"/>
          <w:lang w:val="zh-CN" w:eastAsia="zh-CN"/>
        </w:rPr>
      </w:pPr>
      <w:r>
        <w:rPr>
          <w:rFonts w:hint="eastAsia" w:ascii="Times New Roman" w:hAnsi="Times New Roman" w:cs="Times New Roman" w:eastAsiaTheme="minorEastAsia"/>
          <w:sz w:val="24"/>
          <w:lang w:val="zh-CN" w:eastAsia="zh-CN"/>
        </w:rPr>
        <w:t>阿斯兰巴格产业区总体空间布局可以概括为“</w:t>
      </w:r>
      <w:r>
        <w:rPr>
          <w:rFonts w:hint="eastAsia" w:ascii="Times New Roman" w:hAnsi="Times New Roman" w:cs="Times New Roman" w:eastAsiaTheme="minorEastAsia"/>
          <w:sz w:val="24"/>
          <w:lang w:val="en-US" w:eastAsia="zh-CN"/>
        </w:rPr>
        <w:t>一</w:t>
      </w:r>
      <w:r>
        <w:rPr>
          <w:rFonts w:hint="eastAsia" w:ascii="Times New Roman" w:hAnsi="Times New Roman" w:cs="Times New Roman" w:eastAsiaTheme="minorEastAsia"/>
          <w:sz w:val="24"/>
          <w:lang w:val="zh-CN" w:eastAsia="zh-CN"/>
        </w:rPr>
        <w:t>核、</w:t>
      </w:r>
      <w:r>
        <w:rPr>
          <w:rFonts w:hint="eastAsia" w:ascii="Times New Roman" w:hAnsi="Times New Roman" w:cs="Times New Roman" w:eastAsiaTheme="minorEastAsia"/>
          <w:sz w:val="24"/>
          <w:lang w:val="en-US" w:eastAsia="zh-CN"/>
        </w:rPr>
        <w:t>三</w:t>
      </w:r>
      <w:r>
        <w:rPr>
          <w:rFonts w:hint="eastAsia" w:ascii="Times New Roman" w:hAnsi="Times New Roman" w:cs="Times New Roman" w:eastAsiaTheme="minorEastAsia"/>
          <w:sz w:val="24"/>
          <w:lang w:val="zh-CN" w:eastAsia="zh-CN"/>
        </w:rPr>
        <w:t>组团”的结构。</w:t>
      </w:r>
    </w:p>
    <w:p w14:paraId="3F67D0E9">
      <w:pPr>
        <w:adjustRightInd w:val="0"/>
        <w:snapToGrid w:val="0"/>
        <w:spacing w:line="500" w:lineRule="exact"/>
        <w:ind w:firstLine="480" w:firstLineChars="200"/>
        <w:jc w:val="left"/>
        <w:rPr>
          <w:rFonts w:hint="eastAsia" w:ascii="Times New Roman" w:hAnsi="Times New Roman" w:cs="Times New Roman" w:eastAsiaTheme="minorEastAsia"/>
          <w:sz w:val="24"/>
          <w:lang w:val="zh-CN" w:eastAsia="zh-CN"/>
        </w:rPr>
      </w:pPr>
      <w:r>
        <w:rPr>
          <w:rFonts w:hint="eastAsia" w:ascii="Times New Roman" w:hAnsi="Times New Roman" w:cs="Times New Roman" w:eastAsiaTheme="minorEastAsia"/>
          <w:sz w:val="24"/>
          <w:lang w:val="en-US" w:eastAsia="zh-CN"/>
        </w:rPr>
        <w:t>一</w:t>
      </w:r>
      <w:r>
        <w:rPr>
          <w:rFonts w:hint="eastAsia" w:ascii="Times New Roman" w:hAnsi="Times New Roman" w:cs="Times New Roman" w:eastAsiaTheme="minorEastAsia"/>
          <w:sz w:val="24"/>
          <w:lang w:val="zh-CN" w:eastAsia="zh-CN"/>
        </w:rPr>
        <w:t>核：是指在工业园区北部，以</w:t>
      </w:r>
      <w:r>
        <w:rPr>
          <w:rFonts w:hint="eastAsia" w:ascii="Times New Roman" w:hAnsi="Times New Roman" w:cs="Times New Roman" w:eastAsiaTheme="minorEastAsia"/>
          <w:sz w:val="24"/>
          <w:lang w:val="en-US" w:eastAsia="zh-CN"/>
        </w:rPr>
        <w:t>配套服务区</w:t>
      </w:r>
      <w:r>
        <w:rPr>
          <w:rFonts w:hint="eastAsia" w:ascii="Times New Roman" w:hAnsi="Times New Roman" w:cs="Times New Roman" w:eastAsiaTheme="minorEastAsia"/>
          <w:sz w:val="24"/>
          <w:lang w:val="zh-CN" w:eastAsia="zh-CN"/>
        </w:rPr>
        <w:t>为依托的</w:t>
      </w:r>
      <w:r>
        <w:rPr>
          <w:rFonts w:hint="eastAsia" w:ascii="Times New Roman" w:hAnsi="Times New Roman" w:cs="Times New Roman" w:eastAsiaTheme="minorEastAsia"/>
          <w:sz w:val="24"/>
          <w:lang w:val="en-US" w:eastAsia="zh-CN"/>
        </w:rPr>
        <w:t>公共</w:t>
      </w:r>
      <w:r>
        <w:rPr>
          <w:rFonts w:hint="eastAsia" w:ascii="Times New Roman" w:hAnsi="Times New Roman" w:cs="Times New Roman" w:eastAsiaTheme="minorEastAsia"/>
          <w:sz w:val="24"/>
          <w:lang w:val="zh-CN" w:eastAsia="zh-CN"/>
        </w:rPr>
        <w:t>核心，引领沿工业园区主要干道形成的十字发展轴线。</w:t>
      </w:r>
    </w:p>
    <w:p w14:paraId="2DA4DD96">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三</w:t>
      </w:r>
      <w:r>
        <w:rPr>
          <w:rFonts w:hint="eastAsia" w:ascii="Times New Roman" w:hAnsi="Times New Roman" w:cs="Times New Roman" w:eastAsiaTheme="minorEastAsia"/>
          <w:sz w:val="24"/>
          <w:lang w:val="zh-CN" w:eastAsia="zh-CN"/>
        </w:rPr>
        <w:t>组团：</w:t>
      </w:r>
      <w:r>
        <w:rPr>
          <w:rFonts w:hint="eastAsia" w:ascii="Times New Roman" w:hAnsi="Times New Roman" w:cs="Times New Roman" w:eastAsiaTheme="minorEastAsia"/>
          <w:sz w:val="24"/>
          <w:lang w:val="en-US" w:eastAsia="zh-CN"/>
        </w:rPr>
        <w:t>既阿斯兰巴格产业区的三个功能组团：有色金属冶炼及延伸产业区、制造业及新材料产业区和园区配套服务区。</w:t>
      </w:r>
    </w:p>
    <w:p w14:paraId="643A58DE">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②</w:t>
      </w:r>
      <w:r>
        <w:rPr>
          <w:rFonts w:hint="eastAsia" w:ascii="Times New Roman" w:hAnsi="Times New Roman" w:cs="Times New Roman" w:eastAsiaTheme="minorEastAsia"/>
          <w:sz w:val="24"/>
          <w:lang w:val="en-US" w:eastAsia="zh-CN"/>
        </w:rPr>
        <w:t>卡拉库木产业区</w:t>
      </w:r>
    </w:p>
    <w:p w14:paraId="0BF799D5">
      <w:pPr>
        <w:adjustRightInd w:val="0"/>
        <w:snapToGrid w:val="0"/>
        <w:spacing w:line="500" w:lineRule="exact"/>
        <w:ind w:firstLine="480" w:firstLineChars="200"/>
        <w:jc w:val="left"/>
        <w:rPr>
          <w:rFonts w:hint="eastAsia" w:ascii="Times New Roman" w:hAnsi="Times New Roman" w:cs="Times New Roman" w:eastAsiaTheme="minorEastAsia"/>
          <w:sz w:val="24"/>
          <w:lang w:val="zh-CN" w:eastAsia="zh-CN"/>
        </w:rPr>
      </w:pPr>
      <w:r>
        <w:rPr>
          <w:rFonts w:hint="eastAsia" w:ascii="Times New Roman" w:hAnsi="Times New Roman" w:cs="Times New Roman" w:eastAsiaTheme="minorEastAsia"/>
          <w:sz w:val="24"/>
          <w:lang w:val="zh-CN" w:eastAsia="zh-CN"/>
        </w:rPr>
        <w:t>卡拉库木产业区总体空间布局可以概括为“一轴、</w:t>
      </w:r>
      <w:r>
        <w:rPr>
          <w:rFonts w:hint="eastAsia" w:ascii="Times New Roman" w:hAnsi="Times New Roman" w:cs="Times New Roman" w:eastAsiaTheme="minorEastAsia"/>
          <w:sz w:val="24"/>
          <w:lang w:val="en-US" w:eastAsia="zh-CN"/>
        </w:rPr>
        <w:t>一</w:t>
      </w:r>
      <w:r>
        <w:rPr>
          <w:rFonts w:hint="eastAsia" w:ascii="Times New Roman" w:hAnsi="Times New Roman" w:cs="Times New Roman" w:eastAsiaTheme="minorEastAsia"/>
          <w:sz w:val="24"/>
          <w:lang w:val="zh-CN" w:eastAsia="zh-CN"/>
        </w:rPr>
        <w:t>心、</w:t>
      </w:r>
      <w:r>
        <w:rPr>
          <w:rFonts w:hint="eastAsia" w:ascii="Times New Roman" w:hAnsi="Times New Roman" w:cs="Times New Roman" w:eastAsiaTheme="minorEastAsia"/>
          <w:sz w:val="24"/>
          <w:lang w:val="en-US" w:eastAsia="zh-CN"/>
        </w:rPr>
        <w:t>五</w:t>
      </w:r>
      <w:r>
        <w:rPr>
          <w:rFonts w:hint="eastAsia" w:ascii="Times New Roman" w:hAnsi="Times New Roman" w:cs="Times New Roman" w:eastAsiaTheme="minorEastAsia"/>
          <w:sz w:val="24"/>
          <w:lang w:val="zh-CN" w:eastAsia="zh-CN"/>
        </w:rPr>
        <w:t>组团”的结构。</w:t>
      </w:r>
    </w:p>
    <w:p w14:paraId="399481CD">
      <w:pPr>
        <w:adjustRightInd w:val="0"/>
        <w:snapToGrid w:val="0"/>
        <w:spacing w:line="500" w:lineRule="exact"/>
        <w:ind w:firstLine="480" w:firstLineChars="200"/>
        <w:jc w:val="left"/>
        <w:rPr>
          <w:rFonts w:hint="eastAsia" w:ascii="Times New Roman" w:hAnsi="Times New Roman" w:cs="Times New Roman" w:eastAsiaTheme="minorEastAsia"/>
          <w:sz w:val="24"/>
          <w:lang w:val="zh-CN" w:eastAsia="zh-CN"/>
        </w:rPr>
      </w:pPr>
      <w:r>
        <w:rPr>
          <w:rFonts w:hint="eastAsia" w:ascii="Times New Roman" w:hAnsi="Times New Roman" w:cs="Times New Roman" w:eastAsiaTheme="minorEastAsia"/>
          <w:sz w:val="24"/>
          <w:lang w:val="zh-CN" w:eastAsia="zh-CN"/>
        </w:rPr>
        <w:t>一轴：指位于卡拉库木产业区规划选址地段中心，以</w:t>
      </w:r>
      <w:r>
        <w:rPr>
          <w:rFonts w:hint="eastAsia" w:ascii="Times New Roman" w:hAnsi="Times New Roman" w:cs="Times New Roman" w:eastAsiaTheme="minorEastAsia"/>
          <w:sz w:val="24"/>
          <w:lang w:val="en-US" w:eastAsia="zh-CN"/>
        </w:rPr>
        <w:t>315国道</w:t>
      </w:r>
      <w:r>
        <w:rPr>
          <w:rFonts w:hint="eastAsia" w:ascii="Times New Roman" w:hAnsi="Times New Roman" w:cs="Times New Roman" w:eastAsiaTheme="minorEastAsia"/>
          <w:sz w:val="24"/>
          <w:lang w:val="zh-CN" w:eastAsia="zh-CN"/>
        </w:rPr>
        <w:t>为依托的城市发展主轴线。该发展轴线从规划区中心穿过，直达莎车县中心城区。</w:t>
      </w:r>
    </w:p>
    <w:p w14:paraId="3A7E9C56">
      <w:pPr>
        <w:adjustRightInd w:val="0"/>
        <w:snapToGrid w:val="0"/>
        <w:spacing w:line="500" w:lineRule="exact"/>
        <w:ind w:firstLine="480" w:firstLineChars="200"/>
        <w:jc w:val="left"/>
        <w:rPr>
          <w:rFonts w:hint="eastAsia" w:ascii="Times New Roman" w:hAnsi="Times New Roman" w:cs="Times New Roman" w:eastAsiaTheme="minorEastAsia"/>
          <w:sz w:val="24"/>
          <w:lang w:val="zh-CN" w:eastAsia="zh-CN"/>
        </w:rPr>
      </w:pPr>
      <w:r>
        <w:rPr>
          <w:rFonts w:hint="eastAsia" w:ascii="Times New Roman" w:hAnsi="Times New Roman" w:cs="Times New Roman" w:eastAsiaTheme="minorEastAsia"/>
          <w:sz w:val="24"/>
          <w:lang w:val="en-US" w:eastAsia="zh-CN"/>
        </w:rPr>
        <w:t>一</w:t>
      </w:r>
      <w:r>
        <w:rPr>
          <w:rFonts w:hint="eastAsia" w:ascii="Times New Roman" w:hAnsi="Times New Roman" w:cs="Times New Roman" w:eastAsiaTheme="minorEastAsia"/>
          <w:sz w:val="24"/>
          <w:lang w:val="zh-CN" w:eastAsia="zh-CN"/>
        </w:rPr>
        <w:t>心：指</w:t>
      </w:r>
      <w:r>
        <w:rPr>
          <w:rFonts w:hint="eastAsia" w:ascii="Times New Roman" w:hAnsi="Times New Roman" w:cs="Times New Roman" w:eastAsiaTheme="minorEastAsia"/>
          <w:sz w:val="24"/>
          <w:lang w:val="en-US" w:eastAsia="zh-CN"/>
        </w:rPr>
        <w:t>园区的</w:t>
      </w:r>
      <w:r>
        <w:rPr>
          <w:rFonts w:hint="eastAsia" w:ascii="Times New Roman" w:hAnsi="Times New Roman" w:cs="Times New Roman" w:eastAsiaTheme="minorEastAsia"/>
          <w:sz w:val="24"/>
          <w:lang w:val="zh-CN" w:eastAsia="zh-CN"/>
        </w:rPr>
        <w:t>综合型公共中心提供生活居住服务的各项配套功能，是生活组图的中心区。</w:t>
      </w:r>
    </w:p>
    <w:p w14:paraId="204B4686">
      <w:pPr>
        <w:adjustRightInd w:val="0"/>
        <w:snapToGrid w:val="0"/>
        <w:spacing w:line="500" w:lineRule="exact"/>
        <w:ind w:firstLine="480" w:firstLineChars="200"/>
        <w:jc w:val="left"/>
        <w:rPr>
          <w:rFonts w:hint="eastAsia" w:ascii="Times New Roman" w:hAnsi="Times New Roman" w:cs="Times New Roman" w:eastAsiaTheme="minorEastAsia"/>
          <w:sz w:val="24"/>
          <w:lang w:val="zh-CN" w:eastAsia="zh-CN"/>
        </w:rPr>
      </w:pPr>
      <w:r>
        <w:rPr>
          <w:rFonts w:hint="eastAsia" w:ascii="Times New Roman" w:hAnsi="Times New Roman" w:cs="Times New Roman" w:eastAsiaTheme="minorEastAsia"/>
          <w:sz w:val="24"/>
          <w:lang w:val="en-US" w:eastAsia="zh-CN"/>
        </w:rPr>
        <w:t>五</w:t>
      </w:r>
      <w:r>
        <w:rPr>
          <w:rFonts w:hint="eastAsia" w:ascii="Times New Roman" w:hAnsi="Times New Roman" w:cs="Times New Roman" w:eastAsiaTheme="minorEastAsia"/>
          <w:sz w:val="24"/>
          <w:lang w:val="zh-CN" w:eastAsia="zh-CN"/>
        </w:rPr>
        <w:t>组团：</w:t>
      </w:r>
      <w:bookmarkStart w:id="354" w:name="_GoBack"/>
      <w:r>
        <w:rPr>
          <w:rFonts w:hint="eastAsia" w:ascii="Times New Roman" w:hAnsi="Times New Roman" w:cs="Times New Roman" w:eastAsiaTheme="minorEastAsia"/>
          <w:sz w:val="24"/>
          <w:lang w:val="en-US" w:eastAsia="zh-CN"/>
        </w:rPr>
        <w:t>既</w:t>
      </w:r>
      <w:bookmarkEnd w:id="354"/>
      <w:r>
        <w:rPr>
          <w:rFonts w:hint="eastAsia" w:ascii="Times New Roman" w:hAnsi="Times New Roman" w:cs="Times New Roman" w:eastAsiaTheme="minorEastAsia"/>
          <w:sz w:val="24"/>
          <w:lang w:val="zh-CN" w:eastAsia="zh-CN"/>
        </w:rPr>
        <w:t>卡拉库木产业区的主要分布的</w:t>
      </w:r>
      <w:r>
        <w:rPr>
          <w:rFonts w:hint="eastAsia" w:ascii="Times New Roman" w:hAnsi="Times New Roman" w:cs="Times New Roman" w:eastAsiaTheme="minorEastAsia"/>
          <w:sz w:val="24"/>
          <w:lang w:val="en-US" w:eastAsia="zh-CN"/>
        </w:rPr>
        <w:t>五</w:t>
      </w:r>
      <w:r>
        <w:rPr>
          <w:rFonts w:hint="eastAsia" w:ascii="Times New Roman" w:hAnsi="Times New Roman" w:cs="Times New Roman" w:eastAsiaTheme="minorEastAsia"/>
          <w:sz w:val="24"/>
          <w:lang w:val="zh-CN" w:eastAsia="zh-CN"/>
        </w:rPr>
        <w:t>个组团：</w:t>
      </w:r>
      <w:r>
        <w:rPr>
          <w:rFonts w:hint="eastAsia" w:ascii="Times New Roman" w:hAnsi="Times New Roman" w:cs="Times New Roman" w:eastAsiaTheme="minorEastAsia"/>
          <w:sz w:val="24"/>
          <w:lang w:val="en-US" w:eastAsia="zh-CN"/>
        </w:rPr>
        <w:t>仓储</w:t>
      </w:r>
      <w:r>
        <w:rPr>
          <w:rFonts w:hint="eastAsia" w:ascii="Times New Roman" w:hAnsi="Times New Roman" w:cs="Times New Roman" w:eastAsiaTheme="minorEastAsia"/>
          <w:sz w:val="24"/>
          <w:lang w:val="zh-CN" w:eastAsia="zh-CN"/>
        </w:rPr>
        <w:t>物流区、食品</w:t>
      </w:r>
      <w:r>
        <w:rPr>
          <w:rFonts w:hint="eastAsia" w:ascii="Times New Roman" w:hAnsi="Times New Roman" w:cs="Times New Roman" w:eastAsiaTheme="minorEastAsia"/>
          <w:sz w:val="24"/>
          <w:lang w:val="en-US" w:eastAsia="zh-CN"/>
        </w:rPr>
        <w:t>制造</w:t>
      </w:r>
      <w:r>
        <w:rPr>
          <w:rFonts w:hint="eastAsia" w:ascii="Times New Roman" w:hAnsi="Times New Roman" w:cs="Times New Roman" w:eastAsiaTheme="minorEastAsia"/>
          <w:sz w:val="24"/>
          <w:lang w:val="zh-CN" w:eastAsia="zh-CN"/>
        </w:rPr>
        <w:t>产业区、农副产品加工区</w:t>
      </w:r>
      <w:r>
        <w:rPr>
          <w:rFonts w:hint="eastAsia"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zh-CN" w:eastAsia="zh-CN"/>
        </w:rPr>
        <w:t>特殊用地</w:t>
      </w:r>
      <w:r>
        <w:rPr>
          <w:rFonts w:hint="eastAsia" w:ascii="Times New Roman" w:hAnsi="Times New Roman" w:cs="Times New Roman" w:eastAsiaTheme="minorEastAsia"/>
          <w:sz w:val="24"/>
          <w:lang w:val="en-US" w:eastAsia="zh-CN"/>
        </w:rPr>
        <w:t>及</w:t>
      </w:r>
      <w:r>
        <w:rPr>
          <w:rFonts w:hint="eastAsia" w:ascii="Times New Roman" w:hAnsi="Times New Roman" w:cs="Times New Roman" w:eastAsiaTheme="minorEastAsia"/>
          <w:sz w:val="24"/>
          <w:lang w:val="zh-CN" w:eastAsia="zh-CN"/>
        </w:rPr>
        <w:t>园区配套服务区。</w:t>
      </w:r>
    </w:p>
    <w:p w14:paraId="0EDA10B7">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③</w:t>
      </w:r>
      <w:r>
        <w:rPr>
          <w:rFonts w:hint="eastAsia" w:ascii="Times New Roman" w:hAnsi="Times New Roman" w:cs="Times New Roman" w:eastAsiaTheme="minorEastAsia"/>
          <w:sz w:val="24"/>
          <w:lang w:val="en-US" w:eastAsia="zh-CN"/>
        </w:rPr>
        <w:t>火车西站产业区</w:t>
      </w:r>
    </w:p>
    <w:p w14:paraId="67257E57">
      <w:pPr>
        <w:adjustRightInd w:val="0"/>
        <w:snapToGrid w:val="0"/>
        <w:spacing w:line="500" w:lineRule="exact"/>
        <w:ind w:firstLine="480" w:firstLineChars="200"/>
        <w:jc w:val="left"/>
        <w:rPr>
          <w:rFonts w:hint="eastAsia" w:ascii="Times New Roman" w:hAnsi="Times New Roman" w:cs="Times New Roman" w:eastAsiaTheme="minorEastAsia"/>
          <w:sz w:val="24"/>
          <w:lang w:val="zh-CN" w:eastAsia="zh-CN"/>
        </w:rPr>
      </w:pPr>
      <w:bookmarkStart w:id="183" w:name="_Toc3691"/>
      <w:bookmarkStart w:id="184" w:name="_Toc18150"/>
      <w:r>
        <w:rPr>
          <w:rFonts w:hint="eastAsia" w:ascii="Times New Roman" w:hAnsi="Times New Roman" w:cs="Times New Roman" w:eastAsiaTheme="minorEastAsia"/>
          <w:sz w:val="24"/>
          <w:lang w:val="en-US" w:eastAsia="zh-CN"/>
        </w:rPr>
        <w:t>火车西站产业区</w:t>
      </w:r>
      <w:r>
        <w:rPr>
          <w:rFonts w:hint="eastAsia" w:ascii="Times New Roman" w:hAnsi="Times New Roman" w:cs="Times New Roman" w:eastAsiaTheme="minorEastAsia"/>
          <w:sz w:val="24"/>
          <w:lang w:val="zh-CN" w:eastAsia="zh-CN"/>
        </w:rPr>
        <w:t>总体空间意象为“两轴双心</w:t>
      </w:r>
      <w:r>
        <w:rPr>
          <w:rFonts w:hint="eastAsia" w:ascii="Times New Roman" w:hAnsi="Times New Roman" w:cs="Times New Roman" w:eastAsiaTheme="minorEastAsia"/>
          <w:sz w:val="24"/>
          <w:lang w:val="en-US" w:eastAsia="zh-CN"/>
        </w:rPr>
        <w:t>三片区</w:t>
      </w:r>
      <w:r>
        <w:rPr>
          <w:rFonts w:hint="eastAsia" w:ascii="Times New Roman" w:hAnsi="Times New Roman" w:cs="Times New Roman" w:eastAsiaTheme="minorEastAsia"/>
          <w:sz w:val="24"/>
          <w:lang w:val="zh-CN" w:eastAsia="zh-CN"/>
        </w:rPr>
        <w:t>”的结构</w:t>
      </w:r>
      <w:bookmarkEnd w:id="183"/>
      <w:bookmarkEnd w:id="184"/>
      <w:r>
        <w:rPr>
          <w:rFonts w:hint="eastAsia" w:ascii="Times New Roman" w:hAnsi="Times New Roman" w:cs="Times New Roman" w:eastAsiaTheme="minorEastAsia"/>
          <w:sz w:val="24"/>
          <w:lang w:val="zh-CN" w:eastAsia="zh-CN"/>
        </w:rPr>
        <w:t>。</w:t>
      </w:r>
    </w:p>
    <w:p w14:paraId="63679486">
      <w:pPr>
        <w:adjustRightInd w:val="0"/>
        <w:snapToGrid w:val="0"/>
        <w:spacing w:line="500" w:lineRule="exact"/>
        <w:ind w:firstLine="480" w:firstLineChars="200"/>
        <w:jc w:val="left"/>
        <w:rPr>
          <w:rFonts w:hint="eastAsia" w:ascii="Times New Roman" w:hAnsi="Times New Roman" w:cs="Times New Roman" w:eastAsiaTheme="minorEastAsia"/>
          <w:sz w:val="24"/>
          <w:lang w:val="zh-CN" w:eastAsia="zh-CN"/>
        </w:rPr>
      </w:pPr>
      <w:r>
        <w:rPr>
          <w:rFonts w:hint="eastAsia" w:ascii="Times New Roman" w:hAnsi="Times New Roman" w:cs="Times New Roman" w:eastAsiaTheme="minorEastAsia"/>
          <w:sz w:val="24"/>
          <w:lang w:val="zh-CN" w:eastAsia="zh-CN"/>
        </w:rPr>
        <w:t>两轴：以祝桥路景观轴、</w:t>
      </w:r>
      <w:r>
        <w:rPr>
          <w:rFonts w:hint="eastAsia" w:ascii="Times New Roman" w:hAnsi="Times New Roman" w:cs="Times New Roman" w:eastAsiaTheme="minorEastAsia"/>
          <w:sz w:val="24"/>
          <w:lang w:val="en-US" w:eastAsia="zh-CN"/>
        </w:rPr>
        <w:t>G</w:t>
      </w:r>
      <w:r>
        <w:rPr>
          <w:rFonts w:hint="eastAsia" w:ascii="Times New Roman" w:hAnsi="Times New Roman" w:cs="Times New Roman" w:eastAsiaTheme="minorEastAsia"/>
          <w:sz w:val="24"/>
          <w:lang w:val="zh-CN" w:eastAsia="zh-CN"/>
        </w:rPr>
        <w:t>315国道景观轴作为引领全区的空间意象。</w:t>
      </w:r>
    </w:p>
    <w:p w14:paraId="4E7C2666">
      <w:pPr>
        <w:adjustRightInd w:val="0"/>
        <w:snapToGrid w:val="0"/>
        <w:spacing w:line="500" w:lineRule="exact"/>
        <w:ind w:firstLine="480" w:firstLineChars="200"/>
        <w:jc w:val="left"/>
        <w:rPr>
          <w:rFonts w:hint="eastAsia" w:ascii="Times New Roman" w:hAnsi="Times New Roman" w:cs="Times New Roman" w:eastAsiaTheme="minorEastAsia"/>
          <w:sz w:val="24"/>
          <w:lang w:val="zh-CN" w:eastAsia="zh-CN"/>
        </w:rPr>
      </w:pPr>
      <w:r>
        <w:rPr>
          <w:rFonts w:hint="eastAsia" w:ascii="Times New Roman" w:hAnsi="Times New Roman" w:cs="Times New Roman" w:eastAsiaTheme="minorEastAsia"/>
          <w:sz w:val="24"/>
          <w:lang w:val="en-US" w:eastAsia="zh-CN"/>
        </w:rPr>
        <w:t>双</w:t>
      </w:r>
      <w:r>
        <w:rPr>
          <w:rFonts w:hint="eastAsia" w:ascii="Times New Roman" w:hAnsi="Times New Roman" w:cs="Times New Roman" w:eastAsiaTheme="minorEastAsia"/>
          <w:sz w:val="24"/>
          <w:lang w:val="zh-CN" w:eastAsia="zh-CN"/>
        </w:rPr>
        <w:t>心：两轴交汇处的园区绿化景观中心；公共服务设施围合之间形成的景观中心。</w:t>
      </w:r>
    </w:p>
    <w:p w14:paraId="5038EC5D">
      <w:pPr>
        <w:adjustRightInd w:val="0"/>
        <w:snapToGrid w:val="0"/>
        <w:spacing w:line="500" w:lineRule="exact"/>
        <w:ind w:firstLine="480" w:firstLineChars="200"/>
        <w:jc w:val="left"/>
        <w:rPr>
          <w:rFonts w:hint="eastAsia" w:ascii="Times New Roman" w:hAnsi="Times New Roman" w:cs="Times New Roman" w:eastAsiaTheme="minorEastAsia"/>
          <w:sz w:val="24"/>
          <w:lang w:val="zh-CN" w:eastAsia="zh-CN"/>
        </w:rPr>
      </w:pPr>
      <w:r>
        <w:rPr>
          <w:rFonts w:hint="eastAsia" w:ascii="Times New Roman" w:hAnsi="Times New Roman" w:cs="Times New Roman" w:eastAsiaTheme="minorEastAsia"/>
          <w:sz w:val="24"/>
          <w:lang w:val="en-US" w:eastAsia="zh-CN"/>
        </w:rPr>
        <w:t>三片区：</w:t>
      </w:r>
      <w:r>
        <w:rPr>
          <w:rFonts w:hint="eastAsia" w:ascii="Times New Roman" w:hAnsi="Times New Roman" w:cs="Times New Roman" w:eastAsiaTheme="minorEastAsia"/>
          <w:sz w:val="24"/>
          <w:lang w:val="zh-CN" w:eastAsia="zh-CN"/>
        </w:rPr>
        <w:t>以祝桥路和</w:t>
      </w:r>
      <w:r>
        <w:rPr>
          <w:rFonts w:hint="eastAsia" w:ascii="Times New Roman" w:hAnsi="Times New Roman" w:cs="Times New Roman" w:eastAsiaTheme="minorEastAsia"/>
          <w:sz w:val="24"/>
          <w:lang w:val="en-US" w:eastAsia="zh-CN"/>
        </w:rPr>
        <w:t>G</w:t>
      </w:r>
      <w:r>
        <w:rPr>
          <w:rFonts w:hint="eastAsia" w:ascii="Times New Roman" w:hAnsi="Times New Roman" w:cs="Times New Roman" w:eastAsiaTheme="minorEastAsia"/>
          <w:sz w:val="24"/>
          <w:lang w:val="zh-CN" w:eastAsia="zh-CN"/>
        </w:rPr>
        <w:t>315国道为两条发展轴，将园区划分为三大片区：</w:t>
      </w:r>
      <w:r>
        <w:rPr>
          <w:rFonts w:hint="eastAsia" w:ascii="Times New Roman" w:hAnsi="Times New Roman" w:cs="Times New Roman" w:eastAsiaTheme="minorEastAsia"/>
          <w:sz w:val="24"/>
          <w:lang w:val="en-US" w:eastAsia="zh-CN"/>
        </w:rPr>
        <w:t>园区配套服务</w:t>
      </w:r>
      <w:r>
        <w:rPr>
          <w:rFonts w:hint="eastAsia" w:ascii="Times New Roman" w:hAnsi="Times New Roman" w:cs="Times New Roman" w:eastAsiaTheme="minorEastAsia"/>
          <w:sz w:val="24"/>
          <w:lang w:val="zh-CN" w:eastAsia="zh-CN"/>
        </w:rPr>
        <w:t>区、</w:t>
      </w:r>
      <w:r>
        <w:rPr>
          <w:rFonts w:hint="eastAsia" w:ascii="Times New Roman" w:hAnsi="Times New Roman" w:cs="Times New Roman" w:eastAsiaTheme="minorEastAsia"/>
          <w:sz w:val="24"/>
          <w:lang w:val="en-US" w:eastAsia="zh-CN"/>
        </w:rPr>
        <w:t>现代</w:t>
      </w:r>
      <w:r>
        <w:rPr>
          <w:rFonts w:hint="eastAsia" w:ascii="Times New Roman" w:hAnsi="Times New Roman" w:cs="Times New Roman" w:eastAsiaTheme="minorEastAsia"/>
          <w:sz w:val="24"/>
          <w:lang w:val="zh-CN" w:eastAsia="zh-CN"/>
        </w:rPr>
        <w:t>物流片区</w:t>
      </w:r>
      <w:r>
        <w:rPr>
          <w:rFonts w:hint="eastAsia" w:ascii="Times New Roman" w:hAnsi="Times New Roman" w:cs="Times New Roman" w:eastAsiaTheme="minorEastAsia"/>
          <w:sz w:val="24"/>
          <w:lang w:val="en-US" w:eastAsia="zh-CN"/>
        </w:rPr>
        <w:t>和工业片区</w:t>
      </w:r>
      <w:r>
        <w:rPr>
          <w:rFonts w:hint="eastAsia" w:ascii="Times New Roman" w:hAnsi="Times New Roman" w:cs="Times New Roman" w:eastAsiaTheme="minorEastAsia"/>
          <w:sz w:val="24"/>
          <w:lang w:val="zh-CN" w:eastAsia="zh-CN"/>
        </w:rPr>
        <w:t>。</w:t>
      </w:r>
    </w:p>
    <w:p w14:paraId="427151F4">
      <w:pPr>
        <w:adjustRightInd w:val="0"/>
        <w:snapToGrid w:val="0"/>
        <w:spacing w:line="500" w:lineRule="exact"/>
        <w:ind w:firstLine="480" w:firstLineChars="200"/>
        <w:jc w:val="left"/>
        <w:rPr>
          <w:rFonts w:hint="eastAsia" w:ascii="Times New Roman" w:hAnsi="Times New Roman" w:cs="Times New Roman" w:eastAsiaTheme="minorEastAsia"/>
          <w:sz w:val="24"/>
          <w:lang w:val="zh-CN" w:eastAsia="zh-CN"/>
        </w:rPr>
      </w:pPr>
      <w:r>
        <w:rPr>
          <w:rFonts w:hint="eastAsia" w:ascii="Times New Roman" w:hAnsi="Times New Roman" w:cs="Times New Roman" w:eastAsiaTheme="minorEastAsia"/>
          <w:sz w:val="24"/>
          <w:lang w:val="en-US" w:eastAsia="zh-CN"/>
        </w:rPr>
        <w:t>现代</w:t>
      </w:r>
      <w:r>
        <w:rPr>
          <w:rFonts w:hint="eastAsia" w:ascii="Times New Roman" w:hAnsi="Times New Roman" w:cs="Times New Roman" w:eastAsiaTheme="minorEastAsia"/>
          <w:sz w:val="24"/>
          <w:lang w:val="zh-CN" w:eastAsia="zh-CN"/>
        </w:rPr>
        <w:t>物流片区：火车站以南，</w:t>
      </w:r>
      <w:r>
        <w:rPr>
          <w:rFonts w:hint="eastAsia" w:ascii="Times New Roman" w:hAnsi="Times New Roman" w:cs="Times New Roman" w:eastAsiaTheme="minorEastAsia"/>
          <w:sz w:val="24"/>
          <w:lang w:val="en-US" w:eastAsia="zh-CN"/>
        </w:rPr>
        <w:t>G</w:t>
      </w:r>
      <w:r>
        <w:rPr>
          <w:rFonts w:hint="eastAsia" w:ascii="Times New Roman" w:hAnsi="Times New Roman" w:cs="Times New Roman" w:eastAsiaTheme="minorEastAsia"/>
          <w:sz w:val="24"/>
          <w:lang w:val="zh-CN" w:eastAsia="zh-CN"/>
        </w:rPr>
        <w:t>315国道以北地块可充分利用靠近车站的优势发展物流产业，形成物流片区；</w:t>
      </w:r>
    </w:p>
    <w:p w14:paraId="42D07187">
      <w:pPr>
        <w:adjustRightInd w:val="0"/>
        <w:snapToGrid w:val="0"/>
        <w:spacing w:line="500" w:lineRule="exact"/>
        <w:ind w:firstLine="480" w:firstLineChars="200"/>
        <w:jc w:val="left"/>
        <w:rPr>
          <w:rFonts w:hint="eastAsia" w:ascii="Times New Roman" w:hAnsi="Times New Roman" w:cs="Times New Roman" w:eastAsiaTheme="minorEastAsia"/>
          <w:sz w:val="24"/>
          <w:lang w:val="zh-CN" w:eastAsia="zh-CN"/>
        </w:rPr>
      </w:pPr>
      <w:r>
        <w:rPr>
          <w:rFonts w:hint="eastAsia" w:ascii="Times New Roman" w:hAnsi="Times New Roman" w:cs="Times New Roman" w:eastAsiaTheme="minorEastAsia"/>
          <w:sz w:val="24"/>
          <w:lang w:val="en-US" w:eastAsia="zh-CN"/>
        </w:rPr>
        <w:t>园区配套服务</w:t>
      </w:r>
      <w:r>
        <w:rPr>
          <w:rFonts w:hint="eastAsia" w:ascii="Times New Roman" w:hAnsi="Times New Roman" w:cs="Times New Roman" w:eastAsiaTheme="minorEastAsia"/>
          <w:sz w:val="24"/>
          <w:lang w:val="zh-CN" w:eastAsia="zh-CN"/>
        </w:rPr>
        <w:t>区：</w:t>
      </w:r>
      <w:r>
        <w:rPr>
          <w:rFonts w:hint="eastAsia" w:ascii="Times New Roman" w:hAnsi="Times New Roman" w:cs="Times New Roman" w:eastAsiaTheme="minorEastAsia"/>
          <w:sz w:val="24"/>
          <w:lang w:val="en-US" w:eastAsia="zh-CN"/>
        </w:rPr>
        <w:t>G</w:t>
      </w:r>
      <w:r>
        <w:rPr>
          <w:rFonts w:hint="eastAsia" w:ascii="Times New Roman" w:hAnsi="Times New Roman" w:cs="Times New Roman" w:eastAsiaTheme="minorEastAsia"/>
          <w:sz w:val="24"/>
          <w:lang w:val="zh-CN" w:eastAsia="zh-CN"/>
        </w:rPr>
        <w:t>315国道以南区域东北侧利用现状较为便利的交通条件，形成</w:t>
      </w:r>
      <w:r>
        <w:rPr>
          <w:rFonts w:hint="eastAsia" w:ascii="Times New Roman" w:hAnsi="Times New Roman" w:cs="Times New Roman" w:eastAsiaTheme="minorEastAsia"/>
          <w:sz w:val="24"/>
          <w:lang w:val="en-US" w:eastAsia="zh-CN"/>
        </w:rPr>
        <w:t>办公生活区</w:t>
      </w:r>
      <w:r>
        <w:rPr>
          <w:rFonts w:hint="eastAsia" w:ascii="Times New Roman" w:hAnsi="Times New Roman" w:cs="Times New Roman" w:eastAsiaTheme="minorEastAsia"/>
          <w:sz w:val="24"/>
          <w:lang w:val="zh-CN" w:eastAsia="zh-CN"/>
        </w:rPr>
        <w:t>，配备一定的商业设施；工业片区：</w:t>
      </w:r>
      <w:r>
        <w:rPr>
          <w:rFonts w:hint="eastAsia" w:ascii="Times New Roman" w:hAnsi="Times New Roman" w:cs="Times New Roman" w:eastAsiaTheme="minorEastAsia"/>
          <w:sz w:val="24"/>
          <w:lang w:val="en-US" w:eastAsia="zh-CN"/>
        </w:rPr>
        <w:t>G</w:t>
      </w:r>
      <w:r>
        <w:rPr>
          <w:rFonts w:hint="eastAsia" w:ascii="Times New Roman" w:hAnsi="Times New Roman" w:cs="Times New Roman" w:eastAsiaTheme="minorEastAsia"/>
          <w:sz w:val="24"/>
          <w:lang w:val="zh-CN" w:eastAsia="zh-CN"/>
        </w:rPr>
        <w:t>315国道以南沿祝桥路两侧发展工业。</w:t>
      </w:r>
    </w:p>
    <w:p w14:paraId="45CC0AA2">
      <w:pPr>
        <w:adjustRightInd w:val="0"/>
        <w:snapToGrid w:val="0"/>
        <w:spacing w:line="500" w:lineRule="exact"/>
        <w:ind w:firstLine="480" w:firstLineChars="200"/>
        <w:jc w:val="left"/>
        <w:rPr>
          <w:rFonts w:hint="default" w:ascii="Times New Roman" w:hAnsi="Times New Roman" w:cs="Times New Roman"/>
          <w:sz w:val="24"/>
          <w:lang w:val="en-US" w:eastAsia="zh-CN"/>
        </w:rPr>
      </w:pPr>
      <w:r>
        <w:rPr>
          <w:rFonts w:hint="eastAsia" w:ascii="Times New Roman" w:hAnsi="Times New Roman" w:cs="Times New Roman" w:eastAsiaTheme="minorEastAsia"/>
          <w:sz w:val="24"/>
          <w:lang w:val="zh-CN" w:eastAsia="zh-CN"/>
        </w:rPr>
        <w:t>工业片区分为</w:t>
      </w:r>
      <w:r>
        <w:rPr>
          <w:rFonts w:hint="eastAsia" w:ascii="Times New Roman" w:hAnsi="Times New Roman" w:cs="Times New Roman" w:eastAsiaTheme="minorEastAsia"/>
          <w:sz w:val="24"/>
          <w:lang w:val="en-US" w:eastAsia="zh-CN"/>
        </w:rPr>
        <w:t>两</w:t>
      </w:r>
      <w:r>
        <w:rPr>
          <w:rFonts w:hint="eastAsia" w:ascii="Times New Roman" w:hAnsi="Times New Roman" w:cs="Times New Roman" w:eastAsiaTheme="minorEastAsia"/>
          <w:sz w:val="24"/>
          <w:lang w:val="zh-CN" w:eastAsia="zh-CN"/>
        </w:rPr>
        <w:t>大组团：</w:t>
      </w:r>
      <w:r>
        <w:rPr>
          <w:rFonts w:hint="eastAsia" w:ascii="Times New Roman" w:hAnsi="Times New Roman" w:cs="Times New Roman" w:eastAsiaTheme="minorEastAsia"/>
          <w:sz w:val="24"/>
          <w:lang w:val="en-US" w:eastAsia="zh-CN"/>
        </w:rPr>
        <w:t>纺织服装、服饰业</w:t>
      </w:r>
      <w:r>
        <w:rPr>
          <w:rFonts w:hint="eastAsia" w:ascii="Times New Roman" w:hAnsi="Times New Roman" w:cs="Times New Roman" w:eastAsiaTheme="minorEastAsia"/>
          <w:sz w:val="24"/>
          <w:lang w:val="zh-CN" w:eastAsia="zh-CN"/>
        </w:rPr>
        <w:t>组团、</w:t>
      </w:r>
      <w:r>
        <w:rPr>
          <w:rFonts w:hint="eastAsia" w:ascii="Times New Roman" w:hAnsi="Times New Roman" w:cs="Times New Roman" w:eastAsiaTheme="minorEastAsia"/>
          <w:sz w:val="24"/>
          <w:lang w:val="en-US" w:eastAsia="zh-CN"/>
        </w:rPr>
        <w:t>制造业及新</w:t>
      </w:r>
      <w:r>
        <w:rPr>
          <w:rFonts w:hint="eastAsia" w:ascii="Times New Roman" w:hAnsi="Times New Roman" w:cs="Times New Roman" w:eastAsiaTheme="minorEastAsia"/>
          <w:sz w:val="24"/>
          <w:lang w:val="zh-CN" w:eastAsia="zh-CN"/>
        </w:rPr>
        <w:t>能源新材料业</w:t>
      </w:r>
      <w:r>
        <w:rPr>
          <w:rFonts w:hint="eastAsia" w:ascii="Times New Roman" w:hAnsi="Times New Roman" w:cs="Times New Roman" w:eastAsiaTheme="minorEastAsia"/>
          <w:sz w:val="24"/>
          <w:lang w:val="en-US" w:eastAsia="zh-CN"/>
        </w:rPr>
        <w:t>组团</w:t>
      </w:r>
      <w:r>
        <w:rPr>
          <w:rFonts w:hint="eastAsia" w:ascii="Times New Roman" w:hAnsi="Times New Roman" w:cs="Times New Roman" w:eastAsiaTheme="minorEastAsia"/>
          <w:sz w:val="24"/>
          <w:lang w:val="zh-CN" w:eastAsia="zh-CN"/>
        </w:rPr>
        <w:t>。</w:t>
      </w:r>
    </w:p>
    <w:p w14:paraId="2AA956EE">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kern w:val="0"/>
          <w:sz w:val="24"/>
          <w:szCs w:val="24"/>
          <w:lang w:val="en-US" w:eastAsia="zh-CN" w:bidi="ar-SA"/>
        </w:rPr>
        <w:t>4.2.2.</w:t>
      </w:r>
      <w:r>
        <w:rPr>
          <w:rFonts w:hint="eastAsia" w:ascii="Times New Roman" w:hAnsi="Times New Roman" w:cs="Times New Roman"/>
          <w:b/>
          <w:bCs/>
          <w:kern w:val="0"/>
          <w:sz w:val="24"/>
          <w:szCs w:val="24"/>
          <w:lang w:val="en-US" w:eastAsia="zh-CN" w:bidi="ar-SA"/>
        </w:rPr>
        <w:t>3</w:t>
      </w:r>
      <w:r>
        <w:rPr>
          <w:rFonts w:hint="eastAsia" w:ascii="Times New Roman" w:hAnsi="Times New Roman" w:cs="Times New Roman" w:eastAsiaTheme="minorEastAsia"/>
          <w:b/>
          <w:bCs/>
          <w:sz w:val="24"/>
          <w:lang w:val="en-US" w:eastAsia="zh-CN"/>
        </w:rPr>
        <w:t>园区基础设施</w:t>
      </w:r>
    </w:p>
    <w:p w14:paraId="53D273D5">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本项目位于阿斯兰巴格工业园区，本次评价着重介绍阿斯兰巴格工业园区基础设施规划相关内容。</w:t>
      </w:r>
    </w:p>
    <w:p w14:paraId="389512E9">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（1）阿斯兰巴格产业区道路系统规划</w:t>
      </w:r>
    </w:p>
    <w:p w14:paraId="441B01E6">
      <w:pPr>
        <w:adjustRightInd w:val="0"/>
        <w:snapToGrid w:val="0"/>
        <w:spacing w:line="500" w:lineRule="exact"/>
        <w:ind w:firstLine="480" w:firstLineChars="200"/>
        <w:jc w:val="left"/>
        <w:rPr>
          <w:rFonts w:hint="eastAsia" w:ascii="Times New Roman" w:hAnsi="Times New Roman" w:cs="Times New Roman" w:eastAsiaTheme="minorEastAsia"/>
          <w:sz w:val="24"/>
          <w:lang w:val="zh-CN" w:eastAsia="zh-CN"/>
        </w:rPr>
      </w:pPr>
      <w:r>
        <w:rPr>
          <w:rFonts w:hint="eastAsia" w:ascii="Times New Roman" w:hAnsi="Times New Roman" w:cs="Times New Roman" w:eastAsiaTheme="minorEastAsia"/>
          <w:sz w:val="24"/>
          <w:lang w:val="zh-CN" w:eastAsia="zh-CN"/>
        </w:rPr>
        <w:t>工业区道路结构成方格网布局，总体形成“三纵四横”的干路网骨架。</w:t>
      </w:r>
    </w:p>
    <w:p w14:paraId="4C92929A">
      <w:pPr>
        <w:adjustRightInd w:val="0"/>
        <w:snapToGrid w:val="0"/>
        <w:spacing w:line="500" w:lineRule="exact"/>
        <w:ind w:firstLine="480" w:firstLineChars="200"/>
        <w:jc w:val="left"/>
        <w:rPr>
          <w:rFonts w:hint="eastAsia" w:ascii="Times New Roman" w:hAnsi="Times New Roman" w:cs="Times New Roman" w:eastAsiaTheme="minorEastAsia"/>
          <w:sz w:val="24"/>
          <w:lang w:val="zh-CN" w:eastAsia="zh-CN"/>
        </w:rPr>
      </w:pPr>
      <w:r>
        <w:rPr>
          <w:rFonts w:hint="eastAsia" w:ascii="Times New Roman" w:hAnsi="Times New Roman" w:cs="Times New Roman" w:eastAsiaTheme="minorEastAsia"/>
          <w:sz w:val="24"/>
          <w:lang w:val="zh-CN" w:eastAsia="zh-CN"/>
        </w:rPr>
        <w:t>“三纵”：南北方向的昌盛路、经五路、和谐路；</w:t>
      </w:r>
    </w:p>
    <w:p w14:paraId="0608A997">
      <w:pPr>
        <w:adjustRightInd w:val="0"/>
        <w:snapToGrid w:val="0"/>
        <w:spacing w:line="500" w:lineRule="exact"/>
        <w:ind w:firstLine="480" w:firstLineChars="200"/>
        <w:jc w:val="left"/>
        <w:rPr>
          <w:rFonts w:hint="eastAsia" w:ascii="Times New Roman" w:hAnsi="Times New Roman" w:cs="Times New Roman" w:eastAsiaTheme="minorEastAsia"/>
          <w:sz w:val="24"/>
          <w:lang w:val="zh-CN" w:eastAsia="zh-CN"/>
        </w:rPr>
      </w:pPr>
      <w:r>
        <w:rPr>
          <w:rFonts w:hint="eastAsia" w:ascii="Times New Roman" w:hAnsi="Times New Roman" w:cs="Times New Roman" w:eastAsiaTheme="minorEastAsia"/>
          <w:sz w:val="24"/>
          <w:lang w:val="zh-CN" w:eastAsia="zh-CN"/>
        </w:rPr>
        <w:t>“四横”：东西方向的喀群公路、纬一路、纬二路、纬三路。</w:t>
      </w:r>
    </w:p>
    <w:p w14:paraId="2C9C5F08">
      <w:pPr>
        <w:adjustRightInd w:val="0"/>
        <w:snapToGrid w:val="0"/>
        <w:spacing w:line="500" w:lineRule="exact"/>
        <w:ind w:firstLine="480" w:firstLineChars="200"/>
        <w:jc w:val="left"/>
        <w:rPr>
          <w:rFonts w:hint="eastAsia" w:ascii="Times New Roman" w:hAnsi="Times New Roman" w:cs="Times New Roman" w:eastAsiaTheme="minorEastAsia"/>
          <w:sz w:val="24"/>
          <w:lang w:val="zh-CN" w:eastAsia="zh-CN"/>
        </w:rPr>
      </w:pPr>
      <w:r>
        <w:rPr>
          <w:rFonts w:hint="eastAsia" w:ascii="Times New Roman" w:hAnsi="Times New Roman" w:cs="Times New Roman" w:eastAsiaTheme="minorEastAsia"/>
          <w:sz w:val="24"/>
          <w:lang w:val="zh-CN" w:eastAsia="zh-CN"/>
        </w:rPr>
        <w:t>主干路主要用于便捷的对外联系，同时与隔离绿带结合，起到划分园区各功能组团的作用。</w:t>
      </w:r>
    </w:p>
    <w:p w14:paraId="20B459F7">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sz w:val="24"/>
          <w:lang w:val="en-US" w:eastAsia="zh-CN"/>
        </w:rPr>
        <w:t>（2）给水规划</w:t>
      </w:r>
    </w:p>
    <w:p w14:paraId="7CA42AA5">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园区近期由“县城饮水工程”配置工程供水，预留有向阿斯兰巴格产业区供水的阀井，至工业园区的供水管线建设工程已建设完成。阿斯兰巴格产业区连接“县城饮水工程”的供水管线</w:t>
      </w:r>
      <w:r>
        <w:rPr>
          <w:rFonts w:hint="default" w:ascii="Times New Roman" w:hAnsi="Times New Roman" w:cs="Times New Roman" w:eastAsiaTheme="minorEastAsia"/>
          <w:sz w:val="24"/>
          <w:lang w:val="en-US" w:eastAsia="zh-CN"/>
        </w:rPr>
        <w:t>0.6kmDN500</w:t>
      </w:r>
      <w:r>
        <w:rPr>
          <w:rFonts w:hint="eastAsia" w:ascii="Times New Roman" w:hAnsi="Times New Roman" w:cs="Times New Roman" w:eastAsiaTheme="minorEastAsia"/>
          <w:sz w:val="24"/>
          <w:lang w:val="en-US" w:eastAsia="zh-CN"/>
        </w:rPr>
        <w:t>已建成通水，年供水能力</w:t>
      </w:r>
      <w:r>
        <w:rPr>
          <w:rFonts w:hint="default" w:ascii="Times New Roman" w:hAnsi="Times New Roman" w:cs="Times New Roman" w:eastAsiaTheme="minorEastAsia"/>
          <w:sz w:val="24"/>
          <w:lang w:val="en-US" w:eastAsia="zh-CN"/>
        </w:rPr>
        <w:t>182.5</w:t>
      </w:r>
      <w:r>
        <w:rPr>
          <w:rFonts w:hint="eastAsia" w:ascii="Times New Roman" w:hAnsi="Times New Roman" w:cs="Times New Roman" w:eastAsiaTheme="minorEastAsia"/>
          <w:sz w:val="24"/>
          <w:lang w:val="en-US" w:eastAsia="zh-CN"/>
        </w:rPr>
        <w:t>万</w:t>
      </w:r>
      <w:r>
        <w:rPr>
          <w:rFonts w:hint="default" w:ascii="Times New Roman" w:hAnsi="Times New Roman" w:cs="Times New Roman" w:eastAsiaTheme="minorEastAsia"/>
          <w:sz w:val="24"/>
          <w:lang w:val="en-US" w:eastAsia="zh-CN"/>
        </w:rPr>
        <w:t>m</w:t>
      </w:r>
      <w:r>
        <w:rPr>
          <w:rFonts w:hint="eastAsia" w:ascii="Times New Roman" w:hAnsi="Times New Roman" w:cs="Times New Roman" w:eastAsiaTheme="minorEastAsia"/>
          <w:sz w:val="24"/>
          <w:vertAlign w:val="superscript"/>
          <w:lang w:val="en-US" w:eastAsia="zh-CN"/>
        </w:rPr>
        <w:t>3</w:t>
      </w:r>
      <w:r>
        <w:rPr>
          <w:rFonts w:hint="eastAsia" w:ascii="Times New Roman" w:hAnsi="Times New Roman" w:cs="Times New Roman" w:eastAsiaTheme="minorEastAsia"/>
          <w:sz w:val="24"/>
          <w:lang w:val="en-US" w:eastAsia="zh-CN"/>
        </w:rPr>
        <w:t>；卡拉库木产业区自“县城饮水工程”汽配城分水点引水，已铺设</w:t>
      </w:r>
      <w:r>
        <w:rPr>
          <w:rFonts w:hint="default" w:ascii="Times New Roman" w:hAnsi="Times New Roman" w:cs="Times New Roman" w:eastAsiaTheme="minorEastAsia"/>
          <w:sz w:val="24"/>
          <w:lang w:val="en-US" w:eastAsia="zh-CN"/>
        </w:rPr>
        <w:t>7km</w:t>
      </w:r>
      <w:r>
        <w:rPr>
          <w:rFonts w:hint="eastAsia" w:ascii="Times New Roman" w:hAnsi="Times New Roman" w:cs="Times New Roman" w:eastAsiaTheme="minorEastAsia"/>
          <w:sz w:val="24"/>
          <w:lang w:val="en-US" w:eastAsia="zh-CN"/>
        </w:rPr>
        <w:t>的</w:t>
      </w:r>
      <w:r>
        <w:rPr>
          <w:rFonts w:hint="default" w:ascii="Times New Roman" w:hAnsi="Times New Roman" w:cs="Times New Roman" w:eastAsiaTheme="minorEastAsia"/>
          <w:sz w:val="24"/>
          <w:lang w:val="en-US" w:eastAsia="zh-CN"/>
        </w:rPr>
        <w:t>DN350</w:t>
      </w:r>
      <w:r>
        <w:rPr>
          <w:rFonts w:hint="eastAsia" w:ascii="Times New Roman" w:hAnsi="Times New Roman" w:cs="Times New Roman" w:eastAsiaTheme="minorEastAsia"/>
          <w:sz w:val="24"/>
          <w:lang w:val="en-US" w:eastAsia="zh-CN"/>
        </w:rPr>
        <w:t>输水管道，可供水量</w:t>
      </w:r>
      <w:r>
        <w:rPr>
          <w:rFonts w:hint="default" w:ascii="Times New Roman" w:hAnsi="Times New Roman" w:cs="Times New Roman" w:eastAsiaTheme="minorEastAsia"/>
          <w:sz w:val="24"/>
          <w:lang w:val="en-US" w:eastAsia="zh-CN"/>
        </w:rPr>
        <w:t>303.3</w:t>
      </w:r>
      <w:r>
        <w:rPr>
          <w:rFonts w:hint="eastAsia" w:ascii="Times New Roman" w:hAnsi="Times New Roman" w:cs="Times New Roman" w:eastAsiaTheme="minorEastAsia"/>
          <w:sz w:val="24"/>
          <w:lang w:val="en-US" w:eastAsia="zh-CN"/>
        </w:rPr>
        <w:t>万</w:t>
      </w:r>
      <w:r>
        <w:rPr>
          <w:rFonts w:hint="default" w:ascii="Times New Roman" w:hAnsi="Times New Roman" w:cs="Times New Roman" w:eastAsiaTheme="minorEastAsia"/>
          <w:sz w:val="24"/>
          <w:lang w:val="en-US" w:eastAsia="zh-CN"/>
        </w:rPr>
        <w:t>m</w:t>
      </w:r>
      <w:r>
        <w:rPr>
          <w:rFonts w:hint="eastAsia" w:ascii="Times New Roman" w:hAnsi="Times New Roman" w:cs="Times New Roman" w:eastAsiaTheme="minorEastAsia"/>
          <w:sz w:val="24"/>
          <w:vertAlign w:val="superscript"/>
          <w:lang w:val="en-US" w:eastAsia="zh-CN"/>
        </w:rPr>
        <w:t>3</w:t>
      </w:r>
      <w:r>
        <w:rPr>
          <w:rFonts w:hint="eastAsia" w:ascii="Times New Roman" w:hAnsi="Times New Roman" w:cs="Times New Roman" w:eastAsiaTheme="minorEastAsia"/>
          <w:sz w:val="24"/>
          <w:lang w:val="en-US" w:eastAsia="zh-CN"/>
        </w:rPr>
        <w:t>。火车西站产业区由卡拉库木产业区供水工程向西延伸</w:t>
      </w:r>
      <w:r>
        <w:rPr>
          <w:rFonts w:hint="default" w:ascii="Times New Roman" w:hAnsi="Times New Roman" w:cs="Times New Roman" w:eastAsiaTheme="minorEastAsia"/>
          <w:sz w:val="24"/>
          <w:lang w:val="en-US" w:eastAsia="zh-CN"/>
        </w:rPr>
        <w:t>9.8kmDN300</w:t>
      </w:r>
      <w:r>
        <w:rPr>
          <w:rFonts w:hint="eastAsia" w:ascii="Times New Roman" w:hAnsi="Times New Roman" w:cs="Times New Roman" w:eastAsiaTheme="minorEastAsia"/>
          <w:sz w:val="24"/>
          <w:lang w:val="en-US" w:eastAsia="zh-CN"/>
        </w:rPr>
        <w:t>管道供水，计划2030年实施完成。“县城饮水工程”的可供水量满足园区近期用水需求。</w:t>
      </w:r>
    </w:p>
    <w:p w14:paraId="557FE9FF">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园区远期由莎车县火车西站及阿斯兰巴格产业区供水工程解决，工程自叶尔羌河西岸总干渠新建</w:t>
      </w:r>
      <w:r>
        <w:rPr>
          <w:rFonts w:hint="default" w:ascii="Times New Roman" w:hAnsi="Times New Roman" w:cs="Times New Roman" w:eastAsiaTheme="minorEastAsia"/>
          <w:sz w:val="24"/>
          <w:lang w:val="en-US" w:eastAsia="zh-CN"/>
        </w:rPr>
        <w:t>2</w:t>
      </w:r>
      <w:r>
        <w:rPr>
          <w:rFonts w:hint="eastAsia" w:ascii="Times New Roman" w:hAnsi="Times New Roman" w:cs="Times New Roman" w:eastAsiaTheme="minorEastAsia"/>
          <w:sz w:val="24"/>
          <w:lang w:val="en-US" w:eastAsia="zh-CN"/>
        </w:rPr>
        <w:t>处取水口向三个园区供水，设计年供水能力</w:t>
      </w:r>
      <w:r>
        <w:rPr>
          <w:rFonts w:hint="default" w:ascii="Times New Roman" w:hAnsi="Times New Roman" w:cs="Times New Roman" w:eastAsiaTheme="minorEastAsia"/>
          <w:sz w:val="24"/>
          <w:lang w:val="en-US" w:eastAsia="zh-CN"/>
        </w:rPr>
        <w:t>580</w:t>
      </w:r>
      <w:r>
        <w:rPr>
          <w:rFonts w:hint="eastAsia" w:ascii="Times New Roman" w:hAnsi="Times New Roman" w:cs="Times New Roman" w:eastAsiaTheme="minorEastAsia"/>
          <w:sz w:val="24"/>
          <w:lang w:val="en-US" w:eastAsia="zh-CN"/>
        </w:rPr>
        <w:t>万</w:t>
      </w:r>
      <w:r>
        <w:rPr>
          <w:rFonts w:hint="default" w:ascii="Times New Roman" w:hAnsi="Times New Roman" w:cs="Times New Roman" w:eastAsiaTheme="minorEastAsia"/>
          <w:sz w:val="24"/>
          <w:lang w:val="en-US" w:eastAsia="zh-CN"/>
        </w:rPr>
        <w:t>m</w:t>
      </w:r>
      <w:r>
        <w:rPr>
          <w:rFonts w:hint="default" w:ascii="Times New Roman" w:hAnsi="Times New Roman" w:cs="Times New Roman" w:eastAsiaTheme="minorEastAsia"/>
          <w:sz w:val="24"/>
          <w:vertAlign w:val="superscript"/>
          <w:lang w:val="en-US" w:eastAsia="zh-CN"/>
        </w:rPr>
        <w:t>3</w:t>
      </w:r>
      <w:r>
        <w:rPr>
          <w:rFonts w:hint="eastAsia" w:ascii="Times New Roman" w:hAnsi="Times New Roman" w:cs="Times New Roman" w:eastAsiaTheme="minorEastAsia"/>
          <w:sz w:val="24"/>
          <w:lang w:val="en-US" w:eastAsia="zh-CN"/>
        </w:rPr>
        <w:t>，取水口初步方案已取得塔里木河流域叶尔羌河水利管理中心同意，供水工程已纳入《莎车县水网规划》，项目也符合《莎车县国土空间总体规划（</w:t>
      </w:r>
      <w:r>
        <w:rPr>
          <w:rFonts w:hint="default" w:ascii="Times New Roman" w:hAnsi="Times New Roman" w:cs="Times New Roman" w:eastAsiaTheme="minorEastAsia"/>
          <w:sz w:val="24"/>
          <w:lang w:val="en-US" w:eastAsia="zh-CN"/>
        </w:rPr>
        <w:t>2021-2035</w:t>
      </w:r>
      <w:r>
        <w:rPr>
          <w:rFonts w:hint="eastAsia" w:ascii="Times New Roman" w:hAnsi="Times New Roman" w:cs="Times New Roman" w:eastAsiaTheme="minorEastAsia"/>
          <w:sz w:val="24"/>
          <w:lang w:val="en-US" w:eastAsia="zh-CN"/>
        </w:rPr>
        <w:t>年）》提出的新建地表水引水工程置换地下水的总体思路。供水工程的可供水量满足园区远期用水需求。</w:t>
      </w:r>
    </w:p>
    <w:p w14:paraId="04750444">
      <w:pPr>
        <w:adjustRightInd w:val="0"/>
        <w:snapToGrid w:val="0"/>
        <w:spacing w:line="500" w:lineRule="exact"/>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（3）排水规划</w:t>
      </w:r>
    </w:p>
    <w:p w14:paraId="4F6F5823">
      <w:pPr>
        <w:adjustRightInd w:val="0"/>
        <w:snapToGrid w:val="0"/>
        <w:spacing w:line="500" w:lineRule="exact"/>
        <w:ind w:firstLine="480" w:firstLineChars="200"/>
        <w:jc w:val="left"/>
        <w:rPr>
          <w:rFonts w:hint="default" w:ascii="Times New Roman" w:hAnsi="Times New Roman" w:cs="Times New Roman" w:eastAsiaTheme="minorEastAsia"/>
          <w:sz w:val="24"/>
          <w:lang w:val="zh-CN" w:eastAsia="zh-CN"/>
        </w:rPr>
      </w:pPr>
      <w:r>
        <w:rPr>
          <w:rFonts w:hint="default" w:ascii="Times New Roman" w:hAnsi="Times New Roman" w:cs="Times New Roman" w:eastAsiaTheme="minorEastAsia"/>
          <w:sz w:val="24"/>
          <w:lang w:val="en-US" w:eastAsia="zh-CN"/>
        </w:rPr>
        <w:t>阿斯兰巴格产业区现状污水处理厂一座，日污水处理量1500m3/日。则年处理规模为54.75万m³，根据计算，2025年污水处理厂处理规模大于阿斯兰巴格产业区污水量，可承接园区的污水。2035年，污水处理厂需进行扩建，规模扩大至1.0万m³/d，才可满足产业区的污水排放需求。</w:t>
      </w:r>
    </w:p>
    <w:p w14:paraId="3206363A">
      <w:pPr>
        <w:adjustRightInd w:val="0"/>
        <w:snapToGrid w:val="0"/>
        <w:spacing w:line="500" w:lineRule="exact"/>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（4）再生水工程规划</w:t>
      </w:r>
    </w:p>
    <w:p w14:paraId="70C91C2B">
      <w:pPr>
        <w:adjustRightInd w:val="0"/>
        <w:snapToGrid w:val="0"/>
        <w:spacing w:line="500" w:lineRule="exact"/>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2035年，阿斯兰巴格产业区生活用水和道路洒水采用地表水，绿化用水采用再生水，工业用水则由地表水和再生水联合供给；卡拉库木产业区均采用地表水；火车西站产业区生活用水和道路洒水采用地表水，绿化用水采用再生水，工业用水则由地表水和再生水联合供给。</w:t>
      </w:r>
    </w:p>
    <w:p w14:paraId="49101178">
      <w:pPr>
        <w:adjustRightInd w:val="0"/>
        <w:snapToGrid w:val="0"/>
        <w:spacing w:line="500" w:lineRule="exact"/>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（5）热力工程规划</w:t>
      </w:r>
    </w:p>
    <w:p w14:paraId="639D1B77">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zh-CN" w:eastAsia="zh-CN"/>
        </w:rPr>
        <w:t>规划园</w:t>
      </w:r>
      <w:r>
        <w:rPr>
          <w:rFonts w:hint="eastAsia" w:ascii="Times New Roman" w:hAnsi="Times New Roman" w:cs="Times New Roman" w:eastAsiaTheme="minorEastAsia"/>
          <w:sz w:val="24"/>
          <w:lang w:val="en-US" w:eastAsia="zh-CN"/>
        </w:rPr>
        <w:t>区积极发展燃气、电采暖</w:t>
      </w:r>
      <w:r>
        <w:rPr>
          <w:rFonts w:hint="eastAsia" w:ascii="Times New Roman" w:hAnsi="Times New Roman" w:cs="Times New Roman" w:eastAsiaTheme="minorEastAsia"/>
          <w:sz w:val="24"/>
          <w:lang w:val="zh-CN" w:eastAsia="zh-CN"/>
        </w:rPr>
        <w:t>等清洁能源</w:t>
      </w:r>
      <w:r>
        <w:rPr>
          <w:rFonts w:hint="eastAsia" w:ascii="Times New Roman" w:hAnsi="Times New Roman" w:cs="Times New Roman" w:eastAsiaTheme="minorEastAsia"/>
          <w:sz w:val="24"/>
          <w:lang w:val="en-US" w:eastAsia="zh-CN"/>
        </w:rPr>
        <w:t>供热。采用</w:t>
      </w:r>
      <w:r>
        <w:rPr>
          <w:rFonts w:hint="eastAsia" w:ascii="Times New Roman" w:hAnsi="Times New Roman" w:cs="Times New Roman" w:eastAsiaTheme="minorEastAsia"/>
          <w:sz w:val="24"/>
          <w:lang w:val="zh-CN" w:eastAsia="zh-CN"/>
        </w:rPr>
        <w:t>燃气等清洁能源</w:t>
      </w:r>
      <w:r>
        <w:rPr>
          <w:rFonts w:hint="eastAsia" w:ascii="Times New Roman" w:hAnsi="Times New Roman" w:cs="Times New Roman" w:eastAsiaTheme="minorEastAsia"/>
          <w:sz w:val="24"/>
          <w:lang w:val="en-US" w:eastAsia="zh-CN"/>
        </w:rPr>
        <w:t>作为集中供热热源。</w:t>
      </w:r>
    </w:p>
    <w:p w14:paraId="5CF1E44D">
      <w:pPr>
        <w:adjustRightInd w:val="0"/>
        <w:snapToGrid w:val="0"/>
        <w:spacing w:line="500" w:lineRule="exact"/>
        <w:ind w:firstLine="480" w:firstLineChars="200"/>
        <w:jc w:val="left"/>
        <w:rPr>
          <w:rFonts w:hint="eastAsia" w:ascii="Times New Roman" w:hAnsi="Times New Roman" w:cs="Times New Roman" w:eastAsiaTheme="minorEastAsia"/>
          <w:sz w:val="24"/>
          <w:lang w:val="zh-CN" w:eastAsia="zh-CN"/>
        </w:rPr>
      </w:pPr>
      <w:r>
        <w:rPr>
          <w:rFonts w:hint="eastAsia" w:ascii="Times New Roman" w:hAnsi="Times New Roman" w:cs="Times New Roman" w:eastAsiaTheme="minorEastAsia"/>
          <w:sz w:val="24"/>
          <w:lang w:val="zh-CN" w:eastAsia="zh-CN"/>
        </w:rPr>
        <w:t>①阿斯兰巴格产业区规划</w:t>
      </w:r>
      <w:r>
        <w:rPr>
          <w:rFonts w:hint="eastAsia" w:ascii="Times New Roman" w:hAnsi="Times New Roman" w:cs="Times New Roman" w:eastAsiaTheme="minorEastAsia"/>
          <w:sz w:val="24"/>
          <w:lang w:val="en-US" w:eastAsia="zh-CN"/>
        </w:rPr>
        <w:t>热源点一处</w:t>
      </w:r>
      <w:r>
        <w:rPr>
          <w:rFonts w:hint="eastAsia" w:ascii="Times New Roman" w:hAnsi="Times New Roman" w:cs="Times New Roman" w:eastAsiaTheme="minorEastAsia"/>
          <w:sz w:val="24"/>
          <w:lang w:val="zh-CN" w:eastAsia="zh-CN"/>
        </w:rPr>
        <w:t>，供热能力</w:t>
      </w:r>
      <w:r>
        <w:rPr>
          <w:rFonts w:hint="eastAsia" w:ascii="Times New Roman" w:hAnsi="Times New Roman" w:cs="Times New Roman" w:eastAsiaTheme="minorEastAsia"/>
          <w:sz w:val="24"/>
          <w:lang w:val="en-US" w:eastAsia="zh-CN"/>
        </w:rPr>
        <w:t>260</w:t>
      </w:r>
      <w:r>
        <w:rPr>
          <w:rFonts w:hint="eastAsia" w:ascii="Times New Roman" w:hAnsi="Times New Roman" w:cs="Times New Roman" w:eastAsiaTheme="minorEastAsia"/>
          <w:sz w:val="24"/>
          <w:lang w:val="zh-CN" w:eastAsia="zh-CN"/>
        </w:rPr>
        <w:t>兆瓦，锅炉吨位</w:t>
      </w:r>
      <w:r>
        <w:rPr>
          <w:rFonts w:hint="eastAsia" w:ascii="Times New Roman" w:hAnsi="Times New Roman" w:cs="Times New Roman" w:eastAsiaTheme="minorEastAsia"/>
          <w:sz w:val="24"/>
          <w:lang w:val="en-US" w:eastAsia="zh-CN"/>
        </w:rPr>
        <w:t>不低于</w:t>
      </w:r>
      <w:r>
        <w:rPr>
          <w:rFonts w:hint="eastAsia" w:ascii="Times New Roman" w:hAnsi="Times New Roman" w:cs="Times New Roman" w:eastAsiaTheme="minorEastAsia"/>
          <w:sz w:val="24"/>
          <w:lang w:val="zh-CN" w:eastAsia="zh-CN"/>
        </w:rPr>
        <w:t>371.43吨。</w:t>
      </w:r>
    </w:p>
    <w:p w14:paraId="05FC7CFD">
      <w:pPr>
        <w:adjustRightInd w:val="0"/>
        <w:snapToGrid w:val="0"/>
        <w:spacing w:line="500" w:lineRule="exact"/>
        <w:ind w:firstLine="480" w:firstLineChars="200"/>
        <w:jc w:val="left"/>
        <w:rPr>
          <w:rFonts w:hint="eastAsia" w:ascii="Times New Roman" w:hAnsi="Times New Roman" w:cs="Times New Roman" w:eastAsiaTheme="minorEastAsia"/>
          <w:sz w:val="24"/>
          <w:lang w:val="zh-CN" w:eastAsia="zh-CN"/>
        </w:rPr>
      </w:pPr>
      <w:r>
        <w:rPr>
          <w:rFonts w:hint="eastAsia" w:ascii="Times New Roman" w:hAnsi="Times New Roman" w:cs="Times New Roman" w:eastAsiaTheme="minorEastAsia"/>
          <w:sz w:val="24"/>
          <w:lang w:val="zh-CN" w:eastAsia="zh-CN"/>
        </w:rPr>
        <w:t>②卡拉库木产业区规划</w:t>
      </w:r>
      <w:r>
        <w:rPr>
          <w:rFonts w:hint="eastAsia" w:ascii="Times New Roman" w:hAnsi="Times New Roman" w:cs="Times New Roman" w:eastAsiaTheme="minorEastAsia"/>
          <w:sz w:val="24"/>
          <w:lang w:val="en-US" w:eastAsia="zh-CN"/>
        </w:rPr>
        <w:t>热源点一处</w:t>
      </w:r>
      <w:r>
        <w:rPr>
          <w:rFonts w:hint="eastAsia" w:ascii="Times New Roman" w:hAnsi="Times New Roman" w:cs="Times New Roman" w:eastAsiaTheme="minorEastAsia"/>
          <w:sz w:val="24"/>
          <w:lang w:val="zh-CN" w:eastAsia="zh-CN"/>
        </w:rPr>
        <w:t>，供热能力</w:t>
      </w:r>
      <w:r>
        <w:rPr>
          <w:rFonts w:hint="eastAsia" w:ascii="Times New Roman" w:hAnsi="Times New Roman" w:cs="Times New Roman" w:eastAsiaTheme="minorEastAsia"/>
          <w:sz w:val="24"/>
          <w:lang w:val="en-US" w:eastAsia="zh-CN"/>
        </w:rPr>
        <w:t>90</w:t>
      </w:r>
      <w:r>
        <w:rPr>
          <w:rFonts w:hint="eastAsia" w:ascii="Times New Roman" w:hAnsi="Times New Roman" w:cs="Times New Roman" w:eastAsiaTheme="minorEastAsia"/>
          <w:sz w:val="24"/>
          <w:lang w:val="zh-CN" w:eastAsia="zh-CN"/>
        </w:rPr>
        <w:t>兆瓦，锅炉吨位</w:t>
      </w:r>
      <w:r>
        <w:rPr>
          <w:rFonts w:hint="eastAsia" w:ascii="Times New Roman" w:hAnsi="Times New Roman" w:cs="Times New Roman" w:eastAsiaTheme="minorEastAsia"/>
          <w:sz w:val="24"/>
          <w:lang w:val="en-US" w:eastAsia="zh-CN"/>
        </w:rPr>
        <w:t>不低于</w:t>
      </w:r>
      <w:r>
        <w:rPr>
          <w:rFonts w:hint="eastAsia" w:ascii="Times New Roman" w:hAnsi="Times New Roman" w:cs="Times New Roman" w:eastAsiaTheme="minorEastAsia"/>
          <w:sz w:val="24"/>
          <w:lang w:val="zh-CN" w:eastAsia="zh-CN"/>
        </w:rPr>
        <w:t>128.57吨。</w:t>
      </w:r>
    </w:p>
    <w:p w14:paraId="551FD57F">
      <w:pPr>
        <w:adjustRightInd w:val="0"/>
        <w:snapToGrid w:val="0"/>
        <w:spacing w:line="500" w:lineRule="exact"/>
        <w:ind w:firstLine="480" w:firstLineChars="200"/>
        <w:jc w:val="left"/>
        <w:rPr>
          <w:rFonts w:hint="eastAsia" w:ascii="Times New Roman" w:hAnsi="Times New Roman" w:cs="Times New Roman" w:eastAsiaTheme="minorEastAsia"/>
          <w:sz w:val="24"/>
          <w:lang w:val="zh-CN" w:eastAsia="zh-CN"/>
        </w:rPr>
      </w:pPr>
      <w:r>
        <w:rPr>
          <w:rFonts w:hint="eastAsia" w:ascii="Times New Roman" w:hAnsi="Times New Roman" w:cs="Times New Roman" w:eastAsiaTheme="minorEastAsia"/>
          <w:sz w:val="24"/>
          <w:lang w:val="zh-CN" w:eastAsia="zh-CN"/>
        </w:rPr>
        <w:t>③火车西站产业区规划</w:t>
      </w:r>
      <w:r>
        <w:rPr>
          <w:rFonts w:hint="eastAsia" w:ascii="Times New Roman" w:hAnsi="Times New Roman" w:cs="Times New Roman" w:eastAsiaTheme="minorEastAsia"/>
          <w:sz w:val="24"/>
          <w:lang w:val="en-US" w:eastAsia="zh-CN"/>
        </w:rPr>
        <w:t>热源点一处</w:t>
      </w:r>
      <w:r>
        <w:rPr>
          <w:rFonts w:hint="eastAsia" w:ascii="Times New Roman" w:hAnsi="Times New Roman" w:cs="Times New Roman" w:eastAsiaTheme="minorEastAsia"/>
          <w:sz w:val="24"/>
          <w:lang w:val="zh-CN" w:eastAsia="zh-CN"/>
        </w:rPr>
        <w:t>，供热能力</w:t>
      </w:r>
      <w:r>
        <w:rPr>
          <w:rFonts w:hint="eastAsia" w:ascii="Times New Roman" w:hAnsi="Times New Roman" w:cs="Times New Roman" w:eastAsiaTheme="minorEastAsia"/>
          <w:sz w:val="24"/>
          <w:lang w:val="en-US" w:eastAsia="zh-CN"/>
        </w:rPr>
        <w:t>190</w:t>
      </w:r>
      <w:r>
        <w:rPr>
          <w:rFonts w:hint="eastAsia" w:ascii="Times New Roman" w:hAnsi="Times New Roman" w:cs="Times New Roman" w:eastAsiaTheme="minorEastAsia"/>
          <w:sz w:val="24"/>
          <w:lang w:val="zh-CN" w:eastAsia="zh-CN"/>
        </w:rPr>
        <w:t>兆瓦，锅炉吨位</w:t>
      </w:r>
      <w:r>
        <w:rPr>
          <w:rFonts w:hint="eastAsia" w:ascii="Times New Roman" w:hAnsi="Times New Roman" w:cs="Times New Roman" w:eastAsiaTheme="minorEastAsia"/>
          <w:sz w:val="24"/>
          <w:lang w:val="en-US" w:eastAsia="zh-CN"/>
        </w:rPr>
        <w:t>不低于</w:t>
      </w:r>
      <w:r>
        <w:rPr>
          <w:rFonts w:hint="eastAsia" w:ascii="Times New Roman" w:hAnsi="Times New Roman" w:cs="Times New Roman" w:eastAsiaTheme="minorEastAsia"/>
          <w:sz w:val="24"/>
          <w:lang w:val="zh-CN" w:eastAsia="zh-CN"/>
        </w:rPr>
        <w:t>250吨。</w:t>
      </w:r>
    </w:p>
    <w:p w14:paraId="4589BEEE">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三个产业园区各设置集中供热的热力站一座，采用燃气锅炉作为热源，锅炉房的热水通过一级管网输送至热用户端进行循环供暖。热力管网采用枝状与环状相结合的布置方式，规划供热干管管径为DN200-</w:t>
      </w:r>
      <w:r>
        <w:rPr>
          <w:rFonts w:hint="eastAsia" w:ascii="Times New Roman" w:hAnsi="Times New Roman" w:cs="Times New Roman" w:eastAsiaTheme="minorEastAsia"/>
          <w:sz w:val="24"/>
          <w:lang w:val="zh-CN" w:eastAsia="zh-CN"/>
        </w:rPr>
        <w:t>4</w:t>
      </w:r>
      <w:r>
        <w:rPr>
          <w:rFonts w:hint="eastAsia" w:ascii="Times New Roman" w:hAnsi="Times New Roman" w:cs="Times New Roman" w:eastAsiaTheme="minorEastAsia"/>
          <w:sz w:val="24"/>
          <w:lang w:val="en-US" w:eastAsia="zh-CN"/>
        </w:rPr>
        <w:t>00mm。</w:t>
      </w:r>
    </w:p>
    <w:p w14:paraId="5932D6B9">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根据气候、地形等条件，热水管网系统采用直埋铺设方式为主，部分地段根据实际情况可采用热力管沟方式铺设。直埋供热管道可采用预制保温管，保温材料根据介质温度选用，外护均采用高密度聚乙烯套管。</w:t>
      </w:r>
    </w:p>
    <w:p w14:paraId="742C6131">
      <w:pPr>
        <w:adjustRightInd w:val="0"/>
        <w:snapToGrid w:val="0"/>
        <w:spacing w:line="500" w:lineRule="exact"/>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（6）燃气工程规划</w:t>
      </w:r>
    </w:p>
    <w:p w14:paraId="235090F0">
      <w:pPr>
        <w:adjustRightInd w:val="0"/>
        <w:snapToGrid w:val="0"/>
        <w:spacing w:line="500" w:lineRule="exact"/>
        <w:ind w:firstLine="480" w:firstLineChars="200"/>
        <w:jc w:val="left"/>
        <w:rPr>
          <w:rFonts w:hint="eastAsia" w:ascii="Times New Roman" w:hAnsi="Times New Roman" w:cs="Times New Roman"/>
          <w:sz w:val="24"/>
          <w:lang w:val="zh-CN" w:eastAsia="zh-CN"/>
        </w:rPr>
      </w:pPr>
      <w:bookmarkStart w:id="185" w:name="_Toc27469"/>
      <w:bookmarkStart w:id="186" w:name="_Toc30475"/>
      <w:r>
        <w:rPr>
          <w:rFonts w:hint="eastAsia" w:ascii="Times New Roman" w:hAnsi="Times New Roman" w:cs="Times New Roman"/>
          <w:sz w:val="24"/>
          <w:lang w:val="zh-CN" w:eastAsia="zh-CN"/>
        </w:rPr>
        <w:t>规划区内</w:t>
      </w:r>
      <w:r>
        <w:rPr>
          <w:rFonts w:hint="eastAsia" w:ascii="Times New Roman" w:hAnsi="Times New Roman" w:cs="Times New Roman"/>
          <w:sz w:val="24"/>
          <w:lang w:val="en-US" w:eastAsia="zh-CN"/>
        </w:rPr>
        <w:t>园区气源为管道天然气</w:t>
      </w:r>
      <w:bookmarkEnd w:id="185"/>
      <w:bookmarkEnd w:id="186"/>
      <w:r>
        <w:rPr>
          <w:rFonts w:hint="eastAsia" w:ascii="Times New Roman" w:hAnsi="Times New Roman" w:cs="Times New Roman"/>
          <w:sz w:val="24"/>
          <w:lang w:val="en-US" w:eastAsia="zh-CN"/>
        </w:rPr>
        <w:t>，</w:t>
      </w:r>
      <w:r>
        <w:rPr>
          <w:rFonts w:hint="eastAsia" w:ascii="Times New Roman" w:hAnsi="Times New Roman" w:cs="Times New Roman"/>
          <w:sz w:val="24"/>
          <w:lang w:val="zh-CN" w:eastAsia="zh-CN"/>
        </w:rPr>
        <w:t>气源引自莎车县城天然气门站。</w:t>
      </w:r>
    </w:p>
    <w:p w14:paraId="25EF43AF">
      <w:pPr>
        <w:adjustRightInd w:val="0"/>
        <w:snapToGrid w:val="0"/>
        <w:spacing w:line="500" w:lineRule="exact"/>
        <w:ind w:firstLine="480" w:firstLineChars="200"/>
        <w:jc w:val="left"/>
        <w:rPr>
          <w:rFonts w:hint="default" w:ascii="Times New Roman" w:hAnsi="Times New Roman" w:cs="Times New Roman"/>
          <w:sz w:val="24"/>
          <w:lang w:val="en-US" w:eastAsia="zh-CN"/>
        </w:rPr>
      </w:pPr>
      <w:r>
        <w:rPr>
          <w:rFonts w:hint="eastAsia" w:ascii="Times New Roman" w:hAnsi="Times New Roman" w:cs="Times New Roman"/>
          <w:sz w:val="24"/>
          <w:lang w:val="en-US" w:eastAsia="zh-CN"/>
        </w:rPr>
        <w:t>1）阿斯兰巴格产业区供气规划</w:t>
      </w:r>
    </w:p>
    <w:p w14:paraId="370A4D07">
      <w:pPr>
        <w:adjustRightInd w:val="0"/>
        <w:snapToGrid w:val="0"/>
        <w:spacing w:line="500" w:lineRule="exact"/>
        <w:ind w:firstLine="480" w:firstLineChars="200"/>
        <w:jc w:val="left"/>
        <w:rPr>
          <w:rFonts w:hint="default" w:ascii="Times New Roman" w:hAnsi="Times New Roman" w:cs="Times New Roman"/>
          <w:sz w:val="24"/>
          <w:lang w:val="en-US" w:eastAsia="zh-CN"/>
        </w:rPr>
      </w:pPr>
      <w:r>
        <w:rPr>
          <w:rFonts w:hint="eastAsia" w:ascii="Times New Roman" w:hAnsi="Times New Roman" w:cs="Times New Roman"/>
          <w:sz w:val="24"/>
          <w:lang w:val="en-US" w:eastAsia="zh-CN"/>
        </w:rPr>
        <w:t>①阿斯兰巴格产业区用气量预测指标</w:t>
      </w:r>
    </w:p>
    <w:p w14:paraId="344A7317">
      <w:pPr>
        <w:adjustRightInd w:val="0"/>
        <w:snapToGrid w:val="0"/>
        <w:spacing w:line="500" w:lineRule="exact"/>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由于规划区内人口为暂住人口，本次规划中居住用气不考虑在内。各类用户用气量指标结合生活水平、现状用气情况等各类相关因素，确定如下：</w:t>
      </w:r>
    </w:p>
    <w:p w14:paraId="0D9E140C">
      <w:pPr>
        <w:adjustRightInd w:val="0"/>
        <w:snapToGrid w:val="0"/>
        <w:spacing w:line="500" w:lineRule="exact"/>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公建及商业用户用气量指标：30～50m3／（ha·d）；</w:t>
      </w:r>
    </w:p>
    <w:p w14:paraId="3940E4E9">
      <w:pPr>
        <w:adjustRightInd w:val="0"/>
        <w:snapToGrid w:val="0"/>
        <w:spacing w:line="500" w:lineRule="exact"/>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工业用地标准：30～35万兆焦/（平方公里·天）；</w:t>
      </w:r>
    </w:p>
    <w:p w14:paraId="5FEE382A">
      <w:pPr>
        <w:adjustRightInd w:val="0"/>
        <w:snapToGrid w:val="0"/>
        <w:spacing w:line="500" w:lineRule="exact"/>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未预见用气量指标：按上述两项之和的5%计算；</w:t>
      </w:r>
    </w:p>
    <w:p w14:paraId="73E7E4D0">
      <w:pPr>
        <w:adjustRightInd w:val="0"/>
        <w:snapToGrid w:val="0"/>
        <w:spacing w:line="500" w:lineRule="exact"/>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天然气低发热值取36.1MJ/m3；</w:t>
      </w:r>
    </w:p>
    <w:p w14:paraId="6B24EF9A">
      <w:pPr>
        <w:adjustRightInd w:val="0"/>
        <w:snapToGrid w:val="0"/>
        <w:spacing w:line="500" w:lineRule="exact"/>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管道燃气气化率取85%。</w:t>
      </w:r>
    </w:p>
    <w:p w14:paraId="62ABB657">
      <w:pPr>
        <w:adjustRightInd w:val="0"/>
        <w:snapToGrid w:val="0"/>
        <w:spacing w:line="500" w:lineRule="exact"/>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②用气不均匀系数</w:t>
      </w:r>
    </w:p>
    <w:p w14:paraId="7C578FE1">
      <w:pPr>
        <w:adjustRightInd w:val="0"/>
        <w:snapToGrid w:val="0"/>
        <w:spacing w:line="500" w:lineRule="exact"/>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居民及公建用户：月高峰系数取1.2，日高峰系数取1.2，小时高峰系数取2.8。</w:t>
      </w:r>
    </w:p>
    <w:p w14:paraId="6F980024">
      <w:pPr>
        <w:adjustRightInd w:val="0"/>
        <w:snapToGrid w:val="0"/>
        <w:spacing w:line="500" w:lineRule="exact"/>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工业用户：月高峰系数取1.1，日高峰系数取1.0，小时高峰系数取1.0。</w:t>
      </w:r>
    </w:p>
    <w:p w14:paraId="28809487">
      <w:pPr>
        <w:adjustRightInd w:val="0"/>
        <w:snapToGrid w:val="0"/>
        <w:spacing w:line="500" w:lineRule="exact"/>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2）用气量预测结果</w:t>
      </w:r>
    </w:p>
    <w:p w14:paraId="00985634">
      <w:pPr>
        <w:adjustRightInd w:val="0"/>
        <w:snapToGrid w:val="0"/>
        <w:spacing w:line="500" w:lineRule="exact"/>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燃气用户有居民用户、公建用户及工业用户三类。根据上述用气量指标，阿斯兰巴格工业园用气量59.79万立方米/年。管道燃气气化率取85%，则阿斯兰巴格产业区天然气全年供气量约为47.83万立方标米。</w:t>
      </w:r>
    </w:p>
    <w:p w14:paraId="5CC0C745">
      <w:pPr>
        <w:adjustRightInd w:val="0"/>
        <w:snapToGrid w:val="0"/>
        <w:spacing w:line="500" w:lineRule="exact"/>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（7）电力工程规划</w:t>
      </w:r>
    </w:p>
    <w:p w14:paraId="1D149A78">
      <w:pPr>
        <w:adjustRightInd w:val="0"/>
        <w:snapToGrid w:val="0"/>
        <w:spacing w:line="500" w:lineRule="exact"/>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根据《城市电力规划规范》，参考有关资料和数据推算，规划用电指标取值如下：居住用地150kW/ha；公共服务设施用地200kW/ha；工业用地250kW/ha；仓储用地30kW/ha；对外交通用地50kW/ha；市政公用设施用地100kW/ha；道路广场及绿化用地10kW/ha；</w:t>
      </w:r>
    </w:p>
    <w:p w14:paraId="06C9FF8B">
      <w:pPr>
        <w:adjustRightInd w:val="0"/>
        <w:snapToGrid w:val="0"/>
        <w:spacing w:line="500" w:lineRule="exact"/>
        <w:ind w:firstLine="480" w:firstLineChars="200"/>
        <w:jc w:val="left"/>
        <w:rPr>
          <w:rFonts w:hint="default" w:ascii="Times New Roman" w:hAnsi="Times New Roman" w:cs="Times New Roman"/>
          <w:sz w:val="24"/>
          <w:lang w:val="en-US" w:eastAsia="zh-CN"/>
        </w:rPr>
      </w:pPr>
      <w:r>
        <w:rPr>
          <w:rFonts w:hint="eastAsia" w:ascii="Times New Roman" w:hAnsi="Times New Roman" w:cs="Times New Roman"/>
          <w:sz w:val="24"/>
          <w:lang w:val="en-US" w:eastAsia="zh-CN"/>
        </w:rPr>
        <w:t>根据上述用电指标及本次用地规划估算，阿斯兰巴格产业区总用电负荷约为116.13MW，用电同时系数取0.7，则规划区计算负荷为81.29MW。</w:t>
      </w:r>
    </w:p>
    <w:p w14:paraId="07D4A813">
      <w:pPr>
        <w:adjustRightInd w:val="0"/>
        <w:snapToGrid w:val="0"/>
        <w:spacing w:line="500" w:lineRule="exact"/>
        <w:jc w:val="left"/>
        <w:rPr>
          <w:rFonts w:hint="eastAsia" w:ascii="Times New Roman" w:hAnsi="Times New Roman" w:cs="Times New Roman" w:eastAsiaTheme="minorEastAsia"/>
          <w:b/>
          <w:bCs/>
          <w:kern w:val="0"/>
          <w:sz w:val="24"/>
          <w:szCs w:val="24"/>
          <w:lang w:val="en-US" w:eastAsia="zh-CN" w:bidi="ar-SA"/>
        </w:rPr>
      </w:pPr>
      <w:r>
        <w:rPr>
          <w:rFonts w:hint="eastAsia" w:ascii="Times New Roman" w:hAnsi="Times New Roman" w:cs="Times New Roman" w:eastAsiaTheme="minorEastAsia"/>
          <w:b/>
          <w:bCs/>
          <w:kern w:val="0"/>
          <w:sz w:val="24"/>
          <w:szCs w:val="24"/>
          <w:lang w:val="en-US" w:eastAsia="zh-CN" w:bidi="ar-SA"/>
        </w:rPr>
        <w:t>4.2.2.4园区基础设施建设情况</w:t>
      </w:r>
    </w:p>
    <w:p w14:paraId="7342CFC0">
      <w:pPr>
        <w:adjustRightInd w:val="0"/>
        <w:snapToGrid w:val="0"/>
        <w:spacing w:line="500" w:lineRule="exact"/>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（1）污水处理厂</w:t>
      </w:r>
    </w:p>
    <w:p w14:paraId="3752C229">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阿斯兰巴格工业园区污水处理站位于园区东北</w:t>
      </w:r>
      <w:r>
        <w:rPr>
          <w:rFonts w:hint="default" w:ascii="Times New Roman" w:hAnsi="Times New Roman" w:cs="Times New Roman" w:eastAsiaTheme="minorEastAsia"/>
          <w:sz w:val="24"/>
          <w:lang w:val="en-US" w:eastAsia="zh-CN"/>
        </w:rPr>
        <w:t>200m</w:t>
      </w:r>
      <w:r>
        <w:rPr>
          <w:rFonts w:hint="eastAsia" w:ascii="Times New Roman" w:hAnsi="Times New Roman" w:cs="Times New Roman" w:eastAsiaTheme="minorEastAsia"/>
          <w:sz w:val="24"/>
          <w:lang w:val="en-US" w:eastAsia="zh-CN"/>
        </w:rPr>
        <w:t>处，占地面积</w:t>
      </w:r>
      <w:r>
        <w:rPr>
          <w:rFonts w:hint="default" w:ascii="Times New Roman" w:hAnsi="Times New Roman" w:cs="Times New Roman" w:eastAsiaTheme="minorEastAsia"/>
          <w:sz w:val="24"/>
          <w:lang w:val="en-US" w:eastAsia="zh-CN"/>
        </w:rPr>
        <w:t>4000m</w:t>
      </w:r>
      <w:r>
        <w:rPr>
          <w:rFonts w:hint="default" w:ascii="Times New Roman" w:hAnsi="Times New Roman" w:cs="Times New Roman" w:eastAsiaTheme="minorEastAsia"/>
          <w:sz w:val="24"/>
          <w:vertAlign w:val="superscript"/>
          <w:lang w:val="en-US" w:eastAsia="zh-CN"/>
        </w:rPr>
        <w:t>2</w:t>
      </w:r>
      <w:r>
        <w:rPr>
          <w:rFonts w:hint="eastAsia" w:ascii="Times New Roman" w:hAnsi="Times New Roman" w:cs="Times New Roman" w:eastAsiaTheme="minorEastAsia"/>
          <w:sz w:val="24"/>
          <w:lang w:val="en-US" w:eastAsia="zh-CN"/>
        </w:rPr>
        <w:t>，采用预处理</w:t>
      </w: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厌氧</w:t>
      </w: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缺氧</w:t>
      </w: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好氧</w:t>
      </w: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沉淀</w:t>
      </w: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混凝</w:t>
      </w: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多介质过滤器</w:t>
      </w: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紫外线消毒等处理工艺，处理规模为</w:t>
      </w:r>
      <w:r>
        <w:rPr>
          <w:rFonts w:hint="default" w:ascii="Times New Roman" w:hAnsi="Times New Roman" w:cs="Times New Roman" w:eastAsiaTheme="minorEastAsia"/>
          <w:sz w:val="24"/>
          <w:lang w:val="en-US" w:eastAsia="zh-CN"/>
        </w:rPr>
        <w:t>1500m</w:t>
      </w:r>
      <w:r>
        <w:rPr>
          <w:rFonts w:hint="eastAsia" w:ascii="Times New Roman" w:hAnsi="Times New Roman" w:cs="Times New Roman" w:eastAsiaTheme="minorEastAsia"/>
          <w:sz w:val="24"/>
          <w:vertAlign w:val="superscript"/>
          <w:lang w:val="en-US" w:eastAsia="zh-CN"/>
        </w:rPr>
        <w:t>3</w:t>
      </w:r>
      <w:r>
        <w:rPr>
          <w:rFonts w:hint="default" w:ascii="Times New Roman" w:hAnsi="Times New Roman" w:cs="Times New Roman" w:eastAsiaTheme="minorEastAsia"/>
          <w:sz w:val="24"/>
          <w:lang w:val="en-US" w:eastAsia="zh-CN"/>
        </w:rPr>
        <w:t>/d</w:t>
      </w:r>
      <w:r>
        <w:rPr>
          <w:rFonts w:hint="eastAsia" w:ascii="Times New Roman" w:hAnsi="Times New Roman" w:cs="Times New Roman" w:eastAsiaTheme="minorEastAsia"/>
          <w:sz w:val="24"/>
          <w:lang w:val="en-US" w:eastAsia="zh-CN"/>
        </w:rPr>
        <w:t>，实际日处理规模约500</w:t>
      </w:r>
      <w:r>
        <w:rPr>
          <w:rFonts w:hint="default" w:ascii="Times New Roman" w:hAnsi="Times New Roman" w:cs="Times New Roman" w:eastAsiaTheme="minorEastAsia"/>
          <w:sz w:val="24"/>
          <w:lang w:val="en-US" w:eastAsia="zh-CN"/>
        </w:rPr>
        <w:t>m</w:t>
      </w:r>
      <w:r>
        <w:rPr>
          <w:rFonts w:hint="eastAsia" w:ascii="Times New Roman" w:hAnsi="Times New Roman" w:cs="Times New Roman" w:eastAsiaTheme="minorEastAsia"/>
          <w:sz w:val="24"/>
          <w:vertAlign w:val="superscript"/>
          <w:lang w:val="en-US" w:eastAsia="zh-CN"/>
        </w:rPr>
        <w:t>3</w:t>
      </w:r>
      <w:r>
        <w:rPr>
          <w:rFonts w:hint="default" w:ascii="Times New Roman" w:hAnsi="Times New Roman" w:cs="Times New Roman" w:eastAsiaTheme="minorEastAsia"/>
          <w:sz w:val="24"/>
          <w:lang w:val="en-US" w:eastAsia="zh-CN"/>
        </w:rPr>
        <w:t>/d</w:t>
      </w:r>
      <w:r>
        <w:rPr>
          <w:rFonts w:hint="eastAsia" w:ascii="Times New Roman" w:hAnsi="Times New Roman" w:cs="Times New Roman" w:eastAsiaTheme="minorEastAsia"/>
          <w:sz w:val="24"/>
          <w:lang w:val="en-US" w:eastAsia="zh-CN"/>
        </w:rPr>
        <w:t>。设计出水水质满足《城镇污水处理厂污染物排放标准》（</w:t>
      </w:r>
      <w:r>
        <w:rPr>
          <w:rFonts w:hint="default" w:ascii="Times New Roman" w:hAnsi="Times New Roman" w:cs="Times New Roman" w:eastAsiaTheme="minorEastAsia"/>
          <w:sz w:val="24"/>
          <w:lang w:val="en-US" w:eastAsia="zh-CN"/>
        </w:rPr>
        <w:t>GB18918-2002</w:t>
      </w:r>
      <w:r>
        <w:rPr>
          <w:rFonts w:hint="eastAsia" w:ascii="Times New Roman" w:hAnsi="Times New Roman" w:cs="Times New Roman" w:eastAsiaTheme="minorEastAsia"/>
          <w:sz w:val="24"/>
          <w:lang w:val="en-US" w:eastAsia="zh-CN"/>
        </w:rPr>
        <w:t>）中一级</w:t>
      </w:r>
      <w:r>
        <w:rPr>
          <w:rFonts w:hint="default" w:ascii="Times New Roman" w:hAnsi="Times New Roman" w:cs="Times New Roman" w:eastAsiaTheme="minorEastAsia"/>
          <w:sz w:val="24"/>
          <w:lang w:val="en-US" w:eastAsia="zh-CN"/>
        </w:rPr>
        <w:t>A</w:t>
      </w:r>
      <w:r>
        <w:rPr>
          <w:rFonts w:hint="eastAsia" w:ascii="Times New Roman" w:hAnsi="Times New Roman" w:cs="Times New Roman" w:eastAsiaTheme="minorEastAsia"/>
          <w:sz w:val="24"/>
          <w:lang w:val="en-US" w:eastAsia="zh-CN"/>
        </w:rPr>
        <w:t>标准，同时满足《城市污水再生利用绿地灌溉水质》（GB/T 25499-2010）相应标准后，用于园区道路洒水及植被绿化，非灌溉期尾水排入</w:t>
      </w:r>
      <w:r>
        <w:rPr>
          <w:rFonts w:hint="default" w:ascii="Times New Roman" w:hAnsi="Times New Roman" w:cs="Times New Roman" w:eastAsiaTheme="minorEastAsia"/>
          <w:sz w:val="24"/>
          <w:lang w:val="en-US" w:eastAsia="zh-CN"/>
        </w:rPr>
        <w:t>15</w:t>
      </w:r>
      <w:r>
        <w:rPr>
          <w:rFonts w:hint="eastAsia" w:ascii="Times New Roman" w:hAnsi="Times New Roman" w:cs="Times New Roman" w:eastAsiaTheme="minorEastAsia"/>
          <w:sz w:val="24"/>
          <w:lang w:val="en-US" w:eastAsia="zh-CN"/>
        </w:rPr>
        <w:t>万</w:t>
      </w:r>
      <w:r>
        <w:rPr>
          <w:rFonts w:hint="default" w:ascii="Times New Roman" w:hAnsi="Times New Roman" w:cs="Times New Roman" w:eastAsiaTheme="minorEastAsia"/>
          <w:sz w:val="24"/>
          <w:lang w:val="en-US" w:eastAsia="zh-CN"/>
        </w:rPr>
        <w:t>m</w:t>
      </w:r>
      <w:r>
        <w:rPr>
          <w:rFonts w:hint="eastAsia" w:ascii="Times New Roman" w:hAnsi="Times New Roman" w:cs="Times New Roman" w:eastAsiaTheme="minorEastAsia"/>
          <w:sz w:val="24"/>
          <w:vertAlign w:val="superscript"/>
          <w:lang w:val="en-US" w:eastAsia="zh-CN"/>
        </w:rPr>
        <w:t>3</w:t>
      </w:r>
      <w:r>
        <w:rPr>
          <w:rFonts w:hint="eastAsia" w:ascii="Times New Roman" w:hAnsi="Times New Roman" w:cs="Times New Roman" w:eastAsiaTheme="minorEastAsia"/>
          <w:sz w:val="24"/>
          <w:lang w:val="en-US" w:eastAsia="zh-CN"/>
        </w:rPr>
        <w:t>氧化塘内。</w:t>
      </w:r>
    </w:p>
    <w:p w14:paraId="301AD1C9">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sectPr>
          <w:pgSz w:w="11907" w:h="16839"/>
          <w:pgMar w:top="1106" w:right="1425" w:bottom="1245" w:left="1533" w:header="829" w:footer="991" w:gutter="0"/>
          <w:pgBorders>
            <w:top w:val="none" w:sz="0" w:space="0"/>
            <w:left w:val="none" w:sz="0" w:space="0"/>
            <w:bottom w:val="none" w:sz="0" w:space="0"/>
            <w:right w:val="none" w:sz="0" w:space="0"/>
          </w:pgBorders>
          <w:pgNumType w:fmt="decimal"/>
          <w:cols w:space="720" w:num="1"/>
        </w:sectPr>
      </w:pPr>
      <w:r>
        <w:rPr>
          <w:rFonts w:hint="eastAsia" w:ascii="Times New Roman" w:hAnsi="Times New Roman" w:cs="Times New Roman" w:eastAsiaTheme="minorEastAsia"/>
          <w:sz w:val="24"/>
          <w:lang w:val="en-US" w:eastAsia="zh-CN"/>
        </w:rPr>
        <w:t>（2）</w:t>
      </w:r>
      <w:r>
        <w:rPr>
          <w:rFonts w:hint="default" w:ascii="Times New Roman" w:hAnsi="Times New Roman" w:cs="Times New Roman" w:eastAsiaTheme="minorEastAsia"/>
          <w:sz w:val="24"/>
          <w:lang w:val="en-US" w:eastAsia="zh-CN"/>
        </w:rPr>
        <w:t>园区</w:t>
      </w:r>
      <w:r>
        <w:rPr>
          <w:rFonts w:hint="eastAsia" w:ascii="Times New Roman" w:hAnsi="Times New Roman" w:cs="Times New Roman" w:eastAsiaTheme="minorEastAsia"/>
          <w:sz w:val="24"/>
          <w:lang w:val="en-US" w:eastAsia="zh-CN"/>
        </w:rPr>
        <w:t>已建成</w:t>
      </w:r>
      <w:r>
        <w:rPr>
          <w:rFonts w:hint="default" w:ascii="Times New Roman" w:hAnsi="Times New Roman" w:cs="Times New Roman" w:eastAsiaTheme="minorEastAsia"/>
          <w:sz w:val="24"/>
          <w:lang w:val="en-US" w:eastAsia="zh-CN"/>
        </w:rPr>
        <w:t>一般工业固废填埋场一座</w:t>
      </w:r>
      <w:r>
        <w:rPr>
          <w:rFonts w:hint="eastAsia" w:ascii="Times New Roman" w:hAnsi="Times New Roman" w:cs="Times New Roman" w:eastAsiaTheme="minorEastAsia"/>
          <w:sz w:val="24"/>
          <w:lang w:val="en-US" w:eastAsia="zh-CN"/>
        </w:rPr>
        <w:t>，位于阿斯兰巴格产业区，已于2024年底完成建设，填埋场容量为2万m</w:t>
      </w:r>
      <w:r>
        <w:rPr>
          <w:rFonts w:hint="eastAsia" w:ascii="Times New Roman" w:hAnsi="Times New Roman" w:cs="Times New Roman" w:eastAsiaTheme="minorEastAsia"/>
          <w:sz w:val="24"/>
          <w:vertAlign w:val="superscript"/>
          <w:lang w:val="en-US" w:eastAsia="zh-CN"/>
        </w:rPr>
        <w:t>3</w:t>
      </w:r>
      <w:r>
        <w:rPr>
          <w:rFonts w:hint="eastAsia" w:ascii="Times New Roman" w:hAnsi="Times New Roman" w:cs="Times New Roman" w:eastAsiaTheme="minorEastAsia"/>
          <w:sz w:val="24"/>
          <w:lang w:val="en-US" w:eastAsia="zh-CN"/>
        </w:rPr>
        <w:t>，配套附属设施设备，处理规模为2t/d，服务年限30年。规划近期将启用此一般工业固废填埋场，远期扩建规模需根据近期使用情况调整。</w:t>
      </w:r>
    </w:p>
    <w:p w14:paraId="6ED7695A">
      <w:pPr>
        <w:adjustRightInd w:val="0"/>
        <w:snapToGrid w:val="0"/>
        <w:spacing w:line="500" w:lineRule="exact"/>
        <w:jc w:val="left"/>
        <w:rPr>
          <w:rFonts w:hint="eastAsia" w:ascii="Times New Roman" w:hAnsi="Times New Roman" w:cs="Times New Roman" w:eastAsiaTheme="minorEastAsia"/>
          <w:b/>
          <w:bCs/>
          <w:kern w:val="0"/>
          <w:sz w:val="24"/>
          <w:szCs w:val="24"/>
          <w:lang w:val="en-US" w:eastAsia="zh-CN" w:bidi="ar-SA"/>
        </w:rPr>
      </w:pPr>
      <w:r>
        <w:rPr>
          <w:rFonts w:hint="eastAsia" w:ascii="Times New Roman" w:hAnsi="Times New Roman" w:cs="Times New Roman" w:eastAsiaTheme="minorEastAsia"/>
          <w:b/>
          <w:bCs/>
          <w:kern w:val="0"/>
          <w:sz w:val="24"/>
          <w:szCs w:val="24"/>
          <w:lang w:val="en-US" w:eastAsia="zh-CN" w:bidi="ar-SA"/>
        </w:rPr>
        <w:t>4.2.2.5阿斯兰巴格工业园区企业情况</w:t>
      </w:r>
    </w:p>
    <w:p w14:paraId="1006AEFA">
      <w:pPr>
        <w:adjustRightInd w:val="0"/>
        <w:snapToGrid w:val="0"/>
        <w:spacing w:line="500" w:lineRule="exact"/>
        <w:ind w:firstLine="420" w:firstLineChars="200"/>
        <w:jc w:val="left"/>
        <w:rPr>
          <w:rFonts w:hint="eastAsia"/>
          <w:lang w:eastAsia="zh-CN"/>
        </w:rPr>
      </w:pPr>
      <w:r>
        <w:rPr>
          <w:bCs/>
        </w:rPr>
        <w:t>阿斯兰巴格工业园区</w:t>
      </w:r>
      <w:r>
        <w:rPr>
          <w:rFonts w:hint="eastAsia"/>
          <w:bCs/>
          <w:lang w:val="en-US" w:eastAsia="zh-CN"/>
        </w:rPr>
        <w:t>现有</w:t>
      </w:r>
      <w:r>
        <w:t>企业基本情况如下</w:t>
      </w:r>
      <w:r>
        <w:rPr>
          <w:rFonts w:hint="eastAsia"/>
          <w:lang w:eastAsia="zh-CN"/>
        </w:rPr>
        <w:t>：</w:t>
      </w:r>
    </w:p>
    <w:p w14:paraId="7534A2E1">
      <w:pPr>
        <w:tabs>
          <w:tab w:val="center" w:pos="0"/>
        </w:tabs>
        <w:adjustRightInd w:val="0"/>
        <w:snapToGrid w:val="0"/>
        <w:jc w:val="center"/>
        <w:rPr>
          <w:rFonts w:hint="eastAsia"/>
          <w:lang w:val="en-US" w:eastAsia="zh-CN"/>
        </w:rPr>
      </w:pPr>
      <w:r>
        <w:rPr>
          <w:rFonts w:hint="eastAsia"/>
          <w:b/>
          <w:color w:val="auto"/>
          <w:highlight w:val="none"/>
        </w:rPr>
        <w:t>表</w:t>
      </w:r>
      <w:r>
        <w:rPr>
          <w:rFonts w:hint="eastAsia"/>
          <w:b/>
          <w:color w:val="auto"/>
          <w:highlight w:val="none"/>
          <w:lang w:val="en-US" w:eastAsia="zh-CN"/>
        </w:rPr>
        <w:t xml:space="preserve">4.2-1  </w:t>
      </w:r>
      <w:r>
        <w:rPr>
          <w:rFonts w:hint="eastAsia"/>
          <w:b/>
          <w:color w:val="auto"/>
          <w:highlight w:val="none"/>
        </w:rPr>
        <w:t>阿斯兰巴格工业园区现有企业</w:t>
      </w:r>
      <w:r>
        <w:rPr>
          <w:rFonts w:hint="eastAsia"/>
          <w:b/>
          <w:color w:val="auto"/>
          <w:highlight w:val="none"/>
          <w:lang w:val="en-US" w:eastAsia="zh-CN"/>
        </w:rPr>
        <w:t>概况一览表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3535"/>
        <w:gridCol w:w="4371"/>
        <w:gridCol w:w="2677"/>
        <w:gridCol w:w="2540"/>
      </w:tblGrid>
      <w:tr w14:paraId="5B953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0" w:type="auto"/>
            <w:noWrap w:val="0"/>
            <w:vAlign w:val="center"/>
          </w:tcPr>
          <w:p w14:paraId="6DB91D2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序号</w:t>
            </w:r>
          </w:p>
        </w:tc>
        <w:tc>
          <w:tcPr>
            <w:tcW w:w="3535" w:type="dxa"/>
            <w:noWrap w:val="0"/>
            <w:vAlign w:val="center"/>
          </w:tcPr>
          <w:p w14:paraId="5757887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企业名称</w:t>
            </w:r>
          </w:p>
        </w:tc>
        <w:tc>
          <w:tcPr>
            <w:tcW w:w="4371" w:type="dxa"/>
            <w:noWrap w:val="0"/>
            <w:vAlign w:val="center"/>
          </w:tcPr>
          <w:p w14:paraId="5E5AF36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主要产品及规模</w:t>
            </w:r>
          </w:p>
        </w:tc>
        <w:tc>
          <w:tcPr>
            <w:tcW w:w="2677" w:type="dxa"/>
            <w:noWrap w:val="0"/>
            <w:vAlign w:val="center"/>
          </w:tcPr>
          <w:p w14:paraId="05BEF6D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环评情况</w:t>
            </w:r>
          </w:p>
        </w:tc>
        <w:tc>
          <w:tcPr>
            <w:tcW w:w="2540" w:type="dxa"/>
            <w:noWrap w:val="0"/>
            <w:vAlign w:val="center"/>
          </w:tcPr>
          <w:p w14:paraId="1517919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验收情况</w:t>
            </w:r>
          </w:p>
        </w:tc>
      </w:tr>
      <w:tr w14:paraId="71C11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noWrap w:val="0"/>
            <w:vAlign w:val="center"/>
          </w:tcPr>
          <w:p w14:paraId="3B914F3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w:t>
            </w:r>
          </w:p>
        </w:tc>
        <w:tc>
          <w:tcPr>
            <w:tcW w:w="3535" w:type="dxa"/>
            <w:noWrap w:val="0"/>
            <w:vAlign w:val="center"/>
          </w:tcPr>
          <w:p w14:paraId="1EBC757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莎车县恒昌冶炼有限公司</w:t>
            </w:r>
          </w:p>
        </w:tc>
        <w:tc>
          <w:tcPr>
            <w:tcW w:w="4371" w:type="dxa"/>
            <w:noWrap w:val="0"/>
            <w:vAlign w:val="center"/>
          </w:tcPr>
          <w:p w14:paraId="50C6DA5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氧化锌/氧化锌</w:t>
            </w:r>
          </w:p>
          <w:p w14:paraId="1393FFF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年产5.5万吨</w:t>
            </w:r>
          </w:p>
        </w:tc>
        <w:tc>
          <w:tcPr>
            <w:tcW w:w="2677" w:type="dxa"/>
            <w:noWrap w:val="0"/>
            <w:vAlign w:val="center"/>
          </w:tcPr>
          <w:p w14:paraId="10781E7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新环评价函</w:t>
            </w:r>
            <w:r>
              <w:rPr>
                <w:rFonts w:hint="eastAsia" w:ascii="Times New Roman" w:hAnsi="Times New Roman" w:cs="Times New Roman"/>
                <w:szCs w:val="21"/>
                <w:lang w:val="en-US" w:eastAsia="zh-CN"/>
              </w:rPr>
              <w:t>〔2010〕105号</w:t>
            </w:r>
          </w:p>
        </w:tc>
        <w:tc>
          <w:tcPr>
            <w:tcW w:w="2540" w:type="dxa"/>
            <w:noWrap w:val="0"/>
            <w:vAlign w:val="center"/>
          </w:tcPr>
          <w:p w14:paraId="54AEF5C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新环函</w:t>
            </w:r>
            <w:r>
              <w:rPr>
                <w:rFonts w:hint="eastAsia" w:ascii="Times New Roman" w:hAnsi="Times New Roman" w:cs="Times New Roman"/>
                <w:szCs w:val="21"/>
                <w:lang w:val="en-US" w:eastAsia="zh-CN"/>
              </w:rPr>
              <w:t>〔2015〕137号</w:t>
            </w:r>
          </w:p>
        </w:tc>
      </w:tr>
      <w:tr w14:paraId="11EA2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noWrap w:val="0"/>
            <w:vAlign w:val="center"/>
          </w:tcPr>
          <w:p w14:paraId="47A6CD4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w:t>
            </w:r>
          </w:p>
        </w:tc>
        <w:tc>
          <w:tcPr>
            <w:tcW w:w="3535" w:type="dxa"/>
            <w:noWrap w:val="0"/>
            <w:vAlign w:val="center"/>
          </w:tcPr>
          <w:p w14:paraId="3C880D3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莎车县恒昌运输有限公司</w:t>
            </w:r>
          </w:p>
        </w:tc>
        <w:tc>
          <w:tcPr>
            <w:tcW w:w="4371" w:type="dxa"/>
            <w:noWrap w:val="0"/>
            <w:vAlign w:val="center"/>
          </w:tcPr>
          <w:p w14:paraId="4C566ED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运输/1000万</w:t>
            </w:r>
          </w:p>
        </w:tc>
        <w:tc>
          <w:tcPr>
            <w:tcW w:w="2677" w:type="dxa"/>
            <w:noWrap w:val="0"/>
            <w:vAlign w:val="center"/>
          </w:tcPr>
          <w:p w14:paraId="324ABC1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不需要</w:t>
            </w:r>
          </w:p>
        </w:tc>
        <w:tc>
          <w:tcPr>
            <w:tcW w:w="2540" w:type="dxa"/>
            <w:noWrap w:val="0"/>
            <w:vAlign w:val="center"/>
          </w:tcPr>
          <w:p w14:paraId="6EB5E65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不需要</w:t>
            </w:r>
          </w:p>
        </w:tc>
      </w:tr>
      <w:tr w14:paraId="0EFA5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noWrap w:val="0"/>
            <w:vAlign w:val="center"/>
          </w:tcPr>
          <w:p w14:paraId="6921DD3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w:t>
            </w:r>
          </w:p>
        </w:tc>
        <w:tc>
          <w:tcPr>
            <w:tcW w:w="3535" w:type="dxa"/>
            <w:noWrap w:val="0"/>
            <w:vAlign w:val="center"/>
          </w:tcPr>
          <w:p w14:paraId="024C00F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新疆标康矿业有限公司</w:t>
            </w:r>
          </w:p>
        </w:tc>
        <w:tc>
          <w:tcPr>
            <w:tcW w:w="4371" w:type="dxa"/>
            <w:noWrap w:val="0"/>
            <w:vAlign w:val="center"/>
          </w:tcPr>
          <w:p w14:paraId="1BBD696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砂石料矿</w:t>
            </w:r>
          </w:p>
        </w:tc>
        <w:tc>
          <w:tcPr>
            <w:tcW w:w="2677" w:type="dxa"/>
            <w:noWrap w:val="0"/>
            <w:vAlign w:val="center"/>
          </w:tcPr>
          <w:p w14:paraId="7107837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喀地环评字</w:t>
            </w:r>
            <w:r>
              <w:rPr>
                <w:rFonts w:hint="eastAsia" w:ascii="Times New Roman" w:hAnsi="Times New Roman" w:cs="Times New Roman"/>
                <w:szCs w:val="21"/>
                <w:lang w:val="en-US" w:eastAsia="zh-CN"/>
              </w:rPr>
              <w:t>〔2021〕30号</w:t>
            </w:r>
          </w:p>
        </w:tc>
        <w:tc>
          <w:tcPr>
            <w:tcW w:w="2540" w:type="dxa"/>
            <w:noWrap w:val="0"/>
            <w:vAlign w:val="center"/>
          </w:tcPr>
          <w:p w14:paraId="624766E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2021.12自主验收</w:t>
            </w:r>
          </w:p>
        </w:tc>
      </w:tr>
      <w:tr w14:paraId="0CD04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noWrap w:val="0"/>
            <w:vAlign w:val="center"/>
          </w:tcPr>
          <w:p w14:paraId="01C972D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w:t>
            </w:r>
          </w:p>
        </w:tc>
        <w:tc>
          <w:tcPr>
            <w:tcW w:w="3535" w:type="dxa"/>
            <w:noWrap w:val="0"/>
            <w:vAlign w:val="center"/>
          </w:tcPr>
          <w:p w14:paraId="4A1F7D2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莎车上海建材隆基水泥有限公司</w:t>
            </w:r>
          </w:p>
        </w:tc>
        <w:tc>
          <w:tcPr>
            <w:tcW w:w="4371" w:type="dxa"/>
            <w:noWrap w:val="0"/>
            <w:vAlign w:val="center"/>
          </w:tcPr>
          <w:p w14:paraId="7F239F8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水泥/年产30万吨</w:t>
            </w:r>
          </w:p>
        </w:tc>
        <w:tc>
          <w:tcPr>
            <w:tcW w:w="2677" w:type="dxa"/>
            <w:noWrap w:val="0"/>
            <w:vAlign w:val="center"/>
          </w:tcPr>
          <w:p w14:paraId="4231F95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新环评价函</w:t>
            </w:r>
            <w:r>
              <w:rPr>
                <w:rFonts w:hint="eastAsia" w:ascii="Times New Roman" w:hAnsi="Times New Roman" w:cs="Times New Roman"/>
                <w:szCs w:val="21"/>
                <w:lang w:val="en-US" w:eastAsia="zh-CN"/>
              </w:rPr>
              <w:t>〔2010〕39号</w:t>
            </w:r>
          </w:p>
        </w:tc>
        <w:tc>
          <w:tcPr>
            <w:tcW w:w="2540" w:type="dxa"/>
            <w:noWrap w:val="0"/>
            <w:vAlign w:val="center"/>
          </w:tcPr>
          <w:p w14:paraId="3B857D4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2021.6自主验收</w:t>
            </w:r>
          </w:p>
        </w:tc>
      </w:tr>
      <w:tr w14:paraId="78911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noWrap w:val="0"/>
            <w:vAlign w:val="center"/>
          </w:tcPr>
          <w:p w14:paraId="2B10A62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w:t>
            </w:r>
          </w:p>
        </w:tc>
        <w:tc>
          <w:tcPr>
            <w:tcW w:w="3535" w:type="dxa"/>
            <w:noWrap w:val="0"/>
            <w:vAlign w:val="center"/>
          </w:tcPr>
          <w:p w14:paraId="778BFB0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莎车县申隆新型墙体材料有限责任公司</w:t>
            </w:r>
          </w:p>
        </w:tc>
        <w:tc>
          <w:tcPr>
            <w:tcW w:w="4371" w:type="dxa"/>
            <w:noWrap w:val="0"/>
            <w:vAlign w:val="center"/>
          </w:tcPr>
          <w:p w14:paraId="2F4DDA1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页岩砖</w:t>
            </w:r>
          </w:p>
        </w:tc>
        <w:tc>
          <w:tcPr>
            <w:tcW w:w="2677" w:type="dxa"/>
            <w:noWrap w:val="0"/>
            <w:vAlign w:val="center"/>
          </w:tcPr>
          <w:p w14:paraId="01F58AC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莎环函字</w:t>
            </w:r>
            <w:r>
              <w:rPr>
                <w:rFonts w:hint="eastAsia" w:ascii="Times New Roman" w:hAnsi="Times New Roman" w:cs="Times New Roman"/>
                <w:szCs w:val="21"/>
                <w:lang w:val="en-US" w:eastAsia="zh-CN"/>
              </w:rPr>
              <w:t>〔2013〕248号</w:t>
            </w:r>
          </w:p>
        </w:tc>
        <w:tc>
          <w:tcPr>
            <w:tcW w:w="2540" w:type="dxa"/>
            <w:noWrap w:val="0"/>
            <w:vAlign w:val="center"/>
          </w:tcPr>
          <w:p w14:paraId="4C7EFAD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莎环验字</w:t>
            </w:r>
            <w:r>
              <w:rPr>
                <w:rFonts w:hint="eastAsia" w:ascii="Times New Roman" w:hAnsi="Times New Roman" w:cs="Times New Roman"/>
                <w:szCs w:val="21"/>
                <w:lang w:val="en-US" w:eastAsia="zh-CN"/>
              </w:rPr>
              <w:t>〔2014〕146号</w:t>
            </w:r>
          </w:p>
        </w:tc>
      </w:tr>
      <w:tr w14:paraId="191C1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noWrap w:val="0"/>
            <w:vAlign w:val="center"/>
          </w:tcPr>
          <w:p w14:paraId="61EE6DC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w:t>
            </w:r>
          </w:p>
        </w:tc>
        <w:tc>
          <w:tcPr>
            <w:tcW w:w="3535" w:type="dxa"/>
            <w:noWrap w:val="0"/>
            <w:vAlign w:val="center"/>
          </w:tcPr>
          <w:p w14:paraId="7004681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莎车县恒丰锌业有限公司</w:t>
            </w:r>
          </w:p>
        </w:tc>
        <w:tc>
          <w:tcPr>
            <w:tcW w:w="4371" w:type="dxa"/>
            <w:noWrap w:val="0"/>
            <w:vAlign w:val="center"/>
          </w:tcPr>
          <w:p w14:paraId="37DB35C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年产10万t/a锌锭，副产硫酸16万t/a，另回收海绵镉、铜精矿、钴精矿、铅精矿等有价元素作为副产品出售</w:t>
            </w:r>
          </w:p>
        </w:tc>
        <w:tc>
          <w:tcPr>
            <w:tcW w:w="2677" w:type="dxa"/>
            <w:noWrap w:val="0"/>
            <w:vAlign w:val="center"/>
          </w:tcPr>
          <w:p w14:paraId="40EB0D8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新环审〔2024〕169号</w:t>
            </w:r>
          </w:p>
        </w:tc>
        <w:tc>
          <w:tcPr>
            <w:tcW w:w="2540" w:type="dxa"/>
            <w:noWrap w:val="0"/>
            <w:vAlign w:val="center"/>
          </w:tcPr>
          <w:p w14:paraId="41D4FB4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在建</w:t>
            </w:r>
          </w:p>
        </w:tc>
      </w:tr>
      <w:tr w14:paraId="0CA9F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noWrap w:val="0"/>
            <w:vAlign w:val="center"/>
          </w:tcPr>
          <w:p w14:paraId="3263E5B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w:t>
            </w:r>
          </w:p>
        </w:tc>
        <w:tc>
          <w:tcPr>
            <w:tcW w:w="3535" w:type="dxa"/>
            <w:noWrap w:val="0"/>
            <w:vAlign w:val="center"/>
          </w:tcPr>
          <w:p w14:paraId="4C79C0B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莎车三丰新型环保科技有限公司</w:t>
            </w:r>
          </w:p>
        </w:tc>
        <w:tc>
          <w:tcPr>
            <w:tcW w:w="4371" w:type="dxa"/>
            <w:noWrap w:val="0"/>
            <w:vAlign w:val="center"/>
          </w:tcPr>
          <w:p w14:paraId="03C6616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新型材料/建筑垃圾回收再利用</w:t>
            </w:r>
          </w:p>
          <w:p w14:paraId="38227B0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年产100万吨</w:t>
            </w:r>
          </w:p>
        </w:tc>
        <w:tc>
          <w:tcPr>
            <w:tcW w:w="2677" w:type="dxa"/>
            <w:noWrap w:val="0"/>
            <w:vAlign w:val="center"/>
          </w:tcPr>
          <w:p w14:paraId="7A2EE56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喀地环评字</w:t>
            </w:r>
            <w:r>
              <w:rPr>
                <w:rFonts w:hint="eastAsia" w:ascii="Times New Roman" w:hAnsi="Times New Roman" w:cs="Times New Roman"/>
                <w:szCs w:val="21"/>
                <w:lang w:val="en-US" w:eastAsia="zh-CN"/>
              </w:rPr>
              <w:t>〔2021〕30号</w:t>
            </w:r>
          </w:p>
        </w:tc>
        <w:tc>
          <w:tcPr>
            <w:tcW w:w="2540" w:type="dxa"/>
            <w:noWrap w:val="0"/>
            <w:vAlign w:val="center"/>
          </w:tcPr>
          <w:p w14:paraId="1047E61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2021.12自主验收</w:t>
            </w:r>
          </w:p>
        </w:tc>
      </w:tr>
      <w:tr w14:paraId="02422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noWrap w:val="0"/>
            <w:vAlign w:val="center"/>
          </w:tcPr>
          <w:p w14:paraId="48ECA93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8</w:t>
            </w:r>
          </w:p>
        </w:tc>
        <w:tc>
          <w:tcPr>
            <w:tcW w:w="3535" w:type="dxa"/>
            <w:noWrap w:val="0"/>
            <w:vAlign w:val="center"/>
          </w:tcPr>
          <w:p w14:paraId="2019ACB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莎车县海纳环保科技开发有限公司</w:t>
            </w:r>
          </w:p>
        </w:tc>
        <w:tc>
          <w:tcPr>
            <w:tcW w:w="4371" w:type="dxa"/>
            <w:noWrap w:val="0"/>
            <w:vAlign w:val="center"/>
          </w:tcPr>
          <w:p w14:paraId="2B7646B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医疗废物处置</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每年处置医疗废物1500吨</w:t>
            </w:r>
          </w:p>
        </w:tc>
        <w:tc>
          <w:tcPr>
            <w:tcW w:w="2677" w:type="dxa"/>
            <w:noWrap w:val="0"/>
            <w:vAlign w:val="center"/>
          </w:tcPr>
          <w:p w14:paraId="12E1101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新环函</w:t>
            </w:r>
            <w:r>
              <w:rPr>
                <w:rFonts w:hint="eastAsia" w:ascii="Times New Roman" w:hAnsi="Times New Roman" w:cs="Times New Roman"/>
                <w:szCs w:val="21"/>
                <w:lang w:val="en-US" w:eastAsia="zh-CN"/>
              </w:rPr>
              <w:t>〔2017〕83号</w:t>
            </w:r>
          </w:p>
        </w:tc>
        <w:tc>
          <w:tcPr>
            <w:tcW w:w="2540" w:type="dxa"/>
            <w:noWrap w:val="0"/>
            <w:vAlign w:val="center"/>
          </w:tcPr>
          <w:p w14:paraId="0925587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新环函</w:t>
            </w:r>
            <w:r>
              <w:rPr>
                <w:rFonts w:hint="eastAsia" w:ascii="Times New Roman" w:hAnsi="Times New Roman" w:cs="Times New Roman"/>
                <w:szCs w:val="21"/>
                <w:lang w:val="en-US" w:eastAsia="zh-CN"/>
              </w:rPr>
              <w:t>〔2017〕1717号</w:t>
            </w:r>
          </w:p>
        </w:tc>
      </w:tr>
      <w:tr w14:paraId="33B87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noWrap w:val="0"/>
            <w:vAlign w:val="center"/>
          </w:tcPr>
          <w:p w14:paraId="45ACCB2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9</w:t>
            </w:r>
          </w:p>
        </w:tc>
        <w:tc>
          <w:tcPr>
            <w:tcW w:w="3535" w:type="dxa"/>
            <w:noWrap w:val="0"/>
            <w:vAlign w:val="center"/>
          </w:tcPr>
          <w:p w14:paraId="0FF6D14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莎车县固体医疗垃圾处理中心</w:t>
            </w:r>
          </w:p>
        </w:tc>
        <w:tc>
          <w:tcPr>
            <w:tcW w:w="4371" w:type="dxa"/>
            <w:noWrap w:val="0"/>
            <w:vAlign w:val="center"/>
          </w:tcPr>
          <w:p w14:paraId="571E596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医疗废物处置/每年处置医疗废物1900吨</w:t>
            </w:r>
          </w:p>
        </w:tc>
        <w:tc>
          <w:tcPr>
            <w:tcW w:w="2677" w:type="dxa"/>
            <w:noWrap w:val="0"/>
            <w:vAlign w:val="center"/>
          </w:tcPr>
          <w:p w14:paraId="2D3727C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新环审</w:t>
            </w:r>
            <w:r>
              <w:rPr>
                <w:rFonts w:hint="eastAsia" w:ascii="Times New Roman" w:hAnsi="Times New Roman" w:cs="Times New Roman"/>
                <w:szCs w:val="21"/>
                <w:lang w:val="en-US" w:eastAsia="zh-CN"/>
              </w:rPr>
              <w:t>〔2021〕63号</w:t>
            </w:r>
          </w:p>
        </w:tc>
        <w:tc>
          <w:tcPr>
            <w:tcW w:w="2540" w:type="dxa"/>
            <w:noWrap w:val="0"/>
            <w:vAlign w:val="center"/>
          </w:tcPr>
          <w:p w14:paraId="7A0E1E6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已验收</w:t>
            </w:r>
          </w:p>
        </w:tc>
      </w:tr>
      <w:tr w14:paraId="7DDB7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noWrap w:val="0"/>
            <w:vAlign w:val="center"/>
          </w:tcPr>
          <w:p w14:paraId="1EF2758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w:t>
            </w:r>
          </w:p>
        </w:tc>
        <w:tc>
          <w:tcPr>
            <w:tcW w:w="3535" w:type="dxa"/>
            <w:noWrap w:val="0"/>
            <w:vAlign w:val="center"/>
          </w:tcPr>
          <w:p w14:paraId="04C5812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新疆亚迪凯国际贸易有限公司</w:t>
            </w:r>
          </w:p>
        </w:tc>
        <w:tc>
          <w:tcPr>
            <w:tcW w:w="4371" w:type="dxa"/>
            <w:noWrap w:val="0"/>
            <w:vAlign w:val="center"/>
          </w:tcPr>
          <w:p w14:paraId="205F857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涂料乳胶漆腻子粉/涂料20吨</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乳胶漆3万桶</w:t>
            </w:r>
          </w:p>
        </w:tc>
        <w:tc>
          <w:tcPr>
            <w:tcW w:w="2677" w:type="dxa"/>
            <w:noWrap w:val="0"/>
            <w:vAlign w:val="center"/>
          </w:tcPr>
          <w:p w14:paraId="32B9D70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喀地环评字</w:t>
            </w:r>
            <w:r>
              <w:rPr>
                <w:rFonts w:hint="eastAsia" w:ascii="Times New Roman" w:hAnsi="Times New Roman" w:cs="Times New Roman"/>
                <w:szCs w:val="21"/>
                <w:lang w:val="en-US" w:eastAsia="zh-CN"/>
              </w:rPr>
              <w:t>〔2018〕172号</w:t>
            </w:r>
          </w:p>
        </w:tc>
        <w:tc>
          <w:tcPr>
            <w:tcW w:w="2540" w:type="dxa"/>
            <w:noWrap w:val="0"/>
            <w:vAlign w:val="center"/>
          </w:tcPr>
          <w:p w14:paraId="2DFF5F8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2022.1自主验收</w:t>
            </w:r>
          </w:p>
        </w:tc>
      </w:tr>
      <w:tr w14:paraId="270A8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noWrap w:val="0"/>
            <w:vAlign w:val="center"/>
          </w:tcPr>
          <w:p w14:paraId="5D78D9F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11</w:t>
            </w:r>
          </w:p>
        </w:tc>
        <w:tc>
          <w:tcPr>
            <w:tcW w:w="3535" w:type="dxa"/>
            <w:noWrap w:val="0"/>
            <w:vAlign w:val="center"/>
          </w:tcPr>
          <w:p w14:paraId="2B38C0F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喀什宝盛节水有限公司</w:t>
            </w:r>
          </w:p>
        </w:tc>
        <w:tc>
          <w:tcPr>
            <w:tcW w:w="4371" w:type="dxa"/>
            <w:noWrap w:val="0"/>
            <w:vAlign w:val="center"/>
          </w:tcPr>
          <w:p w14:paraId="77C24BE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矩形渠道主要用于农田引水灌溉/</w:t>
            </w:r>
          </w:p>
        </w:tc>
        <w:tc>
          <w:tcPr>
            <w:tcW w:w="2677" w:type="dxa"/>
            <w:noWrap w:val="0"/>
            <w:vAlign w:val="center"/>
          </w:tcPr>
          <w:p w14:paraId="40B19B6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莎环评字</w:t>
            </w:r>
            <w:r>
              <w:rPr>
                <w:rFonts w:hint="eastAsia" w:ascii="Times New Roman" w:hAnsi="Times New Roman" w:cs="Times New Roman"/>
                <w:szCs w:val="21"/>
                <w:lang w:val="en-US" w:eastAsia="zh-CN"/>
              </w:rPr>
              <w:t>〔2019〕56号</w:t>
            </w:r>
          </w:p>
        </w:tc>
        <w:tc>
          <w:tcPr>
            <w:tcW w:w="2540" w:type="dxa"/>
            <w:noWrap w:val="0"/>
            <w:vAlign w:val="center"/>
          </w:tcPr>
          <w:p w14:paraId="017BC61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2021.10自主验收</w:t>
            </w:r>
          </w:p>
        </w:tc>
      </w:tr>
      <w:tr w14:paraId="6D63F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noWrap w:val="0"/>
            <w:vAlign w:val="center"/>
          </w:tcPr>
          <w:p w14:paraId="1811F7D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12</w:t>
            </w:r>
          </w:p>
        </w:tc>
        <w:tc>
          <w:tcPr>
            <w:tcW w:w="3535" w:type="dxa"/>
            <w:noWrap w:val="0"/>
            <w:vAlign w:val="center"/>
          </w:tcPr>
          <w:p w14:paraId="183A004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莎车县同乐建材有限公司</w:t>
            </w:r>
          </w:p>
        </w:tc>
        <w:tc>
          <w:tcPr>
            <w:tcW w:w="4371" w:type="dxa"/>
            <w:noWrap w:val="0"/>
            <w:vAlign w:val="center"/>
          </w:tcPr>
          <w:p w14:paraId="6893BD9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石灰粉/加工石灰粉，年产12万吨</w:t>
            </w:r>
          </w:p>
        </w:tc>
        <w:tc>
          <w:tcPr>
            <w:tcW w:w="2677" w:type="dxa"/>
            <w:noWrap w:val="0"/>
            <w:vAlign w:val="center"/>
          </w:tcPr>
          <w:p w14:paraId="3FED8A5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喀地环评字</w:t>
            </w:r>
            <w:r>
              <w:rPr>
                <w:rFonts w:hint="eastAsia" w:ascii="Times New Roman" w:hAnsi="Times New Roman" w:cs="Times New Roman"/>
                <w:szCs w:val="21"/>
                <w:lang w:val="en-US" w:eastAsia="zh-CN"/>
              </w:rPr>
              <w:t>〔2014〕414号</w:t>
            </w:r>
          </w:p>
        </w:tc>
        <w:tc>
          <w:tcPr>
            <w:tcW w:w="2540" w:type="dxa"/>
            <w:noWrap w:val="0"/>
            <w:vAlign w:val="center"/>
          </w:tcPr>
          <w:p w14:paraId="633CDA0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2021.6自主验收</w:t>
            </w:r>
          </w:p>
        </w:tc>
      </w:tr>
      <w:tr w14:paraId="0C166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noWrap w:val="0"/>
            <w:vAlign w:val="center"/>
          </w:tcPr>
          <w:p w14:paraId="299F828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13</w:t>
            </w:r>
          </w:p>
        </w:tc>
        <w:tc>
          <w:tcPr>
            <w:tcW w:w="3535" w:type="dxa"/>
            <w:noWrap w:val="0"/>
            <w:vAlign w:val="center"/>
          </w:tcPr>
          <w:p w14:paraId="35F8929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莎车县顺通达新型建材有限公司</w:t>
            </w:r>
          </w:p>
        </w:tc>
        <w:tc>
          <w:tcPr>
            <w:tcW w:w="4371" w:type="dxa"/>
            <w:noWrap w:val="0"/>
            <w:vAlign w:val="center"/>
          </w:tcPr>
          <w:p w14:paraId="1C0B4E1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多孔砖</w:t>
            </w:r>
          </w:p>
        </w:tc>
        <w:tc>
          <w:tcPr>
            <w:tcW w:w="2677" w:type="dxa"/>
            <w:noWrap w:val="0"/>
            <w:vAlign w:val="center"/>
          </w:tcPr>
          <w:p w14:paraId="57C294C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莎环评字</w:t>
            </w:r>
            <w:r>
              <w:rPr>
                <w:rFonts w:hint="eastAsia" w:ascii="Times New Roman" w:hAnsi="Times New Roman" w:cs="Times New Roman"/>
                <w:szCs w:val="21"/>
                <w:lang w:val="en-US" w:eastAsia="zh-CN"/>
              </w:rPr>
              <w:t>〔2015〕196号</w:t>
            </w:r>
          </w:p>
        </w:tc>
        <w:tc>
          <w:tcPr>
            <w:tcW w:w="2540" w:type="dxa"/>
            <w:noWrap w:val="0"/>
            <w:vAlign w:val="center"/>
          </w:tcPr>
          <w:p w14:paraId="60C3F3F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2021年自主验收</w:t>
            </w:r>
          </w:p>
        </w:tc>
      </w:tr>
      <w:tr w14:paraId="10873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noWrap w:val="0"/>
            <w:vAlign w:val="center"/>
          </w:tcPr>
          <w:p w14:paraId="0A6B124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14</w:t>
            </w:r>
          </w:p>
        </w:tc>
        <w:tc>
          <w:tcPr>
            <w:tcW w:w="3535" w:type="dxa"/>
            <w:noWrap w:val="0"/>
            <w:vAlign w:val="center"/>
          </w:tcPr>
          <w:p w14:paraId="6D0138C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莎车县恒泰新型建材有限责任公司</w:t>
            </w:r>
          </w:p>
        </w:tc>
        <w:tc>
          <w:tcPr>
            <w:tcW w:w="4371" w:type="dxa"/>
            <w:noWrap w:val="0"/>
            <w:vAlign w:val="center"/>
          </w:tcPr>
          <w:p w14:paraId="23D44AA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加气块/年产10万立方</w:t>
            </w:r>
          </w:p>
        </w:tc>
        <w:tc>
          <w:tcPr>
            <w:tcW w:w="2677" w:type="dxa"/>
            <w:noWrap w:val="0"/>
            <w:vAlign w:val="center"/>
          </w:tcPr>
          <w:p w14:paraId="0783001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莎环监字</w:t>
            </w:r>
            <w:r>
              <w:rPr>
                <w:rFonts w:hint="eastAsia" w:ascii="Times New Roman" w:hAnsi="Times New Roman" w:cs="Times New Roman"/>
                <w:szCs w:val="21"/>
                <w:lang w:val="en-US" w:eastAsia="zh-CN"/>
              </w:rPr>
              <w:t>〔2011〕6号</w:t>
            </w:r>
          </w:p>
        </w:tc>
        <w:tc>
          <w:tcPr>
            <w:tcW w:w="2540" w:type="dxa"/>
            <w:noWrap w:val="0"/>
            <w:vAlign w:val="center"/>
          </w:tcPr>
          <w:p w14:paraId="120FE14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长期停产</w:t>
            </w:r>
          </w:p>
        </w:tc>
      </w:tr>
      <w:tr w14:paraId="29F7F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noWrap w:val="0"/>
            <w:vAlign w:val="center"/>
          </w:tcPr>
          <w:p w14:paraId="625C264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15</w:t>
            </w:r>
          </w:p>
        </w:tc>
        <w:tc>
          <w:tcPr>
            <w:tcW w:w="3535" w:type="dxa"/>
            <w:noWrap w:val="0"/>
            <w:vAlign w:val="center"/>
          </w:tcPr>
          <w:p w14:paraId="54096F2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莎车县豫新缘塑业有限公司</w:t>
            </w:r>
          </w:p>
        </w:tc>
        <w:tc>
          <w:tcPr>
            <w:tcW w:w="4371" w:type="dxa"/>
            <w:noWrap w:val="0"/>
            <w:vAlign w:val="center"/>
          </w:tcPr>
          <w:p w14:paraId="3963069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水果筐/年产5万只</w:t>
            </w:r>
          </w:p>
        </w:tc>
        <w:tc>
          <w:tcPr>
            <w:tcW w:w="2677" w:type="dxa"/>
            <w:noWrap w:val="0"/>
            <w:vAlign w:val="center"/>
          </w:tcPr>
          <w:p w14:paraId="5152B30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喀地环评字</w:t>
            </w:r>
            <w:r>
              <w:rPr>
                <w:rFonts w:hint="eastAsia" w:ascii="Times New Roman" w:hAnsi="Times New Roman" w:cs="Times New Roman"/>
                <w:szCs w:val="21"/>
                <w:lang w:val="en-US" w:eastAsia="zh-CN"/>
              </w:rPr>
              <w:t>〔2021〕6号</w:t>
            </w:r>
          </w:p>
        </w:tc>
        <w:tc>
          <w:tcPr>
            <w:tcW w:w="2540" w:type="dxa"/>
            <w:noWrap w:val="0"/>
            <w:vAlign w:val="center"/>
          </w:tcPr>
          <w:p w14:paraId="562EF8E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2021.12自主验收</w:t>
            </w:r>
          </w:p>
        </w:tc>
      </w:tr>
      <w:tr w14:paraId="3D1F3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noWrap w:val="0"/>
            <w:vAlign w:val="center"/>
          </w:tcPr>
          <w:p w14:paraId="4AF7C42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16</w:t>
            </w:r>
          </w:p>
        </w:tc>
        <w:tc>
          <w:tcPr>
            <w:tcW w:w="3535" w:type="dxa"/>
            <w:noWrap w:val="0"/>
            <w:vAlign w:val="center"/>
          </w:tcPr>
          <w:p w14:paraId="0B3A4CE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新疆愉快塑料制品有限公司</w:t>
            </w:r>
          </w:p>
        </w:tc>
        <w:tc>
          <w:tcPr>
            <w:tcW w:w="4371" w:type="dxa"/>
            <w:noWrap w:val="0"/>
            <w:vAlign w:val="center"/>
          </w:tcPr>
          <w:p w14:paraId="41BE1E9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塑料筐/年产3万只</w:t>
            </w:r>
          </w:p>
        </w:tc>
        <w:tc>
          <w:tcPr>
            <w:tcW w:w="2677" w:type="dxa"/>
            <w:noWrap w:val="0"/>
            <w:vAlign w:val="center"/>
          </w:tcPr>
          <w:p w14:paraId="3945E00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莎环评字</w:t>
            </w:r>
            <w:r>
              <w:rPr>
                <w:rFonts w:hint="eastAsia" w:ascii="Times New Roman" w:hAnsi="Times New Roman" w:cs="Times New Roman"/>
                <w:szCs w:val="21"/>
                <w:lang w:val="en-US" w:eastAsia="zh-CN"/>
              </w:rPr>
              <w:t>〔2016〕29号</w:t>
            </w:r>
          </w:p>
        </w:tc>
        <w:tc>
          <w:tcPr>
            <w:tcW w:w="2540" w:type="dxa"/>
            <w:noWrap w:val="0"/>
            <w:vAlign w:val="center"/>
          </w:tcPr>
          <w:p w14:paraId="4E69D9B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2019.</w:t>
            </w:r>
            <w:r>
              <w:rPr>
                <w:rFonts w:hint="eastAsia" w:ascii="Times New Roman" w:hAnsi="Times New Roman" w:cs="Times New Roman" w:eastAsiaTheme="minorEastAsia"/>
                <w:szCs w:val="21"/>
                <w:lang w:val="en-US" w:eastAsia="zh-CN"/>
              </w:rPr>
              <w:t>8</w:t>
            </w:r>
            <w:r>
              <w:rPr>
                <w:rFonts w:hint="default" w:ascii="Times New Roman" w:hAnsi="Times New Roman" w:cs="Times New Roman" w:eastAsiaTheme="minorEastAsia"/>
                <w:szCs w:val="21"/>
                <w:lang w:val="en-US" w:eastAsia="zh-CN"/>
              </w:rPr>
              <w:t>自主验收</w:t>
            </w:r>
          </w:p>
        </w:tc>
      </w:tr>
      <w:tr w14:paraId="02192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noWrap w:val="0"/>
            <w:vAlign w:val="center"/>
          </w:tcPr>
          <w:p w14:paraId="29FC216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17</w:t>
            </w:r>
          </w:p>
        </w:tc>
        <w:tc>
          <w:tcPr>
            <w:tcW w:w="3535" w:type="dxa"/>
            <w:noWrap w:val="0"/>
            <w:vAlign w:val="center"/>
          </w:tcPr>
          <w:p w14:paraId="19FD98F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莎车县嘉艺环保科技有限公司</w:t>
            </w:r>
          </w:p>
        </w:tc>
        <w:tc>
          <w:tcPr>
            <w:tcW w:w="4371" w:type="dxa"/>
            <w:noWrap w:val="0"/>
            <w:vAlign w:val="center"/>
          </w:tcPr>
          <w:p w14:paraId="11BF5C0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玻璃钢/年产20万立方</w:t>
            </w:r>
          </w:p>
        </w:tc>
        <w:tc>
          <w:tcPr>
            <w:tcW w:w="2677" w:type="dxa"/>
            <w:noWrap w:val="0"/>
            <w:vAlign w:val="center"/>
          </w:tcPr>
          <w:p w14:paraId="009F08F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喀地环评字</w:t>
            </w:r>
            <w:r>
              <w:rPr>
                <w:rFonts w:hint="eastAsia" w:ascii="Times New Roman" w:hAnsi="Times New Roman" w:cs="Times New Roman"/>
                <w:szCs w:val="21"/>
                <w:lang w:val="en-US" w:eastAsia="zh-CN"/>
              </w:rPr>
              <w:t>〔2017〕75号</w:t>
            </w:r>
          </w:p>
        </w:tc>
        <w:tc>
          <w:tcPr>
            <w:tcW w:w="2540" w:type="dxa"/>
            <w:noWrap w:val="0"/>
            <w:vAlign w:val="center"/>
          </w:tcPr>
          <w:p w14:paraId="360CB7A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2022.6.21自主验收</w:t>
            </w:r>
          </w:p>
        </w:tc>
      </w:tr>
      <w:tr w14:paraId="47ADE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noWrap w:val="0"/>
            <w:vAlign w:val="center"/>
          </w:tcPr>
          <w:p w14:paraId="4893CF0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18</w:t>
            </w:r>
          </w:p>
        </w:tc>
        <w:tc>
          <w:tcPr>
            <w:tcW w:w="3535" w:type="dxa"/>
            <w:noWrap w:val="0"/>
            <w:vAlign w:val="center"/>
          </w:tcPr>
          <w:p w14:paraId="5C4361E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新疆莎翔木业有限公司</w:t>
            </w:r>
          </w:p>
        </w:tc>
        <w:tc>
          <w:tcPr>
            <w:tcW w:w="4371" w:type="dxa"/>
            <w:noWrap w:val="0"/>
            <w:vAlign w:val="center"/>
          </w:tcPr>
          <w:p w14:paraId="28757A6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工程木模板/（年产能80万张）</w:t>
            </w:r>
          </w:p>
        </w:tc>
        <w:tc>
          <w:tcPr>
            <w:tcW w:w="2677" w:type="dxa"/>
            <w:noWrap w:val="0"/>
            <w:vAlign w:val="center"/>
          </w:tcPr>
          <w:p w14:paraId="1A7D88B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莎环评字</w:t>
            </w:r>
            <w:r>
              <w:rPr>
                <w:rFonts w:hint="eastAsia" w:ascii="Times New Roman" w:hAnsi="Times New Roman" w:cs="Times New Roman"/>
                <w:szCs w:val="21"/>
                <w:lang w:val="en-US" w:eastAsia="zh-CN"/>
              </w:rPr>
              <w:t>〔2020〕127号</w:t>
            </w:r>
          </w:p>
        </w:tc>
        <w:tc>
          <w:tcPr>
            <w:tcW w:w="2540" w:type="dxa"/>
            <w:noWrap w:val="0"/>
            <w:vAlign w:val="center"/>
          </w:tcPr>
          <w:p w14:paraId="5BD8B95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2021.8.31自主验收</w:t>
            </w:r>
          </w:p>
        </w:tc>
      </w:tr>
      <w:tr w14:paraId="70B81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noWrap w:val="0"/>
            <w:vAlign w:val="center"/>
          </w:tcPr>
          <w:p w14:paraId="525B55F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19</w:t>
            </w:r>
          </w:p>
        </w:tc>
        <w:tc>
          <w:tcPr>
            <w:tcW w:w="3535" w:type="dxa"/>
            <w:noWrap w:val="0"/>
            <w:vAlign w:val="center"/>
          </w:tcPr>
          <w:p w14:paraId="423BE28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茂林管业建材有限公司</w:t>
            </w:r>
          </w:p>
        </w:tc>
        <w:tc>
          <w:tcPr>
            <w:tcW w:w="4371" w:type="dxa"/>
            <w:noWrap w:val="0"/>
            <w:vAlign w:val="center"/>
          </w:tcPr>
          <w:p w14:paraId="5371831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水泥制品、年产2000万米</w:t>
            </w:r>
          </w:p>
        </w:tc>
        <w:tc>
          <w:tcPr>
            <w:tcW w:w="2677" w:type="dxa"/>
            <w:noWrap w:val="0"/>
            <w:vAlign w:val="center"/>
          </w:tcPr>
          <w:p w14:paraId="2C59BA93">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莎环评字〔2018〕1号</w:t>
            </w:r>
          </w:p>
        </w:tc>
        <w:tc>
          <w:tcPr>
            <w:tcW w:w="2540" w:type="dxa"/>
            <w:noWrap w:val="0"/>
            <w:vAlign w:val="center"/>
          </w:tcPr>
          <w:p w14:paraId="2CD443A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2018.1.17</w:t>
            </w:r>
          </w:p>
        </w:tc>
      </w:tr>
      <w:tr w14:paraId="36481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noWrap w:val="0"/>
            <w:vAlign w:val="center"/>
          </w:tcPr>
          <w:p w14:paraId="6EA6880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20</w:t>
            </w:r>
          </w:p>
        </w:tc>
        <w:tc>
          <w:tcPr>
            <w:tcW w:w="3535" w:type="dxa"/>
            <w:noWrap w:val="0"/>
            <w:vAlign w:val="center"/>
          </w:tcPr>
          <w:p w14:paraId="2987256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莎车县渝新建材有限公司</w:t>
            </w:r>
          </w:p>
        </w:tc>
        <w:tc>
          <w:tcPr>
            <w:tcW w:w="4371" w:type="dxa"/>
            <w:noWrap w:val="0"/>
            <w:vAlign w:val="center"/>
          </w:tcPr>
          <w:p w14:paraId="5AB1716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加气块/年产15万立方</w:t>
            </w:r>
          </w:p>
          <w:p w14:paraId="0EE1025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（2020年全年停产）</w:t>
            </w:r>
          </w:p>
        </w:tc>
        <w:tc>
          <w:tcPr>
            <w:tcW w:w="2677" w:type="dxa"/>
            <w:noWrap w:val="0"/>
            <w:vAlign w:val="center"/>
          </w:tcPr>
          <w:p w14:paraId="5021A81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莎环监字</w:t>
            </w:r>
            <w:r>
              <w:rPr>
                <w:rFonts w:hint="eastAsia" w:ascii="Times New Roman" w:hAnsi="Times New Roman" w:cs="Times New Roman"/>
                <w:szCs w:val="21"/>
                <w:lang w:val="en-US" w:eastAsia="zh-CN"/>
              </w:rPr>
              <w:t>〔2012〕283号</w:t>
            </w:r>
          </w:p>
        </w:tc>
        <w:tc>
          <w:tcPr>
            <w:tcW w:w="2540" w:type="dxa"/>
            <w:noWrap w:val="0"/>
            <w:vAlign w:val="center"/>
          </w:tcPr>
          <w:p w14:paraId="0F461D0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莎环验字</w:t>
            </w:r>
            <w:r>
              <w:rPr>
                <w:rFonts w:hint="eastAsia" w:ascii="Times New Roman" w:hAnsi="Times New Roman" w:cs="Times New Roman"/>
                <w:szCs w:val="21"/>
                <w:lang w:val="en-US" w:eastAsia="zh-CN"/>
              </w:rPr>
              <w:t>〔2014〕143号</w:t>
            </w:r>
          </w:p>
        </w:tc>
      </w:tr>
      <w:tr w14:paraId="5A878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5630FAE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21</w:t>
            </w:r>
          </w:p>
        </w:tc>
        <w:tc>
          <w:tcPr>
            <w:tcW w:w="3535" w:type="dxa"/>
            <w:noWrap w:val="0"/>
            <w:vAlign w:val="center"/>
          </w:tcPr>
          <w:p w14:paraId="52F0025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莎车县永固建筑材料有限公司</w:t>
            </w:r>
          </w:p>
        </w:tc>
        <w:tc>
          <w:tcPr>
            <w:tcW w:w="4371" w:type="dxa"/>
            <w:noWrap w:val="0"/>
            <w:vAlign w:val="center"/>
          </w:tcPr>
          <w:p w14:paraId="3B6B8B9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混凝土</w:t>
            </w:r>
            <w:r>
              <w:rPr>
                <w:rFonts w:hint="default" w:ascii="Times New Roman" w:hAnsi="Times New Roman" w:cs="Times New Roman" w:eastAsiaTheme="minorEastAsia"/>
                <w:szCs w:val="21"/>
                <w:lang w:val="en-US" w:eastAsia="zh-CN"/>
              </w:rPr>
              <w:t>/年生产15万立方</w:t>
            </w:r>
          </w:p>
        </w:tc>
        <w:tc>
          <w:tcPr>
            <w:tcW w:w="2677" w:type="dxa"/>
            <w:noWrap w:val="0"/>
            <w:vAlign w:val="center"/>
          </w:tcPr>
          <w:p w14:paraId="05CFA4F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莎环监字</w:t>
            </w:r>
            <w:r>
              <w:rPr>
                <w:rFonts w:hint="eastAsia" w:ascii="Times New Roman" w:hAnsi="Times New Roman" w:cs="Times New Roman"/>
                <w:szCs w:val="21"/>
                <w:lang w:val="en-US" w:eastAsia="zh-CN"/>
              </w:rPr>
              <w:t>〔2012〕383号</w:t>
            </w:r>
          </w:p>
        </w:tc>
        <w:tc>
          <w:tcPr>
            <w:tcW w:w="2540" w:type="dxa"/>
            <w:noWrap w:val="0"/>
            <w:vAlign w:val="center"/>
          </w:tcPr>
          <w:p w14:paraId="614C949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莎环验字</w:t>
            </w:r>
            <w:r>
              <w:rPr>
                <w:rFonts w:hint="eastAsia" w:ascii="Times New Roman" w:hAnsi="Times New Roman" w:cs="Times New Roman"/>
                <w:szCs w:val="21"/>
                <w:lang w:val="en-US" w:eastAsia="zh-CN"/>
              </w:rPr>
              <w:t>〔2013〕15号</w:t>
            </w:r>
          </w:p>
        </w:tc>
      </w:tr>
      <w:tr w14:paraId="62B9B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1465CA5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22</w:t>
            </w:r>
          </w:p>
        </w:tc>
        <w:tc>
          <w:tcPr>
            <w:tcW w:w="3535" w:type="dxa"/>
            <w:noWrap w:val="0"/>
            <w:vAlign w:val="center"/>
          </w:tcPr>
          <w:p w14:paraId="5C61348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莎车县雅鑫新型环保建材有限公司</w:t>
            </w:r>
          </w:p>
        </w:tc>
        <w:tc>
          <w:tcPr>
            <w:tcW w:w="4371" w:type="dxa"/>
            <w:noWrap w:val="0"/>
            <w:vAlign w:val="center"/>
          </w:tcPr>
          <w:p w14:paraId="59BB3B3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页岩砖/年产2亿块</w:t>
            </w:r>
          </w:p>
          <w:p w14:paraId="7573808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（2020年生产3671万块）</w:t>
            </w:r>
          </w:p>
        </w:tc>
        <w:tc>
          <w:tcPr>
            <w:tcW w:w="2677" w:type="dxa"/>
            <w:noWrap w:val="0"/>
            <w:vAlign w:val="center"/>
          </w:tcPr>
          <w:p w14:paraId="35E745A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莎环函字</w:t>
            </w:r>
            <w:r>
              <w:rPr>
                <w:rFonts w:hint="eastAsia" w:ascii="Times New Roman" w:hAnsi="Times New Roman" w:cs="Times New Roman"/>
                <w:szCs w:val="21"/>
                <w:lang w:val="en-US" w:eastAsia="zh-CN"/>
              </w:rPr>
              <w:t>〔2013〕309号</w:t>
            </w:r>
          </w:p>
        </w:tc>
        <w:tc>
          <w:tcPr>
            <w:tcW w:w="2540" w:type="dxa"/>
            <w:noWrap w:val="0"/>
            <w:vAlign w:val="center"/>
          </w:tcPr>
          <w:p w14:paraId="0E01DBE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2021.9自主验收</w:t>
            </w:r>
          </w:p>
        </w:tc>
      </w:tr>
      <w:tr w14:paraId="30741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545CC29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23</w:t>
            </w:r>
          </w:p>
        </w:tc>
        <w:tc>
          <w:tcPr>
            <w:tcW w:w="3535" w:type="dxa"/>
            <w:noWrap w:val="0"/>
            <w:vAlign w:val="center"/>
          </w:tcPr>
          <w:p w14:paraId="694339F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莎车县金申管业有限公司</w:t>
            </w:r>
          </w:p>
        </w:tc>
        <w:tc>
          <w:tcPr>
            <w:tcW w:w="4371" w:type="dxa"/>
            <w:noWrap w:val="0"/>
            <w:vAlign w:val="center"/>
          </w:tcPr>
          <w:p w14:paraId="6DFF6BF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水泥制品/年产60公里</w:t>
            </w:r>
          </w:p>
        </w:tc>
        <w:tc>
          <w:tcPr>
            <w:tcW w:w="2677" w:type="dxa"/>
            <w:noWrap w:val="0"/>
            <w:vAlign w:val="center"/>
          </w:tcPr>
          <w:p w14:paraId="4ECED05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莎环评字</w:t>
            </w:r>
            <w:r>
              <w:rPr>
                <w:rFonts w:hint="eastAsia" w:ascii="Times New Roman" w:hAnsi="Times New Roman" w:cs="Times New Roman"/>
                <w:szCs w:val="21"/>
                <w:lang w:val="en-US" w:eastAsia="zh-CN"/>
              </w:rPr>
              <w:t>〔2020〕128号</w:t>
            </w:r>
          </w:p>
        </w:tc>
        <w:tc>
          <w:tcPr>
            <w:tcW w:w="2540" w:type="dxa"/>
            <w:noWrap w:val="0"/>
            <w:vAlign w:val="center"/>
          </w:tcPr>
          <w:p w14:paraId="1278669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长期停产</w:t>
            </w:r>
          </w:p>
        </w:tc>
      </w:tr>
      <w:tr w14:paraId="5F717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31B7941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24</w:t>
            </w:r>
          </w:p>
        </w:tc>
        <w:tc>
          <w:tcPr>
            <w:tcW w:w="3535" w:type="dxa"/>
            <w:noWrap w:val="0"/>
            <w:vAlign w:val="center"/>
          </w:tcPr>
          <w:p w14:paraId="60B952D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莎车金杨笔业有限公司</w:t>
            </w:r>
          </w:p>
        </w:tc>
        <w:tc>
          <w:tcPr>
            <w:tcW w:w="4371" w:type="dxa"/>
            <w:noWrap w:val="0"/>
            <w:vAlign w:val="center"/>
          </w:tcPr>
          <w:p w14:paraId="243E4D3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铅笔</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板材/9000万</w:t>
            </w:r>
            <w:r>
              <w:rPr>
                <w:rFonts w:hint="eastAsia" w:ascii="Times New Roman" w:hAnsi="Times New Roman" w:cs="Times New Roman"/>
                <w:szCs w:val="21"/>
                <w:lang w:val="en-US" w:eastAsia="zh-CN"/>
              </w:rPr>
              <w:t>支</w:t>
            </w:r>
          </w:p>
        </w:tc>
        <w:tc>
          <w:tcPr>
            <w:tcW w:w="2677" w:type="dxa"/>
            <w:noWrap w:val="0"/>
            <w:vAlign w:val="center"/>
          </w:tcPr>
          <w:p w14:paraId="1F80AD3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莎环评字</w:t>
            </w:r>
            <w:r>
              <w:rPr>
                <w:rFonts w:hint="eastAsia" w:ascii="Times New Roman" w:hAnsi="Times New Roman" w:cs="Times New Roman"/>
                <w:szCs w:val="21"/>
                <w:lang w:val="en-US" w:eastAsia="zh-CN"/>
              </w:rPr>
              <w:t>〔2016〕225号</w:t>
            </w:r>
          </w:p>
        </w:tc>
        <w:tc>
          <w:tcPr>
            <w:tcW w:w="2540" w:type="dxa"/>
            <w:noWrap w:val="0"/>
            <w:vAlign w:val="center"/>
          </w:tcPr>
          <w:p w14:paraId="12FA9BC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2022.5自主验收</w:t>
            </w:r>
          </w:p>
        </w:tc>
      </w:tr>
      <w:tr w14:paraId="52834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50FC2A7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25</w:t>
            </w:r>
          </w:p>
        </w:tc>
        <w:tc>
          <w:tcPr>
            <w:tcW w:w="3535" w:type="dxa"/>
            <w:noWrap w:val="0"/>
            <w:vAlign w:val="center"/>
          </w:tcPr>
          <w:p w14:paraId="22F55BD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莎车县全顺新型环保燃料有限公司</w:t>
            </w:r>
          </w:p>
        </w:tc>
        <w:tc>
          <w:tcPr>
            <w:tcW w:w="4371" w:type="dxa"/>
            <w:noWrap w:val="0"/>
            <w:vAlign w:val="center"/>
          </w:tcPr>
          <w:p w14:paraId="385160B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多孔砖和标准砖/3000万块</w:t>
            </w:r>
          </w:p>
        </w:tc>
        <w:tc>
          <w:tcPr>
            <w:tcW w:w="2677" w:type="dxa"/>
            <w:noWrap w:val="0"/>
            <w:vAlign w:val="center"/>
          </w:tcPr>
          <w:p w14:paraId="527A044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莎环评字</w:t>
            </w:r>
            <w:r>
              <w:rPr>
                <w:rFonts w:hint="eastAsia" w:ascii="Times New Roman" w:hAnsi="Times New Roman" w:cs="Times New Roman"/>
                <w:szCs w:val="21"/>
                <w:lang w:val="en-US" w:eastAsia="zh-CN"/>
              </w:rPr>
              <w:t>〔2020〕9号</w:t>
            </w:r>
          </w:p>
        </w:tc>
        <w:tc>
          <w:tcPr>
            <w:tcW w:w="2540" w:type="dxa"/>
            <w:noWrap w:val="0"/>
            <w:vAlign w:val="center"/>
          </w:tcPr>
          <w:p w14:paraId="6E8AD6C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2022年自主验收</w:t>
            </w:r>
          </w:p>
        </w:tc>
      </w:tr>
      <w:tr w14:paraId="1E4ED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7CD9C82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26</w:t>
            </w:r>
          </w:p>
        </w:tc>
        <w:tc>
          <w:tcPr>
            <w:tcW w:w="3535" w:type="dxa"/>
            <w:noWrap w:val="0"/>
            <w:vAlign w:val="center"/>
          </w:tcPr>
          <w:p w14:paraId="3BE5A12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新疆冀建建筑设备有限公司</w:t>
            </w:r>
          </w:p>
        </w:tc>
        <w:tc>
          <w:tcPr>
            <w:tcW w:w="4371" w:type="dxa"/>
            <w:noWrap w:val="0"/>
            <w:vAlign w:val="center"/>
          </w:tcPr>
          <w:p w14:paraId="3B8EC45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穿墙螺丝、步步紧、钢筋钢管接头</w:t>
            </w:r>
          </w:p>
        </w:tc>
        <w:tc>
          <w:tcPr>
            <w:tcW w:w="2677" w:type="dxa"/>
            <w:noWrap w:val="0"/>
            <w:vAlign w:val="center"/>
          </w:tcPr>
          <w:p w14:paraId="24CA813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不需要</w:t>
            </w:r>
          </w:p>
        </w:tc>
        <w:tc>
          <w:tcPr>
            <w:tcW w:w="2540" w:type="dxa"/>
            <w:noWrap w:val="0"/>
            <w:vAlign w:val="center"/>
          </w:tcPr>
          <w:p w14:paraId="7262A23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不需要</w:t>
            </w:r>
          </w:p>
        </w:tc>
      </w:tr>
      <w:tr w14:paraId="26CFE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2E60EDA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27</w:t>
            </w:r>
          </w:p>
        </w:tc>
        <w:tc>
          <w:tcPr>
            <w:tcW w:w="3535" w:type="dxa"/>
            <w:noWrap w:val="0"/>
            <w:vAlign w:val="center"/>
          </w:tcPr>
          <w:p w14:paraId="287F47F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新疆创明技精玻璃科技有限公司</w:t>
            </w:r>
          </w:p>
        </w:tc>
        <w:tc>
          <w:tcPr>
            <w:tcW w:w="4371" w:type="dxa"/>
            <w:noWrap w:val="0"/>
            <w:vAlign w:val="center"/>
          </w:tcPr>
          <w:p w14:paraId="63F0504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建筑用钢化玻璃、中空玻璃、防弹玻璃、防火玻璃/年生产15万平方</w:t>
            </w:r>
          </w:p>
        </w:tc>
        <w:tc>
          <w:tcPr>
            <w:tcW w:w="2677" w:type="dxa"/>
            <w:noWrap w:val="0"/>
            <w:vAlign w:val="center"/>
          </w:tcPr>
          <w:p w14:paraId="7972379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莎环评字</w:t>
            </w:r>
            <w:r>
              <w:rPr>
                <w:rFonts w:hint="eastAsia" w:ascii="Times New Roman" w:hAnsi="Times New Roman" w:cs="Times New Roman"/>
                <w:szCs w:val="21"/>
                <w:lang w:val="en-US" w:eastAsia="zh-CN"/>
              </w:rPr>
              <w:t>〔2018〕27号</w:t>
            </w:r>
          </w:p>
        </w:tc>
        <w:tc>
          <w:tcPr>
            <w:tcW w:w="2540" w:type="dxa"/>
            <w:noWrap w:val="0"/>
            <w:vAlign w:val="center"/>
          </w:tcPr>
          <w:p w14:paraId="075F01F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长期停产</w:t>
            </w:r>
          </w:p>
        </w:tc>
      </w:tr>
      <w:tr w14:paraId="08276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4374993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28</w:t>
            </w:r>
          </w:p>
        </w:tc>
        <w:tc>
          <w:tcPr>
            <w:tcW w:w="3535" w:type="dxa"/>
            <w:noWrap w:val="0"/>
            <w:vAlign w:val="center"/>
          </w:tcPr>
          <w:p w14:paraId="1F72D20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莎车县宏丰管业有限责任公司</w:t>
            </w:r>
          </w:p>
        </w:tc>
        <w:tc>
          <w:tcPr>
            <w:tcW w:w="4371" w:type="dxa"/>
            <w:noWrap w:val="0"/>
            <w:vAlign w:val="center"/>
          </w:tcPr>
          <w:p w14:paraId="2A0E48E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塑料管PVC管年产2200万米</w:t>
            </w:r>
          </w:p>
        </w:tc>
        <w:tc>
          <w:tcPr>
            <w:tcW w:w="2677" w:type="dxa"/>
            <w:noWrap w:val="0"/>
            <w:vAlign w:val="center"/>
          </w:tcPr>
          <w:p w14:paraId="07A05E2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喀地环评字</w:t>
            </w:r>
            <w:r>
              <w:rPr>
                <w:rFonts w:hint="eastAsia" w:ascii="Times New Roman" w:hAnsi="Times New Roman" w:cs="Times New Roman"/>
                <w:szCs w:val="21"/>
                <w:lang w:val="en-US" w:eastAsia="zh-CN"/>
              </w:rPr>
              <w:t>〔2017〕76号</w:t>
            </w:r>
          </w:p>
        </w:tc>
        <w:tc>
          <w:tcPr>
            <w:tcW w:w="2540" w:type="dxa"/>
            <w:noWrap w:val="0"/>
            <w:vAlign w:val="center"/>
          </w:tcPr>
          <w:p w14:paraId="0E8D1C0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2022.6.21自主验收</w:t>
            </w:r>
          </w:p>
        </w:tc>
      </w:tr>
      <w:tr w14:paraId="3288A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2C3411D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29</w:t>
            </w:r>
          </w:p>
        </w:tc>
        <w:tc>
          <w:tcPr>
            <w:tcW w:w="3535" w:type="dxa"/>
            <w:noWrap w:val="0"/>
            <w:vAlign w:val="center"/>
          </w:tcPr>
          <w:p w14:paraId="1B6DDC9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莎车县金邦建材有限公司</w:t>
            </w:r>
          </w:p>
        </w:tc>
        <w:tc>
          <w:tcPr>
            <w:tcW w:w="4371" w:type="dxa"/>
            <w:noWrap w:val="0"/>
            <w:vAlign w:val="center"/>
          </w:tcPr>
          <w:p w14:paraId="185E414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混凝土</w:t>
            </w:r>
            <w:r>
              <w:rPr>
                <w:rFonts w:hint="default" w:ascii="Times New Roman" w:hAnsi="Times New Roman" w:cs="Times New Roman" w:eastAsiaTheme="minorEastAsia"/>
                <w:szCs w:val="21"/>
                <w:lang w:val="en-US" w:eastAsia="zh-CN"/>
              </w:rPr>
              <w:t>添加剂年产2500吨</w:t>
            </w:r>
          </w:p>
        </w:tc>
        <w:tc>
          <w:tcPr>
            <w:tcW w:w="2677" w:type="dxa"/>
            <w:noWrap w:val="0"/>
            <w:vAlign w:val="center"/>
          </w:tcPr>
          <w:p w14:paraId="02471B7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关停</w:t>
            </w:r>
          </w:p>
        </w:tc>
        <w:tc>
          <w:tcPr>
            <w:tcW w:w="2540" w:type="dxa"/>
            <w:noWrap w:val="0"/>
            <w:vAlign w:val="center"/>
          </w:tcPr>
          <w:p w14:paraId="5F4FF33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关停</w:t>
            </w:r>
          </w:p>
        </w:tc>
      </w:tr>
      <w:tr w14:paraId="0A26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385100B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30</w:t>
            </w:r>
          </w:p>
        </w:tc>
        <w:tc>
          <w:tcPr>
            <w:tcW w:w="3535" w:type="dxa"/>
            <w:noWrap w:val="0"/>
            <w:vAlign w:val="center"/>
          </w:tcPr>
          <w:p w14:paraId="7877D68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莎车县城市投资建材经营有限责任公司</w:t>
            </w:r>
          </w:p>
        </w:tc>
        <w:tc>
          <w:tcPr>
            <w:tcW w:w="4371" w:type="dxa"/>
            <w:noWrap w:val="0"/>
            <w:vAlign w:val="center"/>
          </w:tcPr>
          <w:p w14:paraId="46D2BC6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混凝土</w:t>
            </w:r>
          </w:p>
        </w:tc>
        <w:tc>
          <w:tcPr>
            <w:tcW w:w="2677" w:type="dxa"/>
            <w:noWrap w:val="0"/>
            <w:vAlign w:val="center"/>
          </w:tcPr>
          <w:p w14:paraId="6039E71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莎环评字</w:t>
            </w:r>
            <w:r>
              <w:rPr>
                <w:rFonts w:hint="eastAsia" w:ascii="Times New Roman" w:hAnsi="Times New Roman" w:cs="Times New Roman"/>
                <w:szCs w:val="21"/>
                <w:lang w:val="en-US" w:eastAsia="zh-CN"/>
              </w:rPr>
              <w:t>〔2020〕148号</w:t>
            </w:r>
          </w:p>
        </w:tc>
        <w:tc>
          <w:tcPr>
            <w:tcW w:w="2540" w:type="dxa"/>
            <w:noWrap w:val="0"/>
            <w:vAlign w:val="center"/>
          </w:tcPr>
          <w:p w14:paraId="54015D3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未生产</w:t>
            </w:r>
          </w:p>
        </w:tc>
      </w:tr>
      <w:tr w14:paraId="5D750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791F89C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31</w:t>
            </w:r>
          </w:p>
        </w:tc>
        <w:tc>
          <w:tcPr>
            <w:tcW w:w="3535" w:type="dxa"/>
            <w:noWrap w:val="0"/>
            <w:vAlign w:val="center"/>
          </w:tcPr>
          <w:p w14:paraId="5081463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莎车县健博新型建材有限公司</w:t>
            </w:r>
          </w:p>
        </w:tc>
        <w:tc>
          <w:tcPr>
            <w:tcW w:w="4371" w:type="dxa"/>
            <w:noWrap w:val="0"/>
            <w:vAlign w:val="center"/>
          </w:tcPr>
          <w:p w14:paraId="7C0E4EB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粉煤灰</w:t>
            </w:r>
          </w:p>
        </w:tc>
        <w:tc>
          <w:tcPr>
            <w:tcW w:w="2677" w:type="dxa"/>
            <w:noWrap w:val="0"/>
            <w:vAlign w:val="center"/>
          </w:tcPr>
          <w:p w14:paraId="6461FBE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莎环评字</w:t>
            </w:r>
            <w:r>
              <w:rPr>
                <w:rFonts w:hint="eastAsia" w:ascii="Times New Roman" w:hAnsi="Times New Roman" w:cs="Times New Roman"/>
                <w:szCs w:val="21"/>
                <w:lang w:val="en-US" w:eastAsia="zh-CN"/>
              </w:rPr>
              <w:t>〔2020〕137号</w:t>
            </w:r>
          </w:p>
        </w:tc>
        <w:tc>
          <w:tcPr>
            <w:tcW w:w="2540" w:type="dxa"/>
            <w:noWrap w:val="0"/>
            <w:vAlign w:val="center"/>
          </w:tcPr>
          <w:p w14:paraId="04D6D09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2022.5.12自主验收</w:t>
            </w:r>
          </w:p>
        </w:tc>
      </w:tr>
      <w:tr w14:paraId="734DF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26B7C77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32</w:t>
            </w:r>
          </w:p>
        </w:tc>
        <w:tc>
          <w:tcPr>
            <w:tcW w:w="3535" w:type="dxa"/>
            <w:noWrap w:val="0"/>
            <w:vAlign w:val="center"/>
          </w:tcPr>
          <w:p w14:paraId="6FE3DE1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莎车县艾则孜商砼有限公司</w:t>
            </w:r>
          </w:p>
        </w:tc>
        <w:tc>
          <w:tcPr>
            <w:tcW w:w="4371" w:type="dxa"/>
            <w:noWrap w:val="0"/>
            <w:vAlign w:val="center"/>
          </w:tcPr>
          <w:p w14:paraId="3978AB9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混凝土</w:t>
            </w:r>
            <w:r>
              <w:rPr>
                <w:rFonts w:hint="default" w:ascii="Times New Roman" w:hAnsi="Times New Roman" w:cs="Times New Roman" w:eastAsiaTheme="minorEastAsia"/>
                <w:szCs w:val="21"/>
                <w:lang w:val="en-US" w:eastAsia="zh-CN"/>
              </w:rPr>
              <w:t>/10万立方</w:t>
            </w:r>
          </w:p>
        </w:tc>
        <w:tc>
          <w:tcPr>
            <w:tcW w:w="2677" w:type="dxa"/>
            <w:noWrap w:val="0"/>
            <w:vAlign w:val="center"/>
          </w:tcPr>
          <w:p w14:paraId="180AEA2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莎环评字</w:t>
            </w:r>
            <w:r>
              <w:rPr>
                <w:rFonts w:hint="eastAsia" w:ascii="Times New Roman" w:hAnsi="Times New Roman" w:cs="Times New Roman"/>
                <w:szCs w:val="21"/>
                <w:lang w:val="en-US" w:eastAsia="zh-CN"/>
              </w:rPr>
              <w:t>〔2020〕11号</w:t>
            </w:r>
          </w:p>
        </w:tc>
        <w:tc>
          <w:tcPr>
            <w:tcW w:w="2540" w:type="dxa"/>
            <w:noWrap w:val="0"/>
            <w:vAlign w:val="center"/>
          </w:tcPr>
          <w:p w14:paraId="78C6C6B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长期停产</w:t>
            </w:r>
          </w:p>
        </w:tc>
      </w:tr>
      <w:tr w14:paraId="04776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5B70997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33</w:t>
            </w:r>
          </w:p>
        </w:tc>
        <w:tc>
          <w:tcPr>
            <w:tcW w:w="3535" w:type="dxa"/>
            <w:noWrap w:val="0"/>
            <w:vAlign w:val="center"/>
          </w:tcPr>
          <w:p w14:paraId="195E56E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新疆陆通建筑安装工程有限公司莎车分公司</w:t>
            </w:r>
          </w:p>
        </w:tc>
        <w:tc>
          <w:tcPr>
            <w:tcW w:w="4371" w:type="dxa"/>
            <w:noWrap w:val="0"/>
            <w:vAlign w:val="center"/>
          </w:tcPr>
          <w:p w14:paraId="7CDEABE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商品混凝土</w:t>
            </w:r>
          </w:p>
        </w:tc>
        <w:tc>
          <w:tcPr>
            <w:tcW w:w="2677" w:type="dxa"/>
            <w:noWrap w:val="0"/>
            <w:vAlign w:val="center"/>
          </w:tcPr>
          <w:p w14:paraId="163815B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莎环函字</w:t>
            </w:r>
            <w:r>
              <w:rPr>
                <w:rFonts w:hint="eastAsia" w:ascii="Times New Roman" w:hAnsi="Times New Roman" w:cs="Times New Roman"/>
                <w:szCs w:val="21"/>
                <w:lang w:val="en-US" w:eastAsia="zh-CN"/>
              </w:rPr>
              <w:t>〔2012〕36号</w:t>
            </w:r>
          </w:p>
        </w:tc>
        <w:tc>
          <w:tcPr>
            <w:tcW w:w="2540" w:type="dxa"/>
            <w:noWrap w:val="0"/>
            <w:vAlign w:val="center"/>
          </w:tcPr>
          <w:p w14:paraId="26FDD4E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莎环验字</w:t>
            </w:r>
            <w:r>
              <w:rPr>
                <w:rFonts w:hint="eastAsia" w:ascii="Times New Roman" w:hAnsi="Times New Roman" w:cs="Times New Roman"/>
                <w:szCs w:val="21"/>
                <w:lang w:val="en-US" w:eastAsia="zh-CN"/>
              </w:rPr>
              <w:t>〔2013〕15号</w:t>
            </w:r>
          </w:p>
        </w:tc>
      </w:tr>
      <w:tr w14:paraId="55018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49E7862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34</w:t>
            </w:r>
          </w:p>
        </w:tc>
        <w:tc>
          <w:tcPr>
            <w:tcW w:w="3535" w:type="dxa"/>
            <w:noWrap w:val="0"/>
            <w:vAlign w:val="center"/>
          </w:tcPr>
          <w:p w14:paraId="5671A2C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莎车县建功商品</w:t>
            </w:r>
            <w:r>
              <w:rPr>
                <w:rFonts w:hint="eastAsia" w:ascii="Times New Roman" w:hAnsi="Times New Roman" w:cs="Times New Roman"/>
                <w:szCs w:val="21"/>
                <w:lang w:val="en-US" w:eastAsia="zh-CN"/>
              </w:rPr>
              <w:t>混凝土</w:t>
            </w:r>
            <w:r>
              <w:rPr>
                <w:rFonts w:hint="default" w:ascii="Times New Roman" w:hAnsi="Times New Roman" w:cs="Times New Roman" w:eastAsiaTheme="minorEastAsia"/>
                <w:szCs w:val="21"/>
                <w:lang w:val="en-US" w:eastAsia="zh-CN"/>
              </w:rPr>
              <w:t>拌合有限公司</w:t>
            </w:r>
          </w:p>
        </w:tc>
        <w:tc>
          <w:tcPr>
            <w:tcW w:w="4371" w:type="dxa"/>
            <w:noWrap w:val="0"/>
            <w:vAlign w:val="center"/>
          </w:tcPr>
          <w:p w14:paraId="554D65F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混凝土</w:t>
            </w:r>
            <w:r>
              <w:rPr>
                <w:rFonts w:hint="default" w:ascii="Times New Roman" w:hAnsi="Times New Roman" w:cs="Times New Roman" w:eastAsiaTheme="minorEastAsia"/>
                <w:szCs w:val="21"/>
                <w:lang w:val="en-US" w:eastAsia="zh-CN"/>
              </w:rPr>
              <w:t>8万立方</w:t>
            </w:r>
          </w:p>
        </w:tc>
        <w:tc>
          <w:tcPr>
            <w:tcW w:w="2677" w:type="dxa"/>
            <w:noWrap w:val="0"/>
            <w:vAlign w:val="center"/>
          </w:tcPr>
          <w:p w14:paraId="1CEC1CC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莎环函字</w:t>
            </w:r>
            <w:r>
              <w:rPr>
                <w:rFonts w:hint="eastAsia" w:ascii="Times New Roman" w:hAnsi="Times New Roman" w:cs="Times New Roman"/>
                <w:szCs w:val="21"/>
                <w:lang w:val="en-US" w:eastAsia="zh-CN"/>
              </w:rPr>
              <w:t>〔2013〕77号</w:t>
            </w:r>
          </w:p>
        </w:tc>
        <w:tc>
          <w:tcPr>
            <w:tcW w:w="2540" w:type="dxa"/>
            <w:noWrap w:val="0"/>
            <w:vAlign w:val="center"/>
          </w:tcPr>
          <w:p w14:paraId="75B238B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2022年自主验收</w:t>
            </w:r>
          </w:p>
        </w:tc>
      </w:tr>
      <w:tr w14:paraId="1761F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7F89AC1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35</w:t>
            </w:r>
          </w:p>
        </w:tc>
        <w:tc>
          <w:tcPr>
            <w:tcW w:w="3535" w:type="dxa"/>
            <w:noWrap w:val="0"/>
            <w:vAlign w:val="center"/>
          </w:tcPr>
          <w:p w14:paraId="41460DC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莎车县艾利热孜商贸有限公司</w:t>
            </w:r>
          </w:p>
        </w:tc>
        <w:tc>
          <w:tcPr>
            <w:tcW w:w="4371" w:type="dxa"/>
            <w:noWrap w:val="0"/>
            <w:vAlign w:val="center"/>
          </w:tcPr>
          <w:p w14:paraId="4C2B7D8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建材</w:t>
            </w:r>
          </w:p>
        </w:tc>
        <w:tc>
          <w:tcPr>
            <w:tcW w:w="2677" w:type="dxa"/>
            <w:noWrap w:val="0"/>
            <w:vAlign w:val="center"/>
          </w:tcPr>
          <w:p w14:paraId="3CC8870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莎环评字</w:t>
            </w:r>
            <w:r>
              <w:rPr>
                <w:rFonts w:hint="eastAsia" w:ascii="Times New Roman" w:hAnsi="Times New Roman" w:cs="Times New Roman"/>
                <w:szCs w:val="21"/>
                <w:lang w:val="en-US" w:eastAsia="zh-CN"/>
              </w:rPr>
              <w:t>〔2020〕39号</w:t>
            </w:r>
          </w:p>
        </w:tc>
        <w:tc>
          <w:tcPr>
            <w:tcW w:w="2540" w:type="dxa"/>
            <w:noWrap w:val="0"/>
            <w:vAlign w:val="center"/>
          </w:tcPr>
          <w:p w14:paraId="0123C98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2022.4自主验收</w:t>
            </w:r>
          </w:p>
        </w:tc>
      </w:tr>
      <w:tr w14:paraId="2938B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atLeast"/>
          <w:jc w:val="center"/>
        </w:trPr>
        <w:tc>
          <w:tcPr>
            <w:tcW w:w="636" w:type="dxa"/>
            <w:noWrap w:val="0"/>
            <w:vAlign w:val="center"/>
          </w:tcPr>
          <w:p w14:paraId="4B217C8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36</w:t>
            </w:r>
          </w:p>
        </w:tc>
        <w:tc>
          <w:tcPr>
            <w:tcW w:w="3535" w:type="dxa"/>
            <w:noWrap w:val="0"/>
            <w:vAlign w:val="center"/>
          </w:tcPr>
          <w:p w14:paraId="1347396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新疆五胜新启再生资源有限公司</w:t>
            </w:r>
          </w:p>
        </w:tc>
        <w:tc>
          <w:tcPr>
            <w:tcW w:w="4371" w:type="dxa"/>
            <w:noWrap w:val="0"/>
            <w:vAlign w:val="center"/>
          </w:tcPr>
          <w:p w14:paraId="1CCC2BB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环保砖 年产3000万块</w:t>
            </w:r>
          </w:p>
        </w:tc>
        <w:tc>
          <w:tcPr>
            <w:tcW w:w="2677" w:type="dxa"/>
            <w:noWrap w:val="0"/>
            <w:vAlign w:val="center"/>
          </w:tcPr>
          <w:p w14:paraId="38135BA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喀地环评字〔2024〕28号</w:t>
            </w:r>
          </w:p>
        </w:tc>
        <w:tc>
          <w:tcPr>
            <w:tcW w:w="2540" w:type="dxa"/>
            <w:noWrap w:val="0"/>
            <w:vAlign w:val="center"/>
          </w:tcPr>
          <w:p w14:paraId="3A05CBA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未运行</w:t>
            </w:r>
          </w:p>
        </w:tc>
      </w:tr>
      <w:tr w14:paraId="45060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57648A9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37</w:t>
            </w:r>
          </w:p>
        </w:tc>
        <w:tc>
          <w:tcPr>
            <w:tcW w:w="3535" w:type="dxa"/>
            <w:noWrap w:val="0"/>
            <w:vAlign w:val="center"/>
          </w:tcPr>
          <w:p w14:paraId="4493840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新疆诺君化工有限公司</w:t>
            </w:r>
          </w:p>
        </w:tc>
        <w:tc>
          <w:tcPr>
            <w:tcW w:w="4371" w:type="dxa"/>
            <w:noWrap w:val="0"/>
            <w:vAlign w:val="center"/>
          </w:tcPr>
          <w:p w14:paraId="087F5D3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环保砖 年产2000万块</w:t>
            </w:r>
          </w:p>
        </w:tc>
        <w:tc>
          <w:tcPr>
            <w:tcW w:w="2677" w:type="dxa"/>
            <w:noWrap w:val="0"/>
            <w:vAlign w:val="center"/>
          </w:tcPr>
          <w:p w14:paraId="1C419EB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莎环函字</w:t>
            </w:r>
            <w:r>
              <w:rPr>
                <w:rFonts w:hint="eastAsia" w:ascii="Times New Roman" w:hAnsi="Times New Roman" w:cs="Times New Roman"/>
                <w:szCs w:val="21"/>
                <w:lang w:val="en-US" w:eastAsia="zh-CN"/>
              </w:rPr>
              <w:t>〔2015〕69号</w:t>
            </w:r>
          </w:p>
        </w:tc>
        <w:tc>
          <w:tcPr>
            <w:tcW w:w="2540" w:type="dxa"/>
            <w:noWrap w:val="0"/>
            <w:vAlign w:val="center"/>
          </w:tcPr>
          <w:p w14:paraId="76E7519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2022.4</w:t>
            </w:r>
            <w:r>
              <w:rPr>
                <w:rFonts w:hint="default" w:ascii="Times New Roman" w:hAnsi="Times New Roman" w:cs="Times New Roman" w:eastAsiaTheme="minorEastAsia"/>
                <w:szCs w:val="21"/>
                <w:lang w:val="en-US" w:eastAsia="zh-CN"/>
              </w:rPr>
              <w:t>自主验收</w:t>
            </w:r>
          </w:p>
        </w:tc>
      </w:tr>
      <w:tr w14:paraId="79BA2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5DCAC6A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38</w:t>
            </w:r>
          </w:p>
        </w:tc>
        <w:tc>
          <w:tcPr>
            <w:tcW w:w="3535" w:type="dxa"/>
            <w:noWrap w:val="0"/>
            <w:vAlign w:val="center"/>
          </w:tcPr>
          <w:p w14:paraId="6E5FA33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新疆梁莎新型环保科技有限公司</w:t>
            </w:r>
          </w:p>
        </w:tc>
        <w:tc>
          <w:tcPr>
            <w:tcW w:w="4371" w:type="dxa"/>
            <w:noWrap w:val="0"/>
            <w:vAlign w:val="center"/>
          </w:tcPr>
          <w:p w14:paraId="74E55FA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加气块/35万立方</w:t>
            </w:r>
          </w:p>
        </w:tc>
        <w:tc>
          <w:tcPr>
            <w:tcW w:w="2677" w:type="dxa"/>
            <w:noWrap w:val="0"/>
            <w:vAlign w:val="center"/>
          </w:tcPr>
          <w:p w14:paraId="3DFDAD7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喀地环评字〔2022〕163号</w:t>
            </w:r>
          </w:p>
        </w:tc>
        <w:tc>
          <w:tcPr>
            <w:tcW w:w="2540" w:type="dxa"/>
            <w:noWrap w:val="0"/>
            <w:vAlign w:val="center"/>
          </w:tcPr>
          <w:p w14:paraId="200BEF9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 xml:space="preserve">已验收 </w:t>
            </w:r>
          </w:p>
        </w:tc>
      </w:tr>
      <w:tr w14:paraId="28665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75F1962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39</w:t>
            </w:r>
          </w:p>
        </w:tc>
        <w:tc>
          <w:tcPr>
            <w:tcW w:w="3535" w:type="dxa"/>
            <w:noWrap w:val="0"/>
            <w:vAlign w:val="center"/>
          </w:tcPr>
          <w:p w14:paraId="2466505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莎车县久盛再生资源利用有限公司</w:t>
            </w:r>
          </w:p>
        </w:tc>
        <w:tc>
          <w:tcPr>
            <w:tcW w:w="4371" w:type="dxa"/>
            <w:noWrap w:val="0"/>
            <w:vAlign w:val="center"/>
          </w:tcPr>
          <w:p w14:paraId="4F07B36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环保砖、加气块</w:t>
            </w:r>
          </w:p>
        </w:tc>
        <w:tc>
          <w:tcPr>
            <w:tcW w:w="2677" w:type="dxa"/>
            <w:noWrap w:val="0"/>
            <w:vAlign w:val="center"/>
          </w:tcPr>
          <w:p w14:paraId="6E08983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喀地环评字〔2023〕119</w:t>
            </w:r>
          </w:p>
        </w:tc>
        <w:tc>
          <w:tcPr>
            <w:tcW w:w="2540" w:type="dxa"/>
            <w:noWrap w:val="0"/>
            <w:vAlign w:val="center"/>
          </w:tcPr>
          <w:p w14:paraId="7E602D1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2025/4/1</w:t>
            </w:r>
          </w:p>
        </w:tc>
      </w:tr>
      <w:tr w14:paraId="75F62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0F866F7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40</w:t>
            </w:r>
          </w:p>
        </w:tc>
        <w:tc>
          <w:tcPr>
            <w:tcW w:w="3535" w:type="dxa"/>
            <w:noWrap w:val="0"/>
            <w:vAlign w:val="center"/>
          </w:tcPr>
          <w:p w14:paraId="2A8C075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新疆万宇环保科技有限公司</w:t>
            </w:r>
          </w:p>
        </w:tc>
        <w:tc>
          <w:tcPr>
            <w:tcW w:w="4371" w:type="dxa"/>
            <w:noWrap w:val="0"/>
            <w:vAlign w:val="center"/>
          </w:tcPr>
          <w:p w14:paraId="3BF1313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环保砖</w:t>
            </w:r>
          </w:p>
        </w:tc>
        <w:tc>
          <w:tcPr>
            <w:tcW w:w="2677" w:type="dxa"/>
            <w:noWrap w:val="0"/>
            <w:vAlign w:val="center"/>
          </w:tcPr>
          <w:p w14:paraId="3AC1060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已批复</w:t>
            </w:r>
          </w:p>
        </w:tc>
        <w:tc>
          <w:tcPr>
            <w:tcW w:w="2540" w:type="dxa"/>
            <w:noWrap w:val="0"/>
            <w:vAlign w:val="center"/>
          </w:tcPr>
          <w:p w14:paraId="732D5CB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在建</w:t>
            </w:r>
          </w:p>
        </w:tc>
      </w:tr>
      <w:tr w14:paraId="57143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2B19506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41</w:t>
            </w:r>
          </w:p>
        </w:tc>
        <w:tc>
          <w:tcPr>
            <w:tcW w:w="3535" w:type="dxa"/>
            <w:noWrap w:val="0"/>
            <w:vAlign w:val="center"/>
          </w:tcPr>
          <w:p w14:paraId="336F57E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莎车县长固新型建材有限公司</w:t>
            </w:r>
          </w:p>
        </w:tc>
        <w:tc>
          <w:tcPr>
            <w:tcW w:w="4371" w:type="dxa"/>
            <w:noWrap w:val="0"/>
            <w:vAlign w:val="center"/>
          </w:tcPr>
          <w:p w14:paraId="6DE8137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加气块/15万立方</w:t>
            </w:r>
          </w:p>
        </w:tc>
        <w:tc>
          <w:tcPr>
            <w:tcW w:w="2677" w:type="dxa"/>
            <w:noWrap w:val="0"/>
            <w:vAlign w:val="center"/>
          </w:tcPr>
          <w:p w14:paraId="41BCE88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莎环监字</w:t>
            </w:r>
            <w:r>
              <w:rPr>
                <w:rFonts w:hint="eastAsia" w:ascii="Times New Roman" w:hAnsi="Times New Roman" w:cs="Times New Roman"/>
                <w:szCs w:val="21"/>
                <w:lang w:val="en-US" w:eastAsia="zh-CN"/>
              </w:rPr>
              <w:t>〔2012〕382号</w:t>
            </w:r>
          </w:p>
        </w:tc>
        <w:tc>
          <w:tcPr>
            <w:tcW w:w="2540" w:type="dxa"/>
            <w:noWrap w:val="0"/>
            <w:vAlign w:val="center"/>
          </w:tcPr>
          <w:p w14:paraId="56BE39E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莎环验字</w:t>
            </w:r>
            <w:r>
              <w:rPr>
                <w:rFonts w:hint="eastAsia" w:ascii="Times New Roman" w:hAnsi="Times New Roman" w:cs="Times New Roman"/>
                <w:szCs w:val="21"/>
                <w:lang w:val="en-US" w:eastAsia="zh-CN"/>
              </w:rPr>
              <w:t>〔2014〕142号</w:t>
            </w:r>
          </w:p>
        </w:tc>
      </w:tr>
      <w:tr w14:paraId="084A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62B3A7A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42</w:t>
            </w:r>
          </w:p>
        </w:tc>
        <w:tc>
          <w:tcPr>
            <w:tcW w:w="3535" w:type="dxa"/>
            <w:noWrap w:val="0"/>
            <w:vAlign w:val="center"/>
          </w:tcPr>
          <w:p w14:paraId="4BCD409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莎车县恒基商砼有限公司</w:t>
            </w:r>
          </w:p>
        </w:tc>
        <w:tc>
          <w:tcPr>
            <w:tcW w:w="4371" w:type="dxa"/>
            <w:noWrap w:val="0"/>
            <w:vAlign w:val="center"/>
          </w:tcPr>
          <w:p w14:paraId="0BFABEF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商品</w:t>
            </w:r>
            <w:r>
              <w:rPr>
                <w:rFonts w:hint="eastAsia" w:ascii="Times New Roman" w:hAnsi="Times New Roman" w:cs="Times New Roman"/>
                <w:szCs w:val="21"/>
                <w:lang w:val="en-US" w:eastAsia="zh-CN"/>
              </w:rPr>
              <w:t>混凝土</w:t>
            </w:r>
            <w:r>
              <w:rPr>
                <w:rFonts w:hint="default" w:ascii="Times New Roman" w:hAnsi="Times New Roman" w:cs="Times New Roman" w:eastAsiaTheme="minorEastAsia"/>
                <w:szCs w:val="21"/>
                <w:lang w:val="en-US" w:eastAsia="zh-CN"/>
              </w:rPr>
              <w:t>/年3万立方</w:t>
            </w:r>
          </w:p>
        </w:tc>
        <w:tc>
          <w:tcPr>
            <w:tcW w:w="2677" w:type="dxa"/>
            <w:noWrap w:val="0"/>
            <w:vAlign w:val="center"/>
          </w:tcPr>
          <w:p w14:paraId="031597E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莎环监字</w:t>
            </w:r>
            <w:r>
              <w:rPr>
                <w:rFonts w:hint="eastAsia" w:ascii="Times New Roman" w:hAnsi="Times New Roman" w:cs="Times New Roman"/>
                <w:szCs w:val="21"/>
                <w:lang w:val="en-US" w:eastAsia="zh-CN"/>
              </w:rPr>
              <w:t>〔2012〕262号</w:t>
            </w:r>
          </w:p>
        </w:tc>
        <w:tc>
          <w:tcPr>
            <w:tcW w:w="2540" w:type="dxa"/>
            <w:noWrap w:val="0"/>
            <w:vAlign w:val="center"/>
          </w:tcPr>
          <w:p w14:paraId="6DAF34F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莎环验字</w:t>
            </w:r>
            <w:r>
              <w:rPr>
                <w:rFonts w:hint="eastAsia" w:ascii="Times New Roman" w:hAnsi="Times New Roman" w:cs="Times New Roman"/>
                <w:szCs w:val="21"/>
                <w:lang w:val="en-US" w:eastAsia="zh-CN"/>
              </w:rPr>
              <w:t>〔2013〕13号</w:t>
            </w:r>
          </w:p>
        </w:tc>
      </w:tr>
      <w:tr w14:paraId="78D35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1B2AA49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43</w:t>
            </w:r>
          </w:p>
        </w:tc>
        <w:tc>
          <w:tcPr>
            <w:tcW w:w="3535" w:type="dxa"/>
            <w:noWrap w:val="0"/>
            <w:vAlign w:val="center"/>
          </w:tcPr>
          <w:p w14:paraId="027A37A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莎车县九天环保材料有限公司</w:t>
            </w:r>
          </w:p>
        </w:tc>
        <w:tc>
          <w:tcPr>
            <w:tcW w:w="4371" w:type="dxa"/>
            <w:noWrap w:val="0"/>
            <w:vAlign w:val="center"/>
          </w:tcPr>
          <w:p w14:paraId="002AA80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加气块/年产10万立方</w:t>
            </w:r>
          </w:p>
        </w:tc>
        <w:tc>
          <w:tcPr>
            <w:tcW w:w="2677" w:type="dxa"/>
            <w:noWrap w:val="0"/>
            <w:vAlign w:val="center"/>
          </w:tcPr>
          <w:p w14:paraId="7189801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莎环函字</w:t>
            </w:r>
            <w:r>
              <w:rPr>
                <w:rFonts w:hint="eastAsia" w:ascii="Times New Roman" w:hAnsi="Times New Roman" w:cs="Times New Roman"/>
                <w:szCs w:val="21"/>
                <w:lang w:val="en-US" w:eastAsia="zh-CN"/>
              </w:rPr>
              <w:t>〔2013〕145号</w:t>
            </w:r>
          </w:p>
        </w:tc>
        <w:tc>
          <w:tcPr>
            <w:tcW w:w="2540" w:type="dxa"/>
            <w:noWrap w:val="0"/>
            <w:vAlign w:val="center"/>
          </w:tcPr>
          <w:p w14:paraId="23F3F80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长期停产</w:t>
            </w:r>
          </w:p>
        </w:tc>
      </w:tr>
      <w:tr w14:paraId="22B6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0FFEB07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44</w:t>
            </w:r>
          </w:p>
        </w:tc>
        <w:tc>
          <w:tcPr>
            <w:tcW w:w="3535" w:type="dxa"/>
            <w:noWrap w:val="0"/>
            <w:vAlign w:val="center"/>
          </w:tcPr>
          <w:p w14:paraId="11343C1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莎车县军辉机械有限公司</w:t>
            </w:r>
          </w:p>
        </w:tc>
        <w:tc>
          <w:tcPr>
            <w:tcW w:w="4371" w:type="dxa"/>
            <w:noWrap w:val="0"/>
            <w:vAlign w:val="center"/>
          </w:tcPr>
          <w:p w14:paraId="5E4EDF2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加工耐磨铸金/年产3000吨</w:t>
            </w:r>
          </w:p>
        </w:tc>
        <w:tc>
          <w:tcPr>
            <w:tcW w:w="2677" w:type="dxa"/>
            <w:noWrap w:val="0"/>
            <w:vAlign w:val="center"/>
          </w:tcPr>
          <w:p w14:paraId="1F1A6C3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莎环监字</w:t>
            </w:r>
            <w:r>
              <w:rPr>
                <w:rFonts w:hint="eastAsia" w:ascii="Times New Roman" w:hAnsi="Times New Roman" w:cs="Times New Roman"/>
                <w:szCs w:val="21"/>
                <w:lang w:val="en-US" w:eastAsia="zh-CN"/>
              </w:rPr>
              <w:t>〔2012〕306号</w:t>
            </w:r>
          </w:p>
        </w:tc>
        <w:tc>
          <w:tcPr>
            <w:tcW w:w="2540" w:type="dxa"/>
            <w:noWrap w:val="0"/>
            <w:vAlign w:val="center"/>
          </w:tcPr>
          <w:p w14:paraId="52EC4A5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2021.2自主验收</w:t>
            </w:r>
          </w:p>
        </w:tc>
      </w:tr>
      <w:tr w14:paraId="1BFE2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73D30C0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45</w:t>
            </w:r>
          </w:p>
        </w:tc>
        <w:tc>
          <w:tcPr>
            <w:tcW w:w="3535" w:type="dxa"/>
            <w:noWrap w:val="0"/>
            <w:vAlign w:val="center"/>
          </w:tcPr>
          <w:p w14:paraId="56A7C7A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莎车县翊润农业科技开发有限公司</w:t>
            </w:r>
          </w:p>
        </w:tc>
        <w:tc>
          <w:tcPr>
            <w:tcW w:w="4371" w:type="dxa"/>
            <w:noWrap w:val="0"/>
            <w:vAlign w:val="center"/>
          </w:tcPr>
          <w:p w14:paraId="1EC4241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育苗基质/年产25000立方</w:t>
            </w:r>
          </w:p>
        </w:tc>
        <w:tc>
          <w:tcPr>
            <w:tcW w:w="2677" w:type="dxa"/>
            <w:noWrap w:val="0"/>
            <w:vAlign w:val="center"/>
          </w:tcPr>
          <w:p w14:paraId="69D1103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莎环函字</w:t>
            </w:r>
            <w:r>
              <w:rPr>
                <w:rFonts w:hint="eastAsia" w:ascii="Times New Roman" w:hAnsi="Times New Roman" w:cs="Times New Roman"/>
                <w:szCs w:val="21"/>
                <w:lang w:val="en-US" w:eastAsia="zh-CN"/>
              </w:rPr>
              <w:t>〔2013〕97号</w:t>
            </w:r>
          </w:p>
        </w:tc>
        <w:tc>
          <w:tcPr>
            <w:tcW w:w="2540" w:type="dxa"/>
            <w:noWrap w:val="0"/>
            <w:vAlign w:val="center"/>
          </w:tcPr>
          <w:p w14:paraId="0767D9F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莎环验字</w:t>
            </w:r>
            <w:r>
              <w:rPr>
                <w:rFonts w:hint="eastAsia" w:ascii="Times New Roman" w:hAnsi="Times New Roman" w:cs="Times New Roman"/>
                <w:szCs w:val="21"/>
                <w:lang w:val="en-US" w:eastAsia="zh-CN"/>
              </w:rPr>
              <w:t>〔2013〕19号</w:t>
            </w:r>
          </w:p>
        </w:tc>
      </w:tr>
      <w:tr w14:paraId="0D69C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373B1B7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46</w:t>
            </w:r>
          </w:p>
        </w:tc>
        <w:tc>
          <w:tcPr>
            <w:tcW w:w="3535" w:type="dxa"/>
            <w:noWrap w:val="0"/>
            <w:vAlign w:val="center"/>
          </w:tcPr>
          <w:p w14:paraId="4C257EF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莎车县鲁兴新型环保建材有限责任公司</w:t>
            </w:r>
          </w:p>
        </w:tc>
        <w:tc>
          <w:tcPr>
            <w:tcW w:w="4371" w:type="dxa"/>
            <w:noWrap w:val="0"/>
            <w:vAlign w:val="center"/>
          </w:tcPr>
          <w:p w14:paraId="2CE11EF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护栏、护网/年产200万平方米</w:t>
            </w:r>
          </w:p>
        </w:tc>
        <w:tc>
          <w:tcPr>
            <w:tcW w:w="2677" w:type="dxa"/>
            <w:noWrap w:val="0"/>
            <w:vAlign w:val="center"/>
          </w:tcPr>
          <w:p w14:paraId="1DB2267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莎环评字</w:t>
            </w:r>
            <w:r>
              <w:rPr>
                <w:rFonts w:hint="eastAsia" w:ascii="Times New Roman" w:hAnsi="Times New Roman" w:cs="Times New Roman"/>
                <w:szCs w:val="21"/>
                <w:lang w:val="en-US" w:eastAsia="zh-CN"/>
              </w:rPr>
              <w:t>〔2014〕143号</w:t>
            </w:r>
          </w:p>
        </w:tc>
        <w:tc>
          <w:tcPr>
            <w:tcW w:w="2540" w:type="dxa"/>
            <w:noWrap w:val="0"/>
            <w:vAlign w:val="center"/>
          </w:tcPr>
          <w:p w14:paraId="350BBB8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莎环验字</w:t>
            </w:r>
            <w:r>
              <w:rPr>
                <w:rFonts w:hint="eastAsia" w:ascii="Times New Roman" w:hAnsi="Times New Roman" w:cs="Times New Roman"/>
                <w:szCs w:val="21"/>
                <w:lang w:val="en-US" w:eastAsia="zh-CN"/>
              </w:rPr>
              <w:t>〔2013〕5号</w:t>
            </w:r>
          </w:p>
        </w:tc>
      </w:tr>
      <w:tr w14:paraId="37A6A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1EFA04E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47</w:t>
            </w:r>
          </w:p>
        </w:tc>
        <w:tc>
          <w:tcPr>
            <w:tcW w:w="3535" w:type="dxa"/>
            <w:noWrap w:val="0"/>
            <w:vAlign w:val="center"/>
          </w:tcPr>
          <w:p w14:paraId="0CAF42D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莎车县昆仑化工有限公司</w:t>
            </w:r>
          </w:p>
        </w:tc>
        <w:tc>
          <w:tcPr>
            <w:tcW w:w="4371" w:type="dxa"/>
            <w:noWrap w:val="0"/>
            <w:vAlign w:val="center"/>
          </w:tcPr>
          <w:p w14:paraId="0936D85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高分子/年设计生产500万平方</w:t>
            </w:r>
          </w:p>
        </w:tc>
        <w:tc>
          <w:tcPr>
            <w:tcW w:w="2677" w:type="dxa"/>
            <w:noWrap w:val="0"/>
            <w:vAlign w:val="center"/>
          </w:tcPr>
          <w:p w14:paraId="0F78968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停建</w:t>
            </w:r>
          </w:p>
        </w:tc>
        <w:tc>
          <w:tcPr>
            <w:tcW w:w="2540" w:type="dxa"/>
            <w:noWrap w:val="0"/>
            <w:vAlign w:val="center"/>
          </w:tcPr>
          <w:p w14:paraId="2881608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停建</w:t>
            </w:r>
          </w:p>
        </w:tc>
      </w:tr>
      <w:tr w14:paraId="7E75C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631F95C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48</w:t>
            </w:r>
          </w:p>
        </w:tc>
        <w:tc>
          <w:tcPr>
            <w:tcW w:w="3535" w:type="dxa"/>
            <w:noWrap w:val="0"/>
            <w:vAlign w:val="center"/>
          </w:tcPr>
          <w:p w14:paraId="2354EE8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莎车县富源甘草制品有限公司</w:t>
            </w:r>
          </w:p>
        </w:tc>
        <w:tc>
          <w:tcPr>
            <w:tcW w:w="4371" w:type="dxa"/>
            <w:noWrap w:val="0"/>
            <w:vAlign w:val="center"/>
          </w:tcPr>
          <w:p w14:paraId="513092C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甘草酸（500吨）甘草膏（300吨）甘草霜（200吨）甘草粒（150吨）</w:t>
            </w:r>
          </w:p>
        </w:tc>
        <w:tc>
          <w:tcPr>
            <w:tcW w:w="2677" w:type="dxa"/>
            <w:noWrap w:val="0"/>
            <w:vAlign w:val="center"/>
          </w:tcPr>
          <w:p w14:paraId="109E5B6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莎环评字</w:t>
            </w:r>
            <w:r>
              <w:rPr>
                <w:rFonts w:hint="eastAsia" w:ascii="Times New Roman" w:hAnsi="Times New Roman" w:cs="Times New Roman"/>
                <w:szCs w:val="21"/>
                <w:lang w:val="en-US" w:eastAsia="zh-CN"/>
              </w:rPr>
              <w:t>〔2019〕110号</w:t>
            </w:r>
          </w:p>
        </w:tc>
        <w:tc>
          <w:tcPr>
            <w:tcW w:w="2540" w:type="dxa"/>
            <w:noWrap w:val="0"/>
            <w:vAlign w:val="center"/>
          </w:tcPr>
          <w:p w14:paraId="448DBC6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喀地环监字</w:t>
            </w:r>
            <w:r>
              <w:rPr>
                <w:rFonts w:hint="eastAsia" w:ascii="Times New Roman" w:hAnsi="Times New Roman" w:cs="Times New Roman"/>
                <w:szCs w:val="21"/>
                <w:lang w:val="en-US" w:eastAsia="zh-CN"/>
              </w:rPr>
              <w:t>〔2015〕263号</w:t>
            </w:r>
          </w:p>
        </w:tc>
      </w:tr>
      <w:tr w14:paraId="053C5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6637FED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49</w:t>
            </w:r>
          </w:p>
        </w:tc>
        <w:tc>
          <w:tcPr>
            <w:tcW w:w="3535" w:type="dxa"/>
            <w:noWrap w:val="0"/>
            <w:vAlign w:val="center"/>
          </w:tcPr>
          <w:p w14:paraId="7F4493B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莎车县永恒气体有限公司</w:t>
            </w:r>
          </w:p>
        </w:tc>
        <w:tc>
          <w:tcPr>
            <w:tcW w:w="4371" w:type="dxa"/>
            <w:noWrap w:val="0"/>
            <w:vAlign w:val="center"/>
          </w:tcPr>
          <w:p w14:paraId="172D030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氧气、氩气、氮气、二氧化碳</w:t>
            </w:r>
          </w:p>
        </w:tc>
        <w:tc>
          <w:tcPr>
            <w:tcW w:w="2677" w:type="dxa"/>
            <w:noWrap w:val="0"/>
            <w:vAlign w:val="center"/>
          </w:tcPr>
          <w:p w14:paraId="6871500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喀地环评字</w:t>
            </w:r>
            <w:r>
              <w:rPr>
                <w:rFonts w:hint="eastAsia" w:ascii="Times New Roman" w:hAnsi="Times New Roman" w:cs="Times New Roman"/>
                <w:szCs w:val="21"/>
                <w:lang w:val="en-US" w:eastAsia="zh-CN"/>
              </w:rPr>
              <w:t>〔2020〕327号</w:t>
            </w:r>
          </w:p>
        </w:tc>
        <w:tc>
          <w:tcPr>
            <w:tcW w:w="2540" w:type="dxa"/>
            <w:noWrap w:val="0"/>
            <w:vAlign w:val="center"/>
          </w:tcPr>
          <w:p w14:paraId="4BFDDD9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2021.6.15自主验收</w:t>
            </w:r>
          </w:p>
        </w:tc>
      </w:tr>
      <w:tr w14:paraId="24C91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0ECC6F4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50</w:t>
            </w:r>
          </w:p>
        </w:tc>
        <w:tc>
          <w:tcPr>
            <w:tcW w:w="3535" w:type="dxa"/>
            <w:noWrap w:val="0"/>
            <w:vAlign w:val="center"/>
          </w:tcPr>
          <w:p w14:paraId="6D575E4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莎车县恒安气瓶检测中心</w:t>
            </w:r>
          </w:p>
        </w:tc>
        <w:tc>
          <w:tcPr>
            <w:tcW w:w="4371" w:type="dxa"/>
            <w:noWrap w:val="0"/>
            <w:vAlign w:val="center"/>
          </w:tcPr>
          <w:p w14:paraId="572D8DF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汽车气瓶检测/年检2500辆</w:t>
            </w:r>
          </w:p>
        </w:tc>
        <w:tc>
          <w:tcPr>
            <w:tcW w:w="2677" w:type="dxa"/>
            <w:noWrap w:val="0"/>
            <w:vAlign w:val="center"/>
          </w:tcPr>
          <w:p w14:paraId="31F4D3E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莎环评字</w:t>
            </w:r>
            <w:r>
              <w:rPr>
                <w:rFonts w:hint="eastAsia" w:ascii="Times New Roman" w:hAnsi="Times New Roman" w:cs="Times New Roman"/>
                <w:szCs w:val="21"/>
                <w:lang w:val="en-US" w:eastAsia="zh-CN"/>
              </w:rPr>
              <w:t>〔2014〕110号</w:t>
            </w:r>
          </w:p>
        </w:tc>
        <w:tc>
          <w:tcPr>
            <w:tcW w:w="2540" w:type="dxa"/>
            <w:noWrap w:val="0"/>
            <w:vAlign w:val="center"/>
          </w:tcPr>
          <w:p w14:paraId="109181B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莎环验字</w:t>
            </w:r>
            <w:r>
              <w:rPr>
                <w:rFonts w:hint="eastAsia" w:ascii="Times New Roman" w:hAnsi="Times New Roman" w:cs="Times New Roman"/>
                <w:szCs w:val="21"/>
                <w:lang w:val="en-US" w:eastAsia="zh-CN"/>
              </w:rPr>
              <w:t>〔2016〕4号</w:t>
            </w:r>
          </w:p>
        </w:tc>
      </w:tr>
      <w:tr w14:paraId="54B53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42E563B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51</w:t>
            </w:r>
          </w:p>
        </w:tc>
        <w:tc>
          <w:tcPr>
            <w:tcW w:w="3535" w:type="dxa"/>
            <w:noWrap w:val="0"/>
            <w:vAlign w:val="center"/>
          </w:tcPr>
          <w:p w14:paraId="5246E15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莎车县新腾达机动车检测中心</w:t>
            </w:r>
          </w:p>
        </w:tc>
        <w:tc>
          <w:tcPr>
            <w:tcW w:w="4371" w:type="dxa"/>
            <w:noWrap w:val="0"/>
            <w:vAlign w:val="center"/>
          </w:tcPr>
          <w:p w14:paraId="27D6341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年检机动车10000--20000辆</w:t>
            </w:r>
          </w:p>
        </w:tc>
        <w:tc>
          <w:tcPr>
            <w:tcW w:w="2677" w:type="dxa"/>
            <w:noWrap w:val="0"/>
            <w:vAlign w:val="center"/>
          </w:tcPr>
          <w:p w14:paraId="29C5B5F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不需要</w:t>
            </w:r>
          </w:p>
        </w:tc>
        <w:tc>
          <w:tcPr>
            <w:tcW w:w="2540" w:type="dxa"/>
            <w:noWrap w:val="0"/>
            <w:vAlign w:val="center"/>
          </w:tcPr>
          <w:p w14:paraId="41E27E7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不需要</w:t>
            </w:r>
          </w:p>
        </w:tc>
      </w:tr>
      <w:tr w14:paraId="4519F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01CD050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52</w:t>
            </w:r>
          </w:p>
        </w:tc>
        <w:tc>
          <w:tcPr>
            <w:tcW w:w="3535" w:type="dxa"/>
            <w:noWrap w:val="0"/>
            <w:vAlign w:val="center"/>
          </w:tcPr>
          <w:p w14:paraId="6CEFA13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莎车鑫国祥机动车检测有限公司</w:t>
            </w:r>
          </w:p>
        </w:tc>
        <w:tc>
          <w:tcPr>
            <w:tcW w:w="4371" w:type="dxa"/>
            <w:noWrap w:val="0"/>
            <w:vAlign w:val="center"/>
          </w:tcPr>
          <w:p w14:paraId="1E534B0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年检机动车2000-50000辆</w:t>
            </w:r>
          </w:p>
        </w:tc>
        <w:tc>
          <w:tcPr>
            <w:tcW w:w="2677" w:type="dxa"/>
            <w:noWrap w:val="0"/>
            <w:vAlign w:val="center"/>
          </w:tcPr>
          <w:p w14:paraId="4F8CA50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不需要</w:t>
            </w:r>
          </w:p>
        </w:tc>
        <w:tc>
          <w:tcPr>
            <w:tcW w:w="2540" w:type="dxa"/>
            <w:noWrap w:val="0"/>
            <w:vAlign w:val="center"/>
          </w:tcPr>
          <w:p w14:paraId="35A783A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不需要</w:t>
            </w:r>
          </w:p>
        </w:tc>
      </w:tr>
      <w:tr w14:paraId="56939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44FD0BE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53</w:t>
            </w:r>
          </w:p>
        </w:tc>
        <w:tc>
          <w:tcPr>
            <w:tcW w:w="3535" w:type="dxa"/>
            <w:noWrap w:val="0"/>
            <w:vAlign w:val="center"/>
          </w:tcPr>
          <w:p w14:paraId="61BDC24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莎车鑫铎新型建材有限公司</w:t>
            </w:r>
          </w:p>
        </w:tc>
        <w:tc>
          <w:tcPr>
            <w:tcW w:w="4371" w:type="dxa"/>
            <w:noWrap w:val="0"/>
            <w:vAlign w:val="center"/>
          </w:tcPr>
          <w:p w14:paraId="52B68F7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环保砖、加气块</w:t>
            </w:r>
          </w:p>
        </w:tc>
        <w:tc>
          <w:tcPr>
            <w:tcW w:w="2677" w:type="dxa"/>
            <w:noWrap w:val="0"/>
            <w:vAlign w:val="center"/>
          </w:tcPr>
          <w:p w14:paraId="411A4EB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喀地环评字</w:t>
            </w:r>
            <w:r>
              <w:rPr>
                <w:rFonts w:hint="eastAsia" w:ascii="Times New Roman" w:hAnsi="Times New Roman" w:cs="Times New Roman"/>
                <w:szCs w:val="21"/>
                <w:lang w:val="en-US" w:eastAsia="zh-CN"/>
              </w:rPr>
              <w:t>〔2021〕30号</w:t>
            </w:r>
          </w:p>
        </w:tc>
        <w:tc>
          <w:tcPr>
            <w:tcW w:w="2540" w:type="dxa"/>
            <w:noWrap w:val="0"/>
            <w:vAlign w:val="center"/>
          </w:tcPr>
          <w:p w14:paraId="4FE162F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2021.12自主验收</w:t>
            </w:r>
          </w:p>
        </w:tc>
      </w:tr>
      <w:tr w14:paraId="2BCB3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1449B2D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54</w:t>
            </w:r>
          </w:p>
        </w:tc>
        <w:tc>
          <w:tcPr>
            <w:tcW w:w="3535" w:type="dxa"/>
            <w:noWrap w:val="0"/>
            <w:vAlign w:val="center"/>
          </w:tcPr>
          <w:p w14:paraId="1A38122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莎车县顺畅机动车检测中心</w:t>
            </w:r>
          </w:p>
        </w:tc>
        <w:tc>
          <w:tcPr>
            <w:tcW w:w="4371" w:type="dxa"/>
            <w:noWrap w:val="0"/>
            <w:vAlign w:val="center"/>
          </w:tcPr>
          <w:p w14:paraId="10B77E7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汽车检测/5000-6000辆</w:t>
            </w:r>
          </w:p>
        </w:tc>
        <w:tc>
          <w:tcPr>
            <w:tcW w:w="2677" w:type="dxa"/>
            <w:noWrap w:val="0"/>
            <w:vAlign w:val="center"/>
          </w:tcPr>
          <w:p w14:paraId="0497306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不需要</w:t>
            </w:r>
          </w:p>
        </w:tc>
        <w:tc>
          <w:tcPr>
            <w:tcW w:w="2540" w:type="dxa"/>
            <w:noWrap w:val="0"/>
            <w:vAlign w:val="center"/>
          </w:tcPr>
          <w:p w14:paraId="2903FA5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不需要</w:t>
            </w:r>
          </w:p>
        </w:tc>
      </w:tr>
      <w:tr w14:paraId="313CD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24366F2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55</w:t>
            </w:r>
          </w:p>
        </w:tc>
        <w:tc>
          <w:tcPr>
            <w:tcW w:w="3535" w:type="dxa"/>
            <w:noWrap w:val="0"/>
            <w:vAlign w:val="center"/>
          </w:tcPr>
          <w:p w14:paraId="3715D79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莎车县顺通机动车服务有限公司</w:t>
            </w:r>
          </w:p>
        </w:tc>
        <w:tc>
          <w:tcPr>
            <w:tcW w:w="4371" w:type="dxa"/>
            <w:noWrap w:val="0"/>
            <w:vAlign w:val="center"/>
          </w:tcPr>
          <w:p w14:paraId="55210B7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考试租车</w:t>
            </w:r>
          </w:p>
        </w:tc>
        <w:tc>
          <w:tcPr>
            <w:tcW w:w="2677" w:type="dxa"/>
            <w:noWrap w:val="0"/>
            <w:vAlign w:val="center"/>
          </w:tcPr>
          <w:p w14:paraId="46D3FBA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不需要</w:t>
            </w:r>
          </w:p>
        </w:tc>
        <w:tc>
          <w:tcPr>
            <w:tcW w:w="2540" w:type="dxa"/>
            <w:noWrap w:val="0"/>
            <w:vAlign w:val="center"/>
          </w:tcPr>
          <w:p w14:paraId="0BB7F24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不需要</w:t>
            </w:r>
          </w:p>
        </w:tc>
      </w:tr>
      <w:tr w14:paraId="39AC7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725D021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56</w:t>
            </w:r>
          </w:p>
        </w:tc>
        <w:tc>
          <w:tcPr>
            <w:tcW w:w="3535" w:type="dxa"/>
            <w:noWrap w:val="0"/>
            <w:vAlign w:val="center"/>
          </w:tcPr>
          <w:p w14:paraId="1AFD3B5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莎车县出租车计价中心</w:t>
            </w:r>
          </w:p>
        </w:tc>
        <w:tc>
          <w:tcPr>
            <w:tcW w:w="4371" w:type="dxa"/>
            <w:noWrap w:val="0"/>
            <w:vAlign w:val="center"/>
          </w:tcPr>
          <w:p w14:paraId="760215E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出租车计价检测/年检800辆</w:t>
            </w:r>
          </w:p>
        </w:tc>
        <w:tc>
          <w:tcPr>
            <w:tcW w:w="2677" w:type="dxa"/>
            <w:noWrap w:val="0"/>
            <w:vAlign w:val="center"/>
          </w:tcPr>
          <w:p w14:paraId="498C4E1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不需要</w:t>
            </w:r>
          </w:p>
        </w:tc>
        <w:tc>
          <w:tcPr>
            <w:tcW w:w="2540" w:type="dxa"/>
            <w:noWrap w:val="0"/>
            <w:vAlign w:val="center"/>
          </w:tcPr>
          <w:p w14:paraId="6DE45DF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不需要</w:t>
            </w:r>
          </w:p>
        </w:tc>
      </w:tr>
      <w:tr w14:paraId="636EB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37AE49F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57</w:t>
            </w:r>
          </w:p>
        </w:tc>
        <w:tc>
          <w:tcPr>
            <w:tcW w:w="3535" w:type="dxa"/>
            <w:noWrap w:val="0"/>
            <w:vAlign w:val="center"/>
          </w:tcPr>
          <w:p w14:paraId="7B114B7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莎车金恒气体有限公司</w:t>
            </w:r>
          </w:p>
        </w:tc>
        <w:tc>
          <w:tcPr>
            <w:tcW w:w="4371" w:type="dxa"/>
            <w:noWrap w:val="0"/>
            <w:vAlign w:val="center"/>
          </w:tcPr>
          <w:p w14:paraId="48BCB08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气体，液体/移动式压力容器，气瓶充装</w:t>
            </w:r>
          </w:p>
        </w:tc>
        <w:tc>
          <w:tcPr>
            <w:tcW w:w="2677" w:type="dxa"/>
            <w:noWrap w:val="0"/>
            <w:vAlign w:val="center"/>
          </w:tcPr>
          <w:p w14:paraId="2A31C1B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新环函</w:t>
            </w:r>
            <w:r>
              <w:rPr>
                <w:rFonts w:hint="eastAsia" w:ascii="Times New Roman" w:hAnsi="Times New Roman" w:cs="Times New Roman"/>
                <w:szCs w:val="21"/>
                <w:lang w:val="en-US" w:eastAsia="zh-CN"/>
              </w:rPr>
              <w:t>〔2015〕419号</w:t>
            </w:r>
          </w:p>
        </w:tc>
        <w:tc>
          <w:tcPr>
            <w:tcW w:w="2540" w:type="dxa"/>
            <w:noWrap w:val="0"/>
            <w:vAlign w:val="center"/>
          </w:tcPr>
          <w:p w14:paraId="56D2FC6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2021.10.20自主验收</w:t>
            </w:r>
          </w:p>
        </w:tc>
      </w:tr>
      <w:tr w14:paraId="05F0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1E166CB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58</w:t>
            </w:r>
          </w:p>
        </w:tc>
        <w:tc>
          <w:tcPr>
            <w:tcW w:w="3535" w:type="dxa"/>
            <w:noWrap w:val="0"/>
            <w:vAlign w:val="center"/>
          </w:tcPr>
          <w:p w14:paraId="1BBAEF5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莎车融洽建材有限责任公司</w:t>
            </w:r>
          </w:p>
        </w:tc>
        <w:tc>
          <w:tcPr>
            <w:tcW w:w="4371" w:type="dxa"/>
            <w:noWrap w:val="0"/>
            <w:vAlign w:val="center"/>
          </w:tcPr>
          <w:p w14:paraId="7E4F34C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钢铁构件、铁丝</w:t>
            </w:r>
          </w:p>
        </w:tc>
        <w:tc>
          <w:tcPr>
            <w:tcW w:w="2677" w:type="dxa"/>
            <w:noWrap w:val="0"/>
            <w:vAlign w:val="center"/>
          </w:tcPr>
          <w:p w14:paraId="248F50A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喀地环评字</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2024</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43号</w:t>
            </w:r>
          </w:p>
        </w:tc>
        <w:tc>
          <w:tcPr>
            <w:tcW w:w="2540" w:type="dxa"/>
            <w:noWrap w:val="0"/>
            <w:vAlign w:val="center"/>
          </w:tcPr>
          <w:p w14:paraId="6B98090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2025/6/2</w:t>
            </w:r>
          </w:p>
        </w:tc>
      </w:tr>
      <w:tr w14:paraId="23EE0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noWrap w:val="0"/>
            <w:vAlign w:val="center"/>
          </w:tcPr>
          <w:p w14:paraId="7CF637D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59</w:t>
            </w:r>
          </w:p>
        </w:tc>
        <w:tc>
          <w:tcPr>
            <w:tcW w:w="3535" w:type="dxa"/>
            <w:noWrap w:val="0"/>
            <w:vAlign w:val="center"/>
          </w:tcPr>
          <w:p w14:paraId="11DE027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新疆晟丰电力设备有限公司</w:t>
            </w:r>
          </w:p>
        </w:tc>
        <w:tc>
          <w:tcPr>
            <w:tcW w:w="4371" w:type="dxa"/>
            <w:noWrap w:val="0"/>
            <w:vAlign w:val="center"/>
          </w:tcPr>
          <w:p w14:paraId="5352F0B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电线杆</w:t>
            </w:r>
          </w:p>
        </w:tc>
        <w:tc>
          <w:tcPr>
            <w:tcW w:w="2677" w:type="dxa"/>
            <w:noWrap w:val="0"/>
            <w:vAlign w:val="center"/>
          </w:tcPr>
          <w:p w14:paraId="0B42E9D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莎环评字</w:t>
            </w:r>
            <w:r>
              <w:rPr>
                <w:rFonts w:hint="eastAsia" w:ascii="Times New Roman" w:hAnsi="Times New Roman" w:cs="Times New Roman"/>
                <w:szCs w:val="21"/>
                <w:lang w:val="en-US" w:eastAsia="zh-CN"/>
              </w:rPr>
              <w:t>〔2021〕7号</w:t>
            </w:r>
          </w:p>
        </w:tc>
        <w:tc>
          <w:tcPr>
            <w:tcW w:w="2540" w:type="dxa"/>
            <w:noWrap w:val="0"/>
            <w:vAlign w:val="center"/>
          </w:tcPr>
          <w:p w14:paraId="3BF9BC4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2022年自主验收</w:t>
            </w:r>
          </w:p>
        </w:tc>
      </w:tr>
    </w:tbl>
    <w:p w14:paraId="7CE04BC3">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sectPr>
          <w:pgSz w:w="16839" w:h="11907" w:orient="landscape"/>
          <w:pgMar w:top="1533" w:right="1106" w:bottom="1425" w:left="1245" w:header="829" w:footer="991" w:gutter="0"/>
          <w:pgBorders>
            <w:top w:val="none" w:sz="0" w:space="0"/>
            <w:left w:val="none" w:sz="0" w:space="0"/>
            <w:bottom w:val="none" w:sz="0" w:space="0"/>
            <w:right w:val="none" w:sz="0" w:space="0"/>
          </w:pgBorders>
          <w:pgNumType w:fmt="decimal"/>
          <w:cols w:space="720" w:num="1"/>
        </w:sectPr>
      </w:pPr>
    </w:p>
    <w:p w14:paraId="1C9B2FD3">
      <w:pPr>
        <w:pStyle w:val="3"/>
        <w:spacing w:before="120" w:after="120" w:line="500" w:lineRule="exact"/>
        <w:contextualSpacing/>
        <w:rPr>
          <w:rFonts w:hint="default" w:ascii="Times New Roman" w:hAnsi="Times New Roman" w:cs="Times New Roman" w:eastAsiaTheme="minorEastAsia"/>
          <w:snapToGrid w:val="0"/>
          <w:kern w:val="0"/>
          <w:sz w:val="28"/>
          <w:szCs w:val="28"/>
          <w:lang w:val="en-US" w:eastAsia="zh-CN"/>
        </w:rPr>
      </w:pPr>
      <w:bookmarkStart w:id="187" w:name="_Toc22059"/>
      <w:r>
        <w:rPr>
          <w:rFonts w:hint="eastAsia" w:ascii="Times New Roman" w:hAnsi="Times New Roman" w:cs="Times New Roman" w:eastAsiaTheme="minorEastAsia"/>
          <w:snapToGrid w:val="0"/>
          <w:kern w:val="0"/>
          <w:sz w:val="28"/>
          <w:szCs w:val="28"/>
          <w:lang w:val="en-US" w:eastAsia="zh-CN"/>
        </w:rPr>
        <w:t>4.3环境空气质量现状评价</w:t>
      </w:r>
      <w:bookmarkEnd w:id="187"/>
    </w:p>
    <w:p w14:paraId="35CF20F1">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188" w:name="_Toc2981"/>
      <w:r>
        <w:rPr>
          <w:rFonts w:hint="eastAsia" w:ascii="Times New Roman" w:hAnsi="Times New Roman" w:cs="Times New Roman" w:eastAsiaTheme="minorEastAsia"/>
          <w:kern w:val="0"/>
          <w:sz w:val="24"/>
          <w:szCs w:val="24"/>
          <w:lang w:val="en-US" w:eastAsia="zh-CN"/>
        </w:rPr>
        <w:t>4.3.1区域环境空气质量达标判定</w:t>
      </w:r>
      <w:bookmarkEnd w:id="188"/>
    </w:p>
    <w:p w14:paraId="6B8DA7A5">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本项目所在区域为环境空气二类功能区，项目所在区域环境空气中SO</w:t>
      </w:r>
      <w:r>
        <w:rPr>
          <w:rFonts w:hint="eastAsia" w:ascii="Times New Roman" w:hAnsi="Times New Roman" w:cs="Times New Roman" w:eastAsiaTheme="minorEastAsia"/>
          <w:sz w:val="24"/>
          <w:highlight w:val="none"/>
          <w:vertAlign w:val="subscript"/>
          <w:lang w:val="en-US" w:eastAsia="zh-CN"/>
        </w:rPr>
        <w:t>2</w:t>
      </w:r>
      <w:r>
        <w:rPr>
          <w:rFonts w:hint="eastAsia" w:ascii="Times New Roman" w:hAnsi="Times New Roman" w:cs="Times New Roman" w:eastAsiaTheme="minorEastAsia"/>
          <w:sz w:val="24"/>
          <w:highlight w:val="none"/>
          <w:lang w:val="en-US" w:eastAsia="zh-CN"/>
        </w:rPr>
        <w:t>、NO</w:t>
      </w:r>
      <w:r>
        <w:rPr>
          <w:rFonts w:hint="eastAsia" w:ascii="Times New Roman" w:hAnsi="Times New Roman" w:cs="Times New Roman" w:eastAsiaTheme="minorEastAsia"/>
          <w:sz w:val="24"/>
          <w:highlight w:val="none"/>
          <w:vertAlign w:val="subscript"/>
          <w:lang w:val="en-US" w:eastAsia="zh-CN"/>
        </w:rPr>
        <w:t>2</w:t>
      </w:r>
      <w:r>
        <w:rPr>
          <w:rFonts w:hint="eastAsia" w:ascii="Times New Roman" w:hAnsi="Times New Roman" w:cs="Times New Roman" w:eastAsiaTheme="minorEastAsia"/>
          <w:sz w:val="24"/>
          <w:highlight w:val="none"/>
          <w:lang w:val="en-US" w:eastAsia="zh-CN"/>
        </w:rPr>
        <w:t>、CO、O</w:t>
      </w:r>
      <w:r>
        <w:rPr>
          <w:rFonts w:hint="eastAsia" w:ascii="Times New Roman" w:hAnsi="Times New Roman" w:cs="Times New Roman" w:eastAsiaTheme="minorEastAsia"/>
          <w:sz w:val="24"/>
          <w:highlight w:val="none"/>
          <w:vertAlign w:val="subscript"/>
          <w:lang w:val="en-US" w:eastAsia="zh-CN"/>
        </w:rPr>
        <w:t>3</w:t>
      </w:r>
      <w:r>
        <w:rPr>
          <w:rFonts w:hint="eastAsia" w:ascii="Times New Roman" w:hAnsi="Times New Roman" w:cs="Times New Roman" w:eastAsiaTheme="minorEastAsia"/>
          <w:sz w:val="24"/>
          <w:highlight w:val="none"/>
          <w:lang w:val="en-US" w:eastAsia="zh-CN"/>
        </w:rPr>
        <w:t>、PM</w:t>
      </w:r>
      <w:r>
        <w:rPr>
          <w:rFonts w:hint="eastAsia" w:ascii="Times New Roman" w:hAnsi="Times New Roman" w:cs="Times New Roman" w:eastAsiaTheme="minorEastAsia"/>
          <w:sz w:val="24"/>
          <w:highlight w:val="none"/>
          <w:vertAlign w:val="subscript"/>
          <w:lang w:val="en-US" w:eastAsia="zh-CN"/>
        </w:rPr>
        <w:t>10</w:t>
      </w:r>
      <w:r>
        <w:rPr>
          <w:rFonts w:hint="eastAsia" w:ascii="Times New Roman" w:hAnsi="Times New Roman" w:cs="Times New Roman" w:eastAsiaTheme="minorEastAsia"/>
          <w:sz w:val="24"/>
          <w:highlight w:val="none"/>
          <w:lang w:val="en-US" w:eastAsia="zh-CN"/>
        </w:rPr>
        <w:t>、PM</w:t>
      </w:r>
      <w:r>
        <w:rPr>
          <w:rFonts w:hint="eastAsia" w:ascii="Times New Roman" w:hAnsi="Times New Roman" w:cs="Times New Roman" w:eastAsiaTheme="minorEastAsia"/>
          <w:sz w:val="24"/>
          <w:highlight w:val="none"/>
          <w:vertAlign w:val="subscript"/>
          <w:lang w:val="en-US" w:eastAsia="zh-CN"/>
        </w:rPr>
        <w:t>2.5</w:t>
      </w:r>
      <w:r>
        <w:rPr>
          <w:rFonts w:hint="eastAsia" w:ascii="Times New Roman" w:hAnsi="Times New Roman" w:cs="Times New Roman" w:eastAsiaTheme="minorEastAsia"/>
          <w:sz w:val="24"/>
          <w:highlight w:val="none"/>
          <w:lang w:val="en-US" w:eastAsia="zh-CN"/>
        </w:rPr>
        <w:t>执行《环境空气质量标准》（GB3095-2026）过渡阶段的二级标准。</w:t>
      </w:r>
    </w:p>
    <w:p w14:paraId="62840991">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根据《建设项目环境影响报告表编制技术指南（污染影响类）</w:t>
      </w:r>
      <w:r>
        <w:rPr>
          <w:rFonts w:hint="eastAsia" w:ascii="Times New Roman" w:hAnsi="Times New Roman" w:cs="Times New Roman"/>
          <w:sz w:val="24"/>
          <w:highlight w:val="none"/>
          <w:lang w:val="en-US" w:eastAsia="zh-CN"/>
        </w:rPr>
        <w:t>（试行）</w:t>
      </w:r>
      <w:r>
        <w:rPr>
          <w:rFonts w:hint="eastAsia" w:ascii="Times New Roman" w:hAnsi="Times New Roman" w:cs="Times New Roman" w:eastAsiaTheme="minorEastAsia"/>
          <w:sz w:val="24"/>
          <w:highlight w:val="none"/>
          <w:lang w:val="en-US" w:eastAsia="zh-CN"/>
        </w:rPr>
        <w:t>》，常规污染物引用与建设项目距离近的有效数据，包括近3年的规划环境影响评价的监测数据，国家、地方环境空气质量监测网数据或生态环境主管部门公开发布的质量数据等。</w:t>
      </w:r>
    </w:p>
    <w:p w14:paraId="7A1FFF0B">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本次评价选</w:t>
      </w:r>
      <w:r>
        <w:rPr>
          <w:rFonts w:hint="eastAsia" w:ascii="Times New Roman" w:hAnsi="Times New Roman" w:cs="Times New Roman"/>
          <w:sz w:val="24"/>
          <w:highlight w:val="none"/>
          <w:lang w:val="en-US" w:eastAsia="zh-CN"/>
        </w:rPr>
        <w:t>用《关于对〈喀什地区2025年度大气环境质量〉的公示》中喀什地区环境空气质量监测结果</w:t>
      </w:r>
      <w:r>
        <w:rPr>
          <w:rFonts w:hint="eastAsia" w:ascii="Times New Roman" w:hAnsi="Times New Roman" w:cs="Times New Roman" w:eastAsiaTheme="minorEastAsia"/>
          <w:sz w:val="24"/>
          <w:highlight w:val="none"/>
          <w:lang w:val="en-US" w:eastAsia="zh-CN"/>
        </w:rPr>
        <w:t>，并对各污染物进行环境质量现状评价，现状评价结果见表3-1所示。</w:t>
      </w:r>
    </w:p>
    <w:p w14:paraId="370BD94B">
      <w:pPr>
        <w:snapToGrid w:val="0"/>
        <w:spacing w:before="241" w:beforeLines="50"/>
        <w:ind w:firstLine="949" w:firstLineChars="4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w:t>
      </w:r>
      <w:r>
        <w:rPr>
          <w:rFonts w:hint="eastAsia" w:ascii="Times New Roman" w:hAnsi="Times New Roman" w:cs="Times New Roman"/>
          <w:b/>
          <w:szCs w:val="21"/>
          <w:lang w:val="en-US" w:eastAsia="zh-CN"/>
        </w:rPr>
        <w:t>4.3</w:t>
      </w:r>
      <w:r>
        <w:rPr>
          <w:rFonts w:hint="eastAsia" w:ascii="Times New Roman" w:hAnsi="Times New Roman" w:cs="Times New Roman" w:eastAsiaTheme="minorEastAsia"/>
          <w:b/>
          <w:szCs w:val="21"/>
          <w:lang w:val="en-US" w:eastAsia="zh-CN"/>
        </w:rPr>
        <w:t>-1  环境空气质量现状监测统计数据    单位：</w:t>
      </w:r>
      <w:r>
        <w:rPr>
          <w:rFonts w:hint="default" w:ascii="Times New Roman" w:hAnsi="Times New Roman" w:cs="Times New Roman" w:eastAsiaTheme="minorEastAsia"/>
          <w:b/>
          <w:szCs w:val="21"/>
          <w:lang w:val="en-US" w:eastAsia="zh-CN"/>
        </w:rPr>
        <w:t>μg/m</w:t>
      </w:r>
      <w:r>
        <w:rPr>
          <w:rFonts w:hint="default" w:ascii="Times New Roman" w:hAnsi="Times New Roman" w:cs="Times New Roman" w:eastAsiaTheme="minorEastAsia"/>
          <w:b/>
          <w:szCs w:val="21"/>
          <w:vertAlign w:val="superscript"/>
          <w:lang w:val="en-US" w:eastAsia="zh-CN"/>
        </w:rPr>
        <w:t>3</w:t>
      </w:r>
    </w:p>
    <w:tbl>
      <w:tblPr>
        <w:tblStyle w:val="1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2781"/>
        <w:gridCol w:w="1151"/>
        <w:gridCol w:w="1726"/>
        <w:gridCol w:w="1072"/>
        <w:gridCol w:w="1348"/>
      </w:tblGrid>
      <w:tr w14:paraId="71B63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5A2733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污染物</w:t>
            </w:r>
          </w:p>
        </w:tc>
        <w:tc>
          <w:tcPr>
            <w:tcW w:w="15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593BC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评价项目</w:t>
            </w:r>
          </w:p>
        </w:tc>
        <w:tc>
          <w:tcPr>
            <w:tcW w:w="62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7E92A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浓度（μg/m</w:t>
            </w:r>
            <w:r>
              <w:rPr>
                <w:rFonts w:hint="default" w:ascii="Times New Roman" w:hAnsi="Times New Roman" w:cs="Times New Roman" w:eastAsiaTheme="minorEastAsia"/>
                <w:szCs w:val="21"/>
                <w:vertAlign w:val="superscript"/>
                <w:lang w:val="en-US" w:eastAsia="zh-CN"/>
              </w:rPr>
              <w:t>3</w:t>
            </w:r>
            <w:r>
              <w:rPr>
                <w:rFonts w:hint="default" w:ascii="Times New Roman" w:hAnsi="Times New Roman" w:cs="Times New Roman" w:eastAsiaTheme="minorEastAsia"/>
                <w:szCs w:val="21"/>
                <w:lang w:val="en-US" w:eastAsia="zh-CN"/>
              </w:rPr>
              <w:t>）</w:t>
            </w:r>
          </w:p>
        </w:tc>
        <w:tc>
          <w:tcPr>
            <w:tcW w:w="94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FE80F5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标准（二级）（μg/m</w:t>
            </w:r>
            <w:r>
              <w:rPr>
                <w:rFonts w:hint="default" w:ascii="Times New Roman" w:hAnsi="Times New Roman" w:cs="Times New Roman" w:eastAsiaTheme="minorEastAsia"/>
                <w:szCs w:val="21"/>
                <w:vertAlign w:val="superscript"/>
                <w:lang w:val="en-US" w:eastAsia="zh-CN"/>
              </w:rPr>
              <w:t>3</w:t>
            </w:r>
            <w:r>
              <w:rPr>
                <w:rFonts w:hint="default" w:ascii="Times New Roman" w:hAnsi="Times New Roman" w:cs="Times New Roman" w:eastAsiaTheme="minorEastAsia"/>
                <w:szCs w:val="21"/>
                <w:lang w:val="en-US" w:eastAsia="zh-CN"/>
              </w:rPr>
              <w:t>）</w:t>
            </w:r>
          </w:p>
        </w:tc>
        <w:tc>
          <w:tcPr>
            <w:tcW w:w="58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81994D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占标率%</w:t>
            </w:r>
          </w:p>
        </w:tc>
        <w:tc>
          <w:tcPr>
            <w:tcW w:w="73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62ABB9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达标情况</w:t>
            </w:r>
          </w:p>
        </w:tc>
      </w:tr>
      <w:tr w14:paraId="44733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6A27B2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SO</w:t>
            </w:r>
            <w:r>
              <w:rPr>
                <w:rFonts w:hint="default" w:ascii="Times New Roman" w:hAnsi="Times New Roman" w:cs="Times New Roman" w:eastAsiaTheme="minorEastAsia"/>
                <w:szCs w:val="21"/>
                <w:vertAlign w:val="subscript"/>
                <w:lang w:val="en-US" w:eastAsia="zh-CN"/>
              </w:rPr>
              <w:t>2</w:t>
            </w:r>
          </w:p>
        </w:tc>
        <w:tc>
          <w:tcPr>
            <w:tcW w:w="15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85A37C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年平均</w:t>
            </w:r>
          </w:p>
        </w:tc>
        <w:tc>
          <w:tcPr>
            <w:tcW w:w="62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D806B3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6</w:t>
            </w:r>
          </w:p>
        </w:tc>
        <w:tc>
          <w:tcPr>
            <w:tcW w:w="94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12735D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60</w:t>
            </w:r>
          </w:p>
        </w:tc>
        <w:tc>
          <w:tcPr>
            <w:tcW w:w="58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F01A6E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10</w:t>
            </w:r>
          </w:p>
        </w:tc>
        <w:tc>
          <w:tcPr>
            <w:tcW w:w="73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AD2125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达标</w:t>
            </w:r>
          </w:p>
        </w:tc>
      </w:tr>
      <w:tr w14:paraId="32FB8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DC5EFA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NO</w:t>
            </w:r>
            <w:r>
              <w:rPr>
                <w:rFonts w:hint="default" w:ascii="Times New Roman" w:hAnsi="Times New Roman" w:cs="Times New Roman" w:eastAsiaTheme="minorEastAsia"/>
                <w:szCs w:val="21"/>
                <w:vertAlign w:val="subscript"/>
                <w:lang w:val="en-US" w:eastAsia="zh-CN"/>
              </w:rPr>
              <w:t>2</w:t>
            </w:r>
          </w:p>
        </w:tc>
        <w:tc>
          <w:tcPr>
            <w:tcW w:w="15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FCA4A8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年平均</w:t>
            </w:r>
          </w:p>
        </w:tc>
        <w:tc>
          <w:tcPr>
            <w:tcW w:w="62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7260E4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35</w:t>
            </w:r>
          </w:p>
        </w:tc>
        <w:tc>
          <w:tcPr>
            <w:tcW w:w="94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B6FD35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40</w:t>
            </w:r>
          </w:p>
        </w:tc>
        <w:tc>
          <w:tcPr>
            <w:tcW w:w="58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56392C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87.5</w:t>
            </w:r>
          </w:p>
        </w:tc>
        <w:tc>
          <w:tcPr>
            <w:tcW w:w="73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D51D85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达标</w:t>
            </w:r>
          </w:p>
        </w:tc>
      </w:tr>
      <w:tr w14:paraId="045D6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5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A631B3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CO</w:t>
            </w:r>
          </w:p>
        </w:tc>
        <w:tc>
          <w:tcPr>
            <w:tcW w:w="15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5BE78C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24h平均第95百分位数</w:t>
            </w:r>
          </w:p>
        </w:tc>
        <w:tc>
          <w:tcPr>
            <w:tcW w:w="62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B3CFEB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1(mg/m</w:t>
            </w:r>
            <w:r>
              <w:rPr>
                <w:rFonts w:hint="eastAsia" w:ascii="Times New Roman" w:hAnsi="Times New Roman" w:cs="Times New Roman"/>
                <w:szCs w:val="21"/>
                <w:vertAlign w:val="superscript"/>
                <w:lang w:val="en-US" w:eastAsia="zh-CN"/>
              </w:rPr>
              <w:t>3)</w:t>
            </w:r>
          </w:p>
        </w:tc>
        <w:tc>
          <w:tcPr>
            <w:tcW w:w="94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4D108D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w:t>
            </w:r>
            <w:r>
              <w:rPr>
                <w:rFonts w:hint="eastAsia" w:ascii="Times New Roman" w:hAnsi="Times New Roman" w:cs="Times New Roman"/>
                <w:szCs w:val="21"/>
                <w:lang w:val="en-US" w:eastAsia="zh-CN"/>
              </w:rPr>
              <w:t>(mg/m</w:t>
            </w:r>
            <w:r>
              <w:rPr>
                <w:rFonts w:hint="eastAsia" w:ascii="Times New Roman" w:hAnsi="Times New Roman" w:cs="Times New Roman"/>
                <w:szCs w:val="21"/>
                <w:vertAlign w:val="superscript"/>
                <w:lang w:val="en-US" w:eastAsia="zh-CN"/>
              </w:rPr>
              <w:t>3)</w:t>
            </w:r>
          </w:p>
        </w:tc>
        <w:tc>
          <w:tcPr>
            <w:tcW w:w="58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A39552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w:t>
            </w:r>
            <w:r>
              <w:rPr>
                <w:rFonts w:hint="eastAsia" w:ascii="Times New Roman" w:hAnsi="Times New Roman" w:cs="Times New Roman"/>
                <w:szCs w:val="21"/>
                <w:lang w:val="en-US" w:eastAsia="zh-CN"/>
              </w:rPr>
              <w:t>5</w:t>
            </w:r>
          </w:p>
        </w:tc>
        <w:tc>
          <w:tcPr>
            <w:tcW w:w="73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C2701C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达标</w:t>
            </w:r>
          </w:p>
        </w:tc>
      </w:tr>
      <w:tr w14:paraId="11695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FAE07B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O</w:t>
            </w:r>
            <w:r>
              <w:rPr>
                <w:rFonts w:hint="default" w:ascii="Times New Roman" w:hAnsi="Times New Roman" w:cs="Times New Roman" w:eastAsiaTheme="minorEastAsia"/>
                <w:szCs w:val="21"/>
                <w:vertAlign w:val="subscript"/>
                <w:lang w:val="en-US" w:eastAsia="zh-CN"/>
              </w:rPr>
              <w:t>3</w:t>
            </w:r>
          </w:p>
        </w:tc>
        <w:tc>
          <w:tcPr>
            <w:tcW w:w="15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43716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最大8小时滑动平均值的第90百分位数</w:t>
            </w:r>
          </w:p>
        </w:tc>
        <w:tc>
          <w:tcPr>
            <w:tcW w:w="62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A96802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95</w:t>
            </w:r>
          </w:p>
        </w:tc>
        <w:tc>
          <w:tcPr>
            <w:tcW w:w="94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6CFDC8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160</w:t>
            </w:r>
          </w:p>
        </w:tc>
        <w:tc>
          <w:tcPr>
            <w:tcW w:w="58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123FBB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59.375</w:t>
            </w:r>
          </w:p>
        </w:tc>
        <w:tc>
          <w:tcPr>
            <w:tcW w:w="73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6F4C0F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达标</w:t>
            </w:r>
          </w:p>
        </w:tc>
      </w:tr>
      <w:tr w14:paraId="671FB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9CB1B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PM</w:t>
            </w:r>
            <w:r>
              <w:rPr>
                <w:rFonts w:hint="default" w:ascii="Times New Roman" w:hAnsi="Times New Roman" w:cs="Times New Roman" w:eastAsiaTheme="minorEastAsia"/>
                <w:szCs w:val="21"/>
                <w:vertAlign w:val="subscript"/>
                <w:lang w:val="en-US" w:eastAsia="zh-CN"/>
              </w:rPr>
              <w:t>10</w:t>
            </w:r>
          </w:p>
        </w:tc>
        <w:tc>
          <w:tcPr>
            <w:tcW w:w="15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75DB15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62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F7EDB0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273</w:t>
            </w:r>
          </w:p>
        </w:tc>
        <w:tc>
          <w:tcPr>
            <w:tcW w:w="94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BC4DA1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60</w:t>
            </w:r>
          </w:p>
        </w:tc>
        <w:tc>
          <w:tcPr>
            <w:tcW w:w="58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3443A9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455</w:t>
            </w:r>
          </w:p>
        </w:tc>
        <w:tc>
          <w:tcPr>
            <w:tcW w:w="73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BFA2BB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不达标</w:t>
            </w:r>
          </w:p>
        </w:tc>
      </w:tr>
      <w:tr w14:paraId="79E6A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CBF471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PM</w:t>
            </w:r>
            <w:r>
              <w:rPr>
                <w:rFonts w:hint="default" w:ascii="Times New Roman" w:hAnsi="Times New Roman" w:cs="Times New Roman" w:eastAsiaTheme="minorEastAsia"/>
                <w:szCs w:val="21"/>
                <w:vertAlign w:val="subscript"/>
                <w:lang w:val="en-US" w:eastAsia="zh-CN"/>
              </w:rPr>
              <w:t>2.5</w:t>
            </w:r>
          </w:p>
        </w:tc>
        <w:tc>
          <w:tcPr>
            <w:tcW w:w="15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8D7FC4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62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87F34E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87</w:t>
            </w:r>
          </w:p>
        </w:tc>
        <w:tc>
          <w:tcPr>
            <w:tcW w:w="94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32EACC1">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w:t>
            </w:r>
            <w:r>
              <w:rPr>
                <w:rFonts w:hint="eastAsia" w:ascii="Times New Roman" w:hAnsi="Times New Roman" w:cs="Times New Roman" w:eastAsiaTheme="minorEastAsia"/>
                <w:szCs w:val="21"/>
                <w:lang w:val="en-US" w:eastAsia="zh-CN"/>
              </w:rPr>
              <w:t>0</w:t>
            </w:r>
          </w:p>
        </w:tc>
        <w:tc>
          <w:tcPr>
            <w:tcW w:w="58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2243E7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290</w:t>
            </w:r>
          </w:p>
        </w:tc>
        <w:tc>
          <w:tcPr>
            <w:tcW w:w="73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D1CC21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不达标</w:t>
            </w:r>
          </w:p>
        </w:tc>
      </w:tr>
    </w:tbl>
    <w:p w14:paraId="73716EC1">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由表</w:t>
      </w:r>
      <w:r>
        <w:rPr>
          <w:rFonts w:hint="eastAsia" w:ascii="Times New Roman" w:hAnsi="Times New Roman" w:cs="Times New Roman"/>
          <w:sz w:val="24"/>
          <w:highlight w:val="none"/>
          <w:lang w:val="en-US" w:eastAsia="zh-CN"/>
        </w:rPr>
        <w:t>4.3-1</w:t>
      </w:r>
      <w:r>
        <w:rPr>
          <w:rFonts w:hint="eastAsia" w:ascii="Times New Roman" w:hAnsi="Times New Roman" w:cs="Times New Roman" w:eastAsiaTheme="minorEastAsia"/>
          <w:sz w:val="24"/>
          <w:highlight w:val="none"/>
          <w:lang w:val="en-US" w:eastAsia="zh-CN"/>
        </w:rPr>
        <w:t>可知，区域SO</w:t>
      </w:r>
      <w:r>
        <w:rPr>
          <w:rFonts w:hint="eastAsia" w:ascii="Times New Roman" w:hAnsi="Times New Roman" w:cs="Times New Roman" w:eastAsiaTheme="minorEastAsia"/>
          <w:sz w:val="24"/>
          <w:highlight w:val="none"/>
          <w:vertAlign w:val="subscript"/>
          <w:lang w:val="en-US" w:eastAsia="zh-CN"/>
        </w:rPr>
        <w:t>2</w:t>
      </w:r>
      <w:r>
        <w:rPr>
          <w:rFonts w:hint="eastAsia" w:ascii="Times New Roman" w:hAnsi="Times New Roman" w:cs="Times New Roman" w:eastAsiaTheme="minorEastAsia"/>
          <w:sz w:val="24"/>
          <w:highlight w:val="none"/>
          <w:lang w:val="en-US" w:eastAsia="zh-CN"/>
        </w:rPr>
        <w:t>、NO</w:t>
      </w:r>
      <w:r>
        <w:rPr>
          <w:rFonts w:hint="eastAsia" w:ascii="Times New Roman" w:hAnsi="Times New Roman" w:cs="Times New Roman" w:eastAsiaTheme="minorEastAsia"/>
          <w:sz w:val="24"/>
          <w:highlight w:val="none"/>
          <w:vertAlign w:val="subscript"/>
          <w:lang w:val="en-US" w:eastAsia="zh-CN"/>
        </w:rPr>
        <w:t>2</w:t>
      </w:r>
      <w:r>
        <w:rPr>
          <w:rFonts w:hint="eastAsia" w:ascii="Times New Roman" w:hAnsi="Times New Roman" w:cs="Times New Roman" w:eastAsiaTheme="minorEastAsia"/>
          <w:sz w:val="24"/>
          <w:highlight w:val="none"/>
          <w:lang w:val="en-US" w:eastAsia="zh-CN"/>
        </w:rPr>
        <w:t>、CO、O</w:t>
      </w:r>
      <w:r>
        <w:rPr>
          <w:rFonts w:hint="eastAsia" w:ascii="Times New Roman" w:hAnsi="Times New Roman" w:cs="Times New Roman" w:eastAsiaTheme="minorEastAsia"/>
          <w:sz w:val="24"/>
          <w:highlight w:val="none"/>
          <w:vertAlign w:val="subscript"/>
          <w:lang w:val="en-US" w:eastAsia="zh-CN"/>
        </w:rPr>
        <w:t>3</w:t>
      </w:r>
      <w:r>
        <w:rPr>
          <w:rFonts w:hint="eastAsia" w:ascii="Times New Roman" w:hAnsi="Times New Roman" w:cs="Times New Roman" w:eastAsiaTheme="minorEastAsia"/>
          <w:sz w:val="24"/>
          <w:highlight w:val="none"/>
          <w:lang w:val="en-US" w:eastAsia="zh-CN"/>
        </w:rPr>
        <w:t>均满足《环境空气质量标准》（GB3095-2026）过渡阶段的二级标准要求；PM</w:t>
      </w:r>
      <w:r>
        <w:rPr>
          <w:rFonts w:hint="eastAsia" w:ascii="Times New Roman" w:hAnsi="Times New Roman" w:cs="Times New Roman" w:eastAsiaTheme="minorEastAsia"/>
          <w:sz w:val="24"/>
          <w:highlight w:val="none"/>
          <w:vertAlign w:val="subscript"/>
          <w:lang w:val="en-US" w:eastAsia="zh-CN"/>
        </w:rPr>
        <w:t>2.5</w:t>
      </w:r>
      <w:r>
        <w:rPr>
          <w:rFonts w:hint="eastAsia" w:ascii="Times New Roman" w:hAnsi="Times New Roman" w:cs="Times New Roman" w:eastAsiaTheme="minorEastAsia"/>
          <w:sz w:val="24"/>
          <w:highlight w:val="none"/>
          <w:lang w:val="en-US" w:eastAsia="zh-CN"/>
        </w:rPr>
        <w:t>、PM</w:t>
      </w:r>
      <w:r>
        <w:rPr>
          <w:rFonts w:hint="eastAsia" w:ascii="Times New Roman" w:hAnsi="Times New Roman" w:cs="Times New Roman" w:eastAsiaTheme="minorEastAsia"/>
          <w:sz w:val="24"/>
          <w:highlight w:val="none"/>
          <w:vertAlign w:val="subscript"/>
          <w:lang w:val="en-US" w:eastAsia="zh-CN"/>
        </w:rPr>
        <w:t>10</w:t>
      </w:r>
      <w:r>
        <w:rPr>
          <w:rFonts w:hint="eastAsia" w:ascii="Times New Roman" w:hAnsi="Times New Roman" w:cs="Times New Roman" w:eastAsiaTheme="minorEastAsia"/>
          <w:sz w:val="24"/>
          <w:highlight w:val="none"/>
          <w:lang w:val="en-US" w:eastAsia="zh-CN"/>
        </w:rPr>
        <w:t>浓度超标，项目所在区域为不达标区域。导致PM</w:t>
      </w:r>
      <w:r>
        <w:rPr>
          <w:rFonts w:hint="eastAsia" w:ascii="Times New Roman" w:hAnsi="Times New Roman" w:cs="Times New Roman" w:eastAsiaTheme="minorEastAsia"/>
          <w:sz w:val="24"/>
          <w:highlight w:val="none"/>
          <w:vertAlign w:val="subscript"/>
          <w:lang w:val="en-US" w:eastAsia="zh-CN"/>
        </w:rPr>
        <w:t>10</w:t>
      </w:r>
      <w:r>
        <w:rPr>
          <w:rFonts w:hint="eastAsia" w:ascii="Times New Roman" w:hAnsi="Times New Roman" w:cs="Times New Roman" w:eastAsiaTheme="minorEastAsia"/>
          <w:sz w:val="24"/>
          <w:highlight w:val="none"/>
          <w:lang w:val="en-US" w:eastAsia="zh-CN"/>
        </w:rPr>
        <w:t>与PM</w:t>
      </w:r>
      <w:r>
        <w:rPr>
          <w:rFonts w:hint="eastAsia" w:ascii="Times New Roman" w:hAnsi="Times New Roman" w:cs="Times New Roman" w:eastAsiaTheme="minorEastAsia"/>
          <w:sz w:val="24"/>
          <w:highlight w:val="none"/>
          <w:vertAlign w:val="subscript"/>
          <w:lang w:val="en-US" w:eastAsia="zh-CN"/>
        </w:rPr>
        <w:t>2.5</w:t>
      </w:r>
      <w:r>
        <w:rPr>
          <w:rFonts w:hint="eastAsia" w:ascii="Times New Roman" w:hAnsi="Times New Roman" w:cs="Times New Roman" w:eastAsiaTheme="minorEastAsia"/>
          <w:sz w:val="24"/>
          <w:highlight w:val="none"/>
          <w:lang w:val="en-US" w:eastAsia="zh-CN"/>
        </w:rPr>
        <w:t>超标的主要原因是项目区域地处干旱沙漠边缘，受自然因素的影响比较明显。</w:t>
      </w:r>
    </w:p>
    <w:p w14:paraId="43637C7B">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根据《关于在南疆四地州深度贫困地区实施〈环境影响评价技术导则大气环境（HJ2.2-2018）〉差别化政策有关事宜的复函》（环办环评函〔2019〕590号），新建项目可不提供颗粒物区域削减方案，但应根据相关要求，加强建设项目大气环境影响评价和技术论证等工作，严格建设项目环境准入，统筹做好生态环境保护与脱贫攻坚工作。</w:t>
      </w:r>
    </w:p>
    <w:p w14:paraId="6F967234">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189" w:name="_Toc18934"/>
      <w:bookmarkStart w:id="190" w:name="_Toc22732"/>
      <w:r>
        <w:rPr>
          <w:rFonts w:hint="default" w:ascii="Times New Roman" w:hAnsi="Times New Roman" w:cs="Times New Roman" w:eastAsiaTheme="minorEastAsia"/>
          <w:kern w:val="0"/>
          <w:sz w:val="24"/>
          <w:szCs w:val="24"/>
          <w:lang w:val="en-US" w:eastAsia="zh-CN"/>
        </w:rPr>
        <w:t>4.</w:t>
      </w:r>
      <w:r>
        <w:rPr>
          <w:rFonts w:hint="eastAsia" w:ascii="Times New Roman" w:hAnsi="Times New Roman" w:cs="Times New Roman"/>
          <w:kern w:val="0"/>
          <w:sz w:val="24"/>
          <w:szCs w:val="24"/>
          <w:lang w:val="en-US" w:eastAsia="zh-CN"/>
        </w:rPr>
        <w:t>3</w:t>
      </w:r>
      <w:r>
        <w:rPr>
          <w:rFonts w:hint="default" w:ascii="Times New Roman" w:hAnsi="Times New Roman" w:cs="Times New Roman" w:eastAsiaTheme="minorEastAsia"/>
          <w:kern w:val="0"/>
          <w:sz w:val="24"/>
          <w:szCs w:val="24"/>
          <w:lang w:val="en-US" w:eastAsia="zh-CN"/>
        </w:rPr>
        <w:t>.</w:t>
      </w:r>
      <w:r>
        <w:rPr>
          <w:rFonts w:hint="eastAsia" w:ascii="Times New Roman" w:hAnsi="Times New Roman" w:cs="Times New Roman"/>
          <w:kern w:val="0"/>
          <w:sz w:val="24"/>
          <w:szCs w:val="24"/>
          <w:lang w:val="en-US" w:eastAsia="zh-CN"/>
        </w:rPr>
        <w:t>2</w:t>
      </w:r>
      <w:r>
        <w:rPr>
          <w:rFonts w:hint="default" w:ascii="Times New Roman" w:hAnsi="Times New Roman" w:cs="Times New Roman" w:eastAsiaTheme="minorEastAsia"/>
          <w:kern w:val="0"/>
          <w:sz w:val="24"/>
          <w:szCs w:val="24"/>
          <w:lang w:val="en-US" w:eastAsia="zh-CN"/>
        </w:rPr>
        <w:t>大气环境现状调查及评价</w:t>
      </w:r>
      <w:bookmarkEnd w:id="189"/>
      <w:bookmarkEnd w:id="190"/>
    </w:p>
    <w:p w14:paraId="0D9D94C1">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根据《环境影响评价技术导则 大气环境》（HJ2.2-2018）中对环境质量现状数据的要求规定，本项目通过导则中推荐的估算模型AERSCREEN计算出对本项目污染源的最大环境影响，按照评价工作分级判据判定为一级评价。一级评价调查内容包括：A、调查项目所在区域环境空气质量达标情况；B、调查评价范围内有环境空气质量标准的评价因子的环境空气质量监测数据或进行补充监测，用于评价项目所在区域污染物环境质量现状，以及计算环境空气保护目标和网格点的环境质量现状浓度。本项目采取补充监测方式。</w:t>
      </w:r>
    </w:p>
    <w:p w14:paraId="0568011F">
      <w:pPr>
        <w:adjustRightInd w:val="0"/>
        <w:snapToGrid w:val="0"/>
        <w:spacing w:line="500" w:lineRule="exact"/>
        <w:jc w:val="left"/>
        <w:rPr>
          <w:rFonts w:hint="default" w:ascii="Times New Roman" w:hAnsi="Times New Roman" w:cs="Times New Roman" w:eastAsiaTheme="minorEastAsia"/>
          <w:b/>
          <w:bCs/>
          <w:sz w:val="24"/>
          <w:highlight w:val="none"/>
          <w:lang w:val="en-US" w:eastAsia="zh-CN"/>
        </w:rPr>
      </w:pPr>
      <w:r>
        <w:rPr>
          <w:rFonts w:hint="default" w:ascii="Times New Roman" w:hAnsi="Times New Roman" w:cs="Times New Roman" w:eastAsiaTheme="minorEastAsia"/>
          <w:b/>
          <w:bCs/>
          <w:sz w:val="24"/>
          <w:highlight w:val="none"/>
          <w:lang w:val="en-US" w:eastAsia="zh-CN"/>
        </w:rPr>
        <w:t>4.</w:t>
      </w:r>
      <w:r>
        <w:rPr>
          <w:rFonts w:hint="eastAsia" w:ascii="Times New Roman" w:hAnsi="Times New Roman" w:cs="Times New Roman" w:eastAsiaTheme="minorEastAsia"/>
          <w:b/>
          <w:bCs/>
          <w:sz w:val="24"/>
          <w:highlight w:val="none"/>
          <w:lang w:val="en-US" w:eastAsia="zh-CN"/>
        </w:rPr>
        <w:t>3</w:t>
      </w:r>
      <w:r>
        <w:rPr>
          <w:rFonts w:hint="default" w:ascii="Times New Roman" w:hAnsi="Times New Roman" w:cs="Times New Roman" w:eastAsiaTheme="minorEastAsia"/>
          <w:b/>
          <w:bCs/>
          <w:sz w:val="24"/>
          <w:highlight w:val="none"/>
          <w:lang w:val="en-US" w:eastAsia="zh-CN"/>
        </w:rPr>
        <w:t>.</w:t>
      </w:r>
      <w:r>
        <w:rPr>
          <w:rFonts w:hint="eastAsia" w:ascii="Times New Roman" w:hAnsi="Times New Roman" w:cs="Times New Roman" w:eastAsiaTheme="minorEastAsia"/>
          <w:b/>
          <w:bCs/>
          <w:sz w:val="24"/>
          <w:highlight w:val="none"/>
          <w:lang w:val="en-US" w:eastAsia="zh-CN"/>
        </w:rPr>
        <w:t>2</w:t>
      </w:r>
      <w:r>
        <w:rPr>
          <w:rFonts w:hint="default" w:ascii="Times New Roman" w:hAnsi="Times New Roman" w:cs="Times New Roman" w:eastAsiaTheme="minorEastAsia"/>
          <w:b/>
          <w:bCs/>
          <w:sz w:val="24"/>
          <w:highlight w:val="none"/>
          <w:lang w:val="en-US" w:eastAsia="zh-CN"/>
        </w:rPr>
        <w:t>.</w:t>
      </w:r>
      <w:r>
        <w:rPr>
          <w:rFonts w:hint="eastAsia" w:ascii="Times New Roman" w:hAnsi="Times New Roman" w:cs="Times New Roman" w:eastAsiaTheme="minorEastAsia"/>
          <w:b/>
          <w:bCs/>
          <w:sz w:val="24"/>
          <w:highlight w:val="none"/>
          <w:lang w:val="en-US" w:eastAsia="zh-CN"/>
        </w:rPr>
        <w:t>1</w:t>
      </w:r>
      <w:r>
        <w:rPr>
          <w:rFonts w:hint="default" w:ascii="Times New Roman" w:hAnsi="Times New Roman" w:cs="Times New Roman" w:eastAsiaTheme="minorEastAsia"/>
          <w:b/>
          <w:bCs/>
          <w:sz w:val="24"/>
          <w:highlight w:val="none"/>
          <w:lang w:val="en-US" w:eastAsia="zh-CN"/>
        </w:rPr>
        <w:t>其他污染物环境空气质量现状评价</w:t>
      </w:r>
    </w:p>
    <w:p w14:paraId="5FC221B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bookmarkStart w:id="191" w:name="_Toc14034"/>
      <w:r>
        <w:rPr>
          <w:rFonts w:hint="default" w:ascii="Times New Roman" w:hAnsi="Times New Roman" w:cs="Times New Roman" w:eastAsiaTheme="minorEastAsia"/>
          <w:sz w:val="24"/>
          <w:lang w:val="en-US" w:eastAsia="zh-CN"/>
        </w:rPr>
        <w:t>本项目委托新疆</w:t>
      </w:r>
      <w:r>
        <w:rPr>
          <w:rFonts w:hint="eastAsia" w:ascii="Times New Roman" w:hAnsi="Times New Roman" w:cs="Times New Roman" w:eastAsiaTheme="minorEastAsia"/>
          <w:sz w:val="24"/>
          <w:lang w:val="en-US" w:eastAsia="zh-CN"/>
        </w:rPr>
        <w:t>腾龙环境监测有限公司</w:t>
      </w:r>
      <w:r>
        <w:rPr>
          <w:rFonts w:hint="default" w:ascii="Times New Roman" w:hAnsi="Times New Roman" w:cs="Times New Roman" w:eastAsiaTheme="minorEastAsia"/>
          <w:sz w:val="24"/>
          <w:lang w:val="en-US" w:eastAsia="zh-CN"/>
        </w:rPr>
        <w:t>于2025年</w:t>
      </w:r>
      <w:r>
        <w:rPr>
          <w:rFonts w:hint="eastAsia" w:ascii="Times New Roman" w:hAnsi="Times New Roman" w:cs="Times New Roman" w:eastAsiaTheme="minorEastAsia"/>
          <w:sz w:val="24"/>
          <w:lang w:val="en-US" w:eastAsia="zh-CN"/>
        </w:rPr>
        <w:t>11</w:t>
      </w:r>
      <w:r>
        <w:rPr>
          <w:rFonts w:hint="default" w:ascii="Times New Roman" w:hAnsi="Times New Roman" w:cs="Times New Roman" w:eastAsiaTheme="minorEastAsia"/>
          <w:sz w:val="24"/>
          <w:lang w:val="en-US" w:eastAsia="zh-CN"/>
        </w:rPr>
        <w:t>月</w:t>
      </w:r>
      <w:r>
        <w:rPr>
          <w:rFonts w:hint="eastAsia" w:ascii="Times New Roman" w:hAnsi="Times New Roman" w:cs="Times New Roman" w:eastAsiaTheme="minorEastAsia"/>
          <w:sz w:val="24"/>
          <w:lang w:val="en-US" w:eastAsia="zh-CN"/>
        </w:rPr>
        <w:t>28</w:t>
      </w:r>
      <w:r>
        <w:rPr>
          <w:rFonts w:hint="default" w:ascii="Times New Roman" w:hAnsi="Times New Roman" w:cs="Times New Roman" w:eastAsiaTheme="minorEastAsia"/>
          <w:sz w:val="24"/>
          <w:lang w:val="en-US" w:eastAsia="zh-CN"/>
        </w:rPr>
        <w:t>日</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1</w:t>
      </w:r>
      <w:r>
        <w:rPr>
          <w:rFonts w:hint="eastAsia" w:ascii="Times New Roman" w:hAnsi="Times New Roman" w:cs="Times New Roman" w:eastAsiaTheme="minorEastAsia"/>
          <w:sz w:val="24"/>
          <w:lang w:val="en-US" w:eastAsia="zh-CN"/>
        </w:rPr>
        <w:t>2</w:t>
      </w:r>
      <w:r>
        <w:rPr>
          <w:rFonts w:hint="default" w:ascii="Times New Roman" w:hAnsi="Times New Roman" w:cs="Times New Roman" w:eastAsiaTheme="minorEastAsia"/>
          <w:sz w:val="24"/>
          <w:lang w:val="en-US" w:eastAsia="zh-CN"/>
        </w:rPr>
        <w:t>月</w:t>
      </w:r>
      <w:r>
        <w:rPr>
          <w:rFonts w:hint="eastAsia" w:ascii="Times New Roman" w:hAnsi="Times New Roman" w:cs="Times New Roman" w:eastAsiaTheme="minorEastAsia"/>
          <w:sz w:val="24"/>
          <w:lang w:val="en-US" w:eastAsia="zh-CN"/>
        </w:rPr>
        <w:t>4</w:t>
      </w:r>
      <w:r>
        <w:rPr>
          <w:rFonts w:hint="default" w:ascii="Times New Roman" w:hAnsi="Times New Roman" w:cs="Times New Roman" w:eastAsiaTheme="minorEastAsia"/>
          <w:sz w:val="24"/>
          <w:lang w:val="en-US" w:eastAsia="zh-CN"/>
        </w:rPr>
        <w:t>日对本项目的其他污染物进行监测，监测结果见下表。</w:t>
      </w:r>
    </w:p>
    <w:p w14:paraId="03940A5C">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表4.</w:t>
      </w:r>
      <w:r>
        <w:rPr>
          <w:rFonts w:hint="eastAsia" w:ascii="Times New Roman" w:hAnsi="Times New Roman" w:cs="Times New Roman" w:eastAsiaTheme="minorEastAsia"/>
          <w:b/>
          <w:szCs w:val="21"/>
          <w:lang w:val="en-US" w:eastAsia="zh-CN"/>
        </w:rPr>
        <w:t>3</w:t>
      </w:r>
      <w:r>
        <w:rPr>
          <w:rFonts w:hint="default" w:ascii="Times New Roman" w:hAnsi="Times New Roman" w:cs="Times New Roman" w:eastAsiaTheme="minorEastAsia"/>
          <w:b/>
          <w:szCs w:val="21"/>
          <w:lang w:val="en-US" w:eastAsia="zh-CN"/>
        </w:rPr>
        <w:t>-2  其他污染物补充监测点位基本信息表</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1510"/>
        <w:gridCol w:w="1429"/>
        <w:gridCol w:w="1778"/>
        <w:gridCol w:w="1365"/>
        <w:gridCol w:w="1018"/>
        <w:gridCol w:w="1145"/>
      </w:tblGrid>
      <w:tr w14:paraId="50FEE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vMerge w:val="restart"/>
            <w:tcBorders>
              <w:tl2br w:val="nil"/>
              <w:tr2bl w:val="nil"/>
            </w:tcBorders>
            <w:vAlign w:val="center"/>
          </w:tcPr>
          <w:p w14:paraId="40F6C8E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监测点位名称</w:t>
            </w:r>
          </w:p>
        </w:tc>
        <w:tc>
          <w:tcPr>
            <w:tcW w:w="1602" w:type="pct"/>
            <w:gridSpan w:val="2"/>
            <w:tcBorders>
              <w:tl2br w:val="nil"/>
              <w:tr2bl w:val="nil"/>
            </w:tcBorders>
            <w:vAlign w:val="center"/>
          </w:tcPr>
          <w:p w14:paraId="64C7C35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监测点坐标/m</w:t>
            </w:r>
          </w:p>
        </w:tc>
        <w:tc>
          <w:tcPr>
            <w:tcW w:w="969" w:type="pct"/>
            <w:vMerge w:val="restart"/>
            <w:tcBorders>
              <w:tl2br w:val="nil"/>
              <w:tr2bl w:val="nil"/>
            </w:tcBorders>
            <w:vAlign w:val="center"/>
          </w:tcPr>
          <w:p w14:paraId="3B93EB1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监测因子</w:t>
            </w:r>
          </w:p>
        </w:tc>
        <w:tc>
          <w:tcPr>
            <w:tcW w:w="744" w:type="pct"/>
            <w:vMerge w:val="restart"/>
            <w:tcBorders>
              <w:tl2br w:val="nil"/>
              <w:tr2bl w:val="nil"/>
            </w:tcBorders>
            <w:vAlign w:val="center"/>
          </w:tcPr>
          <w:p w14:paraId="14F7709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监测时段</w:t>
            </w:r>
          </w:p>
        </w:tc>
        <w:tc>
          <w:tcPr>
            <w:tcW w:w="555" w:type="pct"/>
            <w:vMerge w:val="restart"/>
            <w:tcBorders>
              <w:tl2br w:val="nil"/>
              <w:tr2bl w:val="nil"/>
            </w:tcBorders>
            <w:vAlign w:val="center"/>
          </w:tcPr>
          <w:p w14:paraId="2DF6DE6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相对厂址方位</w:t>
            </w:r>
          </w:p>
        </w:tc>
        <w:tc>
          <w:tcPr>
            <w:tcW w:w="624" w:type="pct"/>
            <w:vMerge w:val="restart"/>
            <w:tcBorders>
              <w:tl2br w:val="nil"/>
              <w:tr2bl w:val="nil"/>
            </w:tcBorders>
            <w:vAlign w:val="center"/>
          </w:tcPr>
          <w:p w14:paraId="1061CA1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相对厂界距离/m</w:t>
            </w:r>
          </w:p>
        </w:tc>
      </w:tr>
      <w:tr w14:paraId="5DBA2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vMerge w:val="continue"/>
            <w:tcBorders>
              <w:tl2br w:val="nil"/>
              <w:tr2bl w:val="nil"/>
            </w:tcBorders>
            <w:vAlign w:val="center"/>
          </w:tcPr>
          <w:p w14:paraId="09021777">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823" w:type="pct"/>
            <w:tcBorders>
              <w:tl2br w:val="nil"/>
              <w:tr2bl w:val="nil"/>
            </w:tcBorders>
            <w:vAlign w:val="center"/>
          </w:tcPr>
          <w:p w14:paraId="38F897E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经度</w:t>
            </w:r>
          </w:p>
        </w:tc>
        <w:tc>
          <w:tcPr>
            <w:tcW w:w="779" w:type="pct"/>
            <w:tcBorders>
              <w:tl2br w:val="nil"/>
              <w:tr2bl w:val="nil"/>
            </w:tcBorders>
            <w:vAlign w:val="center"/>
          </w:tcPr>
          <w:p w14:paraId="7F8A348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纬度</w:t>
            </w:r>
          </w:p>
        </w:tc>
        <w:tc>
          <w:tcPr>
            <w:tcW w:w="969" w:type="pct"/>
            <w:vMerge w:val="continue"/>
            <w:tcBorders>
              <w:tl2br w:val="nil"/>
              <w:tr2bl w:val="nil"/>
            </w:tcBorders>
            <w:vAlign w:val="center"/>
          </w:tcPr>
          <w:p w14:paraId="45D694D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44" w:type="pct"/>
            <w:vMerge w:val="continue"/>
            <w:tcBorders>
              <w:tl2br w:val="nil"/>
              <w:tr2bl w:val="nil"/>
            </w:tcBorders>
            <w:vAlign w:val="center"/>
          </w:tcPr>
          <w:p w14:paraId="60DE74E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55" w:type="pct"/>
            <w:vMerge w:val="continue"/>
            <w:tcBorders>
              <w:tl2br w:val="nil"/>
              <w:tr2bl w:val="nil"/>
            </w:tcBorders>
            <w:vAlign w:val="center"/>
          </w:tcPr>
          <w:p w14:paraId="4B103E6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24" w:type="pct"/>
            <w:vMerge w:val="continue"/>
            <w:tcBorders>
              <w:tl2br w:val="nil"/>
              <w:tr2bl w:val="nil"/>
            </w:tcBorders>
            <w:vAlign w:val="center"/>
          </w:tcPr>
          <w:p w14:paraId="159254E5">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67131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502" w:type="pct"/>
            <w:tcBorders>
              <w:tl2br w:val="nil"/>
              <w:tr2bl w:val="nil"/>
            </w:tcBorders>
            <w:vAlign w:val="center"/>
          </w:tcPr>
          <w:p w14:paraId="3C0906C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项目区</w:t>
            </w:r>
          </w:p>
        </w:tc>
        <w:tc>
          <w:tcPr>
            <w:tcW w:w="823" w:type="pct"/>
            <w:tcBorders>
              <w:tl2br w:val="nil"/>
              <w:tr2bl w:val="nil"/>
            </w:tcBorders>
            <w:vAlign w:val="center"/>
          </w:tcPr>
          <w:p w14:paraId="4F7332B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79" w:type="pct"/>
            <w:tcBorders>
              <w:tl2br w:val="nil"/>
              <w:tr2bl w:val="nil"/>
            </w:tcBorders>
            <w:vAlign w:val="center"/>
          </w:tcPr>
          <w:p w14:paraId="286F51F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69" w:type="pct"/>
            <w:vMerge w:val="restart"/>
            <w:tcBorders>
              <w:tl2br w:val="nil"/>
              <w:tr2bl w:val="nil"/>
            </w:tcBorders>
            <w:vAlign w:val="center"/>
          </w:tcPr>
          <w:p w14:paraId="7038080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氨、硫化氢、氯化氢、汞及其化合物、砷及其化合物、镉及其化合物、铅及其化合物、氟化物</w:t>
            </w:r>
          </w:p>
        </w:tc>
        <w:tc>
          <w:tcPr>
            <w:tcW w:w="744" w:type="pct"/>
            <w:vMerge w:val="restart"/>
            <w:tcBorders>
              <w:tl2br w:val="nil"/>
              <w:tr2bl w:val="nil"/>
            </w:tcBorders>
            <w:vAlign w:val="center"/>
          </w:tcPr>
          <w:p w14:paraId="7D20537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2025年</w:t>
            </w:r>
            <w:r>
              <w:rPr>
                <w:rFonts w:hint="eastAsia" w:ascii="Times New Roman" w:hAnsi="Times New Roman" w:cs="Times New Roman" w:eastAsiaTheme="minorEastAsia"/>
                <w:szCs w:val="21"/>
                <w:lang w:val="en-US" w:eastAsia="zh-CN"/>
              </w:rPr>
              <w:t>11</w:t>
            </w:r>
            <w:r>
              <w:rPr>
                <w:rFonts w:hint="default" w:ascii="Times New Roman" w:hAnsi="Times New Roman" w:cs="Times New Roman" w:eastAsiaTheme="minorEastAsia"/>
                <w:szCs w:val="21"/>
                <w:lang w:val="en-US" w:eastAsia="zh-CN"/>
              </w:rPr>
              <w:t>月</w:t>
            </w:r>
            <w:r>
              <w:rPr>
                <w:rFonts w:hint="eastAsia" w:ascii="Times New Roman" w:hAnsi="Times New Roman" w:cs="Times New Roman" w:eastAsiaTheme="minorEastAsia"/>
                <w:szCs w:val="21"/>
                <w:lang w:val="en-US" w:eastAsia="zh-CN"/>
              </w:rPr>
              <w:t>28</w:t>
            </w:r>
            <w:r>
              <w:rPr>
                <w:rFonts w:hint="default" w:ascii="Times New Roman" w:hAnsi="Times New Roman" w:cs="Times New Roman" w:eastAsiaTheme="minorEastAsia"/>
                <w:szCs w:val="21"/>
                <w:lang w:val="en-US" w:eastAsia="zh-CN"/>
              </w:rPr>
              <w:t>日</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1</w:t>
            </w:r>
            <w:r>
              <w:rPr>
                <w:rFonts w:hint="eastAsia" w:ascii="Times New Roman" w:hAnsi="Times New Roman" w:cs="Times New Roman" w:eastAsiaTheme="minorEastAsia"/>
                <w:szCs w:val="21"/>
                <w:lang w:val="en-US" w:eastAsia="zh-CN"/>
              </w:rPr>
              <w:t>2</w:t>
            </w:r>
            <w:r>
              <w:rPr>
                <w:rFonts w:hint="default" w:ascii="Times New Roman" w:hAnsi="Times New Roman" w:cs="Times New Roman" w:eastAsiaTheme="minorEastAsia"/>
                <w:szCs w:val="21"/>
                <w:lang w:val="en-US" w:eastAsia="zh-CN"/>
              </w:rPr>
              <w:t>月</w:t>
            </w:r>
            <w:r>
              <w:rPr>
                <w:rFonts w:hint="eastAsia" w:ascii="Times New Roman" w:hAnsi="Times New Roman" w:cs="Times New Roman" w:eastAsiaTheme="minorEastAsia"/>
                <w:szCs w:val="21"/>
                <w:lang w:val="en-US" w:eastAsia="zh-CN"/>
              </w:rPr>
              <w:t>4</w:t>
            </w:r>
            <w:r>
              <w:rPr>
                <w:rFonts w:hint="default" w:ascii="Times New Roman" w:hAnsi="Times New Roman" w:cs="Times New Roman" w:eastAsiaTheme="minorEastAsia"/>
                <w:szCs w:val="21"/>
                <w:lang w:val="en-US" w:eastAsia="zh-CN"/>
              </w:rPr>
              <w:t>日</w:t>
            </w:r>
          </w:p>
        </w:tc>
        <w:tc>
          <w:tcPr>
            <w:tcW w:w="555" w:type="pct"/>
            <w:tcBorders>
              <w:tl2br w:val="nil"/>
              <w:tr2bl w:val="nil"/>
            </w:tcBorders>
            <w:vAlign w:val="center"/>
          </w:tcPr>
          <w:p w14:paraId="1E31A4B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厂区内</w:t>
            </w:r>
          </w:p>
        </w:tc>
        <w:tc>
          <w:tcPr>
            <w:tcW w:w="624" w:type="pct"/>
            <w:tcBorders>
              <w:tl2br w:val="nil"/>
              <w:tr2bl w:val="nil"/>
            </w:tcBorders>
            <w:vAlign w:val="center"/>
          </w:tcPr>
          <w:p w14:paraId="730492D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0</w:t>
            </w:r>
          </w:p>
        </w:tc>
      </w:tr>
      <w:tr w14:paraId="65965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l2br w:val="nil"/>
              <w:tr2bl w:val="nil"/>
            </w:tcBorders>
            <w:vAlign w:val="center"/>
          </w:tcPr>
          <w:p w14:paraId="1526111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项目区下风向</w:t>
            </w:r>
          </w:p>
        </w:tc>
        <w:tc>
          <w:tcPr>
            <w:tcW w:w="823" w:type="pct"/>
            <w:tcBorders>
              <w:tl2br w:val="nil"/>
              <w:tr2bl w:val="nil"/>
            </w:tcBorders>
            <w:vAlign w:val="center"/>
          </w:tcPr>
          <w:p w14:paraId="0BF0EB8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79" w:type="pct"/>
            <w:tcBorders>
              <w:tl2br w:val="nil"/>
              <w:tr2bl w:val="nil"/>
            </w:tcBorders>
            <w:vAlign w:val="center"/>
          </w:tcPr>
          <w:p w14:paraId="163F905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69" w:type="pct"/>
            <w:vMerge w:val="continue"/>
            <w:tcBorders>
              <w:tl2br w:val="nil"/>
              <w:tr2bl w:val="nil"/>
            </w:tcBorders>
            <w:vAlign w:val="center"/>
          </w:tcPr>
          <w:p w14:paraId="26D7700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44" w:type="pct"/>
            <w:vMerge w:val="continue"/>
            <w:tcBorders>
              <w:tl2br w:val="nil"/>
              <w:tr2bl w:val="nil"/>
            </w:tcBorders>
            <w:vAlign w:val="center"/>
          </w:tcPr>
          <w:p w14:paraId="10EB051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55" w:type="pct"/>
            <w:tcBorders>
              <w:tl2br w:val="nil"/>
              <w:tr2bl w:val="nil"/>
            </w:tcBorders>
            <w:vAlign w:val="center"/>
          </w:tcPr>
          <w:p w14:paraId="2A769A6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厂区</w:t>
            </w:r>
            <w:r>
              <w:rPr>
                <w:rFonts w:hint="eastAsia" w:ascii="Times New Roman" w:hAnsi="Times New Roman" w:cs="Times New Roman" w:eastAsiaTheme="minorEastAsia"/>
                <w:szCs w:val="21"/>
                <w:lang w:val="en-US" w:eastAsia="zh-CN"/>
              </w:rPr>
              <w:t>下风向</w:t>
            </w:r>
          </w:p>
        </w:tc>
        <w:tc>
          <w:tcPr>
            <w:tcW w:w="624" w:type="pct"/>
            <w:tcBorders>
              <w:tl2br w:val="nil"/>
              <w:tr2bl w:val="nil"/>
            </w:tcBorders>
            <w:vAlign w:val="center"/>
          </w:tcPr>
          <w:p w14:paraId="5F5E5F0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50</w:t>
            </w:r>
          </w:p>
        </w:tc>
      </w:tr>
    </w:tbl>
    <w:p w14:paraId="4800F5DA">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其他污染物环境质量现状监测结果：</w:t>
      </w:r>
    </w:p>
    <w:p w14:paraId="50669DEA">
      <w:pPr>
        <w:snapToGrid w:val="0"/>
        <w:spacing w:before="241" w:beforeLines="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表4.</w:t>
      </w:r>
      <w:r>
        <w:rPr>
          <w:rFonts w:hint="eastAsia" w:ascii="Times New Roman" w:hAnsi="Times New Roman" w:cs="Times New Roman"/>
          <w:b/>
          <w:szCs w:val="21"/>
          <w:lang w:val="en-US" w:eastAsia="zh-CN"/>
        </w:rPr>
        <w:t>3</w:t>
      </w:r>
      <w:r>
        <w:rPr>
          <w:rFonts w:hint="default" w:ascii="Times New Roman" w:hAnsi="Times New Roman" w:cs="Times New Roman" w:eastAsiaTheme="minorEastAsia"/>
          <w:b/>
          <w:szCs w:val="21"/>
          <w:lang w:val="en-US" w:eastAsia="zh-CN"/>
        </w:rPr>
        <w:t>-3  空气质量监测数据</w:t>
      </w:r>
    </w:p>
    <w:tbl>
      <w:tblPr>
        <w:tblStyle w:val="1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093"/>
        <w:gridCol w:w="820"/>
        <w:gridCol w:w="1475"/>
        <w:gridCol w:w="2274"/>
        <w:gridCol w:w="1178"/>
        <w:gridCol w:w="758"/>
        <w:gridCol w:w="846"/>
      </w:tblGrid>
      <w:tr w14:paraId="05F1C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90" w:type="pct"/>
            <w:vMerge w:val="restart"/>
            <w:tcBorders>
              <w:tl2br w:val="nil"/>
              <w:tr2bl w:val="nil"/>
            </w:tcBorders>
            <w:vAlign w:val="center"/>
          </w:tcPr>
          <w:p w14:paraId="1DE1739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监测点位</w:t>
            </w:r>
          </w:p>
        </w:tc>
        <w:tc>
          <w:tcPr>
            <w:tcW w:w="596" w:type="pct"/>
            <w:vMerge w:val="restart"/>
            <w:tcBorders>
              <w:tl2br w:val="nil"/>
              <w:tr2bl w:val="nil"/>
            </w:tcBorders>
            <w:vAlign w:val="center"/>
          </w:tcPr>
          <w:p w14:paraId="212C8AA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污染物</w:t>
            </w:r>
          </w:p>
        </w:tc>
        <w:tc>
          <w:tcPr>
            <w:tcW w:w="447" w:type="pct"/>
            <w:vMerge w:val="restart"/>
            <w:tcBorders>
              <w:tl2br w:val="nil"/>
              <w:tr2bl w:val="nil"/>
            </w:tcBorders>
            <w:vAlign w:val="center"/>
          </w:tcPr>
          <w:p w14:paraId="79F4D0B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平均时间</w:t>
            </w:r>
          </w:p>
        </w:tc>
        <w:tc>
          <w:tcPr>
            <w:tcW w:w="805" w:type="pct"/>
            <w:vMerge w:val="restart"/>
            <w:tcBorders>
              <w:tl2br w:val="nil"/>
              <w:tr2bl w:val="nil"/>
            </w:tcBorders>
            <w:vAlign w:val="center"/>
          </w:tcPr>
          <w:p w14:paraId="2820D97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评价标</w:t>
            </w:r>
            <w:r>
              <w:rPr>
                <w:rFonts w:hint="default" w:ascii="Times New Roman" w:hAnsi="Times New Roman" w:cs="Times New Roman" w:eastAsiaTheme="minorEastAsia"/>
                <w:color w:val="000000" w:themeColor="text1"/>
                <w:szCs w:val="21"/>
                <w:highlight w:val="none"/>
                <w:lang w:val="en-US" w:eastAsia="zh-CN"/>
                <w14:textFill>
                  <w14:solidFill>
                    <w14:schemeClr w14:val="tx1"/>
                  </w14:solidFill>
                </w14:textFill>
              </w:rPr>
              <w:t>准/（</w:t>
            </w:r>
            <w:r>
              <w:rPr>
                <w:rStyle w:val="15"/>
                <w:rFonts w:hint="eastAsia" w:ascii="Times New Roman" w:hAnsi="Times New Roman" w:cs="Times New Roman"/>
                <w:i w:val="0"/>
                <w:iCs w:val="0"/>
                <w:caps w:val="0"/>
                <w:color w:val="000000" w:themeColor="text1"/>
                <w:spacing w:val="0"/>
                <w:sz w:val="19"/>
                <w:szCs w:val="19"/>
                <w:highlight w:val="none"/>
                <w:shd w:val="clear" w:fill="FFFFFF"/>
                <w:lang w:val="en-US" w:eastAsia="zh-CN"/>
                <w14:textFill>
                  <w14:solidFill>
                    <w14:schemeClr w14:val="tx1"/>
                  </w14:solidFill>
                </w14:textFill>
              </w:rPr>
              <w:t>m</w:t>
            </w:r>
            <w:r>
              <w:rPr>
                <w:rStyle w:val="15"/>
                <w:rFonts w:hint="default" w:ascii="Times New Roman" w:hAnsi="Times New Roman" w:cs="Times New Roman" w:eastAsiaTheme="minorEastAsia"/>
                <w:i w:val="0"/>
                <w:iCs w:val="0"/>
                <w:caps w:val="0"/>
                <w:color w:val="000000" w:themeColor="text1"/>
                <w:spacing w:val="0"/>
                <w:sz w:val="19"/>
                <w:szCs w:val="19"/>
                <w:highlight w:val="none"/>
                <w:shd w:val="clear" w:fill="FFFFFF"/>
                <w14:textFill>
                  <w14:solidFill>
                    <w14:schemeClr w14:val="tx1"/>
                  </w14:solidFill>
                </w14:textFill>
              </w:rPr>
              <w:t>g</w:t>
            </w:r>
            <w:r>
              <w:rPr>
                <w:rFonts w:hint="default" w:ascii="Times New Roman" w:hAnsi="Times New Roman" w:cs="Times New Roman" w:eastAsiaTheme="minorEastAsia"/>
                <w:color w:val="000000" w:themeColor="text1"/>
                <w:szCs w:val="21"/>
                <w:highlight w:val="none"/>
                <w:lang w:val="en-US" w:eastAsia="zh-CN"/>
                <w14:textFill>
                  <w14:solidFill>
                    <w14:schemeClr w14:val="tx1"/>
                  </w14:solidFill>
                </w14:textFill>
              </w:rPr>
              <w:t>/m</w:t>
            </w:r>
            <w:r>
              <w:rPr>
                <w:rFonts w:hint="default" w:ascii="Times New Roman" w:hAnsi="Times New Roman" w:cs="Times New Roman" w:eastAsiaTheme="minorEastAsia"/>
                <w:szCs w:val="21"/>
                <w:highlight w:val="none"/>
                <w:vertAlign w:val="superscript"/>
                <w:lang w:val="en-US" w:eastAsia="zh-CN"/>
              </w:rPr>
              <w:t>3</w:t>
            </w:r>
            <w:r>
              <w:rPr>
                <w:rFonts w:hint="default" w:ascii="Times New Roman" w:hAnsi="Times New Roman" w:cs="Times New Roman" w:eastAsiaTheme="minorEastAsia"/>
                <w:szCs w:val="21"/>
                <w:highlight w:val="none"/>
                <w:lang w:val="en-US" w:eastAsia="zh-CN"/>
              </w:rPr>
              <w:t>）</w:t>
            </w:r>
          </w:p>
        </w:tc>
        <w:tc>
          <w:tcPr>
            <w:tcW w:w="1241" w:type="pct"/>
            <w:vMerge w:val="restart"/>
            <w:tcBorders>
              <w:tl2br w:val="nil"/>
              <w:tr2bl w:val="nil"/>
            </w:tcBorders>
            <w:vAlign w:val="center"/>
          </w:tcPr>
          <w:p w14:paraId="04FEF39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监测浓度范围/（</w:t>
            </w:r>
            <w:r>
              <w:rPr>
                <w:rStyle w:val="15"/>
                <w:rFonts w:hint="eastAsia" w:ascii="Times New Roman" w:hAnsi="Times New Roman" w:cs="Times New Roman"/>
                <w:i w:val="0"/>
                <w:iCs w:val="0"/>
                <w:caps w:val="0"/>
                <w:color w:val="000000" w:themeColor="text1"/>
                <w:spacing w:val="0"/>
                <w:sz w:val="19"/>
                <w:szCs w:val="19"/>
                <w:highlight w:val="none"/>
                <w:shd w:val="clear" w:fill="FFFFFF"/>
                <w:lang w:val="en-US" w:eastAsia="zh-CN"/>
                <w14:textFill>
                  <w14:solidFill>
                    <w14:schemeClr w14:val="tx1"/>
                  </w14:solidFill>
                </w14:textFill>
              </w:rPr>
              <w:t>m</w:t>
            </w:r>
            <w:r>
              <w:rPr>
                <w:rStyle w:val="15"/>
                <w:rFonts w:hint="default" w:ascii="Times New Roman" w:hAnsi="Times New Roman" w:cs="Times New Roman" w:eastAsiaTheme="minorEastAsia"/>
                <w:i w:val="0"/>
                <w:iCs w:val="0"/>
                <w:caps w:val="0"/>
                <w:color w:val="000000" w:themeColor="text1"/>
                <w:spacing w:val="0"/>
                <w:sz w:val="19"/>
                <w:szCs w:val="19"/>
                <w:highlight w:val="none"/>
                <w:shd w:val="clear" w:fill="FFFFFF"/>
                <w14:textFill>
                  <w14:solidFill>
                    <w14:schemeClr w14:val="tx1"/>
                  </w14:solidFill>
                </w14:textFill>
              </w:rPr>
              <w:t>g</w:t>
            </w:r>
            <w:r>
              <w:rPr>
                <w:rFonts w:hint="default" w:ascii="Times New Roman" w:hAnsi="Times New Roman" w:cs="Times New Roman" w:eastAsiaTheme="minorEastAsia"/>
                <w:color w:val="000000" w:themeColor="text1"/>
                <w:szCs w:val="21"/>
                <w:highlight w:val="none"/>
                <w:lang w:val="en-US" w:eastAsia="zh-CN"/>
                <w14:textFill>
                  <w14:solidFill>
                    <w14:schemeClr w14:val="tx1"/>
                  </w14:solidFill>
                </w14:textFill>
              </w:rPr>
              <w:t>/</w:t>
            </w:r>
            <w:r>
              <w:rPr>
                <w:rFonts w:hint="default" w:ascii="Times New Roman" w:hAnsi="Times New Roman" w:cs="Times New Roman" w:eastAsiaTheme="minorEastAsia"/>
                <w:szCs w:val="21"/>
                <w:highlight w:val="none"/>
                <w:lang w:val="en-US" w:eastAsia="zh-CN"/>
              </w:rPr>
              <w:t>m</w:t>
            </w:r>
            <w:r>
              <w:rPr>
                <w:rFonts w:hint="default" w:ascii="Times New Roman" w:hAnsi="Times New Roman" w:cs="Times New Roman" w:eastAsiaTheme="minorEastAsia"/>
                <w:szCs w:val="21"/>
                <w:highlight w:val="none"/>
                <w:vertAlign w:val="superscript"/>
                <w:lang w:val="en-US" w:eastAsia="zh-CN"/>
              </w:rPr>
              <w:t>3</w:t>
            </w:r>
            <w:r>
              <w:rPr>
                <w:rFonts w:hint="default" w:ascii="Times New Roman" w:hAnsi="Times New Roman" w:cs="Times New Roman" w:eastAsiaTheme="minorEastAsia"/>
                <w:szCs w:val="21"/>
                <w:highlight w:val="none"/>
                <w:lang w:val="en-US" w:eastAsia="zh-CN"/>
              </w:rPr>
              <w:t>）</w:t>
            </w:r>
          </w:p>
        </w:tc>
        <w:tc>
          <w:tcPr>
            <w:tcW w:w="643" w:type="pct"/>
            <w:vMerge w:val="restart"/>
            <w:tcBorders>
              <w:tl2br w:val="nil"/>
              <w:tr2bl w:val="nil"/>
            </w:tcBorders>
            <w:vAlign w:val="center"/>
          </w:tcPr>
          <w:p w14:paraId="0D7F3AE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最大浓度占标率/%</w:t>
            </w:r>
          </w:p>
        </w:tc>
        <w:tc>
          <w:tcPr>
            <w:tcW w:w="413" w:type="pct"/>
            <w:vMerge w:val="restart"/>
            <w:tcBorders>
              <w:tl2br w:val="nil"/>
              <w:tr2bl w:val="nil"/>
            </w:tcBorders>
            <w:vAlign w:val="center"/>
          </w:tcPr>
          <w:p w14:paraId="66113F5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超标率/%</w:t>
            </w:r>
          </w:p>
        </w:tc>
        <w:tc>
          <w:tcPr>
            <w:tcW w:w="461" w:type="pct"/>
            <w:vMerge w:val="restart"/>
            <w:tcBorders>
              <w:tl2br w:val="nil"/>
              <w:tr2bl w:val="nil"/>
            </w:tcBorders>
            <w:vAlign w:val="center"/>
          </w:tcPr>
          <w:p w14:paraId="2605550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达标情况</w:t>
            </w:r>
          </w:p>
        </w:tc>
      </w:tr>
      <w:tr w14:paraId="0A019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90" w:type="pct"/>
            <w:vMerge w:val="continue"/>
            <w:tcBorders>
              <w:tl2br w:val="nil"/>
              <w:tr2bl w:val="nil"/>
            </w:tcBorders>
            <w:vAlign w:val="center"/>
          </w:tcPr>
          <w:p w14:paraId="5250632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596" w:type="pct"/>
            <w:vMerge w:val="continue"/>
            <w:tcBorders>
              <w:tl2br w:val="nil"/>
              <w:tr2bl w:val="nil"/>
            </w:tcBorders>
            <w:vAlign w:val="center"/>
          </w:tcPr>
          <w:p w14:paraId="06758A2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447" w:type="pct"/>
            <w:vMerge w:val="continue"/>
            <w:tcBorders>
              <w:tl2br w:val="nil"/>
              <w:tr2bl w:val="nil"/>
            </w:tcBorders>
            <w:vAlign w:val="center"/>
          </w:tcPr>
          <w:p w14:paraId="76FAD95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805" w:type="pct"/>
            <w:vMerge w:val="continue"/>
            <w:tcBorders>
              <w:tl2br w:val="nil"/>
              <w:tr2bl w:val="nil"/>
            </w:tcBorders>
            <w:vAlign w:val="center"/>
          </w:tcPr>
          <w:p w14:paraId="62EB722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1241" w:type="pct"/>
            <w:vMerge w:val="continue"/>
            <w:tcBorders>
              <w:tl2br w:val="nil"/>
              <w:tr2bl w:val="nil"/>
            </w:tcBorders>
            <w:vAlign w:val="center"/>
          </w:tcPr>
          <w:p w14:paraId="2549F55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643" w:type="pct"/>
            <w:vMerge w:val="continue"/>
            <w:tcBorders>
              <w:tl2br w:val="nil"/>
              <w:tr2bl w:val="nil"/>
            </w:tcBorders>
            <w:vAlign w:val="center"/>
          </w:tcPr>
          <w:p w14:paraId="2C51568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413" w:type="pct"/>
            <w:vMerge w:val="continue"/>
            <w:tcBorders>
              <w:tl2br w:val="nil"/>
              <w:tr2bl w:val="nil"/>
            </w:tcBorders>
            <w:vAlign w:val="center"/>
          </w:tcPr>
          <w:p w14:paraId="22E23A7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461" w:type="pct"/>
            <w:vMerge w:val="continue"/>
            <w:tcBorders>
              <w:tl2br w:val="nil"/>
              <w:tr2bl w:val="nil"/>
            </w:tcBorders>
            <w:vAlign w:val="center"/>
          </w:tcPr>
          <w:p w14:paraId="698CECF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r>
      <w:tr w14:paraId="232EB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vMerge w:val="restart"/>
            <w:tcBorders>
              <w:tl2br w:val="nil"/>
              <w:tr2bl w:val="nil"/>
            </w:tcBorders>
            <w:vAlign w:val="center"/>
          </w:tcPr>
          <w:p w14:paraId="5DF5625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项目区</w:t>
            </w:r>
          </w:p>
        </w:tc>
        <w:tc>
          <w:tcPr>
            <w:tcW w:w="596" w:type="pct"/>
            <w:tcBorders>
              <w:tl2br w:val="nil"/>
              <w:tr2bl w:val="nil"/>
            </w:tcBorders>
            <w:vAlign w:val="center"/>
          </w:tcPr>
          <w:p w14:paraId="7A82820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氨</w:t>
            </w:r>
          </w:p>
        </w:tc>
        <w:tc>
          <w:tcPr>
            <w:tcW w:w="447" w:type="pct"/>
            <w:tcBorders>
              <w:tl2br w:val="nil"/>
              <w:tr2bl w:val="nil"/>
            </w:tcBorders>
            <w:vAlign w:val="center"/>
          </w:tcPr>
          <w:p w14:paraId="553ACC3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w:t>
            </w:r>
            <w:r>
              <w:rPr>
                <w:rFonts w:hint="default" w:ascii="Times New Roman" w:hAnsi="Times New Roman" w:cs="Times New Roman" w:eastAsiaTheme="minorEastAsia"/>
                <w:szCs w:val="21"/>
                <w:highlight w:val="none"/>
                <w:lang w:val="en-US" w:eastAsia="zh-CN"/>
              </w:rPr>
              <w:t>h平均值</w:t>
            </w:r>
          </w:p>
        </w:tc>
        <w:tc>
          <w:tcPr>
            <w:tcW w:w="805" w:type="pct"/>
            <w:tcBorders>
              <w:tl2br w:val="nil"/>
              <w:tr2bl w:val="nil"/>
            </w:tcBorders>
            <w:vAlign w:val="center"/>
          </w:tcPr>
          <w:p w14:paraId="5189E01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0.2</w:t>
            </w:r>
          </w:p>
        </w:tc>
        <w:tc>
          <w:tcPr>
            <w:tcW w:w="1241" w:type="pct"/>
            <w:tcBorders>
              <w:tl2br w:val="nil"/>
              <w:tr2bl w:val="nil"/>
            </w:tcBorders>
            <w:vAlign w:val="center"/>
          </w:tcPr>
          <w:p w14:paraId="2E1096A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0.03-0.05</w:t>
            </w:r>
          </w:p>
        </w:tc>
        <w:tc>
          <w:tcPr>
            <w:tcW w:w="643" w:type="pct"/>
            <w:tcBorders>
              <w:tl2br w:val="nil"/>
              <w:tr2bl w:val="nil"/>
            </w:tcBorders>
            <w:vAlign w:val="center"/>
          </w:tcPr>
          <w:p w14:paraId="21E8D29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25</w:t>
            </w:r>
          </w:p>
        </w:tc>
        <w:tc>
          <w:tcPr>
            <w:tcW w:w="413" w:type="pct"/>
            <w:tcBorders>
              <w:tl2br w:val="nil"/>
              <w:tr2bl w:val="nil"/>
            </w:tcBorders>
            <w:vAlign w:val="center"/>
          </w:tcPr>
          <w:p w14:paraId="57FA464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0</w:t>
            </w:r>
          </w:p>
        </w:tc>
        <w:tc>
          <w:tcPr>
            <w:tcW w:w="461" w:type="pct"/>
            <w:tcBorders>
              <w:tl2br w:val="nil"/>
              <w:tr2bl w:val="nil"/>
            </w:tcBorders>
            <w:vAlign w:val="center"/>
          </w:tcPr>
          <w:p w14:paraId="751FB62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达标</w:t>
            </w:r>
          </w:p>
        </w:tc>
      </w:tr>
      <w:tr w14:paraId="55593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vMerge w:val="continue"/>
            <w:tcBorders>
              <w:tl2br w:val="nil"/>
              <w:tr2bl w:val="nil"/>
            </w:tcBorders>
            <w:vAlign w:val="center"/>
          </w:tcPr>
          <w:p w14:paraId="7557A8C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596" w:type="pct"/>
            <w:tcBorders>
              <w:tl2br w:val="nil"/>
              <w:tr2bl w:val="nil"/>
            </w:tcBorders>
            <w:shd w:val="clear" w:color="auto" w:fill="auto"/>
            <w:vAlign w:val="center"/>
          </w:tcPr>
          <w:p w14:paraId="245A6D1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硫化氢</w:t>
            </w:r>
          </w:p>
        </w:tc>
        <w:tc>
          <w:tcPr>
            <w:tcW w:w="447" w:type="pct"/>
            <w:tcBorders>
              <w:tl2br w:val="nil"/>
              <w:tr2bl w:val="nil"/>
            </w:tcBorders>
            <w:vAlign w:val="center"/>
          </w:tcPr>
          <w:p w14:paraId="6208E82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1h平均值</w:t>
            </w:r>
          </w:p>
        </w:tc>
        <w:tc>
          <w:tcPr>
            <w:tcW w:w="805" w:type="pct"/>
            <w:tcBorders>
              <w:tl2br w:val="nil"/>
              <w:tr2bl w:val="nil"/>
            </w:tcBorders>
            <w:vAlign w:val="center"/>
          </w:tcPr>
          <w:p w14:paraId="1FBF80B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0.01</w:t>
            </w:r>
          </w:p>
        </w:tc>
        <w:tc>
          <w:tcPr>
            <w:tcW w:w="1241" w:type="pct"/>
            <w:tcBorders>
              <w:tl2br w:val="nil"/>
              <w:tr2bl w:val="nil"/>
            </w:tcBorders>
            <w:vAlign w:val="center"/>
          </w:tcPr>
          <w:p w14:paraId="50510F5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0.002</w:t>
            </w:r>
          </w:p>
        </w:tc>
        <w:tc>
          <w:tcPr>
            <w:tcW w:w="643" w:type="pct"/>
            <w:tcBorders>
              <w:tl2br w:val="nil"/>
              <w:tr2bl w:val="nil"/>
            </w:tcBorders>
            <w:vAlign w:val="center"/>
          </w:tcPr>
          <w:p w14:paraId="1FF5667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20</w:t>
            </w:r>
          </w:p>
        </w:tc>
        <w:tc>
          <w:tcPr>
            <w:tcW w:w="413" w:type="pct"/>
            <w:tcBorders>
              <w:tl2br w:val="nil"/>
              <w:tr2bl w:val="nil"/>
            </w:tcBorders>
            <w:vAlign w:val="center"/>
          </w:tcPr>
          <w:p w14:paraId="64DAC13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0</w:t>
            </w:r>
          </w:p>
        </w:tc>
        <w:tc>
          <w:tcPr>
            <w:tcW w:w="461" w:type="pct"/>
            <w:tcBorders>
              <w:tl2br w:val="nil"/>
              <w:tr2bl w:val="nil"/>
            </w:tcBorders>
            <w:vAlign w:val="center"/>
          </w:tcPr>
          <w:p w14:paraId="4D44DC4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达标</w:t>
            </w:r>
          </w:p>
        </w:tc>
      </w:tr>
      <w:tr w14:paraId="456E6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vMerge w:val="continue"/>
            <w:tcBorders>
              <w:tl2br w:val="nil"/>
              <w:tr2bl w:val="nil"/>
            </w:tcBorders>
            <w:vAlign w:val="center"/>
          </w:tcPr>
          <w:p w14:paraId="6875349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596" w:type="pct"/>
            <w:tcBorders>
              <w:tl2br w:val="nil"/>
              <w:tr2bl w:val="nil"/>
            </w:tcBorders>
            <w:vAlign w:val="center"/>
          </w:tcPr>
          <w:p w14:paraId="63A0754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氯化氢</w:t>
            </w:r>
          </w:p>
        </w:tc>
        <w:tc>
          <w:tcPr>
            <w:tcW w:w="447" w:type="pct"/>
            <w:tcBorders>
              <w:tl2br w:val="nil"/>
              <w:tr2bl w:val="nil"/>
            </w:tcBorders>
            <w:vAlign w:val="center"/>
          </w:tcPr>
          <w:p w14:paraId="3B579A0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1h平均值</w:t>
            </w:r>
          </w:p>
        </w:tc>
        <w:tc>
          <w:tcPr>
            <w:tcW w:w="805" w:type="pct"/>
            <w:tcBorders>
              <w:tl2br w:val="nil"/>
              <w:tr2bl w:val="nil"/>
            </w:tcBorders>
            <w:vAlign w:val="center"/>
          </w:tcPr>
          <w:p w14:paraId="38107EF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0.05</w:t>
            </w:r>
          </w:p>
        </w:tc>
        <w:tc>
          <w:tcPr>
            <w:tcW w:w="1241" w:type="pct"/>
            <w:tcBorders>
              <w:tl2br w:val="nil"/>
              <w:tr2bl w:val="nil"/>
            </w:tcBorders>
            <w:vAlign w:val="center"/>
          </w:tcPr>
          <w:p w14:paraId="5B1CD26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小于检出限（0.01）</w:t>
            </w:r>
          </w:p>
        </w:tc>
        <w:tc>
          <w:tcPr>
            <w:tcW w:w="643" w:type="pct"/>
            <w:tcBorders>
              <w:tl2br w:val="nil"/>
              <w:tr2bl w:val="nil"/>
            </w:tcBorders>
            <w:vAlign w:val="center"/>
          </w:tcPr>
          <w:p w14:paraId="68BE60A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20</w:t>
            </w:r>
          </w:p>
        </w:tc>
        <w:tc>
          <w:tcPr>
            <w:tcW w:w="413" w:type="pct"/>
            <w:tcBorders>
              <w:tl2br w:val="nil"/>
              <w:tr2bl w:val="nil"/>
            </w:tcBorders>
            <w:vAlign w:val="center"/>
          </w:tcPr>
          <w:p w14:paraId="5A79DBD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0</w:t>
            </w:r>
          </w:p>
        </w:tc>
        <w:tc>
          <w:tcPr>
            <w:tcW w:w="461" w:type="pct"/>
            <w:tcBorders>
              <w:tl2br w:val="nil"/>
              <w:tr2bl w:val="nil"/>
            </w:tcBorders>
            <w:vAlign w:val="center"/>
          </w:tcPr>
          <w:p w14:paraId="1C260B7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达标</w:t>
            </w:r>
          </w:p>
        </w:tc>
      </w:tr>
      <w:tr w14:paraId="140D0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vMerge w:val="continue"/>
            <w:tcBorders>
              <w:tl2br w:val="nil"/>
              <w:tr2bl w:val="nil"/>
            </w:tcBorders>
            <w:vAlign w:val="center"/>
          </w:tcPr>
          <w:p w14:paraId="5FAC12F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596" w:type="pct"/>
            <w:tcBorders>
              <w:tl2br w:val="nil"/>
              <w:tr2bl w:val="nil"/>
            </w:tcBorders>
            <w:vAlign w:val="center"/>
          </w:tcPr>
          <w:p w14:paraId="551EAA4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汞及其化合物</w:t>
            </w:r>
          </w:p>
        </w:tc>
        <w:tc>
          <w:tcPr>
            <w:tcW w:w="447" w:type="pct"/>
            <w:tcBorders>
              <w:tl2br w:val="nil"/>
              <w:tr2bl w:val="nil"/>
            </w:tcBorders>
            <w:vAlign w:val="center"/>
          </w:tcPr>
          <w:p w14:paraId="6F92FB5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年均值</w:t>
            </w:r>
          </w:p>
        </w:tc>
        <w:tc>
          <w:tcPr>
            <w:tcW w:w="805" w:type="pct"/>
            <w:tcBorders>
              <w:tl2br w:val="nil"/>
              <w:tr2bl w:val="nil"/>
            </w:tcBorders>
            <w:vAlign w:val="center"/>
          </w:tcPr>
          <w:p w14:paraId="6170F31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0.00005</w:t>
            </w:r>
          </w:p>
        </w:tc>
        <w:tc>
          <w:tcPr>
            <w:tcW w:w="1241" w:type="pct"/>
            <w:tcBorders>
              <w:tl2br w:val="nil"/>
              <w:tr2bl w:val="nil"/>
            </w:tcBorders>
            <w:vAlign w:val="center"/>
          </w:tcPr>
          <w:p w14:paraId="5B1257C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小于检出限（0.00001）</w:t>
            </w:r>
          </w:p>
        </w:tc>
        <w:tc>
          <w:tcPr>
            <w:tcW w:w="643" w:type="pct"/>
            <w:tcBorders>
              <w:tl2br w:val="nil"/>
              <w:tr2bl w:val="nil"/>
            </w:tcBorders>
            <w:vAlign w:val="center"/>
          </w:tcPr>
          <w:p w14:paraId="1206D16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20</w:t>
            </w:r>
          </w:p>
        </w:tc>
        <w:tc>
          <w:tcPr>
            <w:tcW w:w="413" w:type="pct"/>
            <w:tcBorders>
              <w:tl2br w:val="nil"/>
              <w:tr2bl w:val="nil"/>
            </w:tcBorders>
            <w:shd w:val="clear" w:color="auto" w:fill="auto"/>
            <w:vAlign w:val="center"/>
          </w:tcPr>
          <w:p w14:paraId="43BFF24A">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eastAsiaTheme="minorEastAsia"/>
                <w:szCs w:val="21"/>
                <w:highlight w:val="none"/>
                <w:lang w:val="en-US" w:eastAsia="zh-CN"/>
              </w:rPr>
              <w:t>0</w:t>
            </w:r>
          </w:p>
        </w:tc>
        <w:tc>
          <w:tcPr>
            <w:tcW w:w="461" w:type="pct"/>
            <w:tcBorders>
              <w:tl2br w:val="nil"/>
              <w:tr2bl w:val="nil"/>
            </w:tcBorders>
            <w:shd w:val="clear" w:color="auto" w:fill="auto"/>
            <w:vAlign w:val="center"/>
          </w:tcPr>
          <w:p w14:paraId="7346C037">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eastAsiaTheme="minorEastAsia"/>
                <w:szCs w:val="21"/>
                <w:highlight w:val="none"/>
                <w:lang w:val="en-US" w:eastAsia="zh-CN"/>
              </w:rPr>
              <w:t>达标</w:t>
            </w:r>
          </w:p>
        </w:tc>
      </w:tr>
      <w:tr w14:paraId="66305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vMerge w:val="continue"/>
            <w:tcBorders>
              <w:tl2br w:val="nil"/>
              <w:tr2bl w:val="nil"/>
            </w:tcBorders>
            <w:vAlign w:val="center"/>
          </w:tcPr>
          <w:p w14:paraId="16D132C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596" w:type="pct"/>
            <w:tcBorders>
              <w:tl2br w:val="nil"/>
              <w:tr2bl w:val="nil"/>
            </w:tcBorders>
            <w:vAlign w:val="center"/>
          </w:tcPr>
          <w:p w14:paraId="69EB3EB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砷及其化合物</w:t>
            </w:r>
          </w:p>
        </w:tc>
        <w:tc>
          <w:tcPr>
            <w:tcW w:w="447" w:type="pct"/>
            <w:tcBorders>
              <w:tl2br w:val="nil"/>
              <w:tr2bl w:val="nil"/>
            </w:tcBorders>
            <w:vAlign w:val="center"/>
          </w:tcPr>
          <w:p w14:paraId="70BF5FD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年均值</w:t>
            </w:r>
          </w:p>
        </w:tc>
        <w:tc>
          <w:tcPr>
            <w:tcW w:w="805" w:type="pct"/>
            <w:tcBorders>
              <w:tl2br w:val="nil"/>
              <w:tr2bl w:val="nil"/>
            </w:tcBorders>
            <w:vAlign w:val="center"/>
          </w:tcPr>
          <w:p w14:paraId="46125E0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6×10</w:t>
            </w:r>
            <w:r>
              <w:rPr>
                <w:rFonts w:hint="eastAsia" w:ascii="Times New Roman" w:hAnsi="Times New Roman" w:cs="Times New Roman"/>
                <w:szCs w:val="21"/>
                <w:highlight w:val="none"/>
                <w:vertAlign w:val="superscript"/>
                <w:lang w:val="en-US" w:eastAsia="zh-CN"/>
              </w:rPr>
              <w:t>-6</w:t>
            </w:r>
          </w:p>
        </w:tc>
        <w:tc>
          <w:tcPr>
            <w:tcW w:w="1241" w:type="pct"/>
            <w:tcBorders>
              <w:tl2br w:val="nil"/>
              <w:tr2bl w:val="nil"/>
            </w:tcBorders>
            <w:vAlign w:val="center"/>
          </w:tcPr>
          <w:p w14:paraId="21B979B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小于检出限（7×10</w:t>
            </w:r>
            <w:r>
              <w:rPr>
                <w:rFonts w:hint="eastAsia" w:ascii="Times New Roman" w:hAnsi="Times New Roman" w:cs="Times New Roman"/>
                <w:szCs w:val="21"/>
                <w:highlight w:val="none"/>
                <w:vertAlign w:val="superscript"/>
                <w:lang w:val="en-US" w:eastAsia="zh-CN"/>
              </w:rPr>
              <w:t>-7</w:t>
            </w:r>
            <w:r>
              <w:rPr>
                <w:rFonts w:hint="eastAsia" w:ascii="Times New Roman" w:hAnsi="Times New Roman" w:cs="Times New Roman"/>
                <w:szCs w:val="21"/>
                <w:highlight w:val="none"/>
                <w:lang w:val="en-US" w:eastAsia="zh-CN"/>
              </w:rPr>
              <w:t>）</w:t>
            </w:r>
          </w:p>
        </w:tc>
        <w:tc>
          <w:tcPr>
            <w:tcW w:w="643" w:type="pct"/>
            <w:tcBorders>
              <w:tl2br w:val="nil"/>
              <w:tr2bl w:val="nil"/>
            </w:tcBorders>
            <w:vAlign w:val="center"/>
          </w:tcPr>
          <w:p w14:paraId="186E063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11.67</w:t>
            </w:r>
          </w:p>
        </w:tc>
        <w:tc>
          <w:tcPr>
            <w:tcW w:w="413" w:type="pct"/>
            <w:tcBorders>
              <w:tl2br w:val="nil"/>
              <w:tr2bl w:val="nil"/>
            </w:tcBorders>
            <w:shd w:val="clear" w:color="auto" w:fill="auto"/>
            <w:vAlign w:val="center"/>
          </w:tcPr>
          <w:p w14:paraId="630626E0">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eastAsiaTheme="minorEastAsia"/>
                <w:szCs w:val="21"/>
                <w:highlight w:val="none"/>
                <w:lang w:val="en-US" w:eastAsia="zh-CN"/>
              </w:rPr>
              <w:t>0</w:t>
            </w:r>
          </w:p>
        </w:tc>
        <w:tc>
          <w:tcPr>
            <w:tcW w:w="461" w:type="pct"/>
            <w:tcBorders>
              <w:tl2br w:val="nil"/>
              <w:tr2bl w:val="nil"/>
            </w:tcBorders>
            <w:shd w:val="clear" w:color="auto" w:fill="auto"/>
            <w:vAlign w:val="center"/>
          </w:tcPr>
          <w:p w14:paraId="3BEAFA2D">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eastAsiaTheme="minorEastAsia"/>
                <w:szCs w:val="21"/>
                <w:highlight w:val="none"/>
                <w:lang w:val="en-US" w:eastAsia="zh-CN"/>
              </w:rPr>
              <w:t>达标</w:t>
            </w:r>
          </w:p>
        </w:tc>
      </w:tr>
      <w:tr w14:paraId="33B9F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vMerge w:val="continue"/>
            <w:tcBorders>
              <w:tl2br w:val="nil"/>
              <w:tr2bl w:val="nil"/>
            </w:tcBorders>
            <w:vAlign w:val="center"/>
          </w:tcPr>
          <w:p w14:paraId="5871EC0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596" w:type="pct"/>
            <w:tcBorders>
              <w:tl2br w:val="nil"/>
              <w:tr2bl w:val="nil"/>
            </w:tcBorders>
            <w:vAlign w:val="center"/>
          </w:tcPr>
          <w:p w14:paraId="32E7A21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镉及其化合物</w:t>
            </w:r>
          </w:p>
        </w:tc>
        <w:tc>
          <w:tcPr>
            <w:tcW w:w="447" w:type="pct"/>
            <w:tcBorders>
              <w:tl2br w:val="nil"/>
              <w:tr2bl w:val="nil"/>
            </w:tcBorders>
            <w:vAlign w:val="center"/>
          </w:tcPr>
          <w:p w14:paraId="45BADCB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年均值</w:t>
            </w:r>
          </w:p>
        </w:tc>
        <w:tc>
          <w:tcPr>
            <w:tcW w:w="805" w:type="pct"/>
            <w:tcBorders>
              <w:tl2br w:val="nil"/>
              <w:tr2bl w:val="nil"/>
            </w:tcBorders>
            <w:vAlign w:val="center"/>
          </w:tcPr>
          <w:p w14:paraId="027F2E1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5×10</w:t>
            </w:r>
            <w:r>
              <w:rPr>
                <w:rFonts w:hint="eastAsia" w:ascii="Times New Roman" w:hAnsi="Times New Roman" w:cs="Times New Roman"/>
                <w:szCs w:val="21"/>
                <w:highlight w:val="none"/>
                <w:vertAlign w:val="superscript"/>
                <w:lang w:val="en-US" w:eastAsia="zh-CN"/>
              </w:rPr>
              <w:t>-6</w:t>
            </w:r>
          </w:p>
        </w:tc>
        <w:tc>
          <w:tcPr>
            <w:tcW w:w="1241" w:type="pct"/>
            <w:tcBorders>
              <w:tl2br w:val="nil"/>
              <w:tr2bl w:val="nil"/>
            </w:tcBorders>
            <w:vAlign w:val="center"/>
          </w:tcPr>
          <w:p w14:paraId="304A3AC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小于检出限（3×10</w:t>
            </w:r>
            <w:r>
              <w:rPr>
                <w:rFonts w:hint="eastAsia" w:ascii="Times New Roman" w:hAnsi="Times New Roman" w:cs="Times New Roman"/>
                <w:szCs w:val="21"/>
                <w:highlight w:val="none"/>
                <w:vertAlign w:val="superscript"/>
                <w:lang w:val="en-US" w:eastAsia="zh-CN"/>
              </w:rPr>
              <w:t>-8</w:t>
            </w:r>
            <w:r>
              <w:rPr>
                <w:rFonts w:hint="eastAsia" w:ascii="Times New Roman" w:hAnsi="Times New Roman" w:cs="Times New Roman"/>
                <w:szCs w:val="21"/>
                <w:highlight w:val="none"/>
                <w:lang w:val="en-US" w:eastAsia="zh-CN"/>
              </w:rPr>
              <w:t>）</w:t>
            </w:r>
          </w:p>
        </w:tc>
        <w:tc>
          <w:tcPr>
            <w:tcW w:w="643" w:type="pct"/>
            <w:tcBorders>
              <w:tl2br w:val="nil"/>
              <w:tr2bl w:val="nil"/>
            </w:tcBorders>
            <w:vAlign w:val="center"/>
          </w:tcPr>
          <w:p w14:paraId="409F9C4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0.6</w:t>
            </w:r>
          </w:p>
        </w:tc>
        <w:tc>
          <w:tcPr>
            <w:tcW w:w="413" w:type="pct"/>
            <w:tcBorders>
              <w:tl2br w:val="nil"/>
              <w:tr2bl w:val="nil"/>
            </w:tcBorders>
            <w:shd w:val="clear" w:color="auto" w:fill="auto"/>
            <w:vAlign w:val="center"/>
          </w:tcPr>
          <w:p w14:paraId="3346890D">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eastAsiaTheme="minorEastAsia"/>
                <w:szCs w:val="21"/>
                <w:highlight w:val="none"/>
                <w:lang w:val="en-US" w:eastAsia="zh-CN"/>
              </w:rPr>
              <w:t>0</w:t>
            </w:r>
          </w:p>
        </w:tc>
        <w:tc>
          <w:tcPr>
            <w:tcW w:w="461" w:type="pct"/>
            <w:tcBorders>
              <w:tl2br w:val="nil"/>
              <w:tr2bl w:val="nil"/>
            </w:tcBorders>
            <w:shd w:val="clear" w:color="auto" w:fill="auto"/>
            <w:vAlign w:val="center"/>
          </w:tcPr>
          <w:p w14:paraId="53D738F5">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eastAsiaTheme="minorEastAsia"/>
                <w:szCs w:val="21"/>
                <w:highlight w:val="none"/>
                <w:lang w:val="en-US" w:eastAsia="zh-CN"/>
              </w:rPr>
              <w:t>达标</w:t>
            </w:r>
          </w:p>
        </w:tc>
      </w:tr>
      <w:tr w14:paraId="00A9F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vMerge w:val="continue"/>
            <w:tcBorders>
              <w:tl2br w:val="nil"/>
              <w:tr2bl w:val="nil"/>
            </w:tcBorders>
            <w:vAlign w:val="center"/>
          </w:tcPr>
          <w:p w14:paraId="7C668D7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596" w:type="pct"/>
            <w:tcBorders>
              <w:tl2br w:val="nil"/>
              <w:tr2bl w:val="nil"/>
            </w:tcBorders>
            <w:vAlign w:val="center"/>
          </w:tcPr>
          <w:p w14:paraId="13D0ABA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铅及其化合物</w:t>
            </w:r>
          </w:p>
        </w:tc>
        <w:tc>
          <w:tcPr>
            <w:tcW w:w="447" w:type="pct"/>
            <w:tcBorders>
              <w:tl2br w:val="nil"/>
              <w:tr2bl w:val="nil"/>
            </w:tcBorders>
            <w:vAlign w:val="center"/>
          </w:tcPr>
          <w:p w14:paraId="690D00D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季均值</w:t>
            </w:r>
          </w:p>
        </w:tc>
        <w:tc>
          <w:tcPr>
            <w:tcW w:w="805" w:type="pct"/>
            <w:tcBorders>
              <w:tl2br w:val="nil"/>
              <w:tr2bl w:val="nil"/>
            </w:tcBorders>
            <w:vAlign w:val="center"/>
          </w:tcPr>
          <w:p w14:paraId="61A7003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0.001</w:t>
            </w:r>
          </w:p>
        </w:tc>
        <w:tc>
          <w:tcPr>
            <w:tcW w:w="1241" w:type="pct"/>
            <w:tcBorders>
              <w:tl2br w:val="nil"/>
              <w:tr2bl w:val="nil"/>
            </w:tcBorders>
            <w:vAlign w:val="center"/>
          </w:tcPr>
          <w:p w14:paraId="76998BC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小于检出限（6×10</w:t>
            </w:r>
            <w:r>
              <w:rPr>
                <w:rFonts w:hint="eastAsia" w:ascii="Times New Roman" w:hAnsi="Times New Roman" w:cs="Times New Roman"/>
                <w:szCs w:val="21"/>
                <w:highlight w:val="none"/>
                <w:vertAlign w:val="superscript"/>
                <w:lang w:val="en-US" w:eastAsia="zh-CN"/>
              </w:rPr>
              <w:t>-7</w:t>
            </w:r>
            <w:r>
              <w:rPr>
                <w:rFonts w:hint="eastAsia" w:ascii="Times New Roman" w:hAnsi="Times New Roman" w:cs="Times New Roman"/>
                <w:szCs w:val="21"/>
                <w:highlight w:val="none"/>
                <w:lang w:val="en-US" w:eastAsia="zh-CN"/>
              </w:rPr>
              <w:t>）</w:t>
            </w:r>
          </w:p>
        </w:tc>
        <w:tc>
          <w:tcPr>
            <w:tcW w:w="643" w:type="pct"/>
            <w:tcBorders>
              <w:tl2br w:val="nil"/>
              <w:tr2bl w:val="nil"/>
            </w:tcBorders>
            <w:vAlign w:val="center"/>
          </w:tcPr>
          <w:p w14:paraId="62BFE27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0.06</w:t>
            </w:r>
          </w:p>
        </w:tc>
        <w:tc>
          <w:tcPr>
            <w:tcW w:w="413" w:type="pct"/>
            <w:tcBorders>
              <w:tl2br w:val="nil"/>
              <w:tr2bl w:val="nil"/>
            </w:tcBorders>
            <w:shd w:val="clear" w:color="auto" w:fill="auto"/>
            <w:vAlign w:val="center"/>
          </w:tcPr>
          <w:p w14:paraId="29D2DEB8">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eastAsiaTheme="minorEastAsia"/>
                <w:szCs w:val="21"/>
                <w:highlight w:val="none"/>
                <w:lang w:val="en-US" w:eastAsia="zh-CN"/>
              </w:rPr>
              <w:t>0</w:t>
            </w:r>
          </w:p>
        </w:tc>
        <w:tc>
          <w:tcPr>
            <w:tcW w:w="461" w:type="pct"/>
            <w:tcBorders>
              <w:tl2br w:val="nil"/>
              <w:tr2bl w:val="nil"/>
            </w:tcBorders>
            <w:shd w:val="clear" w:color="auto" w:fill="auto"/>
            <w:vAlign w:val="center"/>
          </w:tcPr>
          <w:p w14:paraId="666C65DA">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eastAsiaTheme="minorEastAsia"/>
                <w:szCs w:val="21"/>
                <w:highlight w:val="none"/>
                <w:lang w:val="en-US" w:eastAsia="zh-CN"/>
              </w:rPr>
              <w:t>达标</w:t>
            </w:r>
          </w:p>
        </w:tc>
      </w:tr>
      <w:tr w14:paraId="5FE21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vMerge w:val="continue"/>
            <w:tcBorders>
              <w:tl2br w:val="nil"/>
              <w:tr2bl w:val="nil"/>
            </w:tcBorders>
            <w:vAlign w:val="center"/>
          </w:tcPr>
          <w:p w14:paraId="305531C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596" w:type="pct"/>
            <w:tcBorders>
              <w:tl2br w:val="nil"/>
              <w:tr2bl w:val="nil"/>
            </w:tcBorders>
            <w:vAlign w:val="center"/>
          </w:tcPr>
          <w:p w14:paraId="5D8F0D8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氟化物</w:t>
            </w:r>
          </w:p>
        </w:tc>
        <w:tc>
          <w:tcPr>
            <w:tcW w:w="447" w:type="pct"/>
            <w:tcBorders>
              <w:tl2br w:val="nil"/>
              <w:tr2bl w:val="nil"/>
            </w:tcBorders>
            <w:vAlign w:val="center"/>
          </w:tcPr>
          <w:p w14:paraId="529F9E0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日均值</w:t>
            </w:r>
          </w:p>
        </w:tc>
        <w:tc>
          <w:tcPr>
            <w:tcW w:w="805" w:type="pct"/>
            <w:tcBorders>
              <w:tl2br w:val="nil"/>
              <w:tr2bl w:val="nil"/>
            </w:tcBorders>
            <w:vAlign w:val="center"/>
          </w:tcPr>
          <w:p w14:paraId="1897FCD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0.007</w:t>
            </w:r>
          </w:p>
        </w:tc>
        <w:tc>
          <w:tcPr>
            <w:tcW w:w="1241" w:type="pct"/>
            <w:tcBorders>
              <w:tl2br w:val="nil"/>
              <w:tr2bl w:val="nil"/>
            </w:tcBorders>
            <w:vAlign w:val="center"/>
          </w:tcPr>
          <w:p w14:paraId="289065D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5.8×10</w:t>
            </w:r>
            <w:r>
              <w:rPr>
                <w:rFonts w:hint="eastAsia" w:ascii="Times New Roman" w:hAnsi="Times New Roman" w:cs="Times New Roman"/>
                <w:szCs w:val="21"/>
                <w:highlight w:val="none"/>
                <w:vertAlign w:val="superscript"/>
                <w:lang w:val="en-US" w:eastAsia="zh-CN"/>
              </w:rPr>
              <w:t>-4</w:t>
            </w:r>
            <w:r>
              <w:rPr>
                <w:rFonts w:hint="eastAsia" w:ascii="Times New Roman" w:hAnsi="Times New Roman" w:cs="Times New Roman"/>
                <w:szCs w:val="21"/>
                <w:highlight w:val="none"/>
                <w:lang w:val="en-US" w:eastAsia="zh-CN"/>
              </w:rPr>
              <w:t>-8.9×10</w:t>
            </w:r>
            <w:r>
              <w:rPr>
                <w:rFonts w:hint="eastAsia" w:ascii="Times New Roman" w:hAnsi="Times New Roman" w:cs="Times New Roman"/>
                <w:szCs w:val="21"/>
                <w:highlight w:val="none"/>
                <w:vertAlign w:val="superscript"/>
                <w:lang w:val="en-US" w:eastAsia="zh-CN"/>
              </w:rPr>
              <w:t>-4</w:t>
            </w:r>
          </w:p>
        </w:tc>
        <w:tc>
          <w:tcPr>
            <w:tcW w:w="643" w:type="pct"/>
            <w:tcBorders>
              <w:tl2br w:val="nil"/>
              <w:tr2bl w:val="nil"/>
            </w:tcBorders>
            <w:vAlign w:val="center"/>
          </w:tcPr>
          <w:p w14:paraId="1C14C37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12.71</w:t>
            </w:r>
          </w:p>
        </w:tc>
        <w:tc>
          <w:tcPr>
            <w:tcW w:w="413" w:type="pct"/>
            <w:tcBorders>
              <w:tl2br w:val="nil"/>
              <w:tr2bl w:val="nil"/>
            </w:tcBorders>
            <w:shd w:val="clear" w:color="auto" w:fill="auto"/>
            <w:vAlign w:val="center"/>
          </w:tcPr>
          <w:p w14:paraId="5B674085">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eastAsiaTheme="minorEastAsia"/>
                <w:szCs w:val="21"/>
                <w:highlight w:val="none"/>
                <w:lang w:val="en-US" w:eastAsia="zh-CN"/>
              </w:rPr>
              <w:t>0</w:t>
            </w:r>
          </w:p>
        </w:tc>
        <w:tc>
          <w:tcPr>
            <w:tcW w:w="461" w:type="pct"/>
            <w:tcBorders>
              <w:tl2br w:val="nil"/>
              <w:tr2bl w:val="nil"/>
            </w:tcBorders>
            <w:shd w:val="clear" w:color="auto" w:fill="auto"/>
            <w:vAlign w:val="center"/>
          </w:tcPr>
          <w:p w14:paraId="7F7B96DB">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eastAsiaTheme="minorEastAsia"/>
                <w:szCs w:val="21"/>
                <w:highlight w:val="none"/>
                <w:lang w:val="en-US" w:eastAsia="zh-CN"/>
              </w:rPr>
              <w:t>达标</w:t>
            </w:r>
          </w:p>
        </w:tc>
      </w:tr>
      <w:tr w14:paraId="6BC44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vMerge w:val="continue"/>
            <w:tcBorders>
              <w:tl2br w:val="nil"/>
              <w:tr2bl w:val="nil"/>
            </w:tcBorders>
            <w:vAlign w:val="center"/>
          </w:tcPr>
          <w:p w14:paraId="1599D72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596" w:type="pct"/>
            <w:tcBorders>
              <w:tl2br w:val="nil"/>
              <w:tr2bl w:val="nil"/>
            </w:tcBorders>
            <w:vAlign w:val="center"/>
          </w:tcPr>
          <w:p w14:paraId="6A26FEC2">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二噁英类</w:t>
            </w:r>
          </w:p>
        </w:tc>
        <w:tc>
          <w:tcPr>
            <w:tcW w:w="447" w:type="pct"/>
            <w:tcBorders>
              <w:tl2br w:val="nil"/>
              <w:tr2bl w:val="nil"/>
            </w:tcBorders>
            <w:vAlign w:val="center"/>
          </w:tcPr>
          <w:p w14:paraId="09320787">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年均值</w:t>
            </w:r>
          </w:p>
        </w:tc>
        <w:tc>
          <w:tcPr>
            <w:tcW w:w="805" w:type="pct"/>
            <w:tcBorders>
              <w:tl2br w:val="nil"/>
              <w:tr2bl w:val="nil"/>
            </w:tcBorders>
            <w:vAlign w:val="center"/>
          </w:tcPr>
          <w:p w14:paraId="413C0E9E">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eastAsia="宋体" w:cs="宋体"/>
                <w:sz w:val="20"/>
                <w:szCs w:val="20"/>
                <w:highlight w:val="none"/>
                <w:lang w:val="en-US" w:eastAsia="zh-CN"/>
              </w:rPr>
              <w:t>0.6pgTEQ/Nm</w:t>
            </w:r>
            <w:r>
              <w:rPr>
                <w:rFonts w:hint="eastAsia" w:ascii="Times New Roman" w:hAnsi="Times New Roman" w:eastAsia="宋体" w:cs="宋体"/>
                <w:sz w:val="20"/>
                <w:szCs w:val="20"/>
                <w:highlight w:val="none"/>
                <w:vertAlign w:val="superscript"/>
                <w:lang w:val="en-US" w:eastAsia="zh-CN"/>
              </w:rPr>
              <w:t>3</w:t>
            </w:r>
          </w:p>
        </w:tc>
        <w:tc>
          <w:tcPr>
            <w:tcW w:w="1241" w:type="pct"/>
            <w:tcBorders>
              <w:tl2br w:val="nil"/>
              <w:tr2bl w:val="nil"/>
            </w:tcBorders>
            <w:vAlign w:val="center"/>
          </w:tcPr>
          <w:p w14:paraId="27DF0FB0">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0.011-0.013</w:t>
            </w:r>
          </w:p>
        </w:tc>
        <w:tc>
          <w:tcPr>
            <w:tcW w:w="643" w:type="pct"/>
            <w:tcBorders>
              <w:tl2br w:val="nil"/>
              <w:tr2bl w:val="nil"/>
            </w:tcBorders>
            <w:vAlign w:val="center"/>
          </w:tcPr>
          <w:p w14:paraId="534DC292">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0.217</w:t>
            </w:r>
          </w:p>
        </w:tc>
        <w:tc>
          <w:tcPr>
            <w:tcW w:w="413" w:type="pct"/>
            <w:tcBorders>
              <w:tl2br w:val="nil"/>
              <w:tr2bl w:val="nil"/>
            </w:tcBorders>
            <w:shd w:val="clear" w:color="auto" w:fill="auto"/>
            <w:vAlign w:val="center"/>
          </w:tcPr>
          <w:p w14:paraId="0354B7E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w:t>
            </w:r>
          </w:p>
        </w:tc>
        <w:tc>
          <w:tcPr>
            <w:tcW w:w="461" w:type="pct"/>
            <w:tcBorders>
              <w:tl2br w:val="nil"/>
              <w:tr2bl w:val="nil"/>
            </w:tcBorders>
            <w:shd w:val="clear" w:color="auto" w:fill="auto"/>
            <w:vAlign w:val="center"/>
          </w:tcPr>
          <w:p w14:paraId="4386466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达标</w:t>
            </w:r>
          </w:p>
        </w:tc>
      </w:tr>
      <w:tr w14:paraId="450F0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vMerge w:val="restart"/>
            <w:tcBorders>
              <w:tl2br w:val="nil"/>
              <w:tr2bl w:val="nil"/>
            </w:tcBorders>
            <w:vAlign w:val="center"/>
          </w:tcPr>
          <w:p w14:paraId="6866CCC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项目区下风向</w:t>
            </w:r>
          </w:p>
        </w:tc>
        <w:tc>
          <w:tcPr>
            <w:tcW w:w="596" w:type="pct"/>
            <w:tcBorders>
              <w:tl2br w:val="nil"/>
              <w:tr2bl w:val="nil"/>
            </w:tcBorders>
            <w:shd w:val="clear" w:color="auto" w:fill="auto"/>
            <w:vAlign w:val="center"/>
          </w:tcPr>
          <w:p w14:paraId="7873AF2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氨</w:t>
            </w:r>
          </w:p>
        </w:tc>
        <w:tc>
          <w:tcPr>
            <w:tcW w:w="447" w:type="pct"/>
            <w:tcBorders>
              <w:tl2br w:val="nil"/>
              <w:tr2bl w:val="nil"/>
            </w:tcBorders>
            <w:vAlign w:val="center"/>
          </w:tcPr>
          <w:p w14:paraId="2B550A8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w:t>
            </w:r>
            <w:r>
              <w:rPr>
                <w:rFonts w:hint="default" w:ascii="Times New Roman" w:hAnsi="Times New Roman" w:cs="Times New Roman" w:eastAsiaTheme="minorEastAsia"/>
                <w:szCs w:val="21"/>
                <w:highlight w:val="none"/>
                <w:lang w:val="en-US" w:eastAsia="zh-CN"/>
              </w:rPr>
              <w:t>h平均值</w:t>
            </w:r>
          </w:p>
        </w:tc>
        <w:tc>
          <w:tcPr>
            <w:tcW w:w="805" w:type="pct"/>
            <w:tcBorders>
              <w:tl2br w:val="nil"/>
              <w:tr2bl w:val="nil"/>
            </w:tcBorders>
            <w:vAlign w:val="center"/>
          </w:tcPr>
          <w:p w14:paraId="56C2358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0.2</w:t>
            </w:r>
          </w:p>
        </w:tc>
        <w:tc>
          <w:tcPr>
            <w:tcW w:w="1241" w:type="pct"/>
            <w:tcBorders>
              <w:tl2br w:val="nil"/>
              <w:tr2bl w:val="nil"/>
            </w:tcBorders>
            <w:vAlign w:val="center"/>
          </w:tcPr>
          <w:p w14:paraId="6E033C3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0.04-0.06</w:t>
            </w:r>
          </w:p>
        </w:tc>
        <w:tc>
          <w:tcPr>
            <w:tcW w:w="643" w:type="pct"/>
            <w:tcBorders>
              <w:tl2br w:val="nil"/>
              <w:tr2bl w:val="nil"/>
            </w:tcBorders>
            <w:vAlign w:val="center"/>
          </w:tcPr>
          <w:p w14:paraId="06D3F04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30</w:t>
            </w:r>
          </w:p>
        </w:tc>
        <w:tc>
          <w:tcPr>
            <w:tcW w:w="413" w:type="pct"/>
            <w:tcBorders>
              <w:tl2br w:val="nil"/>
              <w:tr2bl w:val="nil"/>
            </w:tcBorders>
            <w:shd w:val="clear" w:color="auto" w:fill="auto"/>
            <w:vAlign w:val="center"/>
          </w:tcPr>
          <w:p w14:paraId="78CCBDDA">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eastAsiaTheme="minorEastAsia"/>
                <w:szCs w:val="21"/>
                <w:highlight w:val="none"/>
                <w:lang w:val="en-US" w:eastAsia="zh-CN"/>
              </w:rPr>
              <w:t>0</w:t>
            </w:r>
          </w:p>
        </w:tc>
        <w:tc>
          <w:tcPr>
            <w:tcW w:w="461" w:type="pct"/>
            <w:tcBorders>
              <w:tl2br w:val="nil"/>
              <w:tr2bl w:val="nil"/>
            </w:tcBorders>
            <w:vAlign w:val="center"/>
          </w:tcPr>
          <w:p w14:paraId="3B3C975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达标</w:t>
            </w:r>
          </w:p>
        </w:tc>
      </w:tr>
      <w:tr w14:paraId="59EFE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vMerge w:val="continue"/>
            <w:tcBorders>
              <w:tl2br w:val="nil"/>
              <w:tr2bl w:val="nil"/>
            </w:tcBorders>
            <w:vAlign w:val="center"/>
          </w:tcPr>
          <w:p w14:paraId="7FA1C9E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596" w:type="pct"/>
            <w:tcBorders>
              <w:tl2br w:val="nil"/>
              <w:tr2bl w:val="nil"/>
            </w:tcBorders>
            <w:shd w:val="clear" w:color="auto" w:fill="auto"/>
            <w:vAlign w:val="center"/>
          </w:tcPr>
          <w:p w14:paraId="7B84E1A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硫化氢</w:t>
            </w:r>
          </w:p>
        </w:tc>
        <w:tc>
          <w:tcPr>
            <w:tcW w:w="447" w:type="pct"/>
            <w:tcBorders>
              <w:tl2br w:val="nil"/>
              <w:tr2bl w:val="nil"/>
            </w:tcBorders>
            <w:vAlign w:val="center"/>
          </w:tcPr>
          <w:p w14:paraId="32D8D0F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1h平均值</w:t>
            </w:r>
          </w:p>
        </w:tc>
        <w:tc>
          <w:tcPr>
            <w:tcW w:w="805" w:type="pct"/>
            <w:tcBorders>
              <w:tl2br w:val="nil"/>
              <w:tr2bl w:val="nil"/>
            </w:tcBorders>
            <w:vAlign w:val="center"/>
          </w:tcPr>
          <w:p w14:paraId="77231B9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0.01</w:t>
            </w:r>
          </w:p>
        </w:tc>
        <w:tc>
          <w:tcPr>
            <w:tcW w:w="1241" w:type="pct"/>
            <w:tcBorders>
              <w:tl2br w:val="nil"/>
              <w:tr2bl w:val="nil"/>
            </w:tcBorders>
            <w:vAlign w:val="center"/>
          </w:tcPr>
          <w:p w14:paraId="63C75DE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0.002</w:t>
            </w:r>
          </w:p>
        </w:tc>
        <w:tc>
          <w:tcPr>
            <w:tcW w:w="643" w:type="pct"/>
            <w:tcBorders>
              <w:tl2br w:val="nil"/>
              <w:tr2bl w:val="nil"/>
            </w:tcBorders>
            <w:shd w:val="clear" w:color="auto" w:fill="auto"/>
            <w:vAlign w:val="center"/>
          </w:tcPr>
          <w:p w14:paraId="00810405">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20</w:t>
            </w:r>
          </w:p>
        </w:tc>
        <w:tc>
          <w:tcPr>
            <w:tcW w:w="413" w:type="pct"/>
            <w:tcBorders>
              <w:tl2br w:val="nil"/>
              <w:tr2bl w:val="nil"/>
            </w:tcBorders>
            <w:shd w:val="clear" w:color="auto" w:fill="auto"/>
            <w:vAlign w:val="center"/>
          </w:tcPr>
          <w:p w14:paraId="4E4A8314">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eastAsiaTheme="minorEastAsia"/>
                <w:szCs w:val="21"/>
                <w:highlight w:val="none"/>
                <w:lang w:val="en-US" w:eastAsia="zh-CN"/>
              </w:rPr>
              <w:t>0</w:t>
            </w:r>
          </w:p>
        </w:tc>
        <w:tc>
          <w:tcPr>
            <w:tcW w:w="461" w:type="pct"/>
            <w:tcBorders>
              <w:tl2br w:val="nil"/>
              <w:tr2bl w:val="nil"/>
            </w:tcBorders>
            <w:vAlign w:val="center"/>
          </w:tcPr>
          <w:p w14:paraId="264E704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达标</w:t>
            </w:r>
          </w:p>
        </w:tc>
      </w:tr>
      <w:tr w14:paraId="3C6C2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vMerge w:val="continue"/>
            <w:tcBorders>
              <w:tl2br w:val="nil"/>
              <w:tr2bl w:val="nil"/>
            </w:tcBorders>
            <w:vAlign w:val="center"/>
          </w:tcPr>
          <w:p w14:paraId="03B6C4B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596" w:type="pct"/>
            <w:tcBorders>
              <w:tl2br w:val="nil"/>
              <w:tr2bl w:val="nil"/>
            </w:tcBorders>
            <w:shd w:val="clear" w:color="auto" w:fill="auto"/>
            <w:vAlign w:val="center"/>
          </w:tcPr>
          <w:p w14:paraId="48B2033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氯化氢</w:t>
            </w:r>
          </w:p>
        </w:tc>
        <w:tc>
          <w:tcPr>
            <w:tcW w:w="447" w:type="pct"/>
            <w:tcBorders>
              <w:tl2br w:val="nil"/>
              <w:tr2bl w:val="nil"/>
            </w:tcBorders>
            <w:vAlign w:val="center"/>
          </w:tcPr>
          <w:p w14:paraId="2811297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1h平均值</w:t>
            </w:r>
          </w:p>
        </w:tc>
        <w:tc>
          <w:tcPr>
            <w:tcW w:w="805" w:type="pct"/>
            <w:tcBorders>
              <w:tl2br w:val="nil"/>
              <w:tr2bl w:val="nil"/>
            </w:tcBorders>
            <w:vAlign w:val="center"/>
          </w:tcPr>
          <w:p w14:paraId="6F168DA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0.05</w:t>
            </w:r>
          </w:p>
        </w:tc>
        <w:tc>
          <w:tcPr>
            <w:tcW w:w="1241" w:type="pct"/>
            <w:tcBorders>
              <w:tl2br w:val="nil"/>
              <w:tr2bl w:val="nil"/>
            </w:tcBorders>
            <w:shd w:val="clear" w:color="auto" w:fill="auto"/>
            <w:vAlign w:val="center"/>
          </w:tcPr>
          <w:p w14:paraId="3B490C46">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小于检出限（0.01）</w:t>
            </w:r>
          </w:p>
        </w:tc>
        <w:tc>
          <w:tcPr>
            <w:tcW w:w="643" w:type="pct"/>
            <w:tcBorders>
              <w:tl2br w:val="nil"/>
              <w:tr2bl w:val="nil"/>
            </w:tcBorders>
            <w:shd w:val="clear" w:color="auto" w:fill="auto"/>
            <w:vAlign w:val="center"/>
          </w:tcPr>
          <w:p w14:paraId="579EA0B6">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20</w:t>
            </w:r>
          </w:p>
        </w:tc>
        <w:tc>
          <w:tcPr>
            <w:tcW w:w="413" w:type="pct"/>
            <w:tcBorders>
              <w:tl2br w:val="nil"/>
              <w:tr2bl w:val="nil"/>
            </w:tcBorders>
            <w:shd w:val="clear" w:color="auto" w:fill="auto"/>
            <w:vAlign w:val="center"/>
          </w:tcPr>
          <w:p w14:paraId="60903940">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eastAsiaTheme="minorEastAsia"/>
                <w:szCs w:val="21"/>
                <w:highlight w:val="none"/>
                <w:lang w:val="en-US" w:eastAsia="zh-CN"/>
              </w:rPr>
              <w:t>0</w:t>
            </w:r>
          </w:p>
        </w:tc>
        <w:tc>
          <w:tcPr>
            <w:tcW w:w="461" w:type="pct"/>
            <w:tcBorders>
              <w:tl2br w:val="nil"/>
              <w:tr2bl w:val="nil"/>
            </w:tcBorders>
            <w:vAlign w:val="center"/>
          </w:tcPr>
          <w:p w14:paraId="7C7F916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达标</w:t>
            </w:r>
          </w:p>
        </w:tc>
      </w:tr>
      <w:tr w14:paraId="0DF35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vMerge w:val="continue"/>
            <w:tcBorders>
              <w:tl2br w:val="nil"/>
              <w:tr2bl w:val="nil"/>
            </w:tcBorders>
            <w:vAlign w:val="center"/>
          </w:tcPr>
          <w:p w14:paraId="61FB10D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596" w:type="pct"/>
            <w:tcBorders>
              <w:tl2br w:val="nil"/>
              <w:tr2bl w:val="nil"/>
            </w:tcBorders>
            <w:shd w:val="clear" w:color="auto" w:fill="auto"/>
            <w:vAlign w:val="center"/>
          </w:tcPr>
          <w:p w14:paraId="0A260C5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汞及其化合物</w:t>
            </w:r>
          </w:p>
        </w:tc>
        <w:tc>
          <w:tcPr>
            <w:tcW w:w="447" w:type="pct"/>
            <w:tcBorders>
              <w:tl2br w:val="nil"/>
              <w:tr2bl w:val="nil"/>
            </w:tcBorders>
            <w:vAlign w:val="center"/>
          </w:tcPr>
          <w:p w14:paraId="35E98E4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年均值</w:t>
            </w:r>
          </w:p>
        </w:tc>
        <w:tc>
          <w:tcPr>
            <w:tcW w:w="805" w:type="pct"/>
            <w:tcBorders>
              <w:tl2br w:val="nil"/>
              <w:tr2bl w:val="nil"/>
            </w:tcBorders>
            <w:vAlign w:val="center"/>
          </w:tcPr>
          <w:p w14:paraId="48FDE80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0.00005</w:t>
            </w:r>
          </w:p>
        </w:tc>
        <w:tc>
          <w:tcPr>
            <w:tcW w:w="1241" w:type="pct"/>
            <w:tcBorders>
              <w:tl2br w:val="nil"/>
              <w:tr2bl w:val="nil"/>
            </w:tcBorders>
            <w:shd w:val="clear" w:color="auto" w:fill="auto"/>
            <w:vAlign w:val="center"/>
          </w:tcPr>
          <w:p w14:paraId="08CD20F5">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小于检出限（0.00001）</w:t>
            </w:r>
          </w:p>
        </w:tc>
        <w:tc>
          <w:tcPr>
            <w:tcW w:w="643" w:type="pct"/>
            <w:tcBorders>
              <w:tl2br w:val="nil"/>
              <w:tr2bl w:val="nil"/>
            </w:tcBorders>
            <w:shd w:val="clear" w:color="auto" w:fill="auto"/>
            <w:vAlign w:val="center"/>
          </w:tcPr>
          <w:p w14:paraId="7FD1537A">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20</w:t>
            </w:r>
          </w:p>
        </w:tc>
        <w:tc>
          <w:tcPr>
            <w:tcW w:w="413" w:type="pct"/>
            <w:tcBorders>
              <w:tl2br w:val="nil"/>
              <w:tr2bl w:val="nil"/>
            </w:tcBorders>
            <w:shd w:val="clear" w:color="auto" w:fill="auto"/>
            <w:vAlign w:val="center"/>
          </w:tcPr>
          <w:p w14:paraId="5A556C36">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eastAsiaTheme="minorEastAsia"/>
                <w:szCs w:val="21"/>
                <w:highlight w:val="none"/>
                <w:lang w:val="en-US" w:eastAsia="zh-CN"/>
              </w:rPr>
              <w:t>0</w:t>
            </w:r>
          </w:p>
        </w:tc>
        <w:tc>
          <w:tcPr>
            <w:tcW w:w="461" w:type="pct"/>
            <w:tcBorders>
              <w:tl2br w:val="nil"/>
              <w:tr2bl w:val="nil"/>
            </w:tcBorders>
            <w:vAlign w:val="center"/>
          </w:tcPr>
          <w:p w14:paraId="66B664E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达标</w:t>
            </w:r>
          </w:p>
        </w:tc>
      </w:tr>
      <w:tr w14:paraId="07379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vMerge w:val="continue"/>
            <w:tcBorders>
              <w:tl2br w:val="nil"/>
              <w:tr2bl w:val="nil"/>
            </w:tcBorders>
            <w:vAlign w:val="center"/>
          </w:tcPr>
          <w:p w14:paraId="7995E89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596" w:type="pct"/>
            <w:tcBorders>
              <w:tl2br w:val="nil"/>
              <w:tr2bl w:val="nil"/>
            </w:tcBorders>
            <w:shd w:val="clear" w:color="auto" w:fill="auto"/>
            <w:vAlign w:val="center"/>
          </w:tcPr>
          <w:p w14:paraId="16A2632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砷及其化合物</w:t>
            </w:r>
          </w:p>
        </w:tc>
        <w:tc>
          <w:tcPr>
            <w:tcW w:w="447" w:type="pct"/>
            <w:tcBorders>
              <w:tl2br w:val="nil"/>
              <w:tr2bl w:val="nil"/>
            </w:tcBorders>
            <w:vAlign w:val="center"/>
          </w:tcPr>
          <w:p w14:paraId="24BEFA5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年均值</w:t>
            </w:r>
          </w:p>
        </w:tc>
        <w:tc>
          <w:tcPr>
            <w:tcW w:w="805" w:type="pct"/>
            <w:tcBorders>
              <w:tl2br w:val="nil"/>
              <w:tr2bl w:val="nil"/>
            </w:tcBorders>
            <w:vAlign w:val="center"/>
          </w:tcPr>
          <w:p w14:paraId="79DA51F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6×10</w:t>
            </w:r>
            <w:r>
              <w:rPr>
                <w:rFonts w:hint="eastAsia" w:ascii="Times New Roman" w:hAnsi="Times New Roman" w:cs="Times New Roman"/>
                <w:szCs w:val="21"/>
                <w:highlight w:val="none"/>
                <w:vertAlign w:val="superscript"/>
                <w:lang w:val="en-US" w:eastAsia="zh-CN"/>
              </w:rPr>
              <w:t>-6</w:t>
            </w:r>
          </w:p>
        </w:tc>
        <w:tc>
          <w:tcPr>
            <w:tcW w:w="1241" w:type="pct"/>
            <w:tcBorders>
              <w:tl2br w:val="nil"/>
              <w:tr2bl w:val="nil"/>
            </w:tcBorders>
            <w:shd w:val="clear" w:color="auto" w:fill="auto"/>
            <w:vAlign w:val="center"/>
          </w:tcPr>
          <w:p w14:paraId="71BF97D8">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小于检出限（7×10</w:t>
            </w:r>
            <w:r>
              <w:rPr>
                <w:rFonts w:hint="eastAsia" w:ascii="Times New Roman" w:hAnsi="Times New Roman" w:cs="Times New Roman"/>
                <w:szCs w:val="21"/>
                <w:highlight w:val="none"/>
                <w:vertAlign w:val="superscript"/>
                <w:lang w:val="en-US" w:eastAsia="zh-CN"/>
              </w:rPr>
              <w:t>-7</w:t>
            </w:r>
            <w:r>
              <w:rPr>
                <w:rFonts w:hint="eastAsia" w:ascii="Times New Roman" w:hAnsi="Times New Roman" w:cs="Times New Roman"/>
                <w:szCs w:val="21"/>
                <w:highlight w:val="none"/>
                <w:lang w:val="en-US" w:eastAsia="zh-CN"/>
              </w:rPr>
              <w:t>）</w:t>
            </w:r>
          </w:p>
        </w:tc>
        <w:tc>
          <w:tcPr>
            <w:tcW w:w="643" w:type="pct"/>
            <w:tcBorders>
              <w:tl2br w:val="nil"/>
              <w:tr2bl w:val="nil"/>
            </w:tcBorders>
            <w:shd w:val="clear" w:color="auto" w:fill="auto"/>
            <w:vAlign w:val="center"/>
          </w:tcPr>
          <w:p w14:paraId="65036A58">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11.67</w:t>
            </w:r>
          </w:p>
        </w:tc>
        <w:tc>
          <w:tcPr>
            <w:tcW w:w="413" w:type="pct"/>
            <w:tcBorders>
              <w:tl2br w:val="nil"/>
              <w:tr2bl w:val="nil"/>
            </w:tcBorders>
            <w:shd w:val="clear" w:color="auto" w:fill="auto"/>
            <w:vAlign w:val="center"/>
          </w:tcPr>
          <w:p w14:paraId="0EED77A7">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eastAsiaTheme="minorEastAsia"/>
                <w:szCs w:val="21"/>
                <w:highlight w:val="none"/>
                <w:lang w:val="en-US" w:eastAsia="zh-CN"/>
              </w:rPr>
              <w:t>0</w:t>
            </w:r>
          </w:p>
        </w:tc>
        <w:tc>
          <w:tcPr>
            <w:tcW w:w="461" w:type="pct"/>
            <w:tcBorders>
              <w:tl2br w:val="nil"/>
              <w:tr2bl w:val="nil"/>
            </w:tcBorders>
            <w:vAlign w:val="center"/>
          </w:tcPr>
          <w:p w14:paraId="1F4B660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达标</w:t>
            </w:r>
          </w:p>
        </w:tc>
      </w:tr>
      <w:tr w14:paraId="64587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vMerge w:val="continue"/>
            <w:tcBorders>
              <w:tl2br w:val="nil"/>
              <w:tr2bl w:val="nil"/>
            </w:tcBorders>
            <w:vAlign w:val="center"/>
          </w:tcPr>
          <w:p w14:paraId="0B4DBEB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596" w:type="pct"/>
            <w:tcBorders>
              <w:tl2br w:val="nil"/>
              <w:tr2bl w:val="nil"/>
            </w:tcBorders>
            <w:shd w:val="clear" w:color="auto" w:fill="auto"/>
            <w:vAlign w:val="center"/>
          </w:tcPr>
          <w:p w14:paraId="65A06D2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镉及其化合物</w:t>
            </w:r>
          </w:p>
        </w:tc>
        <w:tc>
          <w:tcPr>
            <w:tcW w:w="447" w:type="pct"/>
            <w:tcBorders>
              <w:tl2br w:val="nil"/>
              <w:tr2bl w:val="nil"/>
            </w:tcBorders>
            <w:vAlign w:val="center"/>
          </w:tcPr>
          <w:p w14:paraId="3C0A5D8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年均值</w:t>
            </w:r>
          </w:p>
        </w:tc>
        <w:tc>
          <w:tcPr>
            <w:tcW w:w="805" w:type="pct"/>
            <w:tcBorders>
              <w:tl2br w:val="nil"/>
              <w:tr2bl w:val="nil"/>
            </w:tcBorders>
            <w:vAlign w:val="center"/>
          </w:tcPr>
          <w:p w14:paraId="60F767F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5×10</w:t>
            </w:r>
            <w:r>
              <w:rPr>
                <w:rFonts w:hint="eastAsia" w:ascii="Times New Roman" w:hAnsi="Times New Roman" w:cs="Times New Roman"/>
                <w:szCs w:val="21"/>
                <w:highlight w:val="none"/>
                <w:vertAlign w:val="superscript"/>
                <w:lang w:val="en-US" w:eastAsia="zh-CN"/>
              </w:rPr>
              <w:t>-6</w:t>
            </w:r>
          </w:p>
        </w:tc>
        <w:tc>
          <w:tcPr>
            <w:tcW w:w="1241" w:type="pct"/>
            <w:tcBorders>
              <w:tl2br w:val="nil"/>
              <w:tr2bl w:val="nil"/>
            </w:tcBorders>
            <w:shd w:val="clear" w:color="auto" w:fill="auto"/>
            <w:vAlign w:val="center"/>
          </w:tcPr>
          <w:p w14:paraId="48D7448D">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小于检出限（3×10</w:t>
            </w:r>
            <w:r>
              <w:rPr>
                <w:rFonts w:hint="eastAsia" w:ascii="Times New Roman" w:hAnsi="Times New Roman" w:cs="Times New Roman"/>
                <w:szCs w:val="21"/>
                <w:highlight w:val="none"/>
                <w:vertAlign w:val="superscript"/>
                <w:lang w:val="en-US" w:eastAsia="zh-CN"/>
              </w:rPr>
              <w:t>-8</w:t>
            </w:r>
            <w:r>
              <w:rPr>
                <w:rFonts w:hint="eastAsia" w:ascii="Times New Roman" w:hAnsi="Times New Roman" w:cs="Times New Roman"/>
                <w:szCs w:val="21"/>
                <w:highlight w:val="none"/>
                <w:lang w:val="en-US" w:eastAsia="zh-CN"/>
              </w:rPr>
              <w:t>）</w:t>
            </w:r>
          </w:p>
        </w:tc>
        <w:tc>
          <w:tcPr>
            <w:tcW w:w="643" w:type="pct"/>
            <w:tcBorders>
              <w:tl2br w:val="nil"/>
              <w:tr2bl w:val="nil"/>
            </w:tcBorders>
            <w:shd w:val="clear" w:color="auto" w:fill="auto"/>
            <w:vAlign w:val="center"/>
          </w:tcPr>
          <w:p w14:paraId="0343BE00">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0.6</w:t>
            </w:r>
          </w:p>
        </w:tc>
        <w:tc>
          <w:tcPr>
            <w:tcW w:w="413" w:type="pct"/>
            <w:tcBorders>
              <w:tl2br w:val="nil"/>
              <w:tr2bl w:val="nil"/>
            </w:tcBorders>
            <w:shd w:val="clear" w:color="auto" w:fill="auto"/>
            <w:vAlign w:val="center"/>
          </w:tcPr>
          <w:p w14:paraId="371F8221">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eastAsiaTheme="minorEastAsia"/>
                <w:szCs w:val="21"/>
                <w:highlight w:val="none"/>
                <w:lang w:val="en-US" w:eastAsia="zh-CN"/>
              </w:rPr>
              <w:t>0</w:t>
            </w:r>
          </w:p>
        </w:tc>
        <w:tc>
          <w:tcPr>
            <w:tcW w:w="461" w:type="pct"/>
            <w:tcBorders>
              <w:tl2br w:val="nil"/>
              <w:tr2bl w:val="nil"/>
            </w:tcBorders>
            <w:vAlign w:val="center"/>
          </w:tcPr>
          <w:p w14:paraId="0326820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达标</w:t>
            </w:r>
          </w:p>
        </w:tc>
      </w:tr>
      <w:tr w14:paraId="5EF16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vMerge w:val="continue"/>
            <w:tcBorders>
              <w:tl2br w:val="nil"/>
              <w:tr2bl w:val="nil"/>
            </w:tcBorders>
            <w:vAlign w:val="center"/>
          </w:tcPr>
          <w:p w14:paraId="4925FD6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596" w:type="pct"/>
            <w:tcBorders>
              <w:tl2br w:val="nil"/>
              <w:tr2bl w:val="nil"/>
            </w:tcBorders>
            <w:shd w:val="clear" w:color="auto" w:fill="auto"/>
            <w:vAlign w:val="center"/>
          </w:tcPr>
          <w:p w14:paraId="2B81D45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铅及其化合物</w:t>
            </w:r>
          </w:p>
        </w:tc>
        <w:tc>
          <w:tcPr>
            <w:tcW w:w="447" w:type="pct"/>
            <w:tcBorders>
              <w:tl2br w:val="nil"/>
              <w:tr2bl w:val="nil"/>
            </w:tcBorders>
            <w:vAlign w:val="center"/>
          </w:tcPr>
          <w:p w14:paraId="3C79452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季均值</w:t>
            </w:r>
          </w:p>
        </w:tc>
        <w:tc>
          <w:tcPr>
            <w:tcW w:w="805" w:type="pct"/>
            <w:tcBorders>
              <w:tl2br w:val="nil"/>
              <w:tr2bl w:val="nil"/>
            </w:tcBorders>
            <w:vAlign w:val="center"/>
          </w:tcPr>
          <w:p w14:paraId="57D1383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0.001</w:t>
            </w:r>
          </w:p>
        </w:tc>
        <w:tc>
          <w:tcPr>
            <w:tcW w:w="1241" w:type="pct"/>
            <w:tcBorders>
              <w:tl2br w:val="nil"/>
              <w:tr2bl w:val="nil"/>
            </w:tcBorders>
            <w:shd w:val="clear" w:color="auto" w:fill="auto"/>
            <w:vAlign w:val="center"/>
          </w:tcPr>
          <w:p w14:paraId="5C5ADA1B">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小于检出限（6×10</w:t>
            </w:r>
            <w:r>
              <w:rPr>
                <w:rFonts w:hint="eastAsia" w:ascii="Times New Roman" w:hAnsi="Times New Roman" w:cs="Times New Roman"/>
                <w:szCs w:val="21"/>
                <w:highlight w:val="none"/>
                <w:vertAlign w:val="superscript"/>
                <w:lang w:val="en-US" w:eastAsia="zh-CN"/>
              </w:rPr>
              <w:t>-7</w:t>
            </w:r>
            <w:r>
              <w:rPr>
                <w:rFonts w:hint="eastAsia" w:ascii="Times New Roman" w:hAnsi="Times New Roman" w:cs="Times New Roman"/>
                <w:szCs w:val="21"/>
                <w:highlight w:val="none"/>
                <w:lang w:val="en-US" w:eastAsia="zh-CN"/>
              </w:rPr>
              <w:t>）</w:t>
            </w:r>
          </w:p>
        </w:tc>
        <w:tc>
          <w:tcPr>
            <w:tcW w:w="643" w:type="pct"/>
            <w:tcBorders>
              <w:tl2br w:val="nil"/>
              <w:tr2bl w:val="nil"/>
            </w:tcBorders>
            <w:shd w:val="clear" w:color="auto" w:fill="auto"/>
            <w:vAlign w:val="center"/>
          </w:tcPr>
          <w:p w14:paraId="487B7451">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0.06</w:t>
            </w:r>
          </w:p>
        </w:tc>
        <w:tc>
          <w:tcPr>
            <w:tcW w:w="413" w:type="pct"/>
            <w:tcBorders>
              <w:tl2br w:val="nil"/>
              <w:tr2bl w:val="nil"/>
            </w:tcBorders>
            <w:shd w:val="clear" w:color="auto" w:fill="auto"/>
            <w:vAlign w:val="center"/>
          </w:tcPr>
          <w:p w14:paraId="3733E538">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eastAsiaTheme="minorEastAsia"/>
                <w:szCs w:val="21"/>
                <w:highlight w:val="none"/>
                <w:lang w:val="en-US" w:eastAsia="zh-CN"/>
              </w:rPr>
              <w:t>0</w:t>
            </w:r>
          </w:p>
        </w:tc>
        <w:tc>
          <w:tcPr>
            <w:tcW w:w="461" w:type="pct"/>
            <w:tcBorders>
              <w:tl2br w:val="nil"/>
              <w:tr2bl w:val="nil"/>
            </w:tcBorders>
            <w:vAlign w:val="center"/>
          </w:tcPr>
          <w:p w14:paraId="05A6DB7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达标</w:t>
            </w:r>
          </w:p>
        </w:tc>
      </w:tr>
      <w:tr w14:paraId="50EFF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vMerge w:val="continue"/>
            <w:tcBorders>
              <w:tl2br w:val="nil"/>
              <w:tr2bl w:val="nil"/>
            </w:tcBorders>
            <w:vAlign w:val="center"/>
          </w:tcPr>
          <w:p w14:paraId="42DEDAA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596" w:type="pct"/>
            <w:tcBorders>
              <w:tl2br w:val="nil"/>
              <w:tr2bl w:val="nil"/>
            </w:tcBorders>
            <w:shd w:val="clear" w:color="auto" w:fill="auto"/>
            <w:vAlign w:val="center"/>
          </w:tcPr>
          <w:p w14:paraId="5E35A3A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氟化物</w:t>
            </w:r>
          </w:p>
        </w:tc>
        <w:tc>
          <w:tcPr>
            <w:tcW w:w="447" w:type="pct"/>
            <w:tcBorders>
              <w:tl2br w:val="nil"/>
              <w:tr2bl w:val="nil"/>
            </w:tcBorders>
            <w:vAlign w:val="center"/>
          </w:tcPr>
          <w:p w14:paraId="64B27AF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日均值</w:t>
            </w:r>
          </w:p>
        </w:tc>
        <w:tc>
          <w:tcPr>
            <w:tcW w:w="805" w:type="pct"/>
            <w:tcBorders>
              <w:tl2br w:val="nil"/>
              <w:tr2bl w:val="nil"/>
            </w:tcBorders>
            <w:vAlign w:val="center"/>
          </w:tcPr>
          <w:p w14:paraId="0CFCA92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0.007</w:t>
            </w:r>
          </w:p>
        </w:tc>
        <w:tc>
          <w:tcPr>
            <w:tcW w:w="1241" w:type="pct"/>
            <w:tcBorders>
              <w:tl2br w:val="nil"/>
              <w:tr2bl w:val="nil"/>
            </w:tcBorders>
            <w:vAlign w:val="center"/>
          </w:tcPr>
          <w:p w14:paraId="2C62E6D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5.2×10</w:t>
            </w:r>
            <w:r>
              <w:rPr>
                <w:rFonts w:hint="eastAsia" w:ascii="Times New Roman" w:hAnsi="Times New Roman" w:cs="Times New Roman"/>
                <w:szCs w:val="21"/>
                <w:highlight w:val="none"/>
                <w:vertAlign w:val="superscript"/>
                <w:lang w:val="en-US" w:eastAsia="zh-CN"/>
              </w:rPr>
              <w:t>-4</w:t>
            </w:r>
            <w:r>
              <w:rPr>
                <w:rFonts w:hint="eastAsia" w:ascii="Times New Roman" w:hAnsi="Times New Roman" w:cs="Times New Roman"/>
                <w:szCs w:val="21"/>
                <w:highlight w:val="none"/>
                <w:lang w:val="en-US" w:eastAsia="zh-CN"/>
              </w:rPr>
              <w:t>-6.6×10</w:t>
            </w:r>
            <w:r>
              <w:rPr>
                <w:rFonts w:hint="eastAsia" w:ascii="Times New Roman" w:hAnsi="Times New Roman" w:cs="Times New Roman"/>
                <w:szCs w:val="21"/>
                <w:highlight w:val="none"/>
                <w:vertAlign w:val="superscript"/>
                <w:lang w:val="en-US" w:eastAsia="zh-CN"/>
              </w:rPr>
              <w:t>-4</w:t>
            </w:r>
          </w:p>
        </w:tc>
        <w:tc>
          <w:tcPr>
            <w:tcW w:w="643" w:type="pct"/>
            <w:tcBorders>
              <w:tl2br w:val="nil"/>
              <w:tr2bl w:val="nil"/>
            </w:tcBorders>
            <w:vAlign w:val="center"/>
          </w:tcPr>
          <w:p w14:paraId="0B40C0A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9.43</w:t>
            </w:r>
          </w:p>
        </w:tc>
        <w:tc>
          <w:tcPr>
            <w:tcW w:w="413" w:type="pct"/>
            <w:tcBorders>
              <w:tl2br w:val="nil"/>
              <w:tr2bl w:val="nil"/>
            </w:tcBorders>
            <w:shd w:val="clear" w:color="auto" w:fill="auto"/>
            <w:vAlign w:val="center"/>
          </w:tcPr>
          <w:p w14:paraId="03F8C3F3">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eastAsiaTheme="minorEastAsia"/>
                <w:szCs w:val="21"/>
                <w:highlight w:val="none"/>
                <w:lang w:val="en-US" w:eastAsia="zh-CN"/>
              </w:rPr>
              <w:t>0</w:t>
            </w:r>
          </w:p>
        </w:tc>
        <w:tc>
          <w:tcPr>
            <w:tcW w:w="461" w:type="pct"/>
            <w:tcBorders>
              <w:tl2br w:val="nil"/>
              <w:tr2bl w:val="nil"/>
            </w:tcBorders>
            <w:vAlign w:val="center"/>
          </w:tcPr>
          <w:p w14:paraId="5350CDD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达标</w:t>
            </w:r>
          </w:p>
        </w:tc>
      </w:tr>
      <w:tr w14:paraId="3166B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pct"/>
            <w:vMerge w:val="continue"/>
            <w:tcBorders>
              <w:tl2br w:val="nil"/>
              <w:tr2bl w:val="nil"/>
            </w:tcBorders>
            <w:vAlign w:val="center"/>
          </w:tcPr>
          <w:p w14:paraId="33CC4E4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596" w:type="pct"/>
            <w:tcBorders>
              <w:tl2br w:val="nil"/>
              <w:tr2bl w:val="nil"/>
            </w:tcBorders>
            <w:shd w:val="clear" w:color="auto" w:fill="auto"/>
            <w:vAlign w:val="center"/>
          </w:tcPr>
          <w:p w14:paraId="0A64588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二噁英类</w:t>
            </w:r>
          </w:p>
        </w:tc>
        <w:tc>
          <w:tcPr>
            <w:tcW w:w="447" w:type="pct"/>
            <w:tcBorders>
              <w:tl2br w:val="nil"/>
              <w:tr2bl w:val="nil"/>
            </w:tcBorders>
            <w:vAlign w:val="center"/>
          </w:tcPr>
          <w:p w14:paraId="328AD5BE">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年均值</w:t>
            </w:r>
          </w:p>
        </w:tc>
        <w:tc>
          <w:tcPr>
            <w:tcW w:w="805" w:type="pct"/>
            <w:tcBorders>
              <w:tl2br w:val="nil"/>
              <w:tr2bl w:val="nil"/>
            </w:tcBorders>
            <w:vAlign w:val="center"/>
          </w:tcPr>
          <w:p w14:paraId="7EB37A17">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eastAsia="宋体" w:cs="宋体"/>
                <w:sz w:val="20"/>
                <w:szCs w:val="20"/>
                <w:highlight w:val="none"/>
                <w:lang w:val="en-US" w:eastAsia="zh-CN"/>
              </w:rPr>
              <w:t>0.6pgTEQ/Nm</w:t>
            </w:r>
            <w:r>
              <w:rPr>
                <w:rFonts w:hint="eastAsia" w:ascii="Times New Roman" w:hAnsi="Times New Roman" w:eastAsia="宋体" w:cs="宋体"/>
                <w:sz w:val="20"/>
                <w:szCs w:val="20"/>
                <w:highlight w:val="none"/>
                <w:vertAlign w:val="superscript"/>
                <w:lang w:val="en-US" w:eastAsia="zh-CN"/>
              </w:rPr>
              <w:t>3</w:t>
            </w:r>
          </w:p>
        </w:tc>
        <w:tc>
          <w:tcPr>
            <w:tcW w:w="1241" w:type="pct"/>
            <w:tcBorders>
              <w:tl2br w:val="nil"/>
              <w:tr2bl w:val="nil"/>
            </w:tcBorders>
            <w:vAlign w:val="center"/>
          </w:tcPr>
          <w:p w14:paraId="2A61D78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0.0095-0.010</w:t>
            </w:r>
          </w:p>
        </w:tc>
        <w:tc>
          <w:tcPr>
            <w:tcW w:w="643" w:type="pct"/>
            <w:tcBorders>
              <w:tl2br w:val="nil"/>
              <w:tr2bl w:val="nil"/>
            </w:tcBorders>
            <w:vAlign w:val="center"/>
          </w:tcPr>
          <w:p w14:paraId="5706DFEB">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1.67</w:t>
            </w:r>
          </w:p>
        </w:tc>
        <w:tc>
          <w:tcPr>
            <w:tcW w:w="413" w:type="pct"/>
            <w:tcBorders>
              <w:tl2br w:val="nil"/>
              <w:tr2bl w:val="nil"/>
            </w:tcBorders>
            <w:shd w:val="clear" w:color="auto" w:fill="auto"/>
            <w:vAlign w:val="center"/>
          </w:tcPr>
          <w:p w14:paraId="4073B22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w:t>
            </w:r>
          </w:p>
        </w:tc>
        <w:tc>
          <w:tcPr>
            <w:tcW w:w="461" w:type="pct"/>
            <w:tcBorders>
              <w:tl2br w:val="nil"/>
              <w:tr2bl w:val="nil"/>
            </w:tcBorders>
            <w:vAlign w:val="center"/>
          </w:tcPr>
          <w:p w14:paraId="7EC74D0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达标</w:t>
            </w:r>
          </w:p>
        </w:tc>
      </w:tr>
    </w:tbl>
    <w:p w14:paraId="13A8B9F8">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根据表4.</w:t>
      </w:r>
      <w:r>
        <w:rPr>
          <w:rFonts w:hint="eastAsia" w:ascii="Times New Roman" w:hAnsi="Times New Roman" w:cs="Times New Roman"/>
          <w:sz w:val="24"/>
          <w:highlight w:val="none"/>
          <w:lang w:val="en-US" w:eastAsia="zh-CN"/>
        </w:rPr>
        <w:t>3</w:t>
      </w:r>
      <w:r>
        <w:rPr>
          <w:rFonts w:hint="default" w:ascii="Times New Roman" w:hAnsi="Times New Roman" w:cs="Times New Roman" w:eastAsiaTheme="minorEastAsia"/>
          <w:sz w:val="24"/>
          <w:highlight w:val="none"/>
          <w:lang w:val="en-US" w:eastAsia="zh-CN"/>
        </w:rPr>
        <w:t>-3其他污染物监测结果可知，</w:t>
      </w:r>
      <w:r>
        <w:rPr>
          <w:rFonts w:hint="eastAsia" w:ascii="Times New Roman" w:hAnsi="Times New Roman" w:cs="Times New Roman" w:eastAsiaTheme="minorEastAsia"/>
          <w:sz w:val="24"/>
          <w:highlight w:val="none"/>
          <w:lang w:val="en-US" w:eastAsia="zh-CN"/>
        </w:rPr>
        <w:t>项目区内外各点各污染物大气监测数据均满足相应标准要求</w:t>
      </w:r>
      <w:r>
        <w:rPr>
          <w:rFonts w:hint="default" w:ascii="Times New Roman" w:hAnsi="Times New Roman" w:cs="Times New Roman" w:eastAsiaTheme="minorEastAsia"/>
          <w:sz w:val="24"/>
          <w:highlight w:val="none"/>
          <w:lang w:val="en-US" w:eastAsia="zh-CN"/>
        </w:rPr>
        <w:t>。</w:t>
      </w:r>
    </w:p>
    <w:bookmarkEnd w:id="191"/>
    <w:p w14:paraId="23804BE5">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192" w:name="_Toc12128"/>
      <w:bookmarkStart w:id="193" w:name="_Toc15288"/>
      <w:r>
        <w:rPr>
          <w:rFonts w:hint="default" w:ascii="Times New Roman" w:hAnsi="Times New Roman" w:cs="Times New Roman" w:eastAsiaTheme="minorEastAsia"/>
          <w:kern w:val="0"/>
          <w:sz w:val="24"/>
          <w:szCs w:val="24"/>
          <w:lang w:val="en-US" w:eastAsia="zh-CN"/>
        </w:rPr>
        <w:t>4.</w:t>
      </w:r>
      <w:r>
        <w:rPr>
          <w:rFonts w:hint="eastAsia" w:ascii="Times New Roman" w:hAnsi="Times New Roman" w:cs="Times New Roman"/>
          <w:kern w:val="0"/>
          <w:sz w:val="24"/>
          <w:szCs w:val="24"/>
          <w:lang w:val="en-US" w:eastAsia="zh-CN"/>
        </w:rPr>
        <w:t>3</w:t>
      </w:r>
      <w:r>
        <w:rPr>
          <w:rFonts w:hint="default" w:ascii="Times New Roman" w:hAnsi="Times New Roman" w:cs="Times New Roman" w:eastAsiaTheme="minorEastAsia"/>
          <w:kern w:val="0"/>
          <w:sz w:val="24"/>
          <w:szCs w:val="24"/>
          <w:lang w:val="en-US" w:eastAsia="zh-CN"/>
        </w:rPr>
        <w:t>.</w:t>
      </w:r>
      <w:r>
        <w:rPr>
          <w:rFonts w:hint="eastAsia" w:ascii="Times New Roman" w:hAnsi="Times New Roman" w:cs="Times New Roman"/>
          <w:kern w:val="0"/>
          <w:sz w:val="24"/>
          <w:szCs w:val="24"/>
          <w:lang w:val="en-US" w:eastAsia="zh-CN"/>
        </w:rPr>
        <w:t>3</w:t>
      </w:r>
      <w:r>
        <w:rPr>
          <w:rFonts w:hint="default" w:ascii="Times New Roman" w:hAnsi="Times New Roman" w:cs="Times New Roman" w:eastAsiaTheme="minorEastAsia"/>
          <w:kern w:val="0"/>
          <w:sz w:val="24"/>
          <w:szCs w:val="24"/>
          <w:lang w:val="en-US" w:eastAsia="zh-CN"/>
        </w:rPr>
        <w:t>声环境现状调查与评价</w:t>
      </w:r>
      <w:bookmarkEnd w:id="192"/>
      <w:bookmarkEnd w:id="193"/>
    </w:p>
    <w:p w14:paraId="66855A21">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本项目委托新疆</w:t>
      </w:r>
      <w:r>
        <w:rPr>
          <w:rFonts w:hint="eastAsia" w:ascii="Times New Roman" w:hAnsi="Times New Roman" w:cs="Times New Roman" w:eastAsiaTheme="minorEastAsia"/>
          <w:sz w:val="24"/>
          <w:lang w:val="en-US" w:eastAsia="zh-CN"/>
        </w:rPr>
        <w:t>腾龙环境监测有限公司</w:t>
      </w:r>
      <w:r>
        <w:rPr>
          <w:rFonts w:hint="default" w:ascii="Times New Roman" w:hAnsi="Times New Roman" w:cs="Times New Roman" w:eastAsiaTheme="minorEastAsia"/>
          <w:sz w:val="24"/>
          <w:lang w:val="en-US" w:eastAsia="zh-CN"/>
        </w:rPr>
        <w:t>进行噪声环境现状监测。</w:t>
      </w:r>
    </w:p>
    <w:p w14:paraId="12A82B2C">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（1）监测时间及点位</w:t>
      </w:r>
    </w:p>
    <w:p w14:paraId="26655C64">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在项目区东、南、西、北侧四周各设一个监测点，共4个监测点；监测时间为2025年</w:t>
      </w:r>
      <w:r>
        <w:rPr>
          <w:rFonts w:hint="eastAsia" w:ascii="Times New Roman" w:hAnsi="Times New Roman" w:cs="Times New Roman" w:eastAsiaTheme="minorEastAsia"/>
          <w:sz w:val="24"/>
          <w:lang w:val="en-US" w:eastAsia="zh-CN"/>
        </w:rPr>
        <w:t>12</w:t>
      </w:r>
      <w:r>
        <w:rPr>
          <w:rFonts w:hint="default" w:ascii="Times New Roman" w:hAnsi="Times New Roman" w:cs="Times New Roman" w:eastAsiaTheme="minorEastAsia"/>
          <w:sz w:val="24"/>
          <w:lang w:val="en-US" w:eastAsia="zh-CN"/>
        </w:rPr>
        <w:t>月</w:t>
      </w:r>
      <w:r>
        <w:rPr>
          <w:rFonts w:hint="eastAsia" w:ascii="Times New Roman" w:hAnsi="Times New Roman" w:cs="Times New Roman" w:eastAsiaTheme="minorEastAsia"/>
          <w:sz w:val="24"/>
          <w:lang w:val="en-US" w:eastAsia="zh-CN"/>
        </w:rPr>
        <w:t>6</w:t>
      </w:r>
      <w:r>
        <w:rPr>
          <w:rFonts w:hint="default" w:ascii="Times New Roman" w:hAnsi="Times New Roman" w:cs="Times New Roman" w:eastAsiaTheme="minorEastAsia"/>
          <w:sz w:val="24"/>
          <w:lang w:val="en-US" w:eastAsia="zh-CN"/>
        </w:rPr>
        <w:t>日，昼间、夜间各监测一次。监测布点示意图4.</w:t>
      </w:r>
      <w:r>
        <w:rPr>
          <w:rFonts w:hint="eastAsia" w:ascii="Times New Roman" w:hAnsi="Times New Roman" w:cs="Times New Roman" w:eastAsiaTheme="minorEastAsia"/>
          <w:sz w:val="24"/>
          <w:lang w:val="en-US" w:eastAsia="zh-CN"/>
        </w:rPr>
        <w:t>3</w:t>
      </w:r>
      <w:r>
        <w:rPr>
          <w:rFonts w:hint="default" w:ascii="Times New Roman" w:hAnsi="Times New Roman" w:cs="Times New Roman" w:eastAsiaTheme="minorEastAsia"/>
          <w:sz w:val="24"/>
          <w:lang w:val="en-US" w:eastAsia="zh-CN"/>
        </w:rPr>
        <w:t>-1。</w:t>
      </w:r>
    </w:p>
    <w:p w14:paraId="593FCC04">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（2）监测方法</w:t>
      </w:r>
    </w:p>
    <w:p w14:paraId="116CC110">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依据《声环境质量标准》（GB3096-2008）进行噪声监测，检测仪器使用AWA6228+型多功能声级计。</w:t>
      </w:r>
    </w:p>
    <w:p w14:paraId="7697100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（3）评价标准</w:t>
      </w:r>
    </w:p>
    <w:p w14:paraId="7CB224AB">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本项目声环境执行《</w:t>
      </w:r>
      <w:r>
        <w:rPr>
          <w:rFonts w:hint="eastAsia" w:ascii="Times New Roman" w:hAnsi="Times New Roman" w:cs="Times New Roman" w:eastAsiaTheme="minorEastAsia"/>
          <w:sz w:val="24"/>
          <w:lang w:val="en-US" w:eastAsia="zh-CN"/>
        </w:rPr>
        <w:t>声环境质量标准</w:t>
      </w:r>
      <w:r>
        <w:rPr>
          <w:rFonts w:hint="default" w:ascii="Times New Roman" w:hAnsi="Times New Roman" w:cs="Times New Roman" w:eastAsiaTheme="minorEastAsia"/>
          <w:sz w:val="24"/>
          <w:lang w:val="en-US" w:eastAsia="zh-CN"/>
        </w:rPr>
        <w:t>》（GB3096-2008）的</w:t>
      </w:r>
      <w:r>
        <w:rPr>
          <w:rFonts w:hint="eastAsia" w:ascii="Times New Roman" w:hAnsi="Times New Roman" w:cs="Times New Roman" w:eastAsiaTheme="minorEastAsia"/>
          <w:sz w:val="24"/>
          <w:lang w:val="en-US" w:eastAsia="zh-CN"/>
        </w:rPr>
        <w:t>3</w:t>
      </w:r>
      <w:r>
        <w:rPr>
          <w:rFonts w:hint="default" w:ascii="Times New Roman" w:hAnsi="Times New Roman" w:cs="Times New Roman" w:eastAsiaTheme="minorEastAsia"/>
          <w:sz w:val="24"/>
          <w:lang w:val="en-US" w:eastAsia="zh-CN"/>
        </w:rPr>
        <w:t>类区标准，即昼间6</w:t>
      </w:r>
      <w:r>
        <w:rPr>
          <w:rFonts w:hint="eastAsia" w:ascii="Times New Roman" w:hAnsi="Times New Roman" w:cs="Times New Roman" w:eastAsiaTheme="minorEastAsia"/>
          <w:sz w:val="24"/>
          <w:lang w:val="en-US" w:eastAsia="zh-CN"/>
        </w:rPr>
        <w:t>5</w:t>
      </w:r>
      <w:r>
        <w:rPr>
          <w:rFonts w:hint="default" w:ascii="Times New Roman" w:hAnsi="Times New Roman" w:cs="Times New Roman" w:eastAsiaTheme="minorEastAsia"/>
          <w:sz w:val="24"/>
          <w:lang w:val="en-US" w:eastAsia="zh-CN"/>
        </w:rPr>
        <w:t>dB（A），夜间5</w:t>
      </w:r>
      <w:r>
        <w:rPr>
          <w:rFonts w:hint="eastAsia" w:ascii="Times New Roman" w:hAnsi="Times New Roman" w:cs="Times New Roman" w:eastAsiaTheme="minorEastAsia"/>
          <w:sz w:val="24"/>
          <w:lang w:val="en-US" w:eastAsia="zh-CN"/>
        </w:rPr>
        <w:t>5</w:t>
      </w:r>
      <w:r>
        <w:rPr>
          <w:rFonts w:hint="default" w:ascii="Times New Roman" w:hAnsi="Times New Roman" w:cs="Times New Roman" w:eastAsiaTheme="minorEastAsia"/>
          <w:sz w:val="24"/>
          <w:lang w:val="en-US" w:eastAsia="zh-CN"/>
        </w:rPr>
        <w:t>dB（A）。</w:t>
      </w:r>
    </w:p>
    <w:p w14:paraId="31919CBF">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（4）评价方法</w:t>
      </w:r>
    </w:p>
    <w:p w14:paraId="66A3DA5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本次噪声环境现状评价采用对比分析法，将各监测点监测值与标准值对照，分析评价噪声是否超标，得出声环境质量现状水平。</w:t>
      </w:r>
    </w:p>
    <w:p w14:paraId="373BAD4D">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（5）监测及评价结果</w:t>
      </w:r>
    </w:p>
    <w:p w14:paraId="02F6322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本项目噪声现状监测结果及评价结果见下表。</w:t>
      </w:r>
    </w:p>
    <w:p w14:paraId="2CDDA481">
      <w:pPr>
        <w:snapToGrid w:val="0"/>
        <w:spacing w:before="241" w:beforeLines="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表4.</w:t>
      </w:r>
      <w:r>
        <w:rPr>
          <w:rFonts w:hint="eastAsia" w:ascii="Times New Roman" w:hAnsi="Times New Roman" w:cs="Times New Roman"/>
          <w:b/>
          <w:szCs w:val="21"/>
          <w:lang w:val="en-US" w:eastAsia="zh-CN"/>
        </w:rPr>
        <w:t>3</w:t>
      </w:r>
      <w:r>
        <w:rPr>
          <w:rFonts w:hint="default" w:ascii="Times New Roman" w:hAnsi="Times New Roman" w:cs="Times New Roman" w:eastAsiaTheme="minorEastAsia"/>
          <w:b/>
          <w:szCs w:val="21"/>
          <w:lang w:val="en-US" w:eastAsia="zh-CN"/>
        </w:rPr>
        <w:t>-4  噪声现状监测结果</w:t>
      </w:r>
    </w:p>
    <w:tbl>
      <w:tblPr>
        <w:tblStyle w:val="12"/>
        <w:tblW w:w="5320" w:type="pct"/>
        <w:tblInd w:w="0" w:type="dxa"/>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autofit"/>
        <w:tblCellMar>
          <w:top w:w="0" w:type="dxa"/>
          <w:left w:w="0" w:type="dxa"/>
          <w:bottom w:w="0" w:type="dxa"/>
          <w:right w:w="0" w:type="dxa"/>
        </w:tblCellMar>
      </w:tblPr>
      <w:tblGrid>
        <w:gridCol w:w="1980"/>
        <w:gridCol w:w="1819"/>
        <w:gridCol w:w="1737"/>
        <w:gridCol w:w="990"/>
        <w:gridCol w:w="996"/>
        <w:gridCol w:w="990"/>
        <w:gridCol w:w="1020"/>
      </w:tblGrid>
      <w:tr w14:paraId="0EBE359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038" w:type="pct"/>
            <w:vMerge w:val="restart"/>
            <w:tcBorders>
              <w:tl2br w:val="nil"/>
              <w:tr2bl w:val="nil"/>
            </w:tcBorders>
            <w:noWrap w:val="0"/>
            <w:vAlign w:val="center"/>
          </w:tcPr>
          <w:p w14:paraId="63CC810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测点编号</w:t>
            </w:r>
          </w:p>
        </w:tc>
        <w:tc>
          <w:tcPr>
            <w:tcW w:w="1865" w:type="pct"/>
            <w:gridSpan w:val="2"/>
            <w:vMerge w:val="restart"/>
            <w:tcBorders>
              <w:tl2br w:val="nil"/>
              <w:tr2bl w:val="nil"/>
            </w:tcBorders>
            <w:noWrap w:val="0"/>
            <w:vAlign w:val="center"/>
          </w:tcPr>
          <w:p w14:paraId="357BEB3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监测点位</w:t>
            </w:r>
          </w:p>
        </w:tc>
        <w:tc>
          <w:tcPr>
            <w:tcW w:w="1041" w:type="pct"/>
            <w:gridSpan w:val="2"/>
            <w:tcBorders>
              <w:tl2br w:val="nil"/>
              <w:tr2bl w:val="nil"/>
            </w:tcBorders>
            <w:noWrap w:val="0"/>
            <w:vAlign w:val="center"/>
          </w:tcPr>
          <w:p w14:paraId="4861D27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监测结果</w:t>
            </w:r>
          </w:p>
        </w:tc>
        <w:tc>
          <w:tcPr>
            <w:tcW w:w="1054" w:type="pct"/>
            <w:gridSpan w:val="2"/>
            <w:tcBorders>
              <w:tl2br w:val="nil"/>
              <w:tr2bl w:val="nil"/>
            </w:tcBorders>
            <w:noWrap w:val="0"/>
            <w:vAlign w:val="center"/>
          </w:tcPr>
          <w:p w14:paraId="0D08564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评价标准</w:t>
            </w:r>
          </w:p>
        </w:tc>
      </w:tr>
      <w:tr w14:paraId="6652F6D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038" w:type="pct"/>
            <w:vMerge w:val="continue"/>
            <w:tcBorders>
              <w:tl2br w:val="nil"/>
              <w:tr2bl w:val="nil"/>
            </w:tcBorders>
            <w:noWrap w:val="0"/>
            <w:vAlign w:val="center"/>
          </w:tcPr>
          <w:p w14:paraId="6DFB6183">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865" w:type="pct"/>
            <w:gridSpan w:val="2"/>
            <w:vMerge w:val="continue"/>
            <w:tcBorders>
              <w:tl2br w:val="nil"/>
              <w:tr2bl w:val="nil"/>
            </w:tcBorders>
            <w:noWrap w:val="0"/>
            <w:vAlign w:val="center"/>
          </w:tcPr>
          <w:p w14:paraId="6BE8E84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19" w:type="pct"/>
            <w:vMerge w:val="restart"/>
            <w:tcBorders>
              <w:tl2br w:val="nil"/>
              <w:tr2bl w:val="nil"/>
            </w:tcBorders>
            <w:noWrap w:val="0"/>
            <w:vAlign w:val="center"/>
          </w:tcPr>
          <w:p w14:paraId="7CF00E6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昼间</w:t>
            </w:r>
          </w:p>
        </w:tc>
        <w:tc>
          <w:tcPr>
            <w:tcW w:w="522" w:type="pct"/>
            <w:vMerge w:val="restart"/>
            <w:tcBorders>
              <w:tl2br w:val="nil"/>
              <w:tr2bl w:val="nil"/>
            </w:tcBorders>
            <w:noWrap w:val="0"/>
            <w:vAlign w:val="center"/>
          </w:tcPr>
          <w:p w14:paraId="4A2A87D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夜间</w:t>
            </w:r>
          </w:p>
        </w:tc>
        <w:tc>
          <w:tcPr>
            <w:tcW w:w="519" w:type="pct"/>
            <w:vMerge w:val="restart"/>
            <w:tcBorders>
              <w:tl2br w:val="nil"/>
              <w:tr2bl w:val="nil"/>
            </w:tcBorders>
            <w:noWrap w:val="0"/>
            <w:vAlign w:val="center"/>
          </w:tcPr>
          <w:p w14:paraId="2AA99D8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昼间</w:t>
            </w:r>
          </w:p>
        </w:tc>
        <w:tc>
          <w:tcPr>
            <w:tcW w:w="535" w:type="pct"/>
            <w:vMerge w:val="restart"/>
            <w:tcBorders>
              <w:tl2br w:val="nil"/>
              <w:tr2bl w:val="nil"/>
            </w:tcBorders>
            <w:noWrap w:val="0"/>
            <w:vAlign w:val="center"/>
          </w:tcPr>
          <w:p w14:paraId="1716BD5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夜间</w:t>
            </w:r>
          </w:p>
        </w:tc>
      </w:tr>
      <w:tr w14:paraId="4D7B240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038" w:type="pct"/>
            <w:vMerge w:val="continue"/>
            <w:tcBorders>
              <w:tl2br w:val="nil"/>
              <w:tr2bl w:val="nil"/>
            </w:tcBorders>
            <w:noWrap w:val="0"/>
            <w:vAlign w:val="center"/>
          </w:tcPr>
          <w:p w14:paraId="2C17D76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54" w:type="pct"/>
            <w:tcBorders>
              <w:right w:val="single" w:color="auto" w:sz="4" w:space="0"/>
              <w:tl2br w:val="nil"/>
              <w:tr2bl w:val="nil"/>
            </w:tcBorders>
            <w:noWrap w:val="0"/>
            <w:vAlign w:val="center"/>
          </w:tcPr>
          <w:p w14:paraId="717C985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经度</w:t>
            </w:r>
          </w:p>
        </w:tc>
        <w:tc>
          <w:tcPr>
            <w:tcW w:w="911" w:type="pct"/>
            <w:tcBorders>
              <w:left w:val="single" w:color="auto" w:sz="4" w:space="0"/>
              <w:tl2br w:val="nil"/>
              <w:tr2bl w:val="nil"/>
            </w:tcBorders>
            <w:noWrap w:val="0"/>
            <w:vAlign w:val="center"/>
          </w:tcPr>
          <w:p w14:paraId="54CD638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纬度</w:t>
            </w:r>
          </w:p>
        </w:tc>
        <w:tc>
          <w:tcPr>
            <w:tcW w:w="519" w:type="pct"/>
            <w:vMerge w:val="continue"/>
            <w:tcBorders>
              <w:tl2br w:val="nil"/>
              <w:tr2bl w:val="nil"/>
            </w:tcBorders>
            <w:noWrap w:val="0"/>
            <w:vAlign w:val="center"/>
          </w:tcPr>
          <w:p w14:paraId="1E5732D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22" w:type="pct"/>
            <w:vMerge w:val="continue"/>
            <w:tcBorders>
              <w:tl2br w:val="nil"/>
              <w:tr2bl w:val="nil"/>
            </w:tcBorders>
            <w:noWrap w:val="0"/>
            <w:vAlign w:val="center"/>
          </w:tcPr>
          <w:p w14:paraId="25F4C1B5">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19" w:type="pct"/>
            <w:vMerge w:val="continue"/>
            <w:tcBorders>
              <w:tl2br w:val="nil"/>
              <w:tr2bl w:val="nil"/>
            </w:tcBorders>
            <w:noWrap w:val="0"/>
            <w:vAlign w:val="center"/>
          </w:tcPr>
          <w:p w14:paraId="511BFE6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35" w:type="pct"/>
            <w:vMerge w:val="continue"/>
            <w:tcBorders>
              <w:tl2br w:val="nil"/>
              <w:tr2bl w:val="nil"/>
            </w:tcBorders>
            <w:noWrap w:val="0"/>
            <w:vAlign w:val="center"/>
          </w:tcPr>
          <w:p w14:paraId="6D3CD3A1">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11CC654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038" w:type="pct"/>
            <w:tcBorders>
              <w:tl2br w:val="nil"/>
              <w:tr2bl w:val="nil"/>
            </w:tcBorders>
            <w:noWrap w:val="0"/>
            <w:vAlign w:val="center"/>
          </w:tcPr>
          <w:p w14:paraId="63C2EA47">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1#</w:t>
            </w:r>
          </w:p>
        </w:tc>
        <w:tc>
          <w:tcPr>
            <w:tcW w:w="954" w:type="pct"/>
            <w:tcBorders>
              <w:right w:val="single" w:color="auto" w:sz="4" w:space="0"/>
              <w:tl2br w:val="nil"/>
              <w:tr2bl w:val="nil"/>
            </w:tcBorders>
            <w:noWrap w:val="0"/>
            <w:vAlign w:val="center"/>
          </w:tcPr>
          <w:p w14:paraId="0594E2F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1" w:type="pct"/>
            <w:tcBorders>
              <w:left w:val="single" w:color="auto" w:sz="4" w:space="0"/>
              <w:tl2br w:val="nil"/>
              <w:tr2bl w:val="nil"/>
            </w:tcBorders>
            <w:noWrap w:val="0"/>
            <w:vAlign w:val="center"/>
          </w:tcPr>
          <w:p w14:paraId="7E9E8B3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19" w:type="pct"/>
            <w:tcBorders>
              <w:tl2br w:val="nil"/>
              <w:tr2bl w:val="nil"/>
            </w:tcBorders>
            <w:noWrap w:val="0"/>
            <w:vAlign w:val="center"/>
          </w:tcPr>
          <w:p w14:paraId="57F7DED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53.6</w:t>
            </w:r>
          </w:p>
        </w:tc>
        <w:tc>
          <w:tcPr>
            <w:tcW w:w="522" w:type="pct"/>
            <w:tcBorders>
              <w:tl2br w:val="nil"/>
              <w:tr2bl w:val="nil"/>
            </w:tcBorders>
            <w:noWrap w:val="0"/>
            <w:vAlign w:val="center"/>
          </w:tcPr>
          <w:p w14:paraId="78F919D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44.2</w:t>
            </w:r>
          </w:p>
        </w:tc>
        <w:tc>
          <w:tcPr>
            <w:tcW w:w="519" w:type="pct"/>
            <w:vMerge w:val="restart"/>
            <w:tcBorders>
              <w:top w:val="single" w:color="auto" w:sz="4" w:space="0"/>
              <w:tl2br w:val="nil"/>
              <w:tr2bl w:val="nil"/>
            </w:tcBorders>
            <w:noWrap w:val="0"/>
            <w:vAlign w:val="center"/>
          </w:tcPr>
          <w:p w14:paraId="6C8E0A1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65</w:t>
            </w:r>
          </w:p>
        </w:tc>
        <w:tc>
          <w:tcPr>
            <w:tcW w:w="535" w:type="pct"/>
            <w:vMerge w:val="restart"/>
            <w:tcBorders>
              <w:top w:val="single" w:color="auto" w:sz="4" w:space="0"/>
              <w:tl2br w:val="nil"/>
              <w:tr2bl w:val="nil"/>
            </w:tcBorders>
            <w:noWrap w:val="0"/>
            <w:vAlign w:val="center"/>
          </w:tcPr>
          <w:p w14:paraId="4347D4A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55</w:t>
            </w:r>
          </w:p>
        </w:tc>
      </w:tr>
      <w:tr w14:paraId="7AEA155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038" w:type="pct"/>
            <w:tcBorders>
              <w:tl2br w:val="nil"/>
              <w:tr2bl w:val="nil"/>
            </w:tcBorders>
            <w:noWrap w:val="0"/>
            <w:vAlign w:val="center"/>
          </w:tcPr>
          <w:p w14:paraId="22E1ADC8">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2#</w:t>
            </w:r>
          </w:p>
        </w:tc>
        <w:tc>
          <w:tcPr>
            <w:tcW w:w="954" w:type="pct"/>
            <w:tcBorders>
              <w:right w:val="single" w:color="auto" w:sz="4" w:space="0"/>
              <w:tl2br w:val="nil"/>
              <w:tr2bl w:val="nil"/>
            </w:tcBorders>
            <w:noWrap w:val="0"/>
            <w:vAlign w:val="center"/>
          </w:tcPr>
          <w:p w14:paraId="7471DDD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1" w:type="pct"/>
            <w:tcBorders>
              <w:left w:val="single" w:color="auto" w:sz="4" w:space="0"/>
              <w:tl2br w:val="nil"/>
              <w:tr2bl w:val="nil"/>
            </w:tcBorders>
            <w:noWrap w:val="0"/>
            <w:vAlign w:val="center"/>
          </w:tcPr>
          <w:p w14:paraId="4E36C007">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19" w:type="pct"/>
            <w:tcBorders>
              <w:tl2br w:val="nil"/>
              <w:tr2bl w:val="nil"/>
            </w:tcBorders>
            <w:noWrap w:val="0"/>
            <w:vAlign w:val="center"/>
          </w:tcPr>
          <w:p w14:paraId="1B8FB68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48.4</w:t>
            </w:r>
          </w:p>
        </w:tc>
        <w:tc>
          <w:tcPr>
            <w:tcW w:w="522" w:type="pct"/>
            <w:tcBorders>
              <w:tl2br w:val="nil"/>
              <w:tr2bl w:val="nil"/>
            </w:tcBorders>
            <w:noWrap w:val="0"/>
            <w:vAlign w:val="center"/>
          </w:tcPr>
          <w:p w14:paraId="4F6A8ED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43.1</w:t>
            </w:r>
          </w:p>
        </w:tc>
        <w:tc>
          <w:tcPr>
            <w:tcW w:w="519" w:type="pct"/>
            <w:vMerge w:val="continue"/>
            <w:tcBorders>
              <w:tl2br w:val="nil"/>
              <w:tr2bl w:val="nil"/>
            </w:tcBorders>
            <w:noWrap w:val="0"/>
            <w:vAlign w:val="center"/>
          </w:tcPr>
          <w:p w14:paraId="237995C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35" w:type="pct"/>
            <w:vMerge w:val="continue"/>
            <w:tcBorders>
              <w:tl2br w:val="nil"/>
              <w:tr2bl w:val="nil"/>
            </w:tcBorders>
            <w:noWrap w:val="0"/>
            <w:vAlign w:val="center"/>
          </w:tcPr>
          <w:p w14:paraId="0BE6ADFD">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23EFF37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trHeight w:val="0" w:hRule="atLeast"/>
        </w:trPr>
        <w:tc>
          <w:tcPr>
            <w:tcW w:w="1038" w:type="pct"/>
            <w:tcBorders>
              <w:tl2br w:val="nil"/>
              <w:tr2bl w:val="nil"/>
            </w:tcBorders>
            <w:noWrap w:val="0"/>
            <w:vAlign w:val="center"/>
          </w:tcPr>
          <w:p w14:paraId="3BD9F748">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3#</w:t>
            </w:r>
          </w:p>
        </w:tc>
        <w:tc>
          <w:tcPr>
            <w:tcW w:w="954" w:type="pct"/>
            <w:tcBorders>
              <w:right w:val="single" w:color="auto" w:sz="4" w:space="0"/>
              <w:tl2br w:val="nil"/>
              <w:tr2bl w:val="nil"/>
            </w:tcBorders>
            <w:noWrap w:val="0"/>
            <w:vAlign w:val="center"/>
          </w:tcPr>
          <w:p w14:paraId="3C43FEF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1" w:type="pct"/>
            <w:tcBorders>
              <w:left w:val="single" w:color="auto" w:sz="4" w:space="0"/>
              <w:tl2br w:val="nil"/>
              <w:tr2bl w:val="nil"/>
            </w:tcBorders>
            <w:noWrap w:val="0"/>
            <w:vAlign w:val="center"/>
          </w:tcPr>
          <w:p w14:paraId="4073670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19" w:type="pct"/>
            <w:tcBorders>
              <w:tl2br w:val="nil"/>
              <w:tr2bl w:val="nil"/>
            </w:tcBorders>
            <w:noWrap w:val="0"/>
            <w:vAlign w:val="center"/>
          </w:tcPr>
          <w:p w14:paraId="7B0B72E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48.6</w:t>
            </w:r>
          </w:p>
        </w:tc>
        <w:tc>
          <w:tcPr>
            <w:tcW w:w="522" w:type="pct"/>
            <w:tcBorders>
              <w:tl2br w:val="nil"/>
              <w:tr2bl w:val="nil"/>
            </w:tcBorders>
            <w:noWrap w:val="0"/>
            <w:vAlign w:val="center"/>
          </w:tcPr>
          <w:p w14:paraId="5FC5435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42.2</w:t>
            </w:r>
          </w:p>
        </w:tc>
        <w:tc>
          <w:tcPr>
            <w:tcW w:w="519" w:type="pct"/>
            <w:vMerge w:val="continue"/>
            <w:tcBorders>
              <w:tl2br w:val="nil"/>
              <w:tr2bl w:val="nil"/>
            </w:tcBorders>
            <w:noWrap w:val="0"/>
            <w:vAlign w:val="center"/>
          </w:tcPr>
          <w:p w14:paraId="5A1C341A">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35" w:type="pct"/>
            <w:vMerge w:val="continue"/>
            <w:tcBorders>
              <w:tl2br w:val="nil"/>
              <w:tr2bl w:val="nil"/>
            </w:tcBorders>
            <w:noWrap w:val="0"/>
            <w:vAlign w:val="center"/>
          </w:tcPr>
          <w:p w14:paraId="6504E53A">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37FF4C9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038" w:type="pct"/>
            <w:tcBorders>
              <w:tl2br w:val="nil"/>
              <w:tr2bl w:val="nil"/>
            </w:tcBorders>
            <w:noWrap w:val="0"/>
            <w:vAlign w:val="center"/>
          </w:tcPr>
          <w:p w14:paraId="46CFBED9">
            <w:pPr>
              <w:autoSpaceDE w:val="0"/>
              <w:autoSpaceDN w:val="0"/>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4#</w:t>
            </w:r>
          </w:p>
        </w:tc>
        <w:tc>
          <w:tcPr>
            <w:tcW w:w="954" w:type="pct"/>
            <w:tcBorders>
              <w:right w:val="single" w:color="auto" w:sz="4" w:space="0"/>
              <w:tl2br w:val="nil"/>
              <w:tr2bl w:val="nil"/>
            </w:tcBorders>
            <w:noWrap w:val="0"/>
            <w:vAlign w:val="center"/>
          </w:tcPr>
          <w:p w14:paraId="6C29C099">
            <w:pPr>
              <w:autoSpaceDE w:val="0"/>
              <w:autoSpaceDN w:val="0"/>
              <w:spacing w:line="300" w:lineRule="exact"/>
              <w:jc w:val="center"/>
              <w:rPr>
                <w:rFonts w:hint="default" w:ascii="Times New Roman" w:hAnsi="Times New Roman" w:cs="Times New Roman" w:eastAsiaTheme="minorEastAsia"/>
                <w:szCs w:val="21"/>
                <w:lang w:val="zh-CN" w:eastAsia="zh-CN"/>
              </w:rPr>
            </w:pPr>
          </w:p>
        </w:tc>
        <w:tc>
          <w:tcPr>
            <w:tcW w:w="911" w:type="pct"/>
            <w:tcBorders>
              <w:left w:val="single" w:color="auto" w:sz="4" w:space="0"/>
              <w:tl2br w:val="nil"/>
              <w:tr2bl w:val="nil"/>
            </w:tcBorders>
            <w:noWrap w:val="0"/>
            <w:vAlign w:val="center"/>
          </w:tcPr>
          <w:p w14:paraId="009906C1">
            <w:pPr>
              <w:autoSpaceDE w:val="0"/>
              <w:autoSpaceDN w:val="0"/>
              <w:spacing w:line="300" w:lineRule="exact"/>
              <w:jc w:val="center"/>
              <w:rPr>
                <w:rFonts w:hint="default" w:ascii="Times New Roman" w:hAnsi="Times New Roman" w:cs="Times New Roman" w:eastAsiaTheme="minorEastAsia"/>
                <w:szCs w:val="21"/>
                <w:lang w:val="zh-CN" w:eastAsia="zh-CN"/>
              </w:rPr>
            </w:pPr>
          </w:p>
        </w:tc>
        <w:tc>
          <w:tcPr>
            <w:tcW w:w="519" w:type="pct"/>
            <w:tcBorders>
              <w:tl2br w:val="nil"/>
              <w:tr2bl w:val="nil"/>
            </w:tcBorders>
            <w:noWrap w:val="0"/>
            <w:vAlign w:val="center"/>
          </w:tcPr>
          <w:p w14:paraId="0083CDE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51.1</w:t>
            </w:r>
          </w:p>
        </w:tc>
        <w:tc>
          <w:tcPr>
            <w:tcW w:w="522" w:type="pct"/>
            <w:tcBorders>
              <w:tl2br w:val="nil"/>
              <w:tr2bl w:val="nil"/>
            </w:tcBorders>
            <w:noWrap w:val="0"/>
            <w:vAlign w:val="center"/>
          </w:tcPr>
          <w:p w14:paraId="43F7AD6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42.2</w:t>
            </w:r>
          </w:p>
        </w:tc>
        <w:tc>
          <w:tcPr>
            <w:tcW w:w="519" w:type="pct"/>
            <w:vMerge w:val="continue"/>
            <w:tcBorders>
              <w:tl2br w:val="nil"/>
              <w:tr2bl w:val="nil"/>
            </w:tcBorders>
            <w:noWrap w:val="0"/>
            <w:vAlign w:val="center"/>
          </w:tcPr>
          <w:p w14:paraId="5CA105E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35" w:type="pct"/>
            <w:vMerge w:val="continue"/>
            <w:tcBorders>
              <w:tl2br w:val="nil"/>
              <w:tr2bl w:val="nil"/>
            </w:tcBorders>
            <w:noWrap w:val="0"/>
            <w:vAlign w:val="center"/>
          </w:tcPr>
          <w:p w14:paraId="3ED72EA7">
            <w:pPr>
              <w:autoSpaceDE w:val="0"/>
              <w:autoSpaceDN w:val="0"/>
              <w:spacing w:line="300" w:lineRule="exact"/>
              <w:jc w:val="center"/>
              <w:rPr>
                <w:rFonts w:hint="default" w:ascii="Times New Roman" w:hAnsi="Times New Roman" w:cs="Times New Roman" w:eastAsiaTheme="minorEastAsia"/>
                <w:szCs w:val="21"/>
                <w:lang w:val="en-US" w:eastAsia="zh-CN"/>
              </w:rPr>
            </w:pPr>
          </w:p>
        </w:tc>
      </w:tr>
    </w:tbl>
    <w:p w14:paraId="4C4079E0">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根据噪声监测结果可知，项目区四周边界噪声值均低于《声环境质量标准》（GB3096-2008）中的</w:t>
      </w:r>
      <w:r>
        <w:rPr>
          <w:rFonts w:hint="eastAsia" w:ascii="Times New Roman" w:hAnsi="Times New Roman" w:cs="Times New Roman" w:eastAsiaTheme="minorEastAsia"/>
          <w:sz w:val="24"/>
          <w:lang w:val="en-US" w:eastAsia="zh-CN"/>
        </w:rPr>
        <w:t>3</w:t>
      </w:r>
      <w:r>
        <w:rPr>
          <w:rFonts w:hint="default" w:ascii="Times New Roman" w:hAnsi="Times New Roman" w:cs="Times New Roman" w:eastAsiaTheme="minorEastAsia"/>
          <w:sz w:val="24"/>
          <w:lang w:val="en-US" w:eastAsia="zh-CN"/>
        </w:rPr>
        <w:t>类区标准限值，区域声环境质量良好</w:t>
      </w:r>
    </w:p>
    <w:p w14:paraId="027AC689">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194" w:name="_Toc17787"/>
      <w:bookmarkStart w:id="195" w:name="_Toc1432"/>
      <w:r>
        <w:rPr>
          <w:rFonts w:hint="default" w:ascii="Times New Roman" w:hAnsi="Times New Roman" w:cs="Times New Roman" w:eastAsiaTheme="minorEastAsia"/>
          <w:kern w:val="0"/>
          <w:sz w:val="24"/>
          <w:szCs w:val="24"/>
          <w:lang w:val="en-US" w:eastAsia="zh-CN"/>
        </w:rPr>
        <w:t>4.</w:t>
      </w:r>
      <w:r>
        <w:rPr>
          <w:rFonts w:hint="eastAsia" w:ascii="Times New Roman" w:hAnsi="Times New Roman" w:cs="Times New Roman"/>
          <w:kern w:val="0"/>
          <w:sz w:val="24"/>
          <w:szCs w:val="24"/>
          <w:lang w:val="en-US" w:eastAsia="zh-CN"/>
        </w:rPr>
        <w:t>3.4</w:t>
      </w:r>
      <w:r>
        <w:rPr>
          <w:rFonts w:hint="default" w:ascii="Times New Roman" w:hAnsi="Times New Roman" w:cs="Times New Roman" w:eastAsiaTheme="minorEastAsia"/>
          <w:kern w:val="0"/>
          <w:sz w:val="24"/>
          <w:szCs w:val="24"/>
          <w:lang w:val="en-US" w:eastAsia="zh-CN"/>
        </w:rPr>
        <w:t>土壤环境质量现状与评价</w:t>
      </w:r>
      <w:bookmarkEnd w:id="194"/>
      <w:bookmarkEnd w:id="195"/>
    </w:p>
    <w:p w14:paraId="60C51B00">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本项目土壤环境现状监测由新疆</w:t>
      </w:r>
      <w:r>
        <w:rPr>
          <w:rFonts w:hint="eastAsia" w:ascii="Times New Roman" w:hAnsi="Times New Roman" w:cs="Times New Roman" w:eastAsiaTheme="minorEastAsia"/>
          <w:sz w:val="24"/>
          <w:lang w:val="en-US" w:eastAsia="zh-CN"/>
        </w:rPr>
        <w:t>腾龙环境监测有限公司</w:t>
      </w:r>
      <w:r>
        <w:rPr>
          <w:rFonts w:hint="default" w:ascii="Times New Roman" w:hAnsi="Times New Roman" w:cs="Times New Roman" w:eastAsiaTheme="minorEastAsia"/>
          <w:sz w:val="24"/>
          <w:lang w:val="en-US" w:eastAsia="zh-CN"/>
        </w:rPr>
        <w:t>于2025年1</w:t>
      </w:r>
      <w:r>
        <w:rPr>
          <w:rFonts w:hint="eastAsia" w:ascii="Times New Roman" w:hAnsi="Times New Roman" w:cs="Times New Roman" w:eastAsiaTheme="minorEastAsia"/>
          <w:sz w:val="24"/>
          <w:lang w:val="en-US" w:eastAsia="zh-CN"/>
        </w:rPr>
        <w:t>2</w:t>
      </w:r>
      <w:r>
        <w:rPr>
          <w:rFonts w:hint="default" w:ascii="Times New Roman" w:hAnsi="Times New Roman" w:cs="Times New Roman" w:eastAsiaTheme="minorEastAsia"/>
          <w:sz w:val="24"/>
          <w:lang w:val="en-US" w:eastAsia="zh-CN"/>
        </w:rPr>
        <w:t>月</w:t>
      </w:r>
      <w:r>
        <w:rPr>
          <w:rFonts w:hint="eastAsia" w:ascii="Times New Roman" w:hAnsi="Times New Roman" w:cs="Times New Roman" w:eastAsiaTheme="minorEastAsia"/>
          <w:sz w:val="24"/>
          <w:lang w:val="en-US" w:eastAsia="zh-CN"/>
        </w:rPr>
        <w:t>1</w:t>
      </w:r>
      <w:r>
        <w:rPr>
          <w:rFonts w:hint="default" w:ascii="Times New Roman" w:hAnsi="Times New Roman" w:cs="Times New Roman" w:eastAsiaTheme="minorEastAsia"/>
          <w:sz w:val="24"/>
          <w:lang w:val="en-US" w:eastAsia="zh-CN"/>
        </w:rPr>
        <w:t>日对厂区土壤环境质量现状检测。</w:t>
      </w:r>
    </w:p>
    <w:p w14:paraId="578504D8">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（1）监测布点</w:t>
      </w:r>
    </w:p>
    <w:p w14:paraId="3900EAC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本项目属于土壤二级评价，根据《环境影响评价技术导则 土壤环境（试行）》表6，</w:t>
      </w:r>
      <w:r>
        <w:rPr>
          <w:rFonts w:hint="default" w:ascii="Times New Roman" w:hAnsi="Times New Roman" w:cs="Times New Roman" w:eastAsiaTheme="minorEastAsia"/>
          <w:sz w:val="24"/>
          <w:lang w:val="en-US" w:eastAsia="zh-CN"/>
        </w:rPr>
        <w:t>本次评价在项目区内共设置</w:t>
      </w:r>
      <w:r>
        <w:rPr>
          <w:rFonts w:hint="eastAsia" w:ascii="Times New Roman" w:hAnsi="Times New Roman" w:cs="Times New Roman" w:eastAsiaTheme="minorEastAsia"/>
          <w:sz w:val="24"/>
          <w:lang w:val="en-US" w:eastAsia="zh-CN"/>
        </w:rPr>
        <w:t>4</w:t>
      </w:r>
      <w:r>
        <w:rPr>
          <w:rFonts w:hint="default" w:ascii="Times New Roman" w:hAnsi="Times New Roman" w:cs="Times New Roman" w:eastAsiaTheme="minorEastAsia"/>
          <w:sz w:val="24"/>
          <w:lang w:val="en-US" w:eastAsia="zh-CN"/>
        </w:rPr>
        <w:t>个采样点</w:t>
      </w:r>
      <w:r>
        <w:rPr>
          <w:rFonts w:hint="eastAsia" w:ascii="Times New Roman" w:hAnsi="Times New Roman" w:cs="Times New Roman" w:eastAsiaTheme="minorEastAsia"/>
          <w:sz w:val="24"/>
          <w:lang w:val="en-US" w:eastAsia="zh-CN"/>
        </w:rPr>
        <w:t>，其中3个柱状样，1个表层样</w:t>
      </w:r>
      <w:r>
        <w:rPr>
          <w:rFonts w:hint="default" w:ascii="Times New Roman" w:hAnsi="Times New Roman" w:cs="Times New Roman" w:eastAsiaTheme="minorEastAsia"/>
          <w:sz w:val="24"/>
          <w:lang w:val="en-US" w:eastAsia="zh-CN"/>
        </w:rPr>
        <w:t>，项目区外设置2个采样点，</w:t>
      </w:r>
      <w:r>
        <w:rPr>
          <w:rFonts w:hint="eastAsia" w:ascii="Times New Roman" w:hAnsi="Times New Roman" w:cs="Times New Roman" w:eastAsiaTheme="minorEastAsia"/>
          <w:sz w:val="24"/>
          <w:lang w:val="en-US" w:eastAsia="zh-CN"/>
        </w:rPr>
        <w:t>均为表层样。柱状样通常在0-0.5m、0.5—1.5m、1.5—3m分别取样，</w:t>
      </w:r>
      <w:r>
        <w:rPr>
          <w:rFonts w:hint="default" w:ascii="Times New Roman" w:hAnsi="Times New Roman" w:cs="Times New Roman" w:eastAsiaTheme="minorEastAsia"/>
          <w:sz w:val="24"/>
          <w:lang w:val="en-US" w:eastAsia="zh-CN"/>
        </w:rPr>
        <w:t>表层样在0~0.2m取样，具体情况见表4.</w:t>
      </w:r>
      <w:r>
        <w:rPr>
          <w:rFonts w:hint="eastAsia" w:ascii="Times New Roman" w:hAnsi="Times New Roman" w:cs="Times New Roman" w:eastAsiaTheme="minorEastAsia"/>
          <w:sz w:val="24"/>
          <w:lang w:val="en-US" w:eastAsia="zh-CN"/>
        </w:rPr>
        <w:t>3</w:t>
      </w:r>
      <w:r>
        <w:rPr>
          <w:rFonts w:hint="default" w:ascii="Times New Roman" w:hAnsi="Times New Roman" w:cs="Times New Roman" w:eastAsiaTheme="minorEastAsia"/>
          <w:sz w:val="24"/>
          <w:lang w:val="en-US" w:eastAsia="zh-CN"/>
        </w:rPr>
        <w:t>-5。</w:t>
      </w:r>
    </w:p>
    <w:p w14:paraId="70352486">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表4.</w:t>
      </w:r>
      <w:r>
        <w:rPr>
          <w:rFonts w:hint="eastAsia" w:ascii="Times New Roman" w:hAnsi="Times New Roman" w:cs="Times New Roman" w:eastAsiaTheme="minorEastAsia"/>
          <w:b/>
          <w:szCs w:val="21"/>
          <w:lang w:val="en-US" w:eastAsia="zh-CN"/>
        </w:rPr>
        <w:t>3</w:t>
      </w:r>
      <w:r>
        <w:rPr>
          <w:rFonts w:hint="default" w:ascii="Times New Roman" w:hAnsi="Times New Roman" w:cs="Times New Roman" w:eastAsiaTheme="minorEastAsia"/>
          <w:b/>
          <w:szCs w:val="21"/>
          <w:lang w:val="en-US" w:eastAsia="zh-CN"/>
        </w:rPr>
        <w:t>-5  土壤质量现状监测点布设情况一览表</w:t>
      </w:r>
    </w:p>
    <w:tbl>
      <w:tblPr>
        <w:tblStyle w:val="16"/>
        <w:tblW w:w="8533" w:type="dxa"/>
        <w:tblInd w:w="67" w:type="dxa"/>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1452"/>
        <w:gridCol w:w="2627"/>
        <w:gridCol w:w="4454"/>
      </w:tblGrid>
      <w:tr w14:paraId="4A2DCD0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452" w:type="dxa"/>
            <w:tcBorders>
              <w:tl2br w:val="nil"/>
              <w:tr2bl w:val="nil"/>
            </w:tcBorders>
            <w:vAlign w:val="center"/>
          </w:tcPr>
          <w:p w14:paraId="5CBE93F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编号</w:t>
            </w:r>
          </w:p>
        </w:tc>
        <w:tc>
          <w:tcPr>
            <w:tcW w:w="2627" w:type="dxa"/>
            <w:tcBorders>
              <w:tl2br w:val="nil"/>
              <w:tr2bl w:val="nil"/>
            </w:tcBorders>
            <w:vAlign w:val="center"/>
          </w:tcPr>
          <w:p w14:paraId="0DB6DB4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位置或名称</w:t>
            </w:r>
          </w:p>
        </w:tc>
        <w:tc>
          <w:tcPr>
            <w:tcW w:w="4454" w:type="dxa"/>
            <w:tcBorders>
              <w:tl2br w:val="nil"/>
              <w:tr2bl w:val="nil"/>
            </w:tcBorders>
            <w:vAlign w:val="center"/>
          </w:tcPr>
          <w:p w14:paraId="5DCD3A9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布设意义</w:t>
            </w:r>
          </w:p>
        </w:tc>
      </w:tr>
      <w:tr w14:paraId="069BA8A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452" w:type="dxa"/>
            <w:tcBorders>
              <w:tl2br w:val="nil"/>
              <w:tr2bl w:val="nil"/>
            </w:tcBorders>
            <w:vAlign w:val="center"/>
          </w:tcPr>
          <w:p w14:paraId="2C6DF89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p>
        </w:tc>
        <w:tc>
          <w:tcPr>
            <w:tcW w:w="2627" w:type="dxa"/>
            <w:tcBorders>
              <w:tl2br w:val="nil"/>
              <w:tr2bl w:val="nil"/>
            </w:tcBorders>
            <w:vAlign w:val="center"/>
          </w:tcPr>
          <w:p w14:paraId="79F4BD2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项目区-</w:t>
            </w:r>
            <w:r>
              <w:rPr>
                <w:rFonts w:hint="eastAsia" w:ascii="Times New Roman" w:hAnsi="Times New Roman" w:cs="Times New Roman" w:eastAsiaTheme="minorEastAsia"/>
                <w:szCs w:val="21"/>
                <w:lang w:val="en-US" w:eastAsia="zh-CN"/>
              </w:rPr>
              <w:t>柱状</w:t>
            </w:r>
            <w:r>
              <w:rPr>
                <w:rFonts w:hint="default" w:ascii="Times New Roman" w:hAnsi="Times New Roman" w:cs="Times New Roman" w:eastAsiaTheme="minorEastAsia"/>
                <w:szCs w:val="21"/>
                <w:lang w:val="en-US" w:eastAsia="zh-CN"/>
              </w:rPr>
              <w:t>土样</w:t>
            </w:r>
          </w:p>
        </w:tc>
        <w:tc>
          <w:tcPr>
            <w:tcW w:w="4454" w:type="dxa"/>
            <w:tcBorders>
              <w:tl2br w:val="nil"/>
              <w:tr2bl w:val="nil"/>
            </w:tcBorders>
            <w:vAlign w:val="center"/>
          </w:tcPr>
          <w:p w14:paraId="06DC614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了解厂区内土壤环境质量现状</w:t>
            </w:r>
          </w:p>
        </w:tc>
      </w:tr>
      <w:tr w14:paraId="1E96934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452" w:type="dxa"/>
            <w:tcBorders>
              <w:tl2br w:val="nil"/>
              <w:tr2bl w:val="nil"/>
            </w:tcBorders>
            <w:vAlign w:val="center"/>
          </w:tcPr>
          <w:p w14:paraId="37567EC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w:t>
            </w:r>
          </w:p>
        </w:tc>
        <w:tc>
          <w:tcPr>
            <w:tcW w:w="2627" w:type="dxa"/>
            <w:tcBorders>
              <w:tl2br w:val="nil"/>
              <w:tr2bl w:val="nil"/>
            </w:tcBorders>
            <w:vAlign w:val="center"/>
          </w:tcPr>
          <w:p w14:paraId="2A73EA7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项目区-</w:t>
            </w:r>
            <w:r>
              <w:rPr>
                <w:rFonts w:hint="eastAsia" w:ascii="Times New Roman" w:hAnsi="Times New Roman" w:cs="Times New Roman" w:eastAsiaTheme="minorEastAsia"/>
                <w:szCs w:val="21"/>
                <w:lang w:val="en-US" w:eastAsia="zh-CN"/>
              </w:rPr>
              <w:t>柱状</w:t>
            </w:r>
            <w:r>
              <w:rPr>
                <w:rFonts w:hint="default" w:ascii="Times New Roman" w:hAnsi="Times New Roman" w:cs="Times New Roman" w:eastAsiaTheme="minorEastAsia"/>
                <w:szCs w:val="21"/>
                <w:lang w:val="en-US" w:eastAsia="zh-CN"/>
              </w:rPr>
              <w:t>土样</w:t>
            </w:r>
          </w:p>
        </w:tc>
        <w:tc>
          <w:tcPr>
            <w:tcW w:w="4454" w:type="dxa"/>
            <w:tcBorders>
              <w:tl2br w:val="nil"/>
              <w:tr2bl w:val="nil"/>
            </w:tcBorders>
            <w:vAlign w:val="center"/>
          </w:tcPr>
          <w:p w14:paraId="521574A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了解厂区内土壤环境质量现状</w:t>
            </w:r>
          </w:p>
        </w:tc>
      </w:tr>
      <w:tr w14:paraId="5B4B5E2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452" w:type="dxa"/>
            <w:tcBorders>
              <w:tl2br w:val="nil"/>
              <w:tr2bl w:val="nil"/>
            </w:tcBorders>
            <w:vAlign w:val="center"/>
          </w:tcPr>
          <w:p w14:paraId="57B7D64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w:t>
            </w:r>
          </w:p>
        </w:tc>
        <w:tc>
          <w:tcPr>
            <w:tcW w:w="2627" w:type="dxa"/>
            <w:tcBorders>
              <w:tl2br w:val="nil"/>
              <w:tr2bl w:val="nil"/>
            </w:tcBorders>
            <w:vAlign w:val="center"/>
          </w:tcPr>
          <w:p w14:paraId="2215EFA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项目区-</w:t>
            </w:r>
            <w:r>
              <w:rPr>
                <w:rFonts w:hint="eastAsia" w:ascii="Times New Roman" w:hAnsi="Times New Roman" w:cs="Times New Roman" w:eastAsiaTheme="minorEastAsia"/>
                <w:szCs w:val="21"/>
                <w:lang w:val="en-US" w:eastAsia="zh-CN"/>
              </w:rPr>
              <w:t>柱状</w:t>
            </w:r>
            <w:r>
              <w:rPr>
                <w:rFonts w:hint="default" w:ascii="Times New Roman" w:hAnsi="Times New Roman" w:cs="Times New Roman" w:eastAsiaTheme="minorEastAsia"/>
                <w:szCs w:val="21"/>
                <w:lang w:val="en-US" w:eastAsia="zh-CN"/>
              </w:rPr>
              <w:t>土样</w:t>
            </w:r>
          </w:p>
        </w:tc>
        <w:tc>
          <w:tcPr>
            <w:tcW w:w="4454" w:type="dxa"/>
            <w:tcBorders>
              <w:tl2br w:val="nil"/>
              <w:tr2bl w:val="nil"/>
            </w:tcBorders>
            <w:vAlign w:val="center"/>
          </w:tcPr>
          <w:p w14:paraId="580E730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了解厂区内土壤环境质量现状</w:t>
            </w:r>
          </w:p>
        </w:tc>
      </w:tr>
      <w:tr w14:paraId="5818D6D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452" w:type="dxa"/>
            <w:tcBorders>
              <w:tl2br w:val="nil"/>
              <w:tr2bl w:val="nil"/>
            </w:tcBorders>
            <w:vAlign w:val="center"/>
          </w:tcPr>
          <w:p w14:paraId="66B832B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w:t>
            </w:r>
          </w:p>
        </w:tc>
        <w:tc>
          <w:tcPr>
            <w:tcW w:w="2627" w:type="dxa"/>
            <w:tcBorders>
              <w:tl2br w:val="nil"/>
              <w:tr2bl w:val="nil"/>
            </w:tcBorders>
            <w:vAlign w:val="center"/>
          </w:tcPr>
          <w:p w14:paraId="6B7C289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项目区</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表层土样</w:t>
            </w:r>
          </w:p>
        </w:tc>
        <w:tc>
          <w:tcPr>
            <w:tcW w:w="4454" w:type="dxa"/>
            <w:tcBorders>
              <w:tl2br w:val="nil"/>
              <w:tr2bl w:val="nil"/>
            </w:tcBorders>
            <w:vAlign w:val="center"/>
          </w:tcPr>
          <w:p w14:paraId="2F913E7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了解厂区内土壤环境质量现状</w:t>
            </w:r>
          </w:p>
        </w:tc>
      </w:tr>
      <w:tr w14:paraId="20BFD44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452" w:type="dxa"/>
            <w:tcBorders>
              <w:tl2br w:val="nil"/>
              <w:tr2bl w:val="nil"/>
            </w:tcBorders>
            <w:vAlign w:val="center"/>
          </w:tcPr>
          <w:p w14:paraId="45F5DCE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w:t>
            </w:r>
          </w:p>
        </w:tc>
        <w:tc>
          <w:tcPr>
            <w:tcW w:w="2627" w:type="dxa"/>
            <w:tcBorders>
              <w:tl2br w:val="nil"/>
              <w:tr2bl w:val="nil"/>
            </w:tcBorders>
            <w:vAlign w:val="center"/>
          </w:tcPr>
          <w:p w14:paraId="427AAD5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项目区外</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表层土样</w:t>
            </w:r>
          </w:p>
        </w:tc>
        <w:tc>
          <w:tcPr>
            <w:tcW w:w="4454" w:type="dxa"/>
            <w:tcBorders>
              <w:tl2br w:val="nil"/>
              <w:tr2bl w:val="nil"/>
            </w:tcBorders>
            <w:vAlign w:val="center"/>
          </w:tcPr>
          <w:p w14:paraId="400F445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了解厂区外土壤环境质量现状</w:t>
            </w:r>
          </w:p>
        </w:tc>
      </w:tr>
      <w:tr w14:paraId="67E2638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452" w:type="dxa"/>
            <w:tcBorders>
              <w:tl2br w:val="nil"/>
              <w:tr2bl w:val="nil"/>
            </w:tcBorders>
            <w:vAlign w:val="center"/>
          </w:tcPr>
          <w:p w14:paraId="17F109A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w:t>
            </w:r>
            <w:r>
              <w:rPr>
                <w:rFonts w:hint="default" w:ascii="Times New Roman" w:hAnsi="Times New Roman" w:cs="Times New Roman" w:eastAsiaTheme="minorEastAsia"/>
                <w:szCs w:val="21"/>
                <w:lang w:val="en-US" w:eastAsia="zh-CN"/>
              </w:rPr>
              <w:t>#</w:t>
            </w:r>
          </w:p>
        </w:tc>
        <w:tc>
          <w:tcPr>
            <w:tcW w:w="2627" w:type="dxa"/>
            <w:tcBorders>
              <w:tl2br w:val="nil"/>
              <w:tr2bl w:val="nil"/>
            </w:tcBorders>
            <w:vAlign w:val="center"/>
          </w:tcPr>
          <w:p w14:paraId="226D24A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项目区外</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表层土样</w:t>
            </w:r>
          </w:p>
        </w:tc>
        <w:tc>
          <w:tcPr>
            <w:tcW w:w="4454" w:type="dxa"/>
            <w:tcBorders>
              <w:tl2br w:val="nil"/>
              <w:tr2bl w:val="nil"/>
            </w:tcBorders>
            <w:vAlign w:val="center"/>
          </w:tcPr>
          <w:p w14:paraId="79FF1C5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了解厂区外土壤环境质量现状</w:t>
            </w:r>
          </w:p>
        </w:tc>
      </w:tr>
    </w:tbl>
    <w:p w14:paraId="0084D8A7">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（2）监测因子</w:t>
      </w:r>
    </w:p>
    <w:p w14:paraId="1F5C4C79">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项目</w:t>
      </w:r>
      <w:r>
        <w:rPr>
          <w:rFonts w:hint="default" w:ascii="Times New Roman" w:hAnsi="Times New Roman" w:cs="Times New Roman" w:eastAsiaTheme="minorEastAsia"/>
          <w:sz w:val="24"/>
          <w:lang w:val="en-US" w:eastAsia="zh-CN"/>
        </w:rPr>
        <w:t>监测因子选择《土壤环境质量 建设用地土壤污染风险管控标准（试行）》（GB36600-2018）中规定的45项基本项目及</w:t>
      </w:r>
      <w:r>
        <w:rPr>
          <w:rFonts w:hint="eastAsia" w:ascii="Times New Roman" w:hAnsi="Times New Roman" w:cs="Times New Roman" w:eastAsiaTheme="minorEastAsia"/>
          <w:sz w:val="24"/>
          <w:lang w:val="en-US" w:eastAsia="zh-CN"/>
        </w:rPr>
        <w:t>p</w:t>
      </w:r>
      <w:r>
        <w:rPr>
          <w:rFonts w:hint="default" w:ascii="Times New Roman" w:hAnsi="Times New Roman" w:cs="Times New Roman" w:eastAsiaTheme="minorEastAsia"/>
          <w:sz w:val="24"/>
          <w:lang w:val="en-US" w:eastAsia="zh-CN"/>
        </w:rPr>
        <w:t>H、全盐量。</w:t>
      </w:r>
    </w:p>
    <w:p w14:paraId="6B847D81">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（3）监测时间及分析方法</w:t>
      </w:r>
    </w:p>
    <w:p w14:paraId="7EEDA5C4">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采样时间为2025年</w:t>
      </w:r>
      <w:r>
        <w:rPr>
          <w:rFonts w:hint="eastAsia" w:ascii="Times New Roman" w:hAnsi="Times New Roman" w:cs="Times New Roman" w:eastAsiaTheme="minorEastAsia"/>
          <w:sz w:val="24"/>
          <w:lang w:val="en-US" w:eastAsia="zh-CN"/>
        </w:rPr>
        <w:t>12</w:t>
      </w:r>
      <w:r>
        <w:rPr>
          <w:rFonts w:hint="default" w:ascii="Times New Roman" w:hAnsi="Times New Roman" w:cs="Times New Roman" w:eastAsiaTheme="minorEastAsia"/>
          <w:sz w:val="24"/>
          <w:lang w:val="en-US" w:eastAsia="zh-CN"/>
        </w:rPr>
        <w:t>月</w:t>
      </w:r>
      <w:r>
        <w:rPr>
          <w:rFonts w:hint="eastAsia" w:ascii="Times New Roman" w:hAnsi="Times New Roman" w:cs="Times New Roman" w:eastAsiaTheme="minorEastAsia"/>
          <w:sz w:val="24"/>
          <w:lang w:val="en-US" w:eastAsia="zh-CN"/>
        </w:rPr>
        <w:t>1</w:t>
      </w:r>
      <w:r>
        <w:rPr>
          <w:rFonts w:hint="default" w:ascii="Times New Roman" w:hAnsi="Times New Roman" w:cs="Times New Roman" w:eastAsiaTheme="minorEastAsia"/>
          <w:sz w:val="24"/>
          <w:lang w:val="en-US" w:eastAsia="zh-CN"/>
        </w:rPr>
        <w:t>日。分析方法采用《土壤环境质量建设用地土壤污染风险管控标准（试行）》（GB36600-2018）中表2相关方法。</w:t>
      </w:r>
    </w:p>
    <w:p w14:paraId="678C5A5D">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（4）评价标准</w:t>
      </w:r>
    </w:p>
    <w:p w14:paraId="45853B25">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本次土壤环境质量评价项目区内</w:t>
      </w:r>
      <w:r>
        <w:rPr>
          <w:rFonts w:hint="eastAsia" w:ascii="Times New Roman" w:hAnsi="Times New Roman" w:cs="Times New Roman" w:eastAsiaTheme="minorEastAsia"/>
          <w:sz w:val="24"/>
          <w:lang w:val="en-US" w:eastAsia="zh-CN"/>
        </w:rPr>
        <w:t>外均</w:t>
      </w:r>
      <w:r>
        <w:rPr>
          <w:rFonts w:hint="default" w:ascii="Times New Roman" w:hAnsi="Times New Roman" w:cs="Times New Roman" w:eastAsiaTheme="minorEastAsia"/>
          <w:sz w:val="24"/>
          <w:lang w:val="en-US" w:eastAsia="zh-CN"/>
        </w:rPr>
        <w:t>采用《土壤环境质量</w:t>
      </w:r>
      <w:r>
        <w:rPr>
          <w:rFonts w:hint="eastAsia" w:ascii="Times New Roman" w:hAnsi="Times New Roman" w:cs="Times New Roman" w:eastAsiaTheme="minorEastAsia"/>
          <w:sz w:val="24"/>
          <w:lang w:val="en-US" w:eastAsia="zh-CN"/>
        </w:rPr>
        <w:t xml:space="preserve"> </w:t>
      </w:r>
      <w:r>
        <w:rPr>
          <w:rFonts w:hint="default" w:ascii="Times New Roman" w:hAnsi="Times New Roman" w:cs="Times New Roman" w:eastAsiaTheme="minorEastAsia"/>
          <w:sz w:val="24"/>
          <w:lang w:val="en-US" w:eastAsia="zh-CN"/>
        </w:rPr>
        <w:t>建设用地土壤污染风险管控标准（试行）》（GB36600-2018）中第二类用地土壤污染风险筛选值标准。</w:t>
      </w:r>
    </w:p>
    <w:p w14:paraId="03CA6057">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（5）监测结果及评价</w:t>
      </w:r>
    </w:p>
    <w:p w14:paraId="6E8DC44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监测结果及评价结果详见表4.</w:t>
      </w:r>
      <w:r>
        <w:rPr>
          <w:rFonts w:hint="eastAsia" w:ascii="Times New Roman" w:hAnsi="Times New Roman" w:cs="Times New Roman" w:eastAsiaTheme="minorEastAsia"/>
          <w:sz w:val="24"/>
          <w:lang w:val="en-US" w:eastAsia="zh-CN"/>
        </w:rPr>
        <w:t>3</w:t>
      </w:r>
      <w:r>
        <w:rPr>
          <w:rFonts w:hint="default" w:ascii="Times New Roman" w:hAnsi="Times New Roman" w:cs="Times New Roman" w:eastAsiaTheme="minorEastAsia"/>
          <w:sz w:val="24"/>
          <w:lang w:val="en-US" w:eastAsia="zh-CN"/>
        </w:rPr>
        <w:t>-6。</w:t>
      </w:r>
    </w:p>
    <w:p w14:paraId="09163C06">
      <w:pPr>
        <w:snapToGrid w:val="0"/>
        <w:spacing w:before="241" w:beforeLines="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表4.</w:t>
      </w:r>
      <w:r>
        <w:rPr>
          <w:rFonts w:hint="eastAsia" w:ascii="Times New Roman" w:hAnsi="Times New Roman" w:cs="Times New Roman"/>
          <w:b/>
          <w:szCs w:val="21"/>
          <w:lang w:val="en-US" w:eastAsia="zh-CN"/>
        </w:rPr>
        <w:t>3</w:t>
      </w:r>
      <w:r>
        <w:rPr>
          <w:rFonts w:hint="default" w:ascii="Times New Roman" w:hAnsi="Times New Roman" w:cs="Times New Roman" w:eastAsiaTheme="minorEastAsia"/>
          <w:b/>
          <w:szCs w:val="21"/>
          <w:lang w:val="en-US" w:eastAsia="zh-CN"/>
        </w:rPr>
        <w:t>-6  土壤监测结果及评价表</w:t>
      </w:r>
    </w:p>
    <w:tbl>
      <w:tblPr>
        <w:tblStyle w:val="1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2151"/>
        <w:gridCol w:w="1315"/>
        <w:gridCol w:w="942"/>
        <w:gridCol w:w="1054"/>
        <w:gridCol w:w="952"/>
        <w:gridCol w:w="1043"/>
        <w:gridCol w:w="1043"/>
      </w:tblGrid>
      <w:tr w14:paraId="11481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360" w:type="pct"/>
            <w:vAlign w:val="center"/>
          </w:tcPr>
          <w:p w14:paraId="72445A75">
            <w:pPr>
              <w:spacing w:line="300" w:lineRule="exact"/>
              <w:jc w:val="center"/>
              <w:rPr>
                <w:rFonts w:hint="default" w:ascii="Times New Roman" w:hAnsi="Times New Roman" w:cs="Times New Roman" w:eastAsiaTheme="minorEastAsia"/>
                <w:b/>
                <w:bCs/>
                <w:szCs w:val="21"/>
                <w:highlight w:val="none"/>
                <w:lang w:val="en-US" w:eastAsia="zh-CN"/>
              </w:rPr>
            </w:pPr>
            <w:r>
              <w:rPr>
                <w:rFonts w:hint="default" w:ascii="Times New Roman" w:hAnsi="Times New Roman" w:cs="Times New Roman" w:eastAsiaTheme="minorEastAsia"/>
                <w:b/>
                <w:bCs/>
                <w:szCs w:val="21"/>
                <w:highlight w:val="none"/>
                <w:lang w:val="en-US" w:eastAsia="zh-CN"/>
              </w:rPr>
              <w:t>序号</w:t>
            </w:r>
          </w:p>
        </w:tc>
        <w:tc>
          <w:tcPr>
            <w:tcW w:w="1173" w:type="pct"/>
            <w:vAlign w:val="center"/>
          </w:tcPr>
          <w:p w14:paraId="46201A80">
            <w:pPr>
              <w:spacing w:line="300" w:lineRule="exact"/>
              <w:jc w:val="center"/>
              <w:rPr>
                <w:rFonts w:hint="default" w:ascii="Times New Roman" w:hAnsi="Times New Roman" w:cs="Times New Roman" w:eastAsiaTheme="minorEastAsia"/>
                <w:b/>
                <w:bCs/>
                <w:szCs w:val="21"/>
                <w:highlight w:val="none"/>
                <w:lang w:val="en-US" w:eastAsia="zh-CN"/>
              </w:rPr>
            </w:pPr>
            <w:r>
              <w:rPr>
                <w:rFonts w:hint="default" w:ascii="Times New Roman" w:hAnsi="Times New Roman" w:cs="Times New Roman" w:eastAsiaTheme="minorEastAsia"/>
                <w:b/>
                <w:bCs/>
                <w:szCs w:val="21"/>
                <w:highlight w:val="none"/>
                <w:lang w:val="en-US" w:eastAsia="zh-CN"/>
              </w:rPr>
              <w:t>检 测 项 目</w:t>
            </w:r>
          </w:p>
        </w:tc>
        <w:tc>
          <w:tcPr>
            <w:tcW w:w="717" w:type="pct"/>
            <w:vAlign w:val="center"/>
          </w:tcPr>
          <w:p w14:paraId="1C6CD45E">
            <w:pPr>
              <w:spacing w:line="300" w:lineRule="exact"/>
              <w:jc w:val="center"/>
              <w:rPr>
                <w:rFonts w:hint="default" w:ascii="Times New Roman" w:hAnsi="Times New Roman" w:cs="Times New Roman" w:eastAsiaTheme="minorEastAsia"/>
                <w:b/>
                <w:bCs/>
                <w:szCs w:val="21"/>
                <w:highlight w:val="none"/>
                <w:lang w:val="en-US" w:eastAsia="zh-CN"/>
              </w:rPr>
            </w:pPr>
            <w:r>
              <w:rPr>
                <w:rFonts w:hint="default" w:ascii="Times New Roman" w:hAnsi="Times New Roman" w:cs="Times New Roman" w:eastAsiaTheme="minorEastAsia"/>
                <w:b/>
                <w:bCs/>
                <w:szCs w:val="21"/>
                <w:highlight w:val="none"/>
                <w:lang w:val="en-US" w:eastAsia="zh-CN"/>
              </w:rPr>
              <w:t>单位</w:t>
            </w:r>
          </w:p>
        </w:tc>
        <w:tc>
          <w:tcPr>
            <w:tcW w:w="1608" w:type="pct"/>
            <w:gridSpan w:val="3"/>
            <w:vAlign w:val="center"/>
          </w:tcPr>
          <w:p w14:paraId="7CBC31EA">
            <w:pPr>
              <w:spacing w:line="300" w:lineRule="exact"/>
              <w:jc w:val="center"/>
              <w:rPr>
                <w:rFonts w:hint="default" w:ascii="Times New Roman" w:hAnsi="Times New Roman" w:cs="Times New Roman" w:eastAsiaTheme="minorEastAsia"/>
                <w:b/>
                <w:bCs/>
                <w:szCs w:val="21"/>
                <w:highlight w:val="none"/>
                <w:lang w:val="en-US" w:eastAsia="zh-CN"/>
              </w:rPr>
            </w:pPr>
            <w:r>
              <w:rPr>
                <w:rFonts w:hint="default" w:ascii="Times New Roman" w:hAnsi="Times New Roman" w:cs="Times New Roman" w:eastAsiaTheme="minorEastAsia"/>
                <w:b/>
                <w:bCs/>
                <w:szCs w:val="21"/>
                <w:highlight w:val="none"/>
                <w:lang w:val="en-US" w:eastAsia="zh-CN"/>
              </w:rPr>
              <w:t>项目区占地范围内：</w:t>
            </w:r>
            <w:r>
              <w:rPr>
                <w:rFonts w:hint="eastAsia" w:ascii="Times New Roman" w:hAnsi="Times New Roman" w:cs="Times New Roman"/>
                <w:b/>
                <w:bCs/>
                <w:szCs w:val="21"/>
                <w:highlight w:val="none"/>
                <w:lang w:val="en-US" w:eastAsia="zh-CN"/>
              </w:rPr>
              <w:t>4</w:t>
            </w:r>
            <w:r>
              <w:rPr>
                <w:rFonts w:hint="default" w:ascii="Times New Roman" w:hAnsi="Times New Roman" w:cs="Times New Roman" w:eastAsiaTheme="minorEastAsia"/>
                <w:b/>
                <w:bCs/>
                <w:szCs w:val="21"/>
                <w:highlight w:val="none"/>
                <w:lang w:val="en-US" w:eastAsia="zh-CN"/>
              </w:rPr>
              <w:t>#表层样（20cm）</w:t>
            </w:r>
          </w:p>
        </w:tc>
        <w:tc>
          <w:tcPr>
            <w:tcW w:w="569" w:type="pct"/>
            <w:vAlign w:val="center"/>
          </w:tcPr>
          <w:p w14:paraId="5CFAC0D6">
            <w:pPr>
              <w:spacing w:line="300" w:lineRule="exact"/>
              <w:jc w:val="center"/>
              <w:rPr>
                <w:rFonts w:hint="default" w:ascii="Times New Roman" w:hAnsi="Times New Roman" w:cs="Times New Roman" w:eastAsiaTheme="minorEastAsia"/>
                <w:b/>
                <w:bCs/>
                <w:szCs w:val="21"/>
                <w:highlight w:val="none"/>
                <w:lang w:val="en-US" w:eastAsia="zh-CN"/>
              </w:rPr>
            </w:pPr>
            <w:r>
              <w:rPr>
                <w:rFonts w:hint="default" w:ascii="Times New Roman" w:hAnsi="Times New Roman" w:cs="Times New Roman" w:eastAsiaTheme="minorEastAsia"/>
                <w:b/>
                <w:bCs/>
                <w:szCs w:val="21"/>
                <w:highlight w:val="none"/>
                <w:lang w:val="en-US" w:eastAsia="zh-CN"/>
              </w:rPr>
              <w:t>限值</w:t>
            </w:r>
          </w:p>
        </w:tc>
        <w:tc>
          <w:tcPr>
            <w:tcW w:w="569" w:type="pct"/>
            <w:vAlign w:val="center"/>
          </w:tcPr>
          <w:p w14:paraId="48F46443">
            <w:pPr>
              <w:spacing w:line="300" w:lineRule="exact"/>
              <w:jc w:val="center"/>
              <w:rPr>
                <w:rFonts w:hint="default" w:ascii="Times New Roman" w:hAnsi="Times New Roman" w:cs="Times New Roman" w:eastAsiaTheme="minorEastAsia"/>
                <w:b/>
                <w:bCs/>
                <w:szCs w:val="21"/>
                <w:highlight w:val="none"/>
                <w:lang w:val="en-US" w:eastAsia="zh-CN"/>
              </w:rPr>
            </w:pPr>
            <w:r>
              <w:rPr>
                <w:rFonts w:hint="eastAsia" w:ascii="Times New Roman" w:hAnsi="Times New Roman" w:cs="Times New Roman"/>
                <w:b/>
                <w:bCs/>
                <w:szCs w:val="21"/>
                <w:highlight w:val="none"/>
                <w:lang w:val="en-US" w:eastAsia="zh-CN"/>
              </w:rPr>
              <w:t>检出限</w:t>
            </w:r>
          </w:p>
        </w:tc>
      </w:tr>
      <w:tr w14:paraId="3D058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3F7DE32C">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1173" w:type="pct"/>
            <w:shd w:val="clear" w:color="auto" w:fill="auto"/>
            <w:vAlign w:val="center"/>
          </w:tcPr>
          <w:p w14:paraId="256E6948">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pH值</w:t>
            </w:r>
            <w:r>
              <w:rPr>
                <w:rFonts w:hint="default" w:ascii="Times New Roman" w:hAnsi="Times New Roman" w:cs="Times New Roman"/>
                <w:color w:val="000000"/>
                <w:szCs w:val="21"/>
                <w:highlight w:val="none"/>
                <w:lang w:val="en-US" w:eastAsia="zh-CN"/>
              </w:rPr>
              <w:t>（</w:t>
            </w:r>
            <w:r>
              <w:rPr>
                <w:rFonts w:hint="eastAsia" w:ascii="Times New Roman" w:hAnsi="Times New Roman" w:cs="Times New Roman"/>
                <w:color w:val="000000"/>
                <w:szCs w:val="21"/>
                <w:highlight w:val="none"/>
                <w:lang w:val="en-US" w:eastAsia="zh-CN"/>
              </w:rPr>
              <w:t>无量纲</w:t>
            </w:r>
            <w:r>
              <w:rPr>
                <w:rFonts w:hint="default" w:ascii="Times New Roman" w:hAnsi="Times New Roman" w:cs="Times New Roman"/>
                <w:color w:val="000000"/>
                <w:szCs w:val="21"/>
                <w:highlight w:val="none"/>
                <w:lang w:val="en-US" w:eastAsia="zh-CN"/>
              </w:rPr>
              <w:t>）</w:t>
            </w:r>
          </w:p>
        </w:tc>
        <w:tc>
          <w:tcPr>
            <w:tcW w:w="717" w:type="pct"/>
            <w:shd w:val="clear" w:color="auto" w:fill="auto"/>
            <w:vAlign w:val="center"/>
          </w:tcPr>
          <w:p w14:paraId="7D419B2B">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无量纲</w:t>
            </w:r>
          </w:p>
        </w:tc>
        <w:tc>
          <w:tcPr>
            <w:tcW w:w="1608" w:type="pct"/>
            <w:gridSpan w:val="3"/>
            <w:vAlign w:val="center"/>
          </w:tcPr>
          <w:p w14:paraId="44188F08">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8.25</w:t>
            </w:r>
          </w:p>
        </w:tc>
        <w:tc>
          <w:tcPr>
            <w:tcW w:w="569" w:type="pct"/>
            <w:vAlign w:val="center"/>
          </w:tcPr>
          <w:p w14:paraId="2CF88E5B">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569" w:type="pct"/>
            <w:vAlign w:val="center"/>
          </w:tcPr>
          <w:p w14:paraId="6369D8F0">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r>
      <w:tr w14:paraId="48DEA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709CB745">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2</w:t>
            </w:r>
          </w:p>
        </w:tc>
        <w:tc>
          <w:tcPr>
            <w:tcW w:w="1173" w:type="pct"/>
            <w:shd w:val="clear" w:color="auto" w:fill="auto"/>
            <w:vAlign w:val="center"/>
          </w:tcPr>
          <w:p w14:paraId="08ABF4F0">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水分</w:t>
            </w:r>
            <w:r>
              <w:rPr>
                <w:rFonts w:hint="default" w:ascii="Times New Roman" w:hAnsi="Times New Roman" w:cs="Times New Roman"/>
                <w:color w:val="000000"/>
                <w:szCs w:val="21"/>
                <w:highlight w:val="none"/>
                <w:lang w:val="en-US" w:eastAsia="zh-CN"/>
              </w:rPr>
              <w:t>（</w:t>
            </w:r>
            <w:r>
              <w:rPr>
                <w:rFonts w:hint="eastAsia"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lang w:val="en-US" w:eastAsia="zh-CN"/>
              </w:rPr>
              <w:t>）</w:t>
            </w:r>
          </w:p>
        </w:tc>
        <w:tc>
          <w:tcPr>
            <w:tcW w:w="717" w:type="pct"/>
            <w:shd w:val="clear" w:color="auto" w:fill="auto"/>
            <w:vAlign w:val="center"/>
          </w:tcPr>
          <w:p w14:paraId="2A31DFD9">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Cs w:val="21"/>
                <w:highlight w:val="none"/>
                <w:lang w:val="en-US" w:eastAsia="zh-CN"/>
              </w:rPr>
              <w:t>（</w:t>
            </w:r>
            <w:r>
              <w:rPr>
                <w:rFonts w:hint="eastAsia"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lang w:val="en-US" w:eastAsia="zh-CN"/>
              </w:rPr>
              <w:t>）</w:t>
            </w:r>
          </w:p>
        </w:tc>
        <w:tc>
          <w:tcPr>
            <w:tcW w:w="1608" w:type="pct"/>
            <w:gridSpan w:val="3"/>
            <w:vAlign w:val="center"/>
          </w:tcPr>
          <w:p w14:paraId="36DCB6BC">
            <w:pPr>
              <w:jc w:val="center"/>
              <w:rPr>
                <w:rFonts w:hint="default" w:ascii="Times New Roman" w:hAnsi="Times New Roman" w:cs="Times New Roman" w:eastAsiaTheme="minorEastAsia"/>
                <w:b/>
                <w:bCs/>
                <w:szCs w:val="21"/>
                <w:highlight w:val="none"/>
                <w:lang w:val="en-US" w:eastAsia="zh-CN"/>
              </w:rPr>
            </w:pPr>
            <w:r>
              <w:rPr>
                <w:rFonts w:hint="eastAsia" w:ascii="Times New Roman" w:hAnsi="Times New Roman" w:cs="Times New Roman"/>
                <w:color w:val="000000"/>
                <w:szCs w:val="21"/>
                <w:highlight w:val="none"/>
                <w:lang w:val="en-US" w:eastAsia="zh-CN"/>
              </w:rPr>
              <w:t>0.34</w:t>
            </w:r>
          </w:p>
        </w:tc>
        <w:tc>
          <w:tcPr>
            <w:tcW w:w="569" w:type="pct"/>
            <w:vAlign w:val="center"/>
          </w:tcPr>
          <w:p w14:paraId="58B319A2">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569" w:type="pct"/>
            <w:vAlign w:val="center"/>
          </w:tcPr>
          <w:p w14:paraId="615C93A8">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r>
      <w:tr w14:paraId="39701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7580B45E">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3</w:t>
            </w:r>
          </w:p>
        </w:tc>
        <w:tc>
          <w:tcPr>
            <w:tcW w:w="1173" w:type="pct"/>
            <w:shd w:val="clear" w:color="auto" w:fill="auto"/>
            <w:vAlign w:val="center"/>
          </w:tcPr>
          <w:p w14:paraId="00FB9AEB">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镉</w:t>
            </w:r>
          </w:p>
        </w:tc>
        <w:tc>
          <w:tcPr>
            <w:tcW w:w="717" w:type="pct"/>
            <w:shd w:val="clear" w:color="auto" w:fill="auto"/>
            <w:vAlign w:val="center"/>
          </w:tcPr>
          <w:p w14:paraId="228F9A1A">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vAlign w:val="center"/>
          </w:tcPr>
          <w:p w14:paraId="7D1C8445">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kern w:val="2"/>
                <w:sz w:val="21"/>
                <w:szCs w:val="21"/>
                <w:highlight w:val="none"/>
                <w:lang w:val="en-US" w:eastAsia="zh-CN" w:bidi="ar-SA"/>
              </w:rPr>
              <w:t>&lt;0.09</w:t>
            </w:r>
          </w:p>
        </w:tc>
        <w:tc>
          <w:tcPr>
            <w:tcW w:w="569" w:type="pct"/>
            <w:vAlign w:val="center"/>
          </w:tcPr>
          <w:p w14:paraId="5B5B0D2D">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65</w:t>
            </w:r>
          </w:p>
        </w:tc>
        <w:tc>
          <w:tcPr>
            <w:tcW w:w="569" w:type="pct"/>
            <w:vAlign w:val="center"/>
          </w:tcPr>
          <w:p w14:paraId="53AF89E3">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0.09</w:t>
            </w:r>
          </w:p>
        </w:tc>
      </w:tr>
      <w:tr w14:paraId="7108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253CACE4">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4</w:t>
            </w:r>
          </w:p>
        </w:tc>
        <w:tc>
          <w:tcPr>
            <w:tcW w:w="1173" w:type="pct"/>
            <w:shd w:val="clear" w:color="auto" w:fill="auto"/>
            <w:vAlign w:val="center"/>
          </w:tcPr>
          <w:p w14:paraId="6FEFC76F">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铬（六价）</w:t>
            </w:r>
          </w:p>
        </w:tc>
        <w:tc>
          <w:tcPr>
            <w:tcW w:w="717" w:type="pct"/>
            <w:shd w:val="clear" w:color="auto" w:fill="auto"/>
            <w:vAlign w:val="center"/>
          </w:tcPr>
          <w:p w14:paraId="345E34FA">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vAlign w:val="center"/>
          </w:tcPr>
          <w:p w14:paraId="6CBCEF24">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kern w:val="2"/>
                <w:sz w:val="21"/>
                <w:szCs w:val="21"/>
                <w:highlight w:val="none"/>
                <w:lang w:val="en-US" w:eastAsia="zh-CN" w:bidi="ar-SA"/>
              </w:rPr>
              <w:t>&lt;0.5</w:t>
            </w:r>
          </w:p>
        </w:tc>
        <w:tc>
          <w:tcPr>
            <w:tcW w:w="569" w:type="pct"/>
            <w:vAlign w:val="center"/>
          </w:tcPr>
          <w:p w14:paraId="4C23F6C5">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5.7</w:t>
            </w:r>
          </w:p>
        </w:tc>
        <w:tc>
          <w:tcPr>
            <w:tcW w:w="569" w:type="pct"/>
            <w:vAlign w:val="center"/>
          </w:tcPr>
          <w:p w14:paraId="70E5CE78">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0.5</w:t>
            </w:r>
          </w:p>
        </w:tc>
      </w:tr>
      <w:tr w14:paraId="374C5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71C69033">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5</w:t>
            </w:r>
          </w:p>
        </w:tc>
        <w:tc>
          <w:tcPr>
            <w:tcW w:w="1173" w:type="pct"/>
            <w:shd w:val="clear" w:color="auto" w:fill="auto"/>
            <w:vAlign w:val="center"/>
          </w:tcPr>
          <w:p w14:paraId="4A55F5A9">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镍</w:t>
            </w:r>
          </w:p>
        </w:tc>
        <w:tc>
          <w:tcPr>
            <w:tcW w:w="717" w:type="pct"/>
            <w:shd w:val="clear" w:color="auto" w:fill="auto"/>
            <w:vAlign w:val="center"/>
          </w:tcPr>
          <w:p w14:paraId="3A6F26A4">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vAlign w:val="center"/>
          </w:tcPr>
          <w:p w14:paraId="6F5AECF7">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5</w:t>
            </w:r>
          </w:p>
        </w:tc>
        <w:tc>
          <w:tcPr>
            <w:tcW w:w="569" w:type="pct"/>
            <w:vAlign w:val="center"/>
          </w:tcPr>
          <w:p w14:paraId="39587A0A">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900</w:t>
            </w:r>
          </w:p>
        </w:tc>
        <w:tc>
          <w:tcPr>
            <w:tcW w:w="569" w:type="pct"/>
            <w:vAlign w:val="center"/>
          </w:tcPr>
          <w:p w14:paraId="278C4BFB">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w:t>
            </w:r>
          </w:p>
        </w:tc>
      </w:tr>
      <w:tr w14:paraId="5377C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43D6F6FA">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6</w:t>
            </w:r>
          </w:p>
        </w:tc>
        <w:tc>
          <w:tcPr>
            <w:tcW w:w="1173" w:type="pct"/>
            <w:shd w:val="clear" w:color="auto" w:fill="auto"/>
            <w:vAlign w:val="center"/>
          </w:tcPr>
          <w:p w14:paraId="68A7CCBA">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铅</w:t>
            </w:r>
          </w:p>
        </w:tc>
        <w:tc>
          <w:tcPr>
            <w:tcW w:w="717" w:type="pct"/>
            <w:shd w:val="clear" w:color="auto" w:fill="auto"/>
            <w:vAlign w:val="center"/>
          </w:tcPr>
          <w:p w14:paraId="2D7BE86A">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vAlign w:val="center"/>
          </w:tcPr>
          <w:p w14:paraId="4BDB8C57">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kern w:val="2"/>
                <w:sz w:val="21"/>
                <w:szCs w:val="21"/>
                <w:highlight w:val="none"/>
                <w:lang w:val="en-US" w:eastAsia="zh-CN" w:bidi="ar-SA"/>
              </w:rPr>
              <w:t>10</w:t>
            </w:r>
          </w:p>
        </w:tc>
        <w:tc>
          <w:tcPr>
            <w:tcW w:w="569" w:type="pct"/>
            <w:vAlign w:val="center"/>
          </w:tcPr>
          <w:p w14:paraId="3A3296E2">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800</w:t>
            </w:r>
          </w:p>
        </w:tc>
        <w:tc>
          <w:tcPr>
            <w:tcW w:w="569" w:type="pct"/>
            <w:vAlign w:val="center"/>
          </w:tcPr>
          <w:p w14:paraId="2E749CF0">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w:t>
            </w:r>
          </w:p>
        </w:tc>
      </w:tr>
      <w:tr w14:paraId="672AB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25AE0119">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7</w:t>
            </w:r>
          </w:p>
        </w:tc>
        <w:tc>
          <w:tcPr>
            <w:tcW w:w="1173" w:type="pct"/>
            <w:shd w:val="clear" w:color="auto" w:fill="auto"/>
            <w:vAlign w:val="center"/>
          </w:tcPr>
          <w:p w14:paraId="150472A1">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铜</w:t>
            </w:r>
          </w:p>
        </w:tc>
        <w:tc>
          <w:tcPr>
            <w:tcW w:w="717" w:type="pct"/>
            <w:shd w:val="clear" w:color="auto" w:fill="auto"/>
            <w:vAlign w:val="center"/>
          </w:tcPr>
          <w:p w14:paraId="1198EA8E">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vAlign w:val="center"/>
          </w:tcPr>
          <w:p w14:paraId="1405E202">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&lt;0.6</w:t>
            </w:r>
          </w:p>
        </w:tc>
        <w:tc>
          <w:tcPr>
            <w:tcW w:w="569" w:type="pct"/>
            <w:vAlign w:val="center"/>
          </w:tcPr>
          <w:p w14:paraId="7E35AB4E">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18000</w:t>
            </w:r>
          </w:p>
        </w:tc>
        <w:tc>
          <w:tcPr>
            <w:tcW w:w="569" w:type="pct"/>
            <w:vAlign w:val="center"/>
          </w:tcPr>
          <w:p w14:paraId="3DA36849">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0.6</w:t>
            </w:r>
          </w:p>
        </w:tc>
      </w:tr>
      <w:tr w14:paraId="2D778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7736B90F">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8</w:t>
            </w:r>
          </w:p>
        </w:tc>
        <w:tc>
          <w:tcPr>
            <w:tcW w:w="1173" w:type="pct"/>
            <w:shd w:val="clear" w:color="auto" w:fill="auto"/>
            <w:vAlign w:val="center"/>
          </w:tcPr>
          <w:p w14:paraId="47AB32DE">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砷</w:t>
            </w:r>
          </w:p>
        </w:tc>
        <w:tc>
          <w:tcPr>
            <w:tcW w:w="717" w:type="pct"/>
            <w:shd w:val="clear" w:color="auto" w:fill="auto"/>
            <w:vAlign w:val="center"/>
          </w:tcPr>
          <w:p w14:paraId="0B9C44F6">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vAlign w:val="center"/>
          </w:tcPr>
          <w:p w14:paraId="1A43FD72">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kern w:val="2"/>
                <w:sz w:val="21"/>
                <w:szCs w:val="21"/>
                <w:highlight w:val="none"/>
                <w:lang w:val="en-US" w:eastAsia="zh-CN" w:bidi="ar-SA"/>
              </w:rPr>
              <w:t>10.4</w:t>
            </w:r>
          </w:p>
        </w:tc>
        <w:tc>
          <w:tcPr>
            <w:tcW w:w="569" w:type="pct"/>
            <w:vAlign w:val="center"/>
          </w:tcPr>
          <w:p w14:paraId="5D77FBFC">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60</w:t>
            </w:r>
          </w:p>
        </w:tc>
        <w:tc>
          <w:tcPr>
            <w:tcW w:w="569" w:type="pct"/>
            <w:vAlign w:val="center"/>
          </w:tcPr>
          <w:p w14:paraId="571C9D68">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0.01</w:t>
            </w:r>
          </w:p>
        </w:tc>
      </w:tr>
      <w:tr w14:paraId="3CD8C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5C5182C0">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9</w:t>
            </w:r>
          </w:p>
        </w:tc>
        <w:tc>
          <w:tcPr>
            <w:tcW w:w="1173" w:type="pct"/>
            <w:shd w:val="clear" w:color="auto" w:fill="auto"/>
            <w:vAlign w:val="center"/>
          </w:tcPr>
          <w:p w14:paraId="1D4B051E">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汞</w:t>
            </w:r>
          </w:p>
        </w:tc>
        <w:tc>
          <w:tcPr>
            <w:tcW w:w="717" w:type="pct"/>
            <w:shd w:val="clear" w:color="auto" w:fill="auto"/>
            <w:vAlign w:val="center"/>
          </w:tcPr>
          <w:p w14:paraId="78B60CBC">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vAlign w:val="center"/>
          </w:tcPr>
          <w:p w14:paraId="73E71150">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kern w:val="2"/>
                <w:sz w:val="21"/>
                <w:szCs w:val="21"/>
                <w:highlight w:val="none"/>
                <w:lang w:val="en-US" w:eastAsia="zh-CN" w:bidi="ar-SA"/>
              </w:rPr>
              <w:t>0.0313</w:t>
            </w:r>
          </w:p>
        </w:tc>
        <w:tc>
          <w:tcPr>
            <w:tcW w:w="569" w:type="pct"/>
            <w:vAlign w:val="center"/>
          </w:tcPr>
          <w:p w14:paraId="0B655889">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38</w:t>
            </w:r>
          </w:p>
        </w:tc>
        <w:tc>
          <w:tcPr>
            <w:tcW w:w="569" w:type="pct"/>
            <w:vAlign w:val="center"/>
          </w:tcPr>
          <w:p w14:paraId="3DFCF218">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0.002</w:t>
            </w:r>
          </w:p>
        </w:tc>
      </w:tr>
      <w:tr w14:paraId="258CA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5C824CFE">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10</w:t>
            </w:r>
          </w:p>
        </w:tc>
        <w:tc>
          <w:tcPr>
            <w:tcW w:w="1173" w:type="pct"/>
            <w:shd w:val="clear" w:color="auto" w:fill="auto"/>
            <w:vAlign w:val="center"/>
          </w:tcPr>
          <w:p w14:paraId="5A2900B9">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kern w:val="2"/>
                <w:sz w:val="21"/>
                <w:szCs w:val="21"/>
                <w:highlight w:val="none"/>
                <w:lang w:val="en-US" w:eastAsia="zh-CN" w:bidi="ar-SA"/>
              </w:rPr>
              <w:t>氯甲烷</w:t>
            </w:r>
          </w:p>
        </w:tc>
        <w:tc>
          <w:tcPr>
            <w:tcW w:w="717" w:type="pct"/>
            <w:shd w:val="clear" w:color="auto" w:fill="auto"/>
            <w:vAlign w:val="center"/>
          </w:tcPr>
          <w:p w14:paraId="67FA24C8">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vAlign w:val="center"/>
          </w:tcPr>
          <w:p w14:paraId="47FB1F50">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kern w:val="2"/>
                <w:sz w:val="21"/>
                <w:szCs w:val="21"/>
                <w:highlight w:val="none"/>
                <w:lang w:val="en-US" w:eastAsia="zh-CN" w:bidi="ar-SA"/>
              </w:rPr>
              <w:t>&lt;1.0×10</w:t>
            </w:r>
            <w:r>
              <w:rPr>
                <w:rFonts w:hint="eastAsia" w:ascii="Times New Roman" w:hAnsi="Times New Roman" w:eastAsia="宋体" w:cs="Times New Roman"/>
                <w:color w:val="000000"/>
                <w:kern w:val="2"/>
                <w:sz w:val="21"/>
                <w:szCs w:val="21"/>
                <w:highlight w:val="none"/>
                <w:vertAlign w:val="superscript"/>
                <w:lang w:val="en-US" w:eastAsia="zh-CN" w:bidi="ar-SA"/>
              </w:rPr>
              <w:t>-3</w:t>
            </w:r>
          </w:p>
        </w:tc>
        <w:tc>
          <w:tcPr>
            <w:tcW w:w="569" w:type="pct"/>
            <w:vAlign w:val="center"/>
          </w:tcPr>
          <w:p w14:paraId="7C82689B">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37</w:t>
            </w:r>
          </w:p>
        </w:tc>
        <w:tc>
          <w:tcPr>
            <w:tcW w:w="569" w:type="pct"/>
            <w:vAlign w:val="center"/>
          </w:tcPr>
          <w:p w14:paraId="5E198AF9">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1.0μg/kg</w:t>
            </w:r>
          </w:p>
        </w:tc>
      </w:tr>
      <w:tr w14:paraId="6CFD1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173BDA9C">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11</w:t>
            </w:r>
          </w:p>
        </w:tc>
        <w:tc>
          <w:tcPr>
            <w:tcW w:w="1173" w:type="pct"/>
            <w:shd w:val="clear" w:color="auto" w:fill="auto"/>
            <w:vAlign w:val="center"/>
          </w:tcPr>
          <w:p w14:paraId="5D84EE95">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氯仿</w:t>
            </w:r>
          </w:p>
        </w:tc>
        <w:tc>
          <w:tcPr>
            <w:tcW w:w="717" w:type="pct"/>
            <w:shd w:val="clear" w:color="auto" w:fill="auto"/>
            <w:vAlign w:val="center"/>
          </w:tcPr>
          <w:p w14:paraId="743ABFD2">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vAlign w:val="center"/>
          </w:tcPr>
          <w:p w14:paraId="216AA75D">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kern w:val="2"/>
                <w:sz w:val="21"/>
                <w:szCs w:val="21"/>
                <w:highlight w:val="none"/>
                <w:lang w:val="en-US" w:eastAsia="zh-CN" w:bidi="ar-SA"/>
              </w:rPr>
              <w:t>&lt;1.0×10</w:t>
            </w:r>
            <w:r>
              <w:rPr>
                <w:rFonts w:hint="eastAsia" w:ascii="Times New Roman" w:hAnsi="Times New Roman" w:eastAsia="宋体" w:cs="Times New Roman"/>
                <w:color w:val="000000"/>
                <w:kern w:val="2"/>
                <w:sz w:val="21"/>
                <w:szCs w:val="21"/>
                <w:highlight w:val="none"/>
                <w:vertAlign w:val="superscript"/>
                <w:lang w:val="en-US" w:eastAsia="zh-CN" w:bidi="ar-SA"/>
              </w:rPr>
              <w:t>-3</w:t>
            </w:r>
          </w:p>
        </w:tc>
        <w:tc>
          <w:tcPr>
            <w:tcW w:w="569" w:type="pct"/>
            <w:vAlign w:val="center"/>
          </w:tcPr>
          <w:p w14:paraId="62E3B9AE">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0.9</w:t>
            </w:r>
          </w:p>
        </w:tc>
        <w:tc>
          <w:tcPr>
            <w:tcW w:w="569" w:type="pct"/>
            <w:vAlign w:val="center"/>
          </w:tcPr>
          <w:p w14:paraId="360F111F">
            <w:pPr>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lang w:val="en-US" w:eastAsia="zh-CN"/>
              </w:rPr>
              <w:t>1.1μg/kg</w:t>
            </w:r>
          </w:p>
        </w:tc>
      </w:tr>
      <w:tr w14:paraId="7FE65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5CDC872C">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12</w:t>
            </w:r>
          </w:p>
        </w:tc>
        <w:tc>
          <w:tcPr>
            <w:tcW w:w="1173" w:type="pct"/>
            <w:shd w:val="clear" w:color="auto" w:fill="auto"/>
            <w:vAlign w:val="center"/>
          </w:tcPr>
          <w:p w14:paraId="4EF26B16">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四氯化碳</w:t>
            </w:r>
          </w:p>
        </w:tc>
        <w:tc>
          <w:tcPr>
            <w:tcW w:w="717" w:type="pct"/>
            <w:shd w:val="clear" w:color="auto" w:fill="auto"/>
            <w:vAlign w:val="center"/>
          </w:tcPr>
          <w:p w14:paraId="795E9A90">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vAlign w:val="center"/>
          </w:tcPr>
          <w:p w14:paraId="167C0C31">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kern w:val="2"/>
                <w:sz w:val="21"/>
                <w:szCs w:val="21"/>
                <w:highlight w:val="none"/>
                <w:lang w:val="en-US" w:eastAsia="zh-CN" w:bidi="ar-SA"/>
              </w:rPr>
              <w:t>&lt;1.3×10</w:t>
            </w:r>
            <w:r>
              <w:rPr>
                <w:rFonts w:hint="eastAsia" w:ascii="Times New Roman" w:hAnsi="Times New Roman" w:eastAsia="宋体" w:cs="Times New Roman"/>
                <w:color w:val="000000"/>
                <w:kern w:val="2"/>
                <w:sz w:val="21"/>
                <w:szCs w:val="21"/>
                <w:highlight w:val="none"/>
                <w:vertAlign w:val="superscript"/>
                <w:lang w:val="en-US" w:eastAsia="zh-CN" w:bidi="ar-SA"/>
              </w:rPr>
              <w:t>-3</w:t>
            </w:r>
          </w:p>
        </w:tc>
        <w:tc>
          <w:tcPr>
            <w:tcW w:w="569" w:type="pct"/>
            <w:vAlign w:val="center"/>
          </w:tcPr>
          <w:p w14:paraId="5D8EF4E1">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2.8</w:t>
            </w:r>
          </w:p>
        </w:tc>
        <w:tc>
          <w:tcPr>
            <w:tcW w:w="569" w:type="pct"/>
            <w:vAlign w:val="center"/>
          </w:tcPr>
          <w:p w14:paraId="7E09C1EA">
            <w:pPr>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lang w:val="en-US" w:eastAsia="zh-CN"/>
              </w:rPr>
              <w:t>1.3μg/kg</w:t>
            </w:r>
          </w:p>
        </w:tc>
      </w:tr>
      <w:tr w14:paraId="55772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78782E84">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13</w:t>
            </w:r>
          </w:p>
        </w:tc>
        <w:tc>
          <w:tcPr>
            <w:tcW w:w="1173" w:type="pct"/>
            <w:shd w:val="clear" w:color="auto" w:fill="auto"/>
            <w:vAlign w:val="center"/>
          </w:tcPr>
          <w:p w14:paraId="7D0A155D">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1,1-二氯乙烷</w:t>
            </w:r>
          </w:p>
        </w:tc>
        <w:tc>
          <w:tcPr>
            <w:tcW w:w="717" w:type="pct"/>
            <w:shd w:val="clear" w:color="auto" w:fill="auto"/>
            <w:vAlign w:val="center"/>
          </w:tcPr>
          <w:p w14:paraId="0964BF6D">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vAlign w:val="center"/>
          </w:tcPr>
          <w:p w14:paraId="44A2BD64">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&lt;1.2</w:t>
            </w:r>
            <w:r>
              <w:rPr>
                <w:rFonts w:hint="eastAsia" w:ascii="Times New Roman" w:hAnsi="Times New Roman" w:eastAsia="宋体" w:cs="Times New Roman"/>
                <w:color w:val="000000"/>
                <w:kern w:val="2"/>
                <w:sz w:val="21"/>
                <w:szCs w:val="21"/>
                <w:highlight w:val="none"/>
                <w:lang w:val="en-US" w:eastAsia="zh-CN" w:bidi="ar-SA"/>
              </w:rPr>
              <w:t>×10</w:t>
            </w:r>
            <w:r>
              <w:rPr>
                <w:rFonts w:hint="eastAsia" w:ascii="Times New Roman" w:hAnsi="Times New Roman" w:eastAsia="宋体" w:cs="Times New Roman"/>
                <w:color w:val="000000"/>
                <w:kern w:val="2"/>
                <w:sz w:val="21"/>
                <w:szCs w:val="21"/>
                <w:highlight w:val="none"/>
                <w:vertAlign w:val="superscript"/>
                <w:lang w:val="en-US" w:eastAsia="zh-CN" w:bidi="ar-SA"/>
              </w:rPr>
              <w:t>-3</w:t>
            </w:r>
          </w:p>
        </w:tc>
        <w:tc>
          <w:tcPr>
            <w:tcW w:w="569" w:type="pct"/>
            <w:vAlign w:val="center"/>
          </w:tcPr>
          <w:p w14:paraId="43B7E85B">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9</w:t>
            </w:r>
          </w:p>
        </w:tc>
        <w:tc>
          <w:tcPr>
            <w:tcW w:w="569" w:type="pct"/>
            <w:vAlign w:val="center"/>
          </w:tcPr>
          <w:p w14:paraId="2242F0A2">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1.2μg/kg</w:t>
            </w:r>
          </w:p>
        </w:tc>
      </w:tr>
      <w:tr w14:paraId="42E30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50F0511C">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14</w:t>
            </w:r>
          </w:p>
        </w:tc>
        <w:tc>
          <w:tcPr>
            <w:tcW w:w="1173" w:type="pct"/>
            <w:shd w:val="clear" w:color="auto" w:fill="auto"/>
            <w:vAlign w:val="center"/>
          </w:tcPr>
          <w:p w14:paraId="59EE856A">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1,2-二氯乙烷</w:t>
            </w:r>
          </w:p>
        </w:tc>
        <w:tc>
          <w:tcPr>
            <w:tcW w:w="717" w:type="pct"/>
            <w:shd w:val="clear" w:color="auto" w:fill="auto"/>
            <w:vAlign w:val="center"/>
          </w:tcPr>
          <w:p w14:paraId="6E19B006">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vAlign w:val="center"/>
          </w:tcPr>
          <w:p w14:paraId="06F70BFB">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&lt;1.3</w:t>
            </w:r>
            <w:r>
              <w:rPr>
                <w:rFonts w:hint="eastAsia" w:ascii="Times New Roman" w:hAnsi="Times New Roman" w:eastAsia="宋体" w:cs="Times New Roman"/>
                <w:color w:val="000000"/>
                <w:kern w:val="2"/>
                <w:sz w:val="21"/>
                <w:szCs w:val="21"/>
                <w:highlight w:val="none"/>
                <w:lang w:val="en-US" w:eastAsia="zh-CN" w:bidi="ar-SA"/>
              </w:rPr>
              <w:t>×10</w:t>
            </w:r>
            <w:r>
              <w:rPr>
                <w:rFonts w:hint="eastAsia" w:ascii="Times New Roman" w:hAnsi="Times New Roman" w:eastAsia="宋体" w:cs="Times New Roman"/>
                <w:color w:val="000000"/>
                <w:kern w:val="2"/>
                <w:sz w:val="21"/>
                <w:szCs w:val="21"/>
                <w:highlight w:val="none"/>
                <w:vertAlign w:val="superscript"/>
                <w:lang w:val="en-US" w:eastAsia="zh-CN" w:bidi="ar-SA"/>
              </w:rPr>
              <w:t>-3</w:t>
            </w:r>
          </w:p>
        </w:tc>
        <w:tc>
          <w:tcPr>
            <w:tcW w:w="569" w:type="pct"/>
            <w:vAlign w:val="center"/>
          </w:tcPr>
          <w:p w14:paraId="11B2CD4B">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w:t>
            </w:r>
          </w:p>
        </w:tc>
        <w:tc>
          <w:tcPr>
            <w:tcW w:w="569" w:type="pct"/>
            <w:vAlign w:val="center"/>
          </w:tcPr>
          <w:p w14:paraId="6286903E">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1.3μg/kg</w:t>
            </w:r>
          </w:p>
        </w:tc>
      </w:tr>
      <w:tr w14:paraId="339AB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40F1E684">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15</w:t>
            </w:r>
          </w:p>
        </w:tc>
        <w:tc>
          <w:tcPr>
            <w:tcW w:w="1173" w:type="pct"/>
            <w:shd w:val="clear" w:color="auto" w:fill="auto"/>
            <w:vAlign w:val="center"/>
          </w:tcPr>
          <w:p w14:paraId="2D1C2F58">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1,1,2-三氯乙烷</w:t>
            </w:r>
          </w:p>
        </w:tc>
        <w:tc>
          <w:tcPr>
            <w:tcW w:w="717" w:type="pct"/>
            <w:shd w:val="clear" w:color="auto" w:fill="auto"/>
            <w:vAlign w:val="center"/>
          </w:tcPr>
          <w:p w14:paraId="52C7F37F">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vAlign w:val="center"/>
          </w:tcPr>
          <w:p w14:paraId="3AB87ACE">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&lt;1.2</w:t>
            </w:r>
            <w:r>
              <w:rPr>
                <w:rFonts w:hint="eastAsia" w:ascii="Times New Roman" w:hAnsi="Times New Roman" w:eastAsia="宋体" w:cs="Times New Roman"/>
                <w:color w:val="000000"/>
                <w:kern w:val="2"/>
                <w:sz w:val="21"/>
                <w:szCs w:val="21"/>
                <w:highlight w:val="none"/>
                <w:lang w:val="en-US" w:eastAsia="zh-CN" w:bidi="ar-SA"/>
              </w:rPr>
              <w:t>×10</w:t>
            </w:r>
            <w:r>
              <w:rPr>
                <w:rFonts w:hint="eastAsia" w:ascii="Times New Roman" w:hAnsi="Times New Roman" w:eastAsia="宋体" w:cs="Times New Roman"/>
                <w:color w:val="000000"/>
                <w:kern w:val="2"/>
                <w:sz w:val="21"/>
                <w:szCs w:val="21"/>
                <w:highlight w:val="none"/>
                <w:vertAlign w:val="superscript"/>
                <w:lang w:val="en-US" w:eastAsia="zh-CN" w:bidi="ar-SA"/>
              </w:rPr>
              <w:t>-3</w:t>
            </w:r>
          </w:p>
        </w:tc>
        <w:tc>
          <w:tcPr>
            <w:tcW w:w="569" w:type="pct"/>
            <w:vAlign w:val="center"/>
          </w:tcPr>
          <w:p w14:paraId="46139A20">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2.8</w:t>
            </w:r>
          </w:p>
        </w:tc>
        <w:tc>
          <w:tcPr>
            <w:tcW w:w="569" w:type="pct"/>
            <w:vAlign w:val="center"/>
          </w:tcPr>
          <w:p w14:paraId="59DEB238">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1.2μg/kg</w:t>
            </w:r>
          </w:p>
        </w:tc>
      </w:tr>
      <w:tr w14:paraId="56C4E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3CCCDEE1">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16</w:t>
            </w:r>
          </w:p>
        </w:tc>
        <w:tc>
          <w:tcPr>
            <w:tcW w:w="1173" w:type="pct"/>
            <w:shd w:val="clear" w:color="auto" w:fill="auto"/>
            <w:vAlign w:val="center"/>
          </w:tcPr>
          <w:p w14:paraId="10305F30">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1,1,1-三氯乙烷</w:t>
            </w:r>
          </w:p>
        </w:tc>
        <w:tc>
          <w:tcPr>
            <w:tcW w:w="717" w:type="pct"/>
            <w:shd w:val="clear" w:color="auto" w:fill="auto"/>
            <w:vAlign w:val="center"/>
          </w:tcPr>
          <w:p w14:paraId="3CC28434">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vAlign w:val="center"/>
          </w:tcPr>
          <w:p w14:paraId="53898B44">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&lt;1.3</w:t>
            </w:r>
            <w:r>
              <w:rPr>
                <w:rFonts w:hint="eastAsia" w:ascii="Times New Roman" w:hAnsi="Times New Roman" w:eastAsia="宋体" w:cs="Times New Roman"/>
                <w:color w:val="000000"/>
                <w:kern w:val="2"/>
                <w:sz w:val="21"/>
                <w:szCs w:val="21"/>
                <w:highlight w:val="none"/>
                <w:lang w:val="en-US" w:eastAsia="zh-CN" w:bidi="ar-SA"/>
              </w:rPr>
              <w:t>×10</w:t>
            </w:r>
            <w:r>
              <w:rPr>
                <w:rFonts w:hint="eastAsia" w:ascii="Times New Roman" w:hAnsi="Times New Roman" w:eastAsia="宋体" w:cs="Times New Roman"/>
                <w:color w:val="000000"/>
                <w:kern w:val="2"/>
                <w:sz w:val="21"/>
                <w:szCs w:val="21"/>
                <w:highlight w:val="none"/>
                <w:vertAlign w:val="superscript"/>
                <w:lang w:val="en-US" w:eastAsia="zh-CN" w:bidi="ar-SA"/>
              </w:rPr>
              <w:t>-3</w:t>
            </w:r>
          </w:p>
        </w:tc>
        <w:tc>
          <w:tcPr>
            <w:tcW w:w="569" w:type="pct"/>
            <w:vAlign w:val="center"/>
          </w:tcPr>
          <w:p w14:paraId="1E92EB3D">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840</w:t>
            </w:r>
          </w:p>
        </w:tc>
        <w:tc>
          <w:tcPr>
            <w:tcW w:w="569" w:type="pct"/>
            <w:vAlign w:val="center"/>
          </w:tcPr>
          <w:p w14:paraId="377CB248">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1.3μg/kg</w:t>
            </w:r>
          </w:p>
        </w:tc>
      </w:tr>
      <w:tr w14:paraId="45165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6B6D7B7C">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17</w:t>
            </w:r>
          </w:p>
        </w:tc>
        <w:tc>
          <w:tcPr>
            <w:tcW w:w="1173" w:type="pct"/>
            <w:shd w:val="clear" w:color="auto" w:fill="auto"/>
            <w:vAlign w:val="center"/>
          </w:tcPr>
          <w:p w14:paraId="52E717AE">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1,1,2,2-四氯乙烷</w:t>
            </w:r>
          </w:p>
        </w:tc>
        <w:tc>
          <w:tcPr>
            <w:tcW w:w="717" w:type="pct"/>
            <w:shd w:val="clear" w:color="auto" w:fill="auto"/>
            <w:vAlign w:val="center"/>
          </w:tcPr>
          <w:p w14:paraId="5CBE0A5C">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vAlign w:val="center"/>
          </w:tcPr>
          <w:p w14:paraId="55125C77">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&lt;1.2</w:t>
            </w:r>
            <w:r>
              <w:rPr>
                <w:rFonts w:hint="eastAsia" w:ascii="Times New Roman" w:hAnsi="Times New Roman" w:eastAsia="宋体" w:cs="Times New Roman"/>
                <w:color w:val="000000"/>
                <w:kern w:val="2"/>
                <w:sz w:val="21"/>
                <w:szCs w:val="21"/>
                <w:highlight w:val="none"/>
                <w:lang w:val="en-US" w:eastAsia="zh-CN" w:bidi="ar-SA"/>
              </w:rPr>
              <w:t>×10</w:t>
            </w:r>
            <w:r>
              <w:rPr>
                <w:rFonts w:hint="eastAsia" w:ascii="Times New Roman" w:hAnsi="Times New Roman" w:eastAsia="宋体" w:cs="Times New Roman"/>
                <w:color w:val="000000"/>
                <w:kern w:val="2"/>
                <w:sz w:val="21"/>
                <w:szCs w:val="21"/>
                <w:highlight w:val="none"/>
                <w:vertAlign w:val="superscript"/>
                <w:lang w:val="en-US" w:eastAsia="zh-CN" w:bidi="ar-SA"/>
              </w:rPr>
              <w:t>-3</w:t>
            </w:r>
          </w:p>
        </w:tc>
        <w:tc>
          <w:tcPr>
            <w:tcW w:w="569" w:type="pct"/>
            <w:vAlign w:val="center"/>
          </w:tcPr>
          <w:p w14:paraId="4A389C96">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6.8</w:t>
            </w:r>
          </w:p>
        </w:tc>
        <w:tc>
          <w:tcPr>
            <w:tcW w:w="569" w:type="pct"/>
            <w:vAlign w:val="center"/>
          </w:tcPr>
          <w:p w14:paraId="1A0E0559">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1.2μg/kg</w:t>
            </w:r>
          </w:p>
        </w:tc>
      </w:tr>
      <w:tr w14:paraId="2FA51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7224D84F">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18</w:t>
            </w:r>
          </w:p>
        </w:tc>
        <w:tc>
          <w:tcPr>
            <w:tcW w:w="1173" w:type="pct"/>
            <w:shd w:val="clear" w:color="auto" w:fill="auto"/>
            <w:vAlign w:val="center"/>
          </w:tcPr>
          <w:p w14:paraId="4A70A9AD">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1,1,1,2-四氯乙烷</w:t>
            </w:r>
          </w:p>
        </w:tc>
        <w:tc>
          <w:tcPr>
            <w:tcW w:w="717" w:type="pct"/>
            <w:shd w:val="clear" w:color="auto" w:fill="auto"/>
            <w:vAlign w:val="center"/>
          </w:tcPr>
          <w:p w14:paraId="15813EE9">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vAlign w:val="center"/>
          </w:tcPr>
          <w:p w14:paraId="69F35E5C">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&lt;1.2</w:t>
            </w:r>
            <w:r>
              <w:rPr>
                <w:rFonts w:hint="eastAsia" w:ascii="Times New Roman" w:hAnsi="Times New Roman" w:eastAsia="宋体" w:cs="Times New Roman"/>
                <w:color w:val="000000"/>
                <w:kern w:val="2"/>
                <w:sz w:val="21"/>
                <w:szCs w:val="21"/>
                <w:highlight w:val="none"/>
                <w:lang w:val="en-US" w:eastAsia="zh-CN" w:bidi="ar-SA"/>
              </w:rPr>
              <w:t>×10</w:t>
            </w:r>
            <w:r>
              <w:rPr>
                <w:rFonts w:hint="eastAsia" w:ascii="Times New Roman" w:hAnsi="Times New Roman" w:eastAsia="宋体" w:cs="Times New Roman"/>
                <w:color w:val="000000"/>
                <w:kern w:val="2"/>
                <w:sz w:val="21"/>
                <w:szCs w:val="21"/>
                <w:highlight w:val="none"/>
                <w:vertAlign w:val="superscript"/>
                <w:lang w:val="en-US" w:eastAsia="zh-CN" w:bidi="ar-SA"/>
              </w:rPr>
              <w:t>-3</w:t>
            </w:r>
          </w:p>
        </w:tc>
        <w:tc>
          <w:tcPr>
            <w:tcW w:w="569" w:type="pct"/>
            <w:vAlign w:val="center"/>
          </w:tcPr>
          <w:p w14:paraId="466C3047">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10</w:t>
            </w:r>
          </w:p>
        </w:tc>
        <w:tc>
          <w:tcPr>
            <w:tcW w:w="569" w:type="pct"/>
            <w:vAlign w:val="center"/>
          </w:tcPr>
          <w:p w14:paraId="3172C256">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1.2μg/kg</w:t>
            </w:r>
          </w:p>
        </w:tc>
      </w:tr>
      <w:tr w14:paraId="744D6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107F83B7">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19</w:t>
            </w:r>
          </w:p>
        </w:tc>
        <w:tc>
          <w:tcPr>
            <w:tcW w:w="1173" w:type="pct"/>
            <w:shd w:val="clear" w:color="auto" w:fill="auto"/>
            <w:vAlign w:val="center"/>
          </w:tcPr>
          <w:p w14:paraId="71A1EF9B">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1,2-二氯丙烷</w:t>
            </w:r>
          </w:p>
        </w:tc>
        <w:tc>
          <w:tcPr>
            <w:tcW w:w="717" w:type="pct"/>
            <w:shd w:val="clear" w:color="auto" w:fill="auto"/>
            <w:vAlign w:val="center"/>
          </w:tcPr>
          <w:p w14:paraId="557C116D">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vAlign w:val="center"/>
          </w:tcPr>
          <w:p w14:paraId="4AF925BA">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&lt;1.1</w:t>
            </w:r>
            <w:r>
              <w:rPr>
                <w:rFonts w:hint="eastAsia" w:ascii="Times New Roman" w:hAnsi="Times New Roman" w:eastAsia="宋体" w:cs="Times New Roman"/>
                <w:color w:val="000000"/>
                <w:kern w:val="2"/>
                <w:sz w:val="21"/>
                <w:szCs w:val="21"/>
                <w:highlight w:val="none"/>
                <w:lang w:val="en-US" w:eastAsia="zh-CN" w:bidi="ar-SA"/>
              </w:rPr>
              <w:t>×10</w:t>
            </w:r>
            <w:r>
              <w:rPr>
                <w:rFonts w:hint="eastAsia" w:ascii="Times New Roman" w:hAnsi="Times New Roman" w:eastAsia="宋体" w:cs="Times New Roman"/>
                <w:color w:val="000000"/>
                <w:kern w:val="2"/>
                <w:sz w:val="21"/>
                <w:szCs w:val="21"/>
                <w:highlight w:val="none"/>
                <w:vertAlign w:val="superscript"/>
                <w:lang w:val="en-US" w:eastAsia="zh-CN" w:bidi="ar-SA"/>
              </w:rPr>
              <w:t>-3</w:t>
            </w:r>
          </w:p>
        </w:tc>
        <w:tc>
          <w:tcPr>
            <w:tcW w:w="569" w:type="pct"/>
            <w:vAlign w:val="center"/>
          </w:tcPr>
          <w:p w14:paraId="79E8B874">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w:t>
            </w:r>
          </w:p>
        </w:tc>
        <w:tc>
          <w:tcPr>
            <w:tcW w:w="569" w:type="pct"/>
            <w:vAlign w:val="center"/>
          </w:tcPr>
          <w:p w14:paraId="21DF2307">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1.1μg/kg</w:t>
            </w:r>
          </w:p>
        </w:tc>
      </w:tr>
      <w:tr w14:paraId="108DF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63C2CBBA">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20</w:t>
            </w:r>
          </w:p>
        </w:tc>
        <w:tc>
          <w:tcPr>
            <w:tcW w:w="1173" w:type="pct"/>
            <w:shd w:val="clear" w:color="auto" w:fill="auto"/>
            <w:vAlign w:val="center"/>
          </w:tcPr>
          <w:p w14:paraId="21D770FA">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氯乙烯</w:t>
            </w:r>
          </w:p>
        </w:tc>
        <w:tc>
          <w:tcPr>
            <w:tcW w:w="717" w:type="pct"/>
            <w:shd w:val="clear" w:color="auto" w:fill="auto"/>
            <w:vAlign w:val="center"/>
          </w:tcPr>
          <w:p w14:paraId="0D31D997">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vAlign w:val="center"/>
          </w:tcPr>
          <w:p w14:paraId="162193CA">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&lt;1.0</w:t>
            </w:r>
            <w:r>
              <w:rPr>
                <w:rFonts w:hint="eastAsia" w:ascii="Times New Roman" w:hAnsi="Times New Roman" w:eastAsia="宋体" w:cs="Times New Roman"/>
                <w:color w:val="000000"/>
                <w:kern w:val="2"/>
                <w:sz w:val="21"/>
                <w:szCs w:val="21"/>
                <w:highlight w:val="none"/>
                <w:lang w:val="en-US" w:eastAsia="zh-CN" w:bidi="ar-SA"/>
              </w:rPr>
              <w:t>×10</w:t>
            </w:r>
            <w:r>
              <w:rPr>
                <w:rFonts w:hint="eastAsia" w:ascii="Times New Roman" w:hAnsi="Times New Roman" w:eastAsia="宋体" w:cs="Times New Roman"/>
                <w:color w:val="000000"/>
                <w:kern w:val="2"/>
                <w:sz w:val="21"/>
                <w:szCs w:val="21"/>
                <w:highlight w:val="none"/>
                <w:vertAlign w:val="superscript"/>
                <w:lang w:val="en-US" w:eastAsia="zh-CN" w:bidi="ar-SA"/>
              </w:rPr>
              <w:t>-3</w:t>
            </w:r>
          </w:p>
        </w:tc>
        <w:tc>
          <w:tcPr>
            <w:tcW w:w="569" w:type="pct"/>
            <w:vAlign w:val="center"/>
          </w:tcPr>
          <w:p w14:paraId="7B3C6297">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0.43</w:t>
            </w:r>
          </w:p>
        </w:tc>
        <w:tc>
          <w:tcPr>
            <w:tcW w:w="569" w:type="pct"/>
            <w:vAlign w:val="center"/>
          </w:tcPr>
          <w:p w14:paraId="1A2663EE">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1.0μg/kg</w:t>
            </w:r>
          </w:p>
        </w:tc>
      </w:tr>
      <w:tr w14:paraId="0D95B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435DCAB8">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21</w:t>
            </w:r>
          </w:p>
        </w:tc>
        <w:tc>
          <w:tcPr>
            <w:tcW w:w="1173" w:type="pct"/>
            <w:shd w:val="clear" w:color="auto" w:fill="auto"/>
            <w:vAlign w:val="center"/>
          </w:tcPr>
          <w:p w14:paraId="5AB3D36B">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1,1-二氯乙烯</w:t>
            </w:r>
          </w:p>
        </w:tc>
        <w:tc>
          <w:tcPr>
            <w:tcW w:w="717" w:type="pct"/>
            <w:shd w:val="clear" w:color="auto" w:fill="auto"/>
            <w:vAlign w:val="center"/>
          </w:tcPr>
          <w:p w14:paraId="16534805">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vAlign w:val="center"/>
          </w:tcPr>
          <w:p w14:paraId="7405FDEE">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&lt;1.0</w:t>
            </w:r>
            <w:r>
              <w:rPr>
                <w:rFonts w:hint="eastAsia" w:ascii="Times New Roman" w:hAnsi="Times New Roman" w:eastAsia="宋体" w:cs="Times New Roman"/>
                <w:color w:val="000000"/>
                <w:kern w:val="2"/>
                <w:sz w:val="21"/>
                <w:szCs w:val="21"/>
                <w:highlight w:val="none"/>
                <w:lang w:val="en-US" w:eastAsia="zh-CN" w:bidi="ar-SA"/>
              </w:rPr>
              <w:t>×10</w:t>
            </w:r>
            <w:r>
              <w:rPr>
                <w:rFonts w:hint="eastAsia" w:ascii="Times New Roman" w:hAnsi="Times New Roman" w:eastAsia="宋体" w:cs="Times New Roman"/>
                <w:color w:val="000000"/>
                <w:kern w:val="2"/>
                <w:sz w:val="21"/>
                <w:szCs w:val="21"/>
                <w:highlight w:val="none"/>
                <w:vertAlign w:val="superscript"/>
                <w:lang w:val="en-US" w:eastAsia="zh-CN" w:bidi="ar-SA"/>
              </w:rPr>
              <w:t>-3</w:t>
            </w:r>
          </w:p>
        </w:tc>
        <w:tc>
          <w:tcPr>
            <w:tcW w:w="569" w:type="pct"/>
            <w:vAlign w:val="center"/>
          </w:tcPr>
          <w:p w14:paraId="53D5BF5A">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66</w:t>
            </w:r>
          </w:p>
        </w:tc>
        <w:tc>
          <w:tcPr>
            <w:tcW w:w="569" w:type="pct"/>
            <w:vAlign w:val="center"/>
          </w:tcPr>
          <w:p w14:paraId="5E391FF6">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1.0μg/kg</w:t>
            </w:r>
          </w:p>
        </w:tc>
      </w:tr>
      <w:tr w14:paraId="3485A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0531F29A">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22</w:t>
            </w:r>
          </w:p>
        </w:tc>
        <w:tc>
          <w:tcPr>
            <w:tcW w:w="1173" w:type="pct"/>
            <w:shd w:val="clear" w:color="auto" w:fill="auto"/>
            <w:vAlign w:val="center"/>
          </w:tcPr>
          <w:p w14:paraId="61C947F1">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顺1,2-二氯乙烯</w:t>
            </w:r>
          </w:p>
        </w:tc>
        <w:tc>
          <w:tcPr>
            <w:tcW w:w="717" w:type="pct"/>
            <w:shd w:val="clear" w:color="auto" w:fill="auto"/>
            <w:vAlign w:val="center"/>
          </w:tcPr>
          <w:p w14:paraId="5D4B2D95">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vAlign w:val="center"/>
          </w:tcPr>
          <w:p w14:paraId="45DA54D0">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&lt;1.3</w:t>
            </w:r>
            <w:r>
              <w:rPr>
                <w:rFonts w:hint="eastAsia" w:ascii="Times New Roman" w:hAnsi="Times New Roman" w:eastAsia="宋体" w:cs="Times New Roman"/>
                <w:color w:val="000000"/>
                <w:kern w:val="2"/>
                <w:sz w:val="21"/>
                <w:szCs w:val="21"/>
                <w:highlight w:val="none"/>
                <w:lang w:val="en-US" w:eastAsia="zh-CN" w:bidi="ar-SA"/>
              </w:rPr>
              <w:t>×10</w:t>
            </w:r>
            <w:r>
              <w:rPr>
                <w:rFonts w:hint="eastAsia" w:ascii="Times New Roman" w:hAnsi="Times New Roman" w:eastAsia="宋体" w:cs="Times New Roman"/>
                <w:color w:val="000000"/>
                <w:kern w:val="2"/>
                <w:sz w:val="21"/>
                <w:szCs w:val="21"/>
                <w:highlight w:val="none"/>
                <w:vertAlign w:val="superscript"/>
                <w:lang w:val="en-US" w:eastAsia="zh-CN" w:bidi="ar-SA"/>
              </w:rPr>
              <w:t>-3</w:t>
            </w:r>
          </w:p>
        </w:tc>
        <w:tc>
          <w:tcPr>
            <w:tcW w:w="569" w:type="pct"/>
            <w:vAlign w:val="center"/>
          </w:tcPr>
          <w:p w14:paraId="40EE1D56">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596</w:t>
            </w:r>
          </w:p>
        </w:tc>
        <w:tc>
          <w:tcPr>
            <w:tcW w:w="569" w:type="pct"/>
            <w:shd w:val="clear" w:color="auto" w:fill="auto"/>
            <w:vAlign w:val="center"/>
          </w:tcPr>
          <w:p w14:paraId="473DC9B4">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color w:val="000000"/>
                <w:sz w:val="21"/>
                <w:szCs w:val="21"/>
                <w:highlight w:val="none"/>
                <w:lang w:val="en-US" w:eastAsia="zh-CN"/>
              </w:rPr>
              <w:t>1.3μg/kg</w:t>
            </w:r>
          </w:p>
        </w:tc>
      </w:tr>
      <w:tr w14:paraId="2AB53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62F99DA2">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23</w:t>
            </w:r>
          </w:p>
        </w:tc>
        <w:tc>
          <w:tcPr>
            <w:tcW w:w="1173" w:type="pct"/>
            <w:shd w:val="clear" w:color="auto" w:fill="auto"/>
            <w:vAlign w:val="center"/>
          </w:tcPr>
          <w:p w14:paraId="3799798B">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反1,2-二氯乙烯</w:t>
            </w:r>
          </w:p>
        </w:tc>
        <w:tc>
          <w:tcPr>
            <w:tcW w:w="717" w:type="pct"/>
            <w:shd w:val="clear" w:color="auto" w:fill="auto"/>
            <w:vAlign w:val="center"/>
          </w:tcPr>
          <w:p w14:paraId="79CD9E5C">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vAlign w:val="center"/>
          </w:tcPr>
          <w:p w14:paraId="7ECFE3B3">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&lt;1.4</w:t>
            </w:r>
            <w:r>
              <w:rPr>
                <w:rFonts w:hint="eastAsia" w:ascii="Times New Roman" w:hAnsi="Times New Roman" w:eastAsia="宋体" w:cs="Times New Roman"/>
                <w:color w:val="000000"/>
                <w:kern w:val="2"/>
                <w:sz w:val="21"/>
                <w:szCs w:val="21"/>
                <w:highlight w:val="none"/>
                <w:lang w:val="en-US" w:eastAsia="zh-CN" w:bidi="ar-SA"/>
              </w:rPr>
              <w:t>×10</w:t>
            </w:r>
            <w:r>
              <w:rPr>
                <w:rFonts w:hint="eastAsia" w:ascii="Times New Roman" w:hAnsi="Times New Roman" w:eastAsia="宋体" w:cs="Times New Roman"/>
                <w:color w:val="000000"/>
                <w:kern w:val="2"/>
                <w:sz w:val="21"/>
                <w:szCs w:val="21"/>
                <w:highlight w:val="none"/>
                <w:vertAlign w:val="superscript"/>
                <w:lang w:val="en-US" w:eastAsia="zh-CN" w:bidi="ar-SA"/>
              </w:rPr>
              <w:t>-3</w:t>
            </w:r>
          </w:p>
        </w:tc>
        <w:tc>
          <w:tcPr>
            <w:tcW w:w="569" w:type="pct"/>
            <w:vAlign w:val="center"/>
          </w:tcPr>
          <w:p w14:paraId="3D949667">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54</w:t>
            </w:r>
          </w:p>
        </w:tc>
        <w:tc>
          <w:tcPr>
            <w:tcW w:w="569" w:type="pct"/>
            <w:shd w:val="clear" w:color="auto" w:fill="auto"/>
            <w:vAlign w:val="center"/>
          </w:tcPr>
          <w:p w14:paraId="3226CE3E">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color w:val="000000"/>
                <w:sz w:val="21"/>
                <w:szCs w:val="21"/>
                <w:highlight w:val="none"/>
                <w:lang w:val="en-US" w:eastAsia="zh-CN"/>
              </w:rPr>
              <w:t>1.4μg/kg</w:t>
            </w:r>
          </w:p>
        </w:tc>
      </w:tr>
      <w:tr w14:paraId="4622B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71653403">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24</w:t>
            </w:r>
          </w:p>
        </w:tc>
        <w:tc>
          <w:tcPr>
            <w:tcW w:w="1173" w:type="pct"/>
            <w:shd w:val="clear" w:color="auto" w:fill="auto"/>
            <w:vAlign w:val="center"/>
          </w:tcPr>
          <w:p w14:paraId="3641E4FD">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二氯甲烷</w:t>
            </w:r>
          </w:p>
        </w:tc>
        <w:tc>
          <w:tcPr>
            <w:tcW w:w="717" w:type="pct"/>
            <w:shd w:val="clear" w:color="auto" w:fill="auto"/>
            <w:vAlign w:val="center"/>
          </w:tcPr>
          <w:p w14:paraId="1161891C">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vAlign w:val="center"/>
          </w:tcPr>
          <w:p w14:paraId="52C3E2DD">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&lt;1.5</w:t>
            </w:r>
            <w:r>
              <w:rPr>
                <w:rFonts w:hint="eastAsia" w:ascii="Times New Roman" w:hAnsi="Times New Roman" w:eastAsia="宋体" w:cs="Times New Roman"/>
                <w:color w:val="000000"/>
                <w:kern w:val="2"/>
                <w:sz w:val="21"/>
                <w:szCs w:val="21"/>
                <w:highlight w:val="none"/>
                <w:lang w:val="en-US" w:eastAsia="zh-CN" w:bidi="ar-SA"/>
              </w:rPr>
              <w:t>×10</w:t>
            </w:r>
            <w:r>
              <w:rPr>
                <w:rFonts w:hint="eastAsia" w:ascii="Times New Roman" w:hAnsi="Times New Roman" w:eastAsia="宋体" w:cs="Times New Roman"/>
                <w:color w:val="000000"/>
                <w:kern w:val="2"/>
                <w:sz w:val="21"/>
                <w:szCs w:val="21"/>
                <w:highlight w:val="none"/>
                <w:vertAlign w:val="superscript"/>
                <w:lang w:val="en-US" w:eastAsia="zh-CN" w:bidi="ar-SA"/>
              </w:rPr>
              <w:t>-3</w:t>
            </w:r>
          </w:p>
        </w:tc>
        <w:tc>
          <w:tcPr>
            <w:tcW w:w="569" w:type="pct"/>
            <w:vAlign w:val="center"/>
          </w:tcPr>
          <w:p w14:paraId="572FCD6F">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616</w:t>
            </w:r>
          </w:p>
        </w:tc>
        <w:tc>
          <w:tcPr>
            <w:tcW w:w="569" w:type="pct"/>
            <w:shd w:val="clear" w:color="auto" w:fill="auto"/>
            <w:vAlign w:val="center"/>
          </w:tcPr>
          <w:p w14:paraId="4350FA0F">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color w:val="000000"/>
                <w:sz w:val="21"/>
                <w:szCs w:val="21"/>
                <w:highlight w:val="none"/>
                <w:lang w:val="en-US" w:eastAsia="zh-CN"/>
              </w:rPr>
              <w:t>1.5μg/kg</w:t>
            </w:r>
          </w:p>
        </w:tc>
      </w:tr>
      <w:tr w14:paraId="6D857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651EEFBF">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25</w:t>
            </w:r>
          </w:p>
        </w:tc>
        <w:tc>
          <w:tcPr>
            <w:tcW w:w="1173" w:type="pct"/>
            <w:shd w:val="clear" w:color="auto" w:fill="auto"/>
            <w:vAlign w:val="center"/>
          </w:tcPr>
          <w:p w14:paraId="2DC3AF73">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三氯乙烯</w:t>
            </w:r>
          </w:p>
        </w:tc>
        <w:tc>
          <w:tcPr>
            <w:tcW w:w="717" w:type="pct"/>
            <w:shd w:val="clear" w:color="auto" w:fill="auto"/>
            <w:vAlign w:val="center"/>
          </w:tcPr>
          <w:p w14:paraId="10FDBFE3">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vAlign w:val="center"/>
          </w:tcPr>
          <w:p w14:paraId="63897968">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&lt;1.2</w:t>
            </w:r>
            <w:r>
              <w:rPr>
                <w:rFonts w:hint="eastAsia" w:ascii="Times New Roman" w:hAnsi="Times New Roman" w:eastAsia="宋体" w:cs="Times New Roman"/>
                <w:color w:val="000000"/>
                <w:kern w:val="2"/>
                <w:sz w:val="21"/>
                <w:szCs w:val="21"/>
                <w:highlight w:val="none"/>
                <w:lang w:val="en-US" w:eastAsia="zh-CN" w:bidi="ar-SA"/>
              </w:rPr>
              <w:t>×10</w:t>
            </w:r>
            <w:r>
              <w:rPr>
                <w:rFonts w:hint="eastAsia" w:ascii="Times New Roman" w:hAnsi="Times New Roman" w:eastAsia="宋体" w:cs="Times New Roman"/>
                <w:color w:val="000000"/>
                <w:kern w:val="2"/>
                <w:sz w:val="21"/>
                <w:szCs w:val="21"/>
                <w:highlight w:val="none"/>
                <w:vertAlign w:val="superscript"/>
                <w:lang w:val="en-US" w:eastAsia="zh-CN" w:bidi="ar-SA"/>
              </w:rPr>
              <w:t>-3</w:t>
            </w:r>
          </w:p>
        </w:tc>
        <w:tc>
          <w:tcPr>
            <w:tcW w:w="569" w:type="pct"/>
            <w:vAlign w:val="center"/>
          </w:tcPr>
          <w:p w14:paraId="70DE99AB">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2.8</w:t>
            </w:r>
          </w:p>
        </w:tc>
        <w:tc>
          <w:tcPr>
            <w:tcW w:w="569" w:type="pct"/>
            <w:shd w:val="clear" w:color="auto" w:fill="auto"/>
            <w:vAlign w:val="center"/>
          </w:tcPr>
          <w:p w14:paraId="0FE639A9">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color w:val="000000"/>
                <w:sz w:val="21"/>
                <w:szCs w:val="21"/>
                <w:highlight w:val="none"/>
                <w:lang w:val="en-US" w:eastAsia="zh-CN"/>
              </w:rPr>
              <w:t>1.2μg/kg</w:t>
            </w:r>
          </w:p>
        </w:tc>
      </w:tr>
      <w:tr w14:paraId="59BCF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14E16F03">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26</w:t>
            </w:r>
          </w:p>
        </w:tc>
        <w:tc>
          <w:tcPr>
            <w:tcW w:w="1173" w:type="pct"/>
            <w:shd w:val="clear" w:color="auto" w:fill="auto"/>
            <w:vAlign w:val="center"/>
          </w:tcPr>
          <w:p w14:paraId="07A2FEB7">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四氯乙烯</w:t>
            </w:r>
          </w:p>
        </w:tc>
        <w:tc>
          <w:tcPr>
            <w:tcW w:w="717" w:type="pct"/>
            <w:shd w:val="clear" w:color="auto" w:fill="auto"/>
            <w:vAlign w:val="center"/>
          </w:tcPr>
          <w:p w14:paraId="65D85457">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vAlign w:val="center"/>
          </w:tcPr>
          <w:p w14:paraId="13CBE8C8">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&lt;1.4</w:t>
            </w:r>
            <w:r>
              <w:rPr>
                <w:rFonts w:hint="eastAsia" w:ascii="Times New Roman" w:hAnsi="Times New Roman" w:eastAsia="宋体" w:cs="Times New Roman"/>
                <w:color w:val="000000"/>
                <w:kern w:val="2"/>
                <w:sz w:val="21"/>
                <w:szCs w:val="21"/>
                <w:highlight w:val="none"/>
                <w:lang w:val="en-US" w:eastAsia="zh-CN" w:bidi="ar-SA"/>
              </w:rPr>
              <w:t>×10</w:t>
            </w:r>
            <w:r>
              <w:rPr>
                <w:rFonts w:hint="eastAsia" w:ascii="Times New Roman" w:hAnsi="Times New Roman" w:eastAsia="宋体" w:cs="Times New Roman"/>
                <w:color w:val="000000"/>
                <w:kern w:val="2"/>
                <w:sz w:val="21"/>
                <w:szCs w:val="21"/>
                <w:highlight w:val="none"/>
                <w:vertAlign w:val="superscript"/>
                <w:lang w:val="en-US" w:eastAsia="zh-CN" w:bidi="ar-SA"/>
              </w:rPr>
              <w:t>-3</w:t>
            </w:r>
          </w:p>
        </w:tc>
        <w:tc>
          <w:tcPr>
            <w:tcW w:w="569" w:type="pct"/>
            <w:vAlign w:val="center"/>
          </w:tcPr>
          <w:p w14:paraId="2A512ED4">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53</w:t>
            </w:r>
          </w:p>
        </w:tc>
        <w:tc>
          <w:tcPr>
            <w:tcW w:w="569" w:type="pct"/>
            <w:shd w:val="clear" w:color="auto" w:fill="auto"/>
            <w:vAlign w:val="center"/>
          </w:tcPr>
          <w:p w14:paraId="3601786A">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color w:val="000000"/>
                <w:sz w:val="21"/>
                <w:szCs w:val="21"/>
                <w:highlight w:val="none"/>
                <w:lang w:val="en-US" w:eastAsia="zh-CN"/>
              </w:rPr>
              <w:t>1.4μg/kg</w:t>
            </w:r>
          </w:p>
        </w:tc>
      </w:tr>
      <w:tr w14:paraId="248E3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7763398F">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27</w:t>
            </w:r>
          </w:p>
        </w:tc>
        <w:tc>
          <w:tcPr>
            <w:tcW w:w="1173" w:type="pct"/>
            <w:shd w:val="clear" w:color="auto" w:fill="auto"/>
            <w:vAlign w:val="center"/>
          </w:tcPr>
          <w:p w14:paraId="1616C794">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苯</w:t>
            </w:r>
          </w:p>
        </w:tc>
        <w:tc>
          <w:tcPr>
            <w:tcW w:w="717" w:type="pct"/>
            <w:shd w:val="clear" w:color="auto" w:fill="auto"/>
            <w:vAlign w:val="center"/>
          </w:tcPr>
          <w:p w14:paraId="16DEC0FA">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vAlign w:val="center"/>
          </w:tcPr>
          <w:p w14:paraId="5DDDC44B">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&lt;1.9</w:t>
            </w:r>
            <w:r>
              <w:rPr>
                <w:rFonts w:hint="eastAsia" w:ascii="Times New Roman" w:hAnsi="Times New Roman" w:eastAsia="宋体" w:cs="Times New Roman"/>
                <w:color w:val="000000"/>
                <w:kern w:val="2"/>
                <w:sz w:val="21"/>
                <w:szCs w:val="21"/>
                <w:highlight w:val="none"/>
                <w:lang w:val="en-US" w:eastAsia="zh-CN" w:bidi="ar-SA"/>
              </w:rPr>
              <w:t>×10</w:t>
            </w:r>
            <w:r>
              <w:rPr>
                <w:rFonts w:hint="eastAsia" w:ascii="Times New Roman" w:hAnsi="Times New Roman" w:eastAsia="宋体" w:cs="Times New Roman"/>
                <w:color w:val="000000"/>
                <w:kern w:val="2"/>
                <w:sz w:val="21"/>
                <w:szCs w:val="21"/>
                <w:highlight w:val="none"/>
                <w:vertAlign w:val="superscript"/>
                <w:lang w:val="en-US" w:eastAsia="zh-CN" w:bidi="ar-SA"/>
              </w:rPr>
              <w:t>-3</w:t>
            </w:r>
          </w:p>
        </w:tc>
        <w:tc>
          <w:tcPr>
            <w:tcW w:w="569" w:type="pct"/>
            <w:vAlign w:val="center"/>
          </w:tcPr>
          <w:p w14:paraId="354C9BA6">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4</w:t>
            </w:r>
          </w:p>
        </w:tc>
        <w:tc>
          <w:tcPr>
            <w:tcW w:w="569" w:type="pct"/>
            <w:shd w:val="clear" w:color="auto" w:fill="auto"/>
            <w:vAlign w:val="center"/>
          </w:tcPr>
          <w:p w14:paraId="0D828033">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color w:val="000000"/>
                <w:sz w:val="21"/>
                <w:szCs w:val="21"/>
                <w:highlight w:val="none"/>
                <w:lang w:val="en-US" w:eastAsia="zh-CN"/>
              </w:rPr>
              <w:t>1.9μg/kg</w:t>
            </w:r>
          </w:p>
        </w:tc>
      </w:tr>
      <w:tr w14:paraId="4B2EE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16B1F7DB">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28</w:t>
            </w:r>
          </w:p>
        </w:tc>
        <w:tc>
          <w:tcPr>
            <w:tcW w:w="1173" w:type="pct"/>
            <w:shd w:val="clear" w:color="auto" w:fill="auto"/>
            <w:vAlign w:val="center"/>
          </w:tcPr>
          <w:p w14:paraId="0B6801C5">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1,2,3-三氯丙烷</w:t>
            </w:r>
          </w:p>
        </w:tc>
        <w:tc>
          <w:tcPr>
            <w:tcW w:w="717" w:type="pct"/>
            <w:shd w:val="clear" w:color="auto" w:fill="auto"/>
            <w:vAlign w:val="center"/>
          </w:tcPr>
          <w:p w14:paraId="2093F9D7">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vAlign w:val="center"/>
          </w:tcPr>
          <w:p w14:paraId="7F452AB7">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&lt;1.2</w:t>
            </w:r>
            <w:r>
              <w:rPr>
                <w:rFonts w:hint="eastAsia" w:ascii="Times New Roman" w:hAnsi="Times New Roman" w:eastAsia="宋体" w:cs="Times New Roman"/>
                <w:color w:val="000000"/>
                <w:kern w:val="2"/>
                <w:sz w:val="21"/>
                <w:szCs w:val="21"/>
                <w:highlight w:val="none"/>
                <w:lang w:val="en-US" w:eastAsia="zh-CN" w:bidi="ar-SA"/>
              </w:rPr>
              <w:t>×10</w:t>
            </w:r>
            <w:r>
              <w:rPr>
                <w:rFonts w:hint="eastAsia" w:ascii="Times New Roman" w:hAnsi="Times New Roman" w:eastAsia="宋体" w:cs="Times New Roman"/>
                <w:color w:val="000000"/>
                <w:kern w:val="2"/>
                <w:sz w:val="21"/>
                <w:szCs w:val="21"/>
                <w:highlight w:val="none"/>
                <w:vertAlign w:val="superscript"/>
                <w:lang w:val="en-US" w:eastAsia="zh-CN" w:bidi="ar-SA"/>
              </w:rPr>
              <w:t>-3</w:t>
            </w:r>
          </w:p>
        </w:tc>
        <w:tc>
          <w:tcPr>
            <w:tcW w:w="569" w:type="pct"/>
            <w:vAlign w:val="center"/>
          </w:tcPr>
          <w:p w14:paraId="319B14FD">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0.5</w:t>
            </w:r>
          </w:p>
        </w:tc>
        <w:tc>
          <w:tcPr>
            <w:tcW w:w="569" w:type="pct"/>
            <w:shd w:val="clear" w:color="auto" w:fill="auto"/>
            <w:vAlign w:val="center"/>
          </w:tcPr>
          <w:p w14:paraId="75636DF2">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color w:val="000000"/>
                <w:sz w:val="21"/>
                <w:szCs w:val="21"/>
                <w:highlight w:val="none"/>
                <w:lang w:val="en-US" w:eastAsia="zh-CN"/>
              </w:rPr>
              <w:t>1.2μg/kg</w:t>
            </w:r>
          </w:p>
        </w:tc>
      </w:tr>
      <w:tr w14:paraId="12BFA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403FC687">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29</w:t>
            </w:r>
          </w:p>
        </w:tc>
        <w:tc>
          <w:tcPr>
            <w:tcW w:w="1173" w:type="pct"/>
            <w:shd w:val="clear" w:color="auto" w:fill="auto"/>
            <w:vAlign w:val="center"/>
          </w:tcPr>
          <w:p w14:paraId="11FB7353">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甲苯</w:t>
            </w:r>
          </w:p>
        </w:tc>
        <w:tc>
          <w:tcPr>
            <w:tcW w:w="717" w:type="pct"/>
            <w:shd w:val="clear" w:color="auto" w:fill="auto"/>
            <w:vAlign w:val="center"/>
          </w:tcPr>
          <w:p w14:paraId="268FBB5D">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shd w:val="clear" w:color="auto" w:fill="auto"/>
            <w:vAlign w:val="center"/>
          </w:tcPr>
          <w:p w14:paraId="3D2D3691">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&lt;1.3</w:t>
            </w:r>
            <w:r>
              <w:rPr>
                <w:rFonts w:hint="eastAsia" w:ascii="Times New Roman" w:hAnsi="Times New Roman" w:eastAsia="宋体" w:cs="Times New Roman"/>
                <w:color w:val="000000"/>
                <w:kern w:val="2"/>
                <w:sz w:val="21"/>
                <w:szCs w:val="21"/>
                <w:highlight w:val="none"/>
                <w:lang w:val="en-US" w:eastAsia="zh-CN" w:bidi="ar-SA"/>
              </w:rPr>
              <w:t>×10</w:t>
            </w:r>
            <w:r>
              <w:rPr>
                <w:rFonts w:hint="eastAsia" w:ascii="Times New Roman" w:hAnsi="Times New Roman" w:eastAsia="宋体" w:cs="Times New Roman"/>
                <w:color w:val="000000"/>
                <w:kern w:val="2"/>
                <w:sz w:val="21"/>
                <w:szCs w:val="21"/>
                <w:highlight w:val="none"/>
                <w:vertAlign w:val="superscript"/>
                <w:lang w:val="en-US" w:eastAsia="zh-CN" w:bidi="ar-SA"/>
              </w:rPr>
              <w:t>-3</w:t>
            </w:r>
          </w:p>
        </w:tc>
        <w:tc>
          <w:tcPr>
            <w:tcW w:w="569" w:type="pct"/>
            <w:shd w:val="clear" w:color="auto" w:fill="auto"/>
            <w:vAlign w:val="center"/>
          </w:tcPr>
          <w:p w14:paraId="20DBCB4E">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1200</w:t>
            </w:r>
          </w:p>
        </w:tc>
        <w:tc>
          <w:tcPr>
            <w:tcW w:w="569" w:type="pct"/>
            <w:shd w:val="clear" w:color="auto" w:fill="auto"/>
            <w:vAlign w:val="center"/>
          </w:tcPr>
          <w:p w14:paraId="62E20FA1">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color w:val="000000"/>
                <w:sz w:val="21"/>
                <w:szCs w:val="21"/>
                <w:highlight w:val="none"/>
                <w:lang w:val="en-US" w:eastAsia="zh-CN"/>
              </w:rPr>
              <w:t>1.3μg/kg</w:t>
            </w:r>
          </w:p>
        </w:tc>
      </w:tr>
      <w:tr w14:paraId="451D5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7A23F7AE">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30</w:t>
            </w:r>
          </w:p>
        </w:tc>
        <w:tc>
          <w:tcPr>
            <w:tcW w:w="1173" w:type="pct"/>
            <w:shd w:val="clear" w:color="auto" w:fill="auto"/>
            <w:vAlign w:val="center"/>
          </w:tcPr>
          <w:p w14:paraId="6CA62D22">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乙苯</w:t>
            </w:r>
          </w:p>
        </w:tc>
        <w:tc>
          <w:tcPr>
            <w:tcW w:w="717" w:type="pct"/>
            <w:shd w:val="clear" w:color="auto" w:fill="auto"/>
            <w:vAlign w:val="center"/>
          </w:tcPr>
          <w:p w14:paraId="0EA0965D">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shd w:val="clear" w:color="auto" w:fill="auto"/>
            <w:vAlign w:val="center"/>
          </w:tcPr>
          <w:p w14:paraId="61AECA55">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&lt;1.2</w:t>
            </w:r>
            <w:r>
              <w:rPr>
                <w:rFonts w:hint="eastAsia" w:ascii="Times New Roman" w:hAnsi="Times New Roman" w:eastAsia="宋体" w:cs="Times New Roman"/>
                <w:color w:val="000000"/>
                <w:kern w:val="2"/>
                <w:sz w:val="21"/>
                <w:szCs w:val="21"/>
                <w:highlight w:val="none"/>
                <w:lang w:val="en-US" w:eastAsia="zh-CN" w:bidi="ar-SA"/>
              </w:rPr>
              <w:t>×10</w:t>
            </w:r>
            <w:r>
              <w:rPr>
                <w:rFonts w:hint="eastAsia" w:ascii="Times New Roman" w:hAnsi="Times New Roman" w:eastAsia="宋体" w:cs="Times New Roman"/>
                <w:color w:val="000000"/>
                <w:kern w:val="2"/>
                <w:sz w:val="21"/>
                <w:szCs w:val="21"/>
                <w:highlight w:val="none"/>
                <w:vertAlign w:val="superscript"/>
                <w:lang w:val="en-US" w:eastAsia="zh-CN" w:bidi="ar-SA"/>
              </w:rPr>
              <w:t>-3</w:t>
            </w:r>
          </w:p>
        </w:tc>
        <w:tc>
          <w:tcPr>
            <w:tcW w:w="569" w:type="pct"/>
            <w:shd w:val="clear" w:color="auto" w:fill="auto"/>
            <w:vAlign w:val="center"/>
          </w:tcPr>
          <w:p w14:paraId="50E58C5B">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28</w:t>
            </w:r>
          </w:p>
        </w:tc>
        <w:tc>
          <w:tcPr>
            <w:tcW w:w="569" w:type="pct"/>
            <w:shd w:val="clear" w:color="auto" w:fill="auto"/>
            <w:vAlign w:val="center"/>
          </w:tcPr>
          <w:p w14:paraId="4F7D144F">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color w:val="000000"/>
                <w:sz w:val="21"/>
                <w:szCs w:val="21"/>
                <w:highlight w:val="none"/>
                <w:lang w:val="en-US" w:eastAsia="zh-CN"/>
              </w:rPr>
              <w:t>1.2μg/kg</w:t>
            </w:r>
          </w:p>
        </w:tc>
      </w:tr>
      <w:tr w14:paraId="25602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2E4CCCC2">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31</w:t>
            </w:r>
          </w:p>
        </w:tc>
        <w:tc>
          <w:tcPr>
            <w:tcW w:w="1173" w:type="pct"/>
            <w:shd w:val="clear" w:color="auto" w:fill="auto"/>
            <w:vAlign w:val="center"/>
          </w:tcPr>
          <w:p w14:paraId="252CDA3D">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间－二甲苯+对-二甲苯</w:t>
            </w:r>
          </w:p>
        </w:tc>
        <w:tc>
          <w:tcPr>
            <w:tcW w:w="717" w:type="pct"/>
            <w:shd w:val="clear" w:color="auto" w:fill="auto"/>
            <w:vAlign w:val="center"/>
          </w:tcPr>
          <w:p w14:paraId="5E316FB0">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shd w:val="clear" w:color="auto" w:fill="auto"/>
            <w:vAlign w:val="center"/>
          </w:tcPr>
          <w:p w14:paraId="3C9CCC6F">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&lt;1.2</w:t>
            </w:r>
            <w:r>
              <w:rPr>
                <w:rFonts w:hint="eastAsia" w:ascii="Times New Roman" w:hAnsi="Times New Roman" w:eastAsia="宋体" w:cs="Times New Roman"/>
                <w:color w:val="000000"/>
                <w:kern w:val="2"/>
                <w:sz w:val="21"/>
                <w:szCs w:val="21"/>
                <w:highlight w:val="none"/>
                <w:lang w:val="en-US" w:eastAsia="zh-CN" w:bidi="ar-SA"/>
              </w:rPr>
              <w:t>×10</w:t>
            </w:r>
            <w:r>
              <w:rPr>
                <w:rFonts w:hint="eastAsia" w:ascii="Times New Roman" w:hAnsi="Times New Roman" w:eastAsia="宋体" w:cs="Times New Roman"/>
                <w:color w:val="000000"/>
                <w:kern w:val="2"/>
                <w:sz w:val="21"/>
                <w:szCs w:val="21"/>
                <w:highlight w:val="none"/>
                <w:vertAlign w:val="superscript"/>
                <w:lang w:val="en-US" w:eastAsia="zh-CN" w:bidi="ar-SA"/>
              </w:rPr>
              <w:t>-3</w:t>
            </w:r>
          </w:p>
        </w:tc>
        <w:tc>
          <w:tcPr>
            <w:tcW w:w="569" w:type="pct"/>
            <w:shd w:val="clear" w:color="auto" w:fill="auto"/>
            <w:vAlign w:val="center"/>
          </w:tcPr>
          <w:p w14:paraId="25D802F0">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570</w:t>
            </w:r>
          </w:p>
        </w:tc>
        <w:tc>
          <w:tcPr>
            <w:tcW w:w="569" w:type="pct"/>
            <w:shd w:val="clear" w:color="auto" w:fill="auto"/>
            <w:vAlign w:val="center"/>
          </w:tcPr>
          <w:p w14:paraId="3E40E97D">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color w:val="000000"/>
                <w:sz w:val="21"/>
                <w:szCs w:val="21"/>
                <w:highlight w:val="none"/>
                <w:lang w:val="en-US" w:eastAsia="zh-CN"/>
              </w:rPr>
              <w:t>1.2μg/kg</w:t>
            </w:r>
          </w:p>
        </w:tc>
      </w:tr>
      <w:tr w14:paraId="3AF2D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07C76805">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32</w:t>
            </w:r>
          </w:p>
        </w:tc>
        <w:tc>
          <w:tcPr>
            <w:tcW w:w="1173" w:type="pct"/>
            <w:shd w:val="clear" w:color="auto" w:fill="auto"/>
            <w:vAlign w:val="center"/>
          </w:tcPr>
          <w:p w14:paraId="2043FC65">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邻-二甲苯</w:t>
            </w:r>
          </w:p>
        </w:tc>
        <w:tc>
          <w:tcPr>
            <w:tcW w:w="717" w:type="pct"/>
            <w:shd w:val="clear" w:color="auto" w:fill="auto"/>
            <w:vAlign w:val="center"/>
          </w:tcPr>
          <w:p w14:paraId="04D3EF62">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shd w:val="clear" w:color="auto" w:fill="auto"/>
            <w:vAlign w:val="center"/>
          </w:tcPr>
          <w:p w14:paraId="6C561254">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&lt;1.2</w:t>
            </w:r>
            <w:r>
              <w:rPr>
                <w:rFonts w:hint="eastAsia" w:ascii="Times New Roman" w:hAnsi="Times New Roman" w:eastAsia="宋体" w:cs="Times New Roman"/>
                <w:color w:val="000000"/>
                <w:kern w:val="2"/>
                <w:sz w:val="21"/>
                <w:szCs w:val="21"/>
                <w:highlight w:val="none"/>
                <w:lang w:val="en-US" w:eastAsia="zh-CN" w:bidi="ar-SA"/>
              </w:rPr>
              <w:t>×10</w:t>
            </w:r>
            <w:r>
              <w:rPr>
                <w:rFonts w:hint="eastAsia" w:ascii="Times New Roman" w:hAnsi="Times New Roman" w:eastAsia="宋体" w:cs="Times New Roman"/>
                <w:color w:val="000000"/>
                <w:kern w:val="2"/>
                <w:sz w:val="21"/>
                <w:szCs w:val="21"/>
                <w:highlight w:val="none"/>
                <w:vertAlign w:val="superscript"/>
                <w:lang w:val="en-US" w:eastAsia="zh-CN" w:bidi="ar-SA"/>
              </w:rPr>
              <w:t>-3</w:t>
            </w:r>
          </w:p>
        </w:tc>
        <w:tc>
          <w:tcPr>
            <w:tcW w:w="569" w:type="pct"/>
            <w:shd w:val="clear" w:color="auto" w:fill="auto"/>
            <w:vAlign w:val="center"/>
          </w:tcPr>
          <w:p w14:paraId="084C16F5">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640</w:t>
            </w:r>
          </w:p>
        </w:tc>
        <w:tc>
          <w:tcPr>
            <w:tcW w:w="569" w:type="pct"/>
            <w:shd w:val="clear" w:color="auto" w:fill="auto"/>
            <w:vAlign w:val="center"/>
          </w:tcPr>
          <w:p w14:paraId="20709762">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color w:val="000000"/>
                <w:sz w:val="21"/>
                <w:szCs w:val="21"/>
                <w:highlight w:val="none"/>
                <w:lang w:val="en-US" w:eastAsia="zh-CN"/>
              </w:rPr>
              <w:t>1.2μg/kg</w:t>
            </w:r>
          </w:p>
        </w:tc>
      </w:tr>
      <w:tr w14:paraId="10D38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24E0A0F6">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33</w:t>
            </w:r>
          </w:p>
        </w:tc>
        <w:tc>
          <w:tcPr>
            <w:tcW w:w="1173" w:type="pct"/>
            <w:shd w:val="clear" w:color="auto" w:fill="auto"/>
            <w:vAlign w:val="center"/>
          </w:tcPr>
          <w:p w14:paraId="293FFAEA">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氯苯</w:t>
            </w:r>
          </w:p>
        </w:tc>
        <w:tc>
          <w:tcPr>
            <w:tcW w:w="717" w:type="pct"/>
            <w:shd w:val="clear" w:color="auto" w:fill="auto"/>
            <w:vAlign w:val="center"/>
          </w:tcPr>
          <w:p w14:paraId="1A3CA0EF">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shd w:val="clear" w:color="auto" w:fill="auto"/>
            <w:vAlign w:val="center"/>
          </w:tcPr>
          <w:p w14:paraId="61CAD2E4">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&lt;1.2</w:t>
            </w:r>
            <w:r>
              <w:rPr>
                <w:rFonts w:hint="eastAsia" w:ascii="Times New Roman" w:hAnsi="Times New Roman" w:eastAsia="宋体" w:cs="Times New Roman"/>
                <w:color w:val="000000"/>
                <w:kern w:val="2"/>
                <w:sz w:val="21"/>
                <w:szCs w:val="21"/>
                <w:highlight w:val="none"/>
                <w:lang w:val="en-US" w:eastAsia="zh-CN" w:bidi="ar-SA"/>
              </w:rPr>
              <w:t>×10</w:t>
            </w:r>
            <w:r>
              <w:rPr>
                <w:rFonts w:hint="eastAsia" w:ascii="Times New Roman" w:hAnsi="Times New Roman" w:eastAsia="宋体" w:cs="Times New Roman"/>
                <w:color w:val="000000"/>
                <w:kern w:val="2"/>
                <w:sz w:val="21"/>
                <w:szCs w:val="21"/>
                <w:highlight w:val="none"/>
                <w:vertAlign w:val="superscript"/>
                <w:lang w:val="en-US" w:eastAsia="zh-CN" w:bidi="ar-SA"/>
              </w:rPr>
              <w:t>-3</w:t>
            </w:r>
          </w:p>
        </w:tc>
        <w:tc>
          <w:tcPr>
            <w:tcW w:w="569" w:type="pct"/>
            <w:shd w:val="clear" w:color="auto" w:fill="auto"/>
            <w:vAlign w:val="center"/>
          </w:tcPr>
          <w:p w14:paraId="03502AFA">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270</w:t>
            </w:r>
          </w:p>
        </w:tc>
        <w:tc>
          <w:tcPr>
            <w:tcW w:w="569" w:type="pct"/>
            <w:shd w:val="clear" w:color="auto" w:fill="auto"/>
            <w:vAlign w:val="center"/>
          </w:tcPr>
          <w:p w14:paraId="0FD0064F">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color w:val="000000"/>
                <w:sz w:val="21"/>
                <w:szCs w:val="21"/>
                <w:highlight w:val="none"/>
                <w:lang w:val="en-US" w:eastAsia="zh-CN"/>
              </w:rPr>
              <w:t>1.2μg/kg</w:t>
            </w:r>
          </w:p>
        </w:tc>
      </w:tr>
      <w:tr w14:paraId="58CBC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07AB2E6B">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34</w:t>
            </w:r>
          </w:p>
        </w:tc>
        <w:tc>
          <w:tcPr>
            <w:tcW w:w="1173" w:type="pct"/>
            <w:shd w:val="clear" w:color="auto" w:fill="auto"/>
            <w:vAlign w:val="center"/>
          </w:tcPr>
          <w:p w14:paraId="4EDDDFAF">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1,2-二氯苯</w:t>
            </w:r>
          </w:p>
        </w:tc>
        <w:tc>
          <w:tcPr>
            <w:tcW w:w="717" w:type="pct"/>
            <w:shd w:val="clear" w:color="auto" w:fill="auto"/>
            <w:vAlign w:val="center"/>
          </w:tcPr>
          <w:p w14:paraId="124DCE6F">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shd w:val="clear" w:color="auto" w:fill="auto"/>
            <w:vAlign w:val="center"/>
          </w:tcPr>
          <w:p w14:paraId="276AE1BE">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&lt;1.5</w:t>
            </w:r>
            <w:r>
              <w:rPr>
                <w:rFonts w:hint="eastAsia" w:ascii="Times New Roman" w:hAnsi="Times New Roman" w:eastAsia="宋体" w:cs="Times New Roman"/>
                <w:color w:val="000000"/>
                <w:kern w:val="2"/>
                <w:sz w:val="21"/>
                <w:szCs w:val="21"/>
                <w:highlight w:val="none"/>
                <w:lang w:val="en-US" w:eastAsia="zh-CN" w:bidi="ar-SA"/>
              </w:rPr>
              <w:t>×10</w:t>
            </w:r>
            <w:r>
              <w:rPr>
                <w:rFonts w:hint="eastAsia" w:ascii="Times New Roman" w:hAnsi="Times New Roman" w:eastAsia="宋体" w:cs="Times New Roman"/>
                <w:color w:val="000000"/>
                <w:kern w:val="2"/>
                <w:sz w:val="21"/>
                <w:szCs w:val="21"/>
                <w:highlight w:val="none"/>
                <w:vertAlign w:val="superscript"/>
                <w:lang w:val="en-US" w:eastAsia="zh-CN" w:bidi="ar-SA"/>
              </w:rPr>
              <w:t>-3</w:t>
            </w:r>
          </w:p>
        </w:tc>
        <w:tc>
          <w:tcPr>
            <w:tcW w:w="569" w:type="pct"/>
            <w:shd w:val="clear" w:color="auto" w:fill="auto"/>
            <w:vAlign w:val="center"/>
          </w:tcPr>
          <w:p w14:paraId="5758DC7E">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560</w:t>
            </w:r>
          </w:p>
        </w:tc>
        <w:tc>
          <w:tcPr>
            <w:tcW w:w="569" w:type="pct"/>
            <w:shd w:val="clear" w:color="auto" w:fill="auto"/>
            <w:vAlign w:val="center"/>
          </w:tcPr>
          <w:p w14:paraId="74766589">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color w:val="000000"/>
                <w:sz w:val="21"/>
                <w:szCs w:val="21"/>
                <w:highlight w:val="none"/>
                <w:lang w:val="en-US" w:eastAsia="zh-CN"/>
              </w:rPr>
              <w:t>1.5μg/kg</w:t>
            </w:r>
          </w:p>
        </w:tc>
      </w:tr>
      <w:tr w14:paraId="77D51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791BDD41">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35</w:t>
            </w:r>
          </w:p>
        </w:tc>
        <w:tc>
          <w:tcPr>
            <w:tcW w:w="1173" w:type="pct"/>
            <w:shd w:val="clear" w:color="auto" w:fill="auto"/>
            <w:vAlign w:val="center"/>
          </w:tcPr>
          <w:p w14:paraId="2C651BFD">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1,4-二氯苯</w:t>
            </w:r>
          </w:p>
        </w:tc>
        <w:tc>
          <w:tcPr>
            <w:tcW w:w="717" w:type="pct"/>
            <w:shd w:val="clear" w:color="auto" w:fill="auto"/>
            <w:vAlign w:val="center"/>
          </w:tcPr>
          <w:p w14:paraId="4E3C539F">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shd w:val="clear" w:color="auto" w:fill="auto"/>
            <w:vAlign w:val="center"/>
          </w:tcPr>
          <w:p w14:paraId="6B82B8C8">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&lt;1.5</w:t>
            </w:r>
            <w:r>
              <w:rPr>
                <w:rFonts w:hint="eastAsia" w:ascii="Times New Roman" w:hAnsi="Times New Roman" w:eastAsia="宋体" w:cs="Times New Roman"/>
                <w:color w:val="000000"/>
                <w:kern w:val="2"/>
                <w:sz w:val="21"/>
                <w:szCs w:val="21"/>
                <w:highlight w:val="none"/>
                <w:lang w:val="en-US" w:eastAsia="zh-CN" w:bidi="ar-SA"/>
              </w:rPr>
              <w:t>×10</w:t>
            </w:r>
            <w:r>
              <w:rPr>
                <w:rFonts w:hint="eastAsia" w:ascii="Times New Roman" w:hAnsi="Times New Roman" w:eastAsia="宋体" w:cs="Times New Roman"/>
                <w:color w:val="000000"/>
                <w:kern w:val="2"/>
                <w:sz w:val="21"/>
                <w:szCs w:val="21"/>
                <w:highlight w:val="none"/>
                <w:vertAlign w:val="superscript"/>
                <w:lang w:val="en-US" w:eastAsia="zh-CN" w:bidi="ar-SA"/>
              </w:rPr>
              <w:t>-3</w:t>
            </w:r>
          </w:p>
        </w:tc>
        <w:tc>
          <w:tcPr>
            <w:tcW w:w="569" w:type="pct"/>
            <w:shd w:val="clear" w:color="auto" w:fill="auto"/>
            <w:vAlign w:val="center"/>
          </w:tcPr>
          <w:p w14:paraId="50551B31">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20</w:t>
            </w:r>
          </w:p>
        </w:tc>
        <w:tc>
          <w:tcPr>
            <w:tcW w:w="569" w:type="pct"/>
            <w:shd w:val="clear" w:color="auto" w:fill="auto"/>
            <w:vAlign w:val="center"/>
          </w:tcPr>
          <w:p w14:paraId="3BB86253">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color w:val="000000"/>
                <w:sz w:val="21"/>
                <w:szCs w:val="21"/>
                <w:highlight w:val="none"/>
                <w:lang w:val="en-US" w:eastAsia="zh-CN"/>
              </w:rPr>
              <w:t>1.5μg/kg</w:t>
            </w:r>
          </w:p>
        </w:tc>
      </w:tr>
      <w:tr w14:paraId="63903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5A3F8D08">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36</w:t>
            </w:r>
          </w:p>
        </w:tc>
        <w:tc>
          <w:tcPr>
            <w:tcW w:w="1173" w:type="pct"/>
            <w:shd w:val="clear" w:color="auto" w:fill="auto"/>
            <w:vAlign w:val="center"/>
          </w:tcPr>
          <w:p w14:paraId="584E499B">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硝基苯</w:t>
            </w:r>
          </w:p>
        </w:tc>
        <w:tc>
          <w:tcPr>
            <w:tcW w:w="717" w:type="pct"/>
            <w:shd w:val="clear" w:color="auto" w:fill="auto"/>
            <w:vAlign w:val="center"/>
          </w:tcPr>
          <w:p w14:paraId="2549600A">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shd w:val="clear" w:color="auto" w:fill="auto"/>
            <w:vAlign w:val="center"/>
          </w:tcPr>
          <w:p w14:paraId="4E40A08C">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&lt;0.09</w:t>
            </w:r>
          </w:p>
        </w:tc>
        <w:tc>
          <w:tcPr>
            <w:tcW w:w="569" w:type="pct"/>
            <w:shd w:val="clear" w:color="auto" w:fill="auto"/>
            <w:vAlign w:val="center"/>
          </w:tcPr>
          <w:p w14:paraId="685FB10B">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76</w:t>
            </w:r>
          </w:p>
        </w:tc>
        <w:tc>
          <w:tcPr>
            <w:tcW w:w="569" w:type="pct"/>
            <w:shd w:val="clear" w:color="auto" w:fill="auto"/>
            <w:vAlign w:val="center"/>
          </w:tcPr>
          <w:p w14:paraId="40C1A418">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0.09</w:t>
            </w:r>
          </w:p>
        </w:tc>
      </w:tr>
      <w:tr w14:paraId="514F2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4FD356EF">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37</w:t>
            </w:r>
          </w:p>
        </w:tc>
        <w:tc>
          <w:tcPr>
            <w:tcW w:w="1173" w:type="pct"/>
            <w:shd w:val="clear" w:color="auto" w:fill="auto"/>
            <w:vAlign w:val="center"/>
          </w:tcPr>
          <w:p w14:paraId="25400690">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苯乙烯</w:t>
            </w:r>
          </w:p>
        </w:tc>
        <w:tc>
          <w:tcPr>
            <w:tcW w:w="717" w:type="pct"/>
            <w:shd w:val="clear" w:color="auto" w:fill="auto"/>
            <w:vAlign w:val="center"/>
          </w:tcPr>
          <w:p w14:paraId="6EEACBD9">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shd w:val="clear" w:color="auto" w:fill="auto"/>
            <w:vAlign w:val="center"/>
          </w:tcPr>
          <w:p w14:paraId="7F9609C8">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&lt;1.1</w:t>
            </w:r>
            <w:r>
              <w:rPr>
                <w:rFonts w:hint="eastAsia" w:ascii="Times New Roman" w:hAnsi="Times New Roman" w:eastAsia="宋体" w:cs="Times New Roman"/>
                <w:color w:val="000000"/>
                <w:kern w:val="2"/>
                <w:sz w:val="21"/>
                <w:szCs w:val="21"/>
                <w:highlight w:val="none"/>
                <w:lang w:val="en-US" w:eastAsia="zh-CN" w:bidi="ar-SA"/>
              </w:rPr>
              <w:t>×10</w:t>
            </w:r>
            <w:r>
              <w:rPr>
                <w:rFonts w:hint="eastAsia" w:ascii="Times New Roman" w:hAnsi="Times New Roman" w:eastAsia="宋体" w:cs="Times New Roman"/>
                <w:color w:val="000000"/>
                <w:kern w:val="2"/>
                <w:sz w:val="21"/>
                <w:szCs w:val="21"/>
                <w:highlight w:val="none"/>
                <w:vertAlign w:val="superscript"/>
                <w:lang w:val="en-US" w:eastAsia="zh-CN" w:bidi="ar-SA"/>
              </w:rPr>
              <w:t>-3</w:t>
            </w:r>
          </w:p>
        </w:tc>
        <w:tc>
          <w:tcPr>
            <w:tcW w:w="569" w:type="pct"/>
            <w:shd w:val="clear" w:color="auto" w:fill="auto"/>
            <w:vAlign w:val="center"/>
          </w:tcPr>
          <w:p w14:paraId="070CBD5D">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1290</w:t>
            </w:r>
          </w:p>
        </w:tc>
        <w:tc>
          <w:tcPr>
            <w:tcW w:w="569" w:type="pct"/>
            <w:shd w:val="clear" w:color="auto" w:fill="auto"/>
            <w:vAlign w:val="center"/>
          </w:tcPr>
          <w:p w14:paraId="235E622D">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1.1μg/kg</w:t>
            </w:r>
          </w:p>
        </w:tc>
      </w:tr>
      <w:tr w14:paraId="1A996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2D5C5C5F">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38</w:t>
            </w:r>
          </w:p>
        </w:tc>
        <w:tc>
          <w:tcPr>
            <w:tcW w:w="1173" w:type="pct"/>
            <w:shd w:val="clear" w:color="auto" w:fill="auto"/>
            <w:vAlign w:val="center"/>
          </w:tcPr>
          <w:p w14:paraId="7E400DD5">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2-氯苯酚</w:t>
            </w:r>
          </w:p>
        </w:tc>
        <w:tc>
          <w:tcPr>
            <w:tcW w:w="717" w:type="pct"/>
            <w:shd w:val="clear" w:color="auto" w:fill="auto"/>
            <w:vAlign w:val="center"/>
          </w:tcPr>
          <w:p w14:paraId="5611D122">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shd w:val="clear" w:color="auto" w:fill="auto"/>
            <w:vAlign w:val="center"/>
          </w:tcPr>
          <w:p w14:paraId="7B1A5126">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&lt;0.06</w:t>
            </w:r>
          </w:p>
        </w:tc>
        <w:tc>
          <w:tcPr>
            <w:tcW w:w="569" w:type="pct"/>
            <w:shd w:val="clear" w:color="auto" w:fill="auto"/>
            <w:vAlign w:val="center"/>
          </w:tcPr>
          <w:p w14:paraId="6085D471">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2256</w:t>
            </w:r>
          </w:p>
        </w:tc>
        <w:tc>
          <w:tcPr>
            <w:tcW w:w="569" w:type="pct"/>
            <w:shd w:val="clear" w:color="auto" w:fill="auto"/>
            <w:vAlign w:val="center"/>
          </w:tcPr>
          <w:p w14:paraId="75D13150">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0.06</w:t>
            </w:r>
          </w:p>
        </w:tc>
      </w:tr>
      <w:tr w14:paraId="29620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5BB9081A">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39</w:t>
            </w:r>
          </w:p>
        </w:tc>
        <w:tc>
          <w:tcPr>
            <w:tcW w:w="1173" w:type="pct"/>
            <w:shd w:val="clear" w:color="auto" w:fill="auto"/>
            <w:vAlign w:val="center"/>
          </w:tcPr>
          <w:p w14:paraId="55F519A3">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苯并[a]芘</w:t>
            </w:r>
          </w:p>
        </w:tc>
        <w:tc>
          <w:tcPr>
            <w:tcW w:w="717" w:type="pct"/>
            <w:shd w:val="clear" w:color="auto" w:fill="auto"/>
            <w:vAlign w:val="center"/>
          </w:tcPr>
          <w:p w14:paraId="3135A82D">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shd w:val="clear" w:color="auto" w:fill="auto"/>
            <w:vAlign w:val="center"/>
          </w:tcPr>
          <w:p w14:paraId="53F090B4">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&lt;0.17</w:t>
            </w:r>
          </w:p>
        </w:tc>
        <w:tc>
          <w:tcPr>
            <w:tcW w:w="569" w:type="pct"/>
            <w:shd w:val="clear" w:color="auto" w:fill="auto"/>
            <w:vAlign w:val="center"/>
          </w:tcPr>
          <w:p w14:paraId="44680422">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1.5</w:t>
            </w:r>
          </w:p>
        </w:tc>
        <w:tc>
          <w:tcPr>
            <w:tcW w:w="569" w:type="pct"/>
            <w:shd w:val="clear" w:color="auto" w:fill="auto"/>
            <w:vAlign w:val="center"/>
          </w:tcPr>
          <w:p w14:paraId="0E879D1D">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0.17</w:t>
            </w:r>
          </w:p>
        </w:tc>
      </w:tr>
      <w:tr w14:paraId="44FBF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4E56350D">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40</w:t>
            </w:r>
          </w:p>
        </w:tc>
        <w:tc>
          <w:tcPr>
            <w:tcW w:w="1173" w:type="pct"/>
            <w:shd w:val="clear" w:color="auto" w:fill="auto"/>
            <w:vAlign w:val="center"/>
          </w:tcPr>
          <w:p w14:paraId="414A33B1">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茚并[1,2,3-cd]芘</w:t>
            </w:r>
          </w:p>
        </w:tc>
        <w:tc>
          <w:tcPr>
            <w:tcW w:w="717" w:type="pct"/>
            <w:shd w:val="clear" w:color="auto" w:fill="auto"/>
            <w:vAlign w:val="center"/>
          </w:tcPr>
          <w:p w14:paraId="08744C8D">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shd w:val="clear" w:color="auto" w:fill="auto"/>
            <w:vAlign w:val="center"/>
          </w:tcPr>
          <w:p w14:paraId="164D35C5">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&lt;0.13</w:t>
            </w:r>
          </w:p>
        </w:tc>
        <w:tc>
          <w:tcPr>
            <w:tcW w:w="569" w:type="pct"/>
            <w:shd w:val="clear" w:color="auto" w:fill="auto"/>
            <w:vAlign w:val="center"/>
          </w:tcPr>
          <w:p w14:paraId="4FAE185C">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15</w:t>
            </w:r>
          </w:p>
        </w:tc>
        <w:tc>
          <w:tcPr>
            <w:tcW w:w="569" w:type="pct"/>
            <w:shd w:val="clear" w:color="auto" w:fill="auto"/>
            <w:vAlign w:val="center"/>
          </w:tcPr>
          <w:p w14:paraId="71605E3D">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0.13</w:t>
            </w:r>
          </w:p>
        </w:tc>
      </w:tr>
      <w:tr w14:paraId="0F6E8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295C74EE">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41</w:t>
            </w:r>
          </w:p>
        </w:tc>
        <w:tc>
          <w:tcPr>
            <w:tcW w:w="1173" w:type="pct"/>
            <w:shd w:val="clear" w:color="auto" w:fill="auto"/>
            <w:vAlign w:val="center"/>
          </w:tcPr>
          <w:p w14:paraId="6059D353">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二苯并[a，h]蒽</w:t>
            </w:r>
          </w:p>
        </w:tc>
        <w:tc>
          <w:tcPr>
            <w:tcW w:w="717" w:type="pct"/>
            <w:shd w:val="clear" w:color="auto" w:fill="auto"/>
            <w:vAlign w:val="center"/>
          </w:tcPr>
          <w:p w14:paraId="4EC1719D">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shd w:val="clear" w:color="auto" w:fill="auto"/>
            <w:vAlign w:val="center"/>
          </w:tcPr>
          <w:p w14:paraId="73F1952B">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&lt;0.13</w:t>
            </w:r>
          </w:p>
        </w:tc>
        <w:tc>
          <w:tcPr>
            <w:tcW w:w="569" w:type="pct"/>
            <w:shd w:val="clear" w:color="auto" w:fill="auto"/>
            <w:vAlign w:val="center"/>
          </w:tcPr>
          <w:p w14:paraId="5DB46316">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1.5</w:t>
            </w:r>
          </w:p>
        </w:tc>
        <w:tc>
          <w:tcPr>
            <w:tcW w:w="569" w:type="pct"/>
            <w:shd w:val="clear" w:color="auto" w:fill="auto"/>
            <w:vAlign w:val="center"/>
          </w:tcPr>
          <w:p w14:paraId="46D1DA54">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0.13</w:t>
            </w:r>
          </w:p>
        </w:tc>
      </w:tr>
      <w:tr w14:paraId="7DB35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30ABB8BE">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42</w:t>
            </w:r>
          </w:p>
        </w:tc>
        <w:tc>
          <w:tcPr>
            <w:tcW w:w="1173" w:type="pct"/>
            <w:shd w:val="clear" w:color="auto" w:fill="auto"/>
            <w:vAlign w:val="center"/>
          </w:tcPr>
          <w:p w14:paraId="63FB257E">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䓛</w:t>
            </w:r>
          </w:p>
        </w:tc>
        <w:tc>
          <w:tcPr>
            <w:tcW w:w="717" w:type="pct"/>
            <w:shd w:val="clear" w:color="auto" w:fill="auto"/>
            <w:vAlign w:val="center"/>
          </w:tcPr>
          <w:p w14:paraId="78745586">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shd w:val="clear" w:color="auto" w:fill="auto"/>
            <w:vAlign w:val="center"/>
          </w:tcPr>
          <w:p w14:paraId="328105AD">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&lt;0.14</w:t>
            </w:r>
          </w:p>
        </w:tc>
        <w:tc>
          <w:tcPr>
            <w:tcW w:w="569" w:type="pct"/>
            <w:shd w:val="clear" w:color="auto" w:fill="auto"/>
            <w:vAlign w:val="center"/>
          </w:tcPr>
          <w:p w14:paraId="7FB3DE6B">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1293</w:t>
            </w:r>
          </w:p>
        </w:tc>
        <w:tc>
          <w:tcPr>
            <w:tcW w:w="569" w:type="pct"/>
            <w:shd w:val="clear" w:color="auto" w:fill="auto"/>
            <w:vAlign w:val="center"/>
          </w:tcPr>
          <w:p w14:paraId="28224E5B">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0.14</w:t>
            </w:r>
          </w:p>
        </w:tc>
      </w:tr>
      <w:tr w14:paraId="5D61C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60" w:type="pct"/>
            <w:shd w:val="clear" w:color="auto" w:fill="auto"/>
            <w:vAlign w:val="center"/>
          </w:tcPr>
          <w:p w14:paraId="57C168A9">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43</w:t>
            </w:r>
          </w:p>
        </w:tc>
        <w:tc>
          <w:tcPr>
            <w:tcW w:w="1173" w:type="pct"/>
            <w:shd w:val="clear" w:color="auto" w:fill="auto"/>
            <w:vAlign w:val="center"/>
          </w:tcPr>
          <w:p w14:paraId="69F2AEC7">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苯并[a]蒽</w:t>
            </w:r>
          </w:p>
        </w:tc>
        <w:tc>
          <w:tcPr>
            <w:tcW w:w="717" w:type="pct"/>
            <w:shd w:val="clear" w:color="auto" w:fill="auto"/>
            <w:vAlign w:val="center"/>
          </w:tcPr>
          <w:p w14:paraId="387EEA1A">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shd w:val="clear" w:color="auto" w:fill="auto"/>
            <w:vAlign w:val="center"/>
          </w:tcPr>
          <w:p w14:paraId="13CFF54B">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&lt;0.12</w:t>
            </w:r>
          </w:p>
        </w:tc>
        <w:tc>
          <w:tcPr>
            <w:tcW w:w="569" w:type="pct"/>
            <w:shd w:val="clear" w:color="auto" w:fill="auto"/>
            <w:vAlign w:val="center"/>
          </w:tcPr>
          <w:p w14:paraId="50EB2D7E">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15</w:t>
            </w:r>
          </w:p>
        </w:tc>
        <w:tc>
          <w:tcPr>
            <w:tcW w:w="569" w:type="pct"/>
            <w:shd w:val="clear" w:color="auto" w:fill="auto"/>
            <w:vAlign w:val="center"/>
          </w:tcPr>
          <w:p w14:paraId="4E9ACABD">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0.12</w:t>
            </w:r>
          </w:p>
        </w:tc>
      </w:tr>
      <w:tr w14:paraId="710C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65AC4184">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44</w:t>
            </w:r>
          </w:p>
        </w:tc>
        <w:tc>
          <w:tcPr>
            <w:tcW w:w="1173" w:type="pct"/>
            <w:shd w:val="clear" w:color="auto" w:fill="auto"/>
            <w:vAlign w:val="center"/>
          </w:tcPr>
          <w:p w14:paraId="356E2793">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苯并[b]荧蒽</w:t>
            </w:r>
          </w:p>
        </w:tc>
        <w:tc>
          <w:tcPr>
            <w:tcW w:w="717" w:type="pct"/>
            <w:shd w:val="clear" w:color="auto" w:fill="auto"/>
            <w:vAlign w:val="center"/>
          </w:tcPr>
          <w:p w14:paraId="7E408268">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shd w:val="clear" w:color="auto" w:fill="auto"/>
            <w:vAlign w:val="center"/>
          </w:tcPr>
          <w:p w14:paraId="0381793F">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&lt;0.17</w:t>
            </w:r>
          </w:p>
        </w:tc>
        <w:tc>
          <w:tcPr>
            <w:tcW w:w="569" w:type="pct"/>
            <w:shd w:val="clear" w:color="auto" w:fill="auto"/>
            <w:vAlign w:val="center"/>
          </w:tcPr>
          <w:p w14:paraId="4273504E">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15</w:t>
            </w:r>
          </w:p>
        </w:tc>
        <w:tc>
          <w:tcPr>
            <w:tcW w:w="569" w:type="pct"/>
            <w:shd w:val="clear" w:color="auto" w:fill="auto"/>
            <w:vAlign w:val="center"/>
          </w:tcPr>
          <w:p w14:paraId="03796784">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0.17</w:t>
            </w:r>
          </w:p>
        </w:tc>
      </w:tr>
      <w:tr w14:paraId="755CC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4DDFF81D">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45</w:t>
            </w:r>
          </w:p>
        </w:tc>
        <w:tc>
          <w:tcPr>
            <w:tcW w:w="1173" w:type="pct"/>
            <w:shd w:val="clear" w:color="auto" w:fill="auto"/>
            <w:vAlign w:val="center"/>
          </w:tcPr>
          <w:p w14:paraId="7211CD85">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苯并[k]荧蒽</w:t>
            </w:r>
          </w:p>
        </w:tc>
        <w:tc>
          <w:tcPr>
            <w:tcW w:w="717" w:type="pct"/>
            <w:shd w:val="clear" w:color="auto" w:fill="auto"/>
            <w:vAlign w:val="center"/>
          </w:tcPr>
          <w:p w14:paraId="2D7B0501">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shd w:val="clear" w:color="auto" w:fill="auto"/>
            <w:vAlign w:val="center"/>
          </w:tcPr>
          <w:p w14:paraId="30E52EF5">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&lt;0.11</w:t>
            </w:r>
          </w:p>
        </w:tc>
        <w:tc>
          <w:tcPr>
            <w:tcW w:w="569" w:type="pct"/>
            <w:shd w:val="clear" w:color="auto" w:fill="auto"/>
            <w:vAlign w:val="center"/>
          </w:tcPr>
          <w:p w14:paraId="7A7A0191">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151</w:t>
            </w:r>
          </w:p>
        </w:tc>
        <w:tc>
          <w:tcPr>
            <w:tcW w:w="569" w:type="pct"/>
            <w:shd w:val="clear" w:color="auto" w:fill="auto"/>
            <w:vAlign w:val="center"/>
          </w:tcPr>
          <w:p w14:paraId="4C2B3008">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0.11</w:t>
            </w:r>
          </w:p>
        </w:tc>
      </w:tr>
      <w:tr w14:paraId="74FF1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0BB296C5">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46</w:t>
            </w:r>
          </w:p>
        </w:tc>
        <w:tc>
          <w:tcPr>
            <w:tcW w:w="1173" w:type="pct"/>
            <w:shd w:val="clear" w:color="auto" w:fill="auto"/>
            <w:vAlign w:val="center"/>
          </w:tcPr>
          <w:p w14:paraId="4E3A4016">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萘</w:t>
            </w:r>
          </w:p>
        </w:tc>
        <w:tc>
          <w:tcPr>
            <w:tcW w:w="717" w:type="pct"/>
            <w:shd w:val="clear" w:color="auto" w:fill="auto"/>
            <w:vAlign w:val="center"/>
          </w:tcPr>
          <w:p w14:paraId="046DEEB4">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无量纲</w:t>
            </w:r>
          </w:p>
        </w:tc>
        <w:tc>
          <w:tcPr>
            <w:tcW w:w="1608" w:type="pct"/>
            <w:gridSpan w:val="3"/>
            <w:shd w:val="clear" w:color="auto" w:fill="auto"/>
            <w:vAlign w:val="center"/>
          </w:tcPr>
          <w:p w14:paraId="7209B01F">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&lt;0.09</w:t>
            </w:r>
          </w:p>
        </w:tc>
        <w:tc>
          <w:tcPr>
            <w:tcW w:w="569" w:type="pct"/>
            <w:shd w:val="clear" w:color="auto" w:fill="auto"/>
            <w:vAlign w:val="center"/>
          </w:tcPr>
          <w:p w14:paraId="253EFE94">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70</w:t>
            </w:r>
          </w:p>
        </w:tc>
        <w:tc>
          <w:tcPr>
            <w:tcW w:w="569" w:type="pct"/>
            <w:shd w:val="clear" w:color="auto" w:fill="auto"/>
            <w:vAlign w:val="center"/>
          </w:tcPr>
          <w:p w14:paraId="55788429">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w:t>
            </w:r>
          </w:p>
        </w:tc>
      </w:tr>
      <w:tr w14:paraId="4927B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2EDC6C29">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47</w:t>
            </w:r>
          </w:p>
        </w:tc>
        <w:tc>
          <w:tcPr>
            <w:tcW w:w="1173" w:type="pct"/>
            <w:shd w:val="clear" w:color="auto" w:fill="auto"/>
            <w:vAlign w:val="center"/>
          </w:tcPr>
          <w:p w14:paraId="570526C1">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 w:val="21"/>
                <w:szCs w:val="21"/>
                <w:highlight w:val="none"/>
                <w:lang w:val="en-US" w:eastAsia="zh-CN"/>
              </w:rPr>
              <w:t>4-氯</w:t>
            </w:r>
            <w:r>
              <w:rPr>
                <w:rFonts w:hint="default" w:ascii="Times New Roman" w:hAnsi="Times New Roman" w:cs="Times New Roman"/>
                <w:color w:val="000000"/>
                <w:sz w:val="21"/>
                <w:szCs w:val="21"/>
                <w:highlight w:val="none"/>
                <w:lang w:val="en-US" w:eastAsia="zh-CN"/>
              </w:rPr>
              <w:t>苯胺</w:t>
            </w:r>
          </w:p>
        </w:tc>
        <w:tc>
          <w:tcPr>
            <w:tcW w:w="717" w:type="pct"/>
            <w:shd w:val="clear" w:color="auto" w:fill="auto"/>
            <w:vAlign w:val="center"/>
          </w:tcPr>
          <w:p w14:paraId="3E23975A">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1608" w:type="pct"/>
            <w:gridSpan w:val="3"/>
            <w:shd w:val="clear" w:color="auto" w:fill="auto"/>
            <w:vAlign w:val="center"/>
          </w:tcPr>
          <w:p w14:paraId="2EBCF858">
            <w:pPr>
              <w:jc w:val="center"/>
              <w:rPr>
                <w:rFonts w:hint="default" w:ascii="Times New Roman" w:hAnsi="Times New Roman" w:cs="Times New Roman"/>
                <w:szCs w:val="21"/>
                <w:highlight w:val="none"/>
                <w:lang w:val="en-US" w:eastAsia="zh-CN"/>
              </w:rPr>
            </w:pPr>
            <w:r>
              <w:rPr>
                <w:rFonts w:hint="eastAsia" w:ascii="Times New Roman" w:hAnsi="Times New Roman" w:eastAsia="宋体" w:cs="Times New Roman"/>
                <w:color w:val="000000"/>
                <w:szCs w:val="21"/>
                <w:highlight w:val="none"/>
                <w:lang w:val="en-US" w:eastAsia="zh-CN"/>
              </w:rPr>
              <w:t>&lt;0.09</w:t>
            </w:r>
          </w:p>
        </w:tc>
        <w:tc>
          <w:tcPr>
            <w:tcW w:w="569" w:type="pct"/>
            <w:shd w:val="clear" w:color="auto" w:fill="auto"/>
            <w:vAlign w:val="center"/>
          </w:tcPr>
          <w:p w14:paraId="708AA186">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569" w:type="pct"/>
            <w:shd w:val="clear" w:color="auto" w:fill="auto"/>
            <w:vAlign w:val="center"/>
          </w:tcPr>
          <w:p w14:paraId="49FA9A02">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0.09</w:t>
            </w:r>
          </w:p>
        </w:tc>
      </w:tr>
      <w:tr w14:paraId="7D38E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26ABC531">
            <w:pPr>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48</w:t>
            </w:r>
          </w:p>
        </w:tc>
        <w:tc>
          <w:tcPr>
            <w:tcW w:w="1173" w:type="pct"/>
            <w:shd w:val="clear" w:color="auto" w:fill="auto"/>
            <w:vAlign w:val="center"/>
          </w:tcPr>
          <w:p w14:paraId="4B6868A1">
            <w:pPr>
              <w:jc w:val="center"/>
              <w:rPr>
                <w:rFonts w:hint="eastAsia" w:ascii="Times New Roman" w:hAnsi="Times New Roman" w:cs="Times New Roman"/>
                <w:color w:val="000000"/>
                <w:sz w:val="21"/>
                <w:szCs w:val="21"/>
                <w:highlight w:val="none"/>
                <w:lang w:val="en-US" w:eastAsia="zh-CN"/>
              </w:rPr>
            </w:pPr>
            <w:r>
              <w:rPr>
                <w:rFonts w:hint="eastAsia" w:ascii="Times New Roman" w:hAnsi="Times New Roman" w:cs="Times New Roman"/>
                <w:color w:val="000000"/>
                <w:szCs w:val="21"/>
                <w:highlight w:val="none"/>
                <w:lang w:val="en-US" w:eastAsia="zh-CN"/>
              </w:rPr>
              <w:t>全盐量</w:t>
            </w:r>
          </w:p>
        </w:tc>
        <w:tc>
          <w:tcPr>
            <w:tcW w:w="717" w:type="pct"/>
            <w:shd w:val="clear" w:color="auto" w:fill="auto"/>
            <w:vAlign w:val="center"/>
          </w:tcPr>
          <w:p w14:paraId="3EA4EE17">
            <w:pPr>
              <w:spacing w:line="300" w:lineRule="exact"/>
              <w:jc w:val="center"/>
              <w:rPr>
                <w:rFonts w:hint="eastAsia" w:ascii="Times New Roman" w:hAnsi="Times New Roman" w:cs="Times New Roman"/>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shd w:val="clear" w:color="auto" w:fill="auto"/>
            <w:vAlign w:val="center"/>
          </w:tcPr>
          <w:p w14:paraId="244EEECB">
            <w:pPr>
              <w:jc w:val="center"/>
              <w:rPr>
                <w:rFonts w:hint="eastAsia" w:ascii="Times New Roman" w:hAnsi="Times New Roman" w:cs="Times New Roman"/>
                <w:szCs w:val="21"/>
                <w:highlight w:val="none"/>
                <w:lang w:val="en-US" w:eastAsia="zh-CN"/>
              </w:rPr>
            </w:pPr>
            <w:r>
              <w:rPr>
                <w:rFonts w:hint="eastAsia" w:ascii="Times New Roman" w:hAnsi="Times New Roman" w:eastAsia="宋体" w:cs="Times New Roman"/>
                <w:color w:val="000000"/>
                <w:szCs w:val="21"/>
                <w:highlight w:val="none"/>
                <w:lang w:val="en-US" w:eastAsia="zh-CN"/>
              </w:rPr>
              <w:t>2.31</w:t>
            </w:r>
          </w:p>
        </w:tc>
        <w:tc>
          <w:tcPr>
            <w:tcW w:w="569" w:type="pct"/>
            <w:shd w:val="clear" w:color="auto" w:fill="auto"/>
            <w:vAlign w:val="center"/>
          </w:tcPr>
          <w:p w14:paraId="53D84BA5">
            <w:pPr>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w:t>
            </w:r>
          </w:p>
        </w:tc>
        <w:tc>
          <w:tcPr>
            <w:tcW w:w="569" w:type="pct"/>
            <w:shd w:val="clear" w:color="auto" w:fill="auto"/>
            <w:vAlign w:val="center"/>
          </w:tcPr>
          <w:p w14:paraId="3E206AA9">
            <w:pPr>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w:t>
            </w:r>
          </w:p>
        </w:tc>
      </w:tr>
      <w:tr w14:paraId="631BE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30F99E98">
            <w:pPr>
              <w:spacing w:line="300" w:lineRule="exact"/>
              <w:jc w:val="both"/>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49</w:t>
            </w:r>
          </w:p>
        </w:tc>
        <w:tc>
          <w:tcPr>
            <w:tcW w:w="1173" w:type="pct"/>
            <w:shd w:val="clear" w:color="auto" w:fill="auto"/>
            <w:vAlign w:val="center"/>
          </w:tcPr>
          <w:p w14:paraId="53BB370E">
            <w:pPr>
              <w:jc w:val="center"/>
              <w:rPr>
                <w:rFonts w:hint="eastAsia" w:ascii="Times New Roman" w:hAnsi="Times New Roman" w:cs="Times New Roman"/>
                <w:color w:val="000000"/>
                <w:sz w:val="21"/>
                <w:szCs w:val="21"/>
                <w:highlight w:val="none"/>
                <w:lang w:val="en-US" w:eastAsia="zh-CN"/>
              </w:rPr>
            </w:pPr>
            <w:r>
              <w:rPr>
                <w:rFonts w:hint="default" w:ascii="Times New Roman" w:hAnsi="Times New Roman" w:cs="Times New Roman"/>
                <w:color w:val="000000"/>
                <w:szCs w:val="21"/>
                <w:highlight w:val="none"/>
                <w:lang w:val="en-US" w:eastAsia="zh-CN"/>
              </w:rPr>
              <w:t>石油烃（C</w:t>
            </w:r>
            <w:r>
              <w:rPr>
                <w:rFonts w:hint="default" w:ascii="Times New Roman" w:hAnsi="Times New Roman" w:cs="Times New Roman"/>
                <w:color w:val="000000"/>
                <w:szCs w:val="21"/>
                <w:highlight w:val="none"/>
                <w:vertAlign w:val="subscript"/>
                <w:lang w:val="en-US" w:eastAsia="zh-CN"/>
              </w:rPr>
              <w:t>10</w:t>
            </w:r>
            <w:r>
              <w:rPr>
                <w:rFonts w:hint="default" w:ascii="Times New Roman" w:hAnsi="Times New Roman" w:cs="Times New Roman"/>
                <w:color w:val="000000"/>
                <w:szCs w:val="21"/>
                <w:highlight w:val="none"/>
                <w:lang w:val="en-US" w:eastAsia="zh-CN"/>
              </w:rPr>
              <w:t>-C</w:t>
            </w:r>
            <w:r>
              <w:rPr>
                <w:rFonts w:hint="default" w:ascii="Times New Roman" w:hAnsi="Times New Roman" w:cs="Times New Roman"/>
                <w:color w:val="000000"/>
                <w:szCs w:val="21"/>
                <w:highlight w:val="none"/>
                <w:vertAlign w:val="subscript"/>
                <w:lang w:val="en-US" w:eastAsia="zh-CN"/>
              </w:rPr>
              <w:t>40</w:t>
            </w:r>
            <w:r>
              <w:rPr>
                <w:rFonts w:hint="default" w:ascii="Times New Roman" w:hAnsi="Times New Roman" w:cs="Times New Roman"/>
                <w:color w:val="000000"/>
                <w:szCs w:val="21"/>
                <w:highlight w:val="none"/>
                <w:lang w:val="en-US" w:eastAsia="zh-CN"/>
              </w:rPr>
              <w:t>）</w:t>
            </w:r>
          </w:p>
        </w:tc>
        <w:tc>
          <w:tcPr>
            <w:tcW w:w="717" w:type="pct"/>
            <w:shd w:val="clear" w:color="auto" w:fill="auto"/>
            <w:vAlign w:val="center"/>
          </w:tcPr>
          <w:p w14:paraId="1C0CB6BE">
            <w:pPr>
              <w:spacing w:line="300" w:lineRule="exact"/>
              <w:jc w:val="center"/>
              <w:rPr>
                <w:rFonts w:hint="eastAsia" w:ascii="Times New Roman" w:hAnsi="Times New Roman" w:cs="Times New Roman"/>
                <w:szCs w:val="21"/>
                <w:highlight w:val="none"/>
                <w:lang w:val="en-US" w:eastAsia="zh-CN"/>
              </w:rPr>
            </w:pPr>
            <w:r>
              <w:rPr>
                <w:rFonts w:hint="default" w:ascii="Times New Roman" w:hAnsi="Times New Roman" w:cs="Times New Roman"/>
                <w:color w:val="000000"/>
                <w:szCs w:val="21"/>
                <w:lang w:val="en-US" w:eastAsia="zh-CN"/>
              </w:rPr>
              <w:t>mg/kg</w:t>
            </w:r>
          </w:p>
        </w:tc>
        <w:tc>
          <w:tcPr>
            <w:tcW w:w="1608" w:type="pct"/>
            <w:gridSpan w:val="3"/>
            <w:shd w:val="clear" w:color="auto" w:fill="auto"/>
            <w:vAlign w:val="center"/>
          </w:tcPr>
          <w:p w14:paraId="519BC64F">
            <w:pPr>
              <w:jc w:val="center"/>
              <w:rPr>
                <w:rFonts w:hint="eastAsia" w:ascii="Times New Roman" w:hAnsi="Times New Roman" w:cs="Times New Roman"/>
                <w:szCs w:val="21"/>
                <w:highlight w:val="none"/>
                <w:lang w:val="en-US" w:eastAsia="zh-CN"/>
              </w:rPr>
            </w:pPr>
            <w:r>
              <w:rPr>
                <w:rFonts w:hint="eastAsia" w:ascii="Times New Roman" w:hAnsi="Times New Roman" w:eastAsia="宋体" w:cs="Times New Roman"/>
                <w:color w:val="000000"/>
                <w:szCs w:val="21"/>
                <w:highlight w:val="none"/>
                <w:lang w:val="en-US" w:eastAsia="zh-CN"/>
              </w:rPr>
              <w:t>&lt;6</w:t>
            </w:r>
          </w:p>
        </w:tc>
        <w:tc>
          <w:tcPr>
            <w:tcW w:w="569" w:type="pct"/>
            <w:shd w:val="clear" w:color="auto" w:fill="auto"/>
            <w:vAlign w:val="center"/>
          </w:tcPr>
          <w:p w14:paraId="5CA68A1B">
            <w:pPr>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4500</w:t>
            </w:r>
          </w:p>
        </w:tc>
        <w:tc>
          <w:tcPr>
            <w:tcW w:w="569" w:type="pct"/>
            <w:shd w:val="clear" w:color="auto" w:fill="auto"/>
            <w:vAlign w:val="center"/>
          </w:tcPr>
          <w:p w14:paraId="7870118E">
            <w:pPr>
              <w:spacing w:line="300" w:lineRule="exact"/>
              <w:jc w:val="center"/>
              <w:rPr>
                <w:rFonts w:hint="eastAsia" w:ascii="Times New Roman" w:hAnsi="Times New Roman" w:cs="Times New Roman"/>
                <w:szCs w:val="21"/>
                <w:highlight w:val="none"/>
                <w:lang w:val="en-US" w:eastAsia="zh-CN"/>
              </w:rPr>
            </w:pPr>
            <w:r>
              <w:rPr>
                <w:rFonts w:hint="default" w:ascii="Times New Roman" w:hAnsi="Times New Roman" w:cs="Times New Roman"/>
                <w:color w:val="000000"/>
                <w:sz w:val="21"/>
                <w:szCs w:val="21"/>
                <w:highlight w:val="none"/>
                <w:lang w:val="en-US" w:eastAsia="zh-CN"/>
              </w:rPr>
              <w:t>6</w:t>
            </w:r>
          </w:p>
        </w:tc>
      </w:tr>
      <w:tr w14:paraId="2AC7E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0DF8900C">
            <w:pPr>
              <w:spacing w:line="300" w:lineRule="exact"/>
              <w:jc w:val="both"/>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50</w:t>
            </w:r>
          </w:p>
        </w:tc>
        <w:tc>
          <w:tcPr>
            <w:tcW w:w="1173" w:type="pct"/>
            <w:shd w:val="clear" w:color="auto" w:fill="auto"/>
            <w:vAlign w:val="center"/>
          </w:tcPr>
          <w:p w14:paraId="7CADFD46">
            <w:pPr>
              <w:jc w:val="center"/>
              <w:rPr>
                <w:rFonts w:hint="default" w:ascii="Times New Roman" w:hAnsi="Times New Roman"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二噁英类</w:t>
            </w:r>
          </w:p>
        </w:tc>
        <w:tc>
          <w:tcPr>
            <w:tcW w:w="717" w:type="pct"/>
            <w:shd w:val="clear" w:color="auto" w:fill="auto"/>
            <w:vAlign w:val="center"/>
          </w:tcPr>
          <w:p w14:paraId="19817592">
            <w:pPr>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eastAsia="宋体" w:cs="宋体"/>
                <w:spacing w:val="-1"/>
                <w:sz w:val="24"/>
                <w:szCs w:val="24"/>
              </w:rPr>
              <w:t>ngTEQ/kg</w:t>
            </w:r>
          </w:p>
        </w:tc>
        <w:tc>
          <w:tcPr>
            <w:tcW w:w="1608" w:type="pct"/>
            <w:gridSpan w:val="3"/>
            <w:shd w:val="clear" w:color="auto" w:fill="auto"/>
            <w:vAlign w:val="center"/>
          </w:tcPr>
          <w:p w14:paraId="11882DA9">
            <w:pPr>
              <w:jc w:val="center"/>
              <w:rPr>
                <w:rFonts w:hint="eastAsia" w:ascii="Times New Roman" w:hAnsi="Times New Roman" w:eastAsia="宋体" w:cs="Times New Roman"/>
                <w:color w:val="000000"/>
                <w:szCs w:val="21"/>
                <w:highlight w:val="none"/>
                <w:lang w:val="en-US" w:eastAsia="zh-CN"/>
              </w:rPr>
            </w:pPr>
            <w:r>
              <w:rPr>
                <w:rFonts w:hint="eastAsia" w:ascii="Times New Roman" w:hAnsi="Times New Roman" w:eastAsia="宋体" w:cs="宋体"/>
                <w:spacing w:val="-2"/>
                <w:sz w:val="24"/>
                <w:szCs w:val="24"/>
                <w:lang w:val="en-US" w:eastAsia="zh-CN"/>
              </w:rPr>
              <w:t>0.27</w:t>
            </w:r>
          </w:p>
        </w:tc>
        <w:tc>
          <w:tcPr>
            <w:tcW w:w="569" w:type="pct"/>
            <w:shd w:val="clear" w:color="auto" w:fill="auto"/>
            <w:vAlign w:val="center"/>
          </w:tcPr>
          <w:p w14:paraId="553D03A9">
            <w:pPr>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40</w:t>
            </w:r>
          </w:p>
        </w:tc>
        <w:tc>
          <w:tcPr>
            <w:tcW w:w="569" w:type="pct"/>
            <w:shd w:val="clear" w:color="auto" w:fill="auto"/>
            <w:vAlign w:val="center"/>
          </w:tcPr>
          <w:p w14:paraId="6BD1FB23">
            <w:pPr>
              <w:spacing w:line="300" w:lineRule="exact"/>
              <w:jc w:val="center"/>
              <w:rPr>
                <w:rFonts w:hint="default" w:ascii="Times New Roman" w:hAnsi="Times New Roman" w:cs="Times New Roman"/>
                <w:color w:val="000000"/>
                <w:sz w:val="21"/>
                <w:szCs w:val="21"/>
                <w:highlight w:val="none"/>
                <w:lang w:val="en-US" w:eastAsia="zh-CN"/>
              </w:rPr>
            </w:pPr>
            <w:r>
              <w:rPr>
                <w:rFonts w:hint="eastAsia" w:ascii="Times New Roman" w:hAnsi="Times New Roman" w:cs="Times New Roman"/>
                <w:color w:val="000000"/>
                <w:sz w:val="21"/>
                <w:szCs w:val="21"/>
                <w:highlight w:val="none"/>
                <w:lang w:val="en-US" w:eastAsia="zh-CN"/>
              </w:rPr>
              <w:t>-</w:t>
            </w:r>
          </w:p>
        </w:tc>
      </w:tr>
      <w:tr w14:paraId="498D3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1F246B4B">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51</w:t>
            </w:r>
          </w:p>
        </w:tc>
        <w:tc>
          <w:tcPr>
            <w:tcW w:w="1173" w:type="pct"/>
            <w:shd w:val="clear" w:color="auto" w:fill="auto"/>
            <w:vAlign w:val="center"/>
          </w:tcPr>
          <w:p w14:paraId="25DF6B1D">
            <w:pPr>
              <w:spacing w:line="300" w:lineRule="exact"/>
              <w:jc w:val="center"/>
              <w:rPr>
                <w:rFonts w:hint="default" w:ascii="Times New Roman" w:hAnsi="Times New Roman" w:cs="Times New Roman" w:eastAsiaTheme="minorEastAsia"/>
                <w:szCs w:val="21"/>
                <w:highlight w:val="none"/>
                <w:lang w:val="en-US" w:eastAsia="zh-CN"/>
              </w:rPr>
            </w:pPr>
          </w:p>
        </w:tc>
        <w:tc>
          <w:tcPr>
            <w:tcW w:w="717" w:type="pct"/>
            <w:shd w:val="clear" w:color="auto" w:fill="auto"/>
            <w:vAlign w:val="center"/>
          </w:tcPr>
          <w:p w14:paraId="78119C23">
            <w:pPr>
              <w:spacing w:line="300" w:lineRule="exact"/>
              <w:jc w:val="center"/>
              <w:rPr>
                <w:rFonts w:hint="default" w:ascii="Times New Roman" w:hAnsi="Times New Roman" w:cs="Times New Roman" w:eastAsiaTheme="minorEastAsia"/>
                <w:szCs w:val="21"/>
                <w:highlight w:val="none"/>
                <w:lang w:val="en-US" w:eastAsia="zh-CN"/>
              </w:rPr>
            </w:pPr>
          </w:p>
        </w:tc>
        <w:tc>
          <w:tcPr>
            <w:tcW w:w="1608" w:type="pct"/>
            <w:gridSpan w:val="3"/>
            <w:shd w:val="clear" w:color="auto" w:fill="auto"/>
            <w:vAlign w:val="center"/>
          </w:tcPr>
          <w:p w14:paraId="3CDF28D4">
            <w:pPr>
              <w:spacing w:line="300" w:lineRule="exact"/>
              <w:jc w:val="center"/>
              <w:rPr>
                <w:rFonts w:hint="default" w:ascii="Times New Roman" w:hAnsi="Times New Roman" w:cs="Times New Roman" w:eastAsiaTheme="minorEastAsia"/>
                <w:szCs w:val="21"/>
                <w:highlight w:val="none"/>
                <w:lang w:val="en-US" w:eastAsia="zh-CN"/>
              </w:rPr>
            </w:pPr>
          </w:p>
        </w:tc>
        <w:tc>
          <w:tcPr>
            <w:tcW w:w="569" w:type="pct"/>
            <w:shd w:val="clear" w:color="auto" w:fill="auto"/>
            <w:vAlign w:val="center"/>
          </w:tcPr>
          <w:p w14:paraId="765A9F23">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w:t>
            </w:r>
          </w:p>
        </w:tc>
        <w:tc>
          <w:tcPr>
            <w:tcW w:w="569" w:type="pct"/>
            <w:shd w:val="clear" w:color="auto" w:fill="auto"/>
            <w:vAlign w:val="center"/>
          </w:tcPr>
          <w:p w14:paraId="6794444A">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w:t>
            </w:r>
          </w:p>
        </w:tc>
      </w:tr>
      <w:tr w14:paraId="5A839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vMerge w:val="restart"/>
            <w:shd w:val="clear" w:color="auto" w:fill="auto"/>
            <w:vAlign w:val="center"/>
          </w:tcPr>
          <w:p w14:paraId="39A6EF44">
            <w:pPr>
              <w:spacing w:line="300" w:lineRule="exact"/>
              <w:jc w:val="center"/>
              <w:rPr>
                <w:rFonts w:hint="default" w:ascii="Times New Roman" w:hAnsi="Times New Roman" w:cs="Times New Roman" w:eastAsiaTheme="minorEastAsia"/>
                <w:b/>
                <w:bCs/>
                <w:szCs w:val="21"/>
                <w:highlight w:val="none"/>
                <w:lang w:val="en-US" w:eastAsia="zh-CN"/>
              </w:rPr>
            </w:pPr>
            <w:r>
              <w:rPr>
                <w:rFonts w:hint="default" w:ascii="Times New Roman" w:hAnsi="Times New Roman" w:cs="Times New Roman" w:eastAsiaTheme="minorEastAsia"/>
                <w:b/>
                <w:bCs/>
                <w:szCs w:val="21"/>
                <w:highlight w:val="none"/>
                <w:lang w:val="en-US" w:eastAsia="zh-CN"/>
              </w:rPr>
              <w:t>序号</w:t>
            </w:r>
          </w:p>
        </w:tc>
        <w:tc>
          <w:tcPr>
            <w:tcW w:w="1173" w:type="pct"/>
            <w:vMerge w:val="restart"/>
            <w:shd w:val="clear" w:color="auto" w:fill="auto"/>
            <w:vAlign w:val="center"/>
          </w:tcPr>
          <w:p w14:paraId="1D819B1E">
            <w:pPr>
              <w:spacing w:line="300" w:lineRule="exact"/>
              <w:jc w:val="center"/>
              <w:rPr>
                <w:rFonts w:hint="default" w:ascii="Times New Roman" w:hAnsi="Times New Roman" w:cs="Times New Roman" w:eastAsiaTheme="minorEastAsia"/>
                <w:b/>
                <w:bCs/>
                <w:szCs w:val="21"/>
                <w:highlight w:val="none"/>
                <w:lang w:val="en-US" w:eastAsia="zh-CN"/>
              </w:rPr>
            </w:pPr>
            <w:r>
              <w:rPr>
                <w:rFonts w:hint="default" w:ascii="Times New Roman" w:hAnsi="Times New Roman" w:cs="Times New Roman" w:eastAsiaTheme="minorEastAsia"/>
                <w:b/>
                <w:bCs/>
                <w:szCs w:val="21"/>
                <w:highlight w:val="none"/>
                <w:lang w:val="en-US" w:eastAsia="zh-CN"/>
              </w:rPr>
              <w:t>检 测 项 目</w:t>
            </w:r>
          </w:p>
        </w:tc>
        <w:tc>
          <w:tcPr>
            <w:tcW w:w="717" w:type="pct"/>
            <w:vMerge w:val="restart"/>
            <w:shd w:val="clear" w:color="auto" w:fill="auto"/>
            <w:vAlign w:val="center"/>
          </w:tcPr>
          <w:p w14:paraId="014CE976">
            <w:pPr>
              <w:spacing w:line="300" w:lineRule="exact"/>
              <w:jc w:val="center"/>
              <w:rPr>
                <w:rFonts w:hint="default" w:ascii="Times New Roman" w:hAnsi="Times New Roman" w:cs="Times New Roman" w:eastAsiaTheme="minorEastAsia"/>
                <w:b/>
                <w:bCs/>
                <w:szCs w:val="21"/>
                <w:highlight w:val="none"/>
                <w:lang w:val="en-US" w:eastAsia="zh-CN"/>
              </w:rPr>
            </w:pPr>
            <w:r>
              <w:rPr>
                <w:rFonts w:hint="default" w:ascii="Times New Roman" w:hAnsi="Times New Roman" w:cs="Times New Roman" w:eastAsiaTheme="minorEastAsia"/>
                <w:b/>
                <w:bCs/>
                <w:szCs w:val="21"/>
                <w:highlight w:val="none"/>
                <w:lang w:val="en-US" w:eastAsia="zh-CN"/>
              </w:rPr>
              <w:t>单位</w:t>
            </w:r>
          </w:p>
        </w:tc>
        <w:tc>
          <w:tcPr>
            <w:tcW w:w="1608" w:type="pct"/>
            <w:gridSpan w:val="3"/>
            <w:shd w:val="clear" w:color="auto" w:fill="auto"/>
            <w:vAlign w:val="center"/>
          </w:tcPr>
          <w:p w14:paraId="3687BBA8">
            <w:pPr>
              <w:spacing w:line="300" w:lineRule="exact"/>
              <w:jc w:val="center"/>
              <w:rPr>
                <w:rFonts w:hint="default" w:ascii="Times New Roman" w:hAnsi="Times New Roman" w:cs="Times New Roman" w:eastAsiaTheme="minorEastAsia"/>
                <w:b/>
                <w:bCs/>
                <w:szCs w:val="21"/>
                <w:highlight w:val="none"/>
                <w:lang w:val="en-US" w:eastAsia="zh-CN"/>
              </w:rPr>
            </w:pPr>
            <w:r>
              <w:rPr>
                <w:rFonts w:hint="default" w:ascii="Times New Roman" w:hAnsi="Times New Roman" w:cs="Times New Roman" w:eastAsiaTheme="minorEastAsia"/>
                <w:b/>
                <w:bCs/>
                <w:szCs w:val="21"/>
                <w:highlight w:val="none"/>
                <w:lang w:val="en-US" w:eastAsia="zh-CN"/>
              </w:rPr>
              <w:t>项目区占地范围内：</w:t>
            </w:r>
            <w:r>
              <w:rPr>
                <w:rFonts w:hint="eastAsia" w:ascii="Times New Roman" w:hAnsi="Times New Roman" w:cs="Times New Roman"/>
                <w:b/>
                <w:bCs/>
                <w:szCs w:val="21"/>
                <w:highlight w:val="none"/>
                <w:lang w:val="en-US" w:eastAsia="zh-CN"/>
              </w:rPr>
              <w:t>1</w:t>
            </w:r>
            <w:r>
              <w:rPr>
                <w:rFonts w:hint="default" w:ascii="Times New Roman" w:hAnsi="Times New Roman" w:cs="Times New Roman" w:eastAsiaTheme="minorEastAsia"/>
                <w:b/>
                <w:bCs/>
                <w:szCs w:val="21"/>
                <w:highlight w:val="none"/>
                <w:lang w:val="en-US" w:eastAsia="zh-CN"/>
              </w:rPr>
              <w:t>#</w:t>
            </w:r>
            <w:r>
              <w:rPr>
                <w:rFonts w:hint="eastAsia" w:ascii="Times New Roman" w:hAnsi="Times New Roman" w:cs="Times New Roman"/>
                <w:b/>
                <w:bCs/>
                <w:szCs w:val="21"/>
                <w:highlight w:val="none"/>
                <w:lang w:val="en-US" w:eastAsia="zh-CN"/>
              </w:rPr>
              <w:t>柱状样</w:t>
            </w:r>
            <w:r>
              <w:rPr>
                <w:rFonts w:hint="default" w:ascii="Times New Roman" w:hAnsi="Times New Roman" w:cs="Times New Roman" w:eastAsiaTheme="minorEastAsia"/>
                <w:b/>
                <w:bCs/>
                <w:szCs w:val="21"/>
                <w:highlight w:val="none"/>
                <w:lang w:val="en-US" w:eastAsia="zh-CN"/>
              </w:rPr>
              <w:t>样</w:t>
            </w:r>
          </w:p>
        </w:tc>
        <w:tc>
          <w:tcPr>
            <w:tcW w:w="569" w:type="pct"/>
            <w:vMerge w:val="restart"/>
            <w:shd w:val="clear" w:color="auto" w:fill="auto"/>
            <w:vAlign w:val="center"/>
          </w:tcPr>
          <w:p w14:paraId="61BCD76D">
            <w:pPr>
              <w:spacing w:line="300" w:lineRule="exact"/>
              <w:jc w:val="center"/>
              <w:rPr>
                <w:rFonts w:hint="default" w:ascii="Times New Roman" w:hAnsi="Times New Roman" w:cs="Times New Roman" w:eastAsiaTheme="minorEastAsia"/>
                <w:b/>
                <w:bCs/>
                <w:szCs w:val="21"/>
                <w:highlight w:val="none"/>
                <w:lang w:val="en-US" w:eastAsia="zh-CN"/>
              </w:rPr>
            </w:pPr>
            <w:r>
              <w:rPr>
                <w:rFonts w:hint="default" w:ascii="Times New Roman" w:hAnsi="Times New Roman" w:cs="Times New Roman" w:eastAsiaTheme="minorEastAsia"/>
                <w:b/>
                <w:bCs/>
                <w:szCs w:val="21"/>
                <w:highlight w:val="none"/>
                <w:lang w:val="en-US" w:eastAsia="zh-CN"/>
              </w:rPr>
              <w:t>限值</w:t>
            </w:r>
          </w:p>
        </w:tc>
        <w:tc>
          <w:tcPr>
            <w:tcW w:w="569" w:type="pct"/>
            <w:vMerge w:val="restart"/>
            <w:shd w:val="clear" w:color="auto" w:fill="auto"/>
            <w:vAlign w:val="center"/>
          </w:tcPr>
          <w:p w14:paraId="5C9F8DD3">
            <w:pPr>
              <w:spacing w:line="300" w:lineRule="exact"/>
              <w:jc w:val="center"/>
              <w:rPr>
                <w:rFonts w:hint="default" w:ascii="Times New Roman" w:hAnsi="Times New Roman" w:cs="Times New Roman" w:eastAsiaTheme="minorEastAsia"/>
                <w:b/>
                <w:bCs/>
                <w:szCs w:val="21"/>
                <w:highlight w:val="none"/>
                <w:lang w:val="en-US" w:eastAsia="zh-CN"/>
              </w:rPr>
            </w:pPr>
            <w:r>
              <w:rPr>
                <w:rFonts w:hint="default" w:ascii="Times New Roman" w:hAnsi="Times New Roman" w:cs="Times New Roman" w:eastAsiaTheme="minorEastAsia"/>
                <w:b/>
                <w:bCs/>
                <w:szCs w:val="21"/>
                <w:highlight w:val="none"/>
                <w:lang w:val="en-US" w:eastAsia="zh-CN"/>
              </w:rPr>
              <w:t>检出限</w:t>
            </w:r>
          </w:p>
        </w:tc>
      </w:tr>
      <w:tr w14:paraId="7DD9C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vMerge w:val="continue"/>
            <w:shd w:val="clear" w:color="auto" w:fill="auto"/>
            <w:vAlign w:val="center"/>
          </w:tcPr>
          <w:p w14:paraId="5C88655D">
            <w:pPr>
              <w:spacing w:line="300" w:lineRule="exact"/>
              <w:jc w:val="center"/>
              <w:rPr>
                <w:rFonts w:hint="default" w:ascii="Times New Roman" w:hAnsi="Times New Roman" w:cs="Times New Roman" w:eastAsiaTheme="minorEastAsia"/>
                <w:szCs w:val="21"/>
                <w:highlight w:val="none"/>
                <w:lang w:val="en-US" w:eastAsia="zh-CN"/>
              </w:rPr>
            </w:pPr>
          </w:p>
        </w:tc>
        <w:tc>
          <w:tcPr>
            <w:tcW w:w="1173" w:type="pct"/>
            <w:vMerge w:val="continue"/>
            <w:shd w:val="clear" w:color="auto" w:fill="auto"/>
            <w:vAlign w:val="center"/>
          </w:tcPr>
          <w:p w14:paraId="7968B2F6">
            <w:pPr>
              <w:jc w:val="center"/>
              <w:rPr>
                <w:rFonts w:hint="eastAsia" w:ascii="Times New Roman" w:hAnsi="Times New Roman" w:cs="Times New Roman"/>
                <w:color w:val="000000"/>
                <w:szCs w:val="21"/>
                <w:highlight w:val="none"/>
                <w:lang w:val="en-US" w:eastAsia="zh-CN"/>
              </w:rPr>
            </w:pPr>
          </w:p>
        </w:tc>
        <w:tc>
          <w:tcPr>
            <w:tcW w:w="717" w:type="pct"/>
            <w:vMerge w:val="continue"/>
            <w:shd w:val="clear" w:color="auto" w:fill="auto"/>
            <w:vAlign w:val="center"/>
          </w:tcPr>
          <w:p w14:paraId="1C9B651A">
            <w:pPr>
              <w:spacing w:line="300" w:lineRule="exact"/>
              <w:jc w:val="center"/>
              <w:rPr>
                <w:rFonts w:hint="default" w:ascii="Times New Roman" w:hAnsi="Times New Roman" w:cs="Times New Roman" w:eastAsiaTheme="minorEastAsia"/>
                <w:szCs w:val="21"/>
                <w:highlight w:val="none"/>
                <w:lang w:val="en-US" w:eastAsia="zh-CN"/>
              </w:rPr>
            </w:pPr>
          </w:p>
        </w:tc>
        <w:tc>
          <w:tcPr>
            <w:tcW w:w="514" w:type="pct"/>
            <w:shd w:val="clear" w:color="auto" w:fill="auto"/>
            <w:vAlign w:val="center"/>
          </w:tcPr>
          <w:p w14:paraId="3AB95B7A">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0.5m</w:t>
            </w:r>
          </w:p>
        </w:tc>
        <w:tc>
          <w:tcPr>
            <w:tcW w:w="575" w:type="pct"/>
            <w:shd w:val="clear" w:color="auto" w:fill="auto"/>
            <w:vAlign w:val="center"/>
          </w:tcPr>
          <w:p w14:paraId="70FC628C">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1.5m</w:t>
            </w:r>
          </w:p>
        </w:tc>
        <w:tc>
          <w:tcPr>
            <w:tcW w:w="519" w:type="pct"/>
            <w:shd w:val="clear" w:color="auto" w:fill="auto"/>
            <w:vAlign w:val="center"/>
          </w:tcPr>
          <w:p w14:paraId="3BD0F65B">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3m</w:t>
            </w:r>
          </w:p>
        </w:tc>
        <w:tc>
          <w:tcPr>
            <w:tcW w:w="569" w:type="pct"/>
            <w:vMerge w:val="continue"/>
            <w:shd w:val="clear" w:color="auto" w:fill="auto"/>
            <w:vAlign w:val="center"/>
          </w:tcPr>
          <w:p w14:paraId="2642DB74">
            <w:pPr>
              <w:spacing w:line="300" w:lineRule="exact"/>
              <w:jc w:val="center"/>
              <w:rPr>
                <w:rFonts w:hint="default" w:ascii="Times New Roman" w:hAnsi="Times New Roman" w:cs="Times New Roman" w:eastAsiaTheme="minorEastAsia"/>
                <w:szCs w:val="21"/>
                <w:highlight w:val="none"/>
                <w:lang w:val="en-US" w:eastAsia="zh-CN"/>
              </w:rPr>
            </w:pPr>
          </w:p>
        </w:tc>
        <w:tc>
          <w:tcPr>
            <w:tcW w:w="569" w:type="pct"/>
            <w:vMerge w:val="continue"/>
            <w:shd w:val="clear" w:color="auto" w:fill="auto"/>
            <w:vAlign w:val="center"/>
          </w:tcPr>
          <w:p w14:paraId="6EF77FB8">
            <w:pPr>
              <w:spacing w:line="300" w:lineRule="exact"/>
              <w:jc w:val="center"/>
              <w:rPr>
                <w:rFonts w:hint="default" w:ascii="Times New Roman" w:hAnsi="Times New Roman" w:cs="Times New Roman" w:eastAsiaTheme="minorEastAsia"/>
                <w:szCs w:val="21"/>
                <w:highlight w:val="none"/>
                <w:lang w:val="en-US" w:eastAsia="zh-CN"/>
              </w:rPr>
            </w:pPr>
          </w:p>
        </w:tc>
      </w:tr>
      <w:tr w14:paraId="2018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6201799F">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1173" w:type="pct"/>
            <w:shd w:val="clear" w:color="auto" w:fill="auto"/>
            <w:vAlign w:val="center"/>
          </w:tcPr>
          <w:p w14:paraId="5BCE4211">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pH值</w:t>
            </w:r>
          </w:p>
        </w:tc>
        <w:tc>
          <w:tcPr>
            <w:tcW w:w="717" w:type="pct"/>
            <w:shd w:val="clear" w:color="auto" w:fill="auto"/>
            <w:vAlign w:val="center"/>
          </w:tcPr>
          <w:p w14:paraId="17B70847">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无量纲</w:t>
            </w:r>
          </w:p>
        </w:tc>
        <w:tc>
          <w:tcPr>
            <w:tcW w:w="514" w:type="pct"/>
            <w:shd w:val="clear" w:color="auto" w:fill="auto"/>
            <w:vAlign w:val="center"/>
          </w:tcPr>
          <w:p w14:paraId="1B2C846F">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8.24</w:t>
            </w:r>
          </w:p>
        </w:tc>
        <w:tc>
          <w:tcPr>
            <w:tcW w:w="575" w:type="pct"/>
            <w:shd w:val="clear" w:color="auto" w:fill="auto"/>
            <w:vAlign w:val="center"/>
          </w:tcPr>
          <w:p w14:paraId="66BDE26E">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8.11</w:t>
            </w:r>
          </w:p>
        </w:tc>
        <w:tc>
          <w:tcPr>
            <w:tcW w:w="519" w:type="pct"/>
            <w:shd w:val="clear" w:color="auto" w:fill="auto"/>
            <w:vAlign w:val="center"/>
          </w:tcPr>
          <w:p w14:paraId="272F180E">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8.33</w:t>
            </w:r>
          </w:p>
        </w:tc>
        <w:tc>
          <w:tcPr>
            <w:tcW w:w="569" w:type="pct"/>
            <w:shd w:val="clear" w:color="auto" w:fill="auto"/>
            <w:vAlign w:val="center"/>
          </w:tcPr>
          <w:p w14:paraId="306D8CE1">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w:t>
            </w:r>
          </w:p>
        </w:tc>
        <w:tc>
          <w:tcPr>
            <w:tcW w:w="569" w:type="pct"/>
            <w:shd w:val="clear" w:color="auto" w:fill="auto"/>
            <w:vAlign w:val="center"/>
          </w:tcPr>
          <w:p w14:paraId="4ADAE66D">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w:t>
            </w:r>
          </w:p>
        </w:tc>
      </w:tr>
      <w:tr w14:paraId="6AD58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69D9D03A">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2</w:t>
            </w:r>
          </w:p>
        </w:tc>
        <w:tc>
          <w:tcPr>
            <w:tcW w:w="1173" w:type="pct"/>
            <w:shd w:val="clear" w:color="auto" w:fill="auto"/>
            <w:vAlign w:val="center"/>
          </w:tcPr>
          <w:p w14:paraId="26C97EF0">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水分</w:t>
            </w:r>
          </w:p>
        </w:tc>
        <w:tc>
          <w:tcPr>
            <w:tcW w:w="717" w:type="pct"/>
            <w:shd w:val="clear" w:color="auto" w:fill="auto"/>
            <w:vAlign w:val="center"/>
          </w:tcPr>
          <w:p w14:paraId="38E44FD8">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514" w:type="pct"/>
            <w:shd w:val="clear" w:color="auto" w:fill="auto"/>
            <w:vAlign w:val="center"/>
          </w:tcPr>
          <w:p w14:paraId="1111BDC4">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0.34</w:t>
            </w:r>
          </w:p>
        </w:tc>
        <w:tc>
          <w:tcPr>
            <w:tcW w:w="575" w:type="pct"/>
            <w:shd w:val="clear" w:color="auto" w:fill="auto"/>
            <w:vAlign w:val="center"/>
          </w:tcPr>
          <w:p w14:paraId="7E633CCF">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0.33</w:t>
            </w:r>
          </w:p>
        </w:tc>
        <w:tc>
          <w:tcPr>
            <w:tcW w:w="519" w:type="pct"/>
            <w:shd w:val="clear" w:color="auto" w:fill="auto"/>
            <w:vAlign w:val="center"/>
          </w:tcPr>
          <w:p w14:paraId="116032BF">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0.34</w:t>
            </w:r>
          </w:p>
        </w:tc>
        <w:tc>
          <w:tcPr>
            <w:tcW w:w="569" w:type="pct"/>
            <w:shd w:val="clear" w:color="auto" w:fill="auto"/>
            <w:vAlign w:val="center"/>
          </w:tcPr>
          <w:p w14:paraId="723B3F5E">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w:t>
            </w:r>
          </w:p>
        </w:tc>
        <w:tc>
          <w:tcPr>
            <w:tcW w:w="569" w:type="pct"/>
            <w:shd w:val="clear" w:color="auto" w:fill="auto"/>
            <w:vAlign w:val="center"/>
          </w:tcPr>
          <w:p w14:paraId="12A8D208">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w:t>
            </w:r>
          </w:p>
        </w:tc>
      </w:tr>
      <w:tr w14:paraId="5553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4A45791A">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3</w:t>
            </w:r>
          </w:p>
        </w:tc>
        <w:tc>
          <w:tcPr>
            <w:tcW w:w="1173" w:type="pct"/>
            <w:shd w:val="clear" w:color="auto" w:fill="auto"/>
            <w:vAlign w:val="center"/>
          </w:tcPr>
          <w:p w14:paraId="6C3A1CCD">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镉</w:t>
            </w:r>
          </w:p>
        </w:tc>
        <w:tc>
          <w:tcPr>
            <w:tcW w:w="717" w:type="pct"/>
            <w:shd w:val="clear" w:color="auto" w:fill="auto"/>
            <w:vAlign w:val="center"/>
          </w:tcPr>
          <w:p w14:paraId="18E72D66">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514" w:type="pct"/>
            <w:shd w:val="clear" w:color="auto" w:fill="auto"/>
            <w:vAlign w:val="center"/>
          </w:tcPr>
          <w:p w14:paraId="200F77BA">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0.75</w:t>
            </w:r>
          </w:p>
        </w:tc>
        <w:tc>
          <w:tcPr>
            <w:tcW w:w="575" w:type="pct"/>
            <w:shd w:val="clear" w:color="auto" w:fill="auto"/>
            <w:vAlign w:val="center"/>
          </w:tcPr>
          <w:p w14:paraId="7C7BA3C2">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&lt;0.09</w:t>
            </w:r>
          </w:p>
        </w:tc>
        <w:tc>
          <w:tcPr>
            <w:tcW w:w="519" w:type="pct"/>
            <w:shd w:val="clear" w:color="auto" w:fill="auto"/>
            <w:vAlign w:val="center"/>
          </w:tcPr>
          <w:p w14:paraId="68389AE2">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0.12</w:t>
            </w:r>
          </w:p>
        </w:tc>
        <w:tc>
          <w:tcPr>
            <w:tcW w:w="569" w:type="pct"/>
            <w:shd w:val="clear" w:color="auto" w:fill="auto"/>
            <w:vAlign w:val="center"/>
          </w:tcPr>
          <w:p w14:paraId="61D0FBDF">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38</w:t>
            </w:r>
          </w:p>
        </w:tc>
        <w:tc>
          <w:tcPr>
            <w:tcW w:w="569" w:type="pct"/>
            <w:shd w:val="clear" w:color="auto" w:fill="auto"/>
            <w:vAlign w:val="center"/>
          </w:tcPr>
          <w:p w14:paraId="733B3D8A">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0.002</w:t>
            </w:r>
          </w:p>
        </w:tc>
      </w:tr>
      <w:tr w14:paraId="06D08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242403A9">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4</w:t>
            </w:r>
          </w:p>
        </w:tc>
        <w:tc>
          <w:tcPr>
            <w:tcW w:w="1173" w:type="pct"/>
            <w:shd w:val="clear" w:color="auto" w:fill="auto"/>
            <w:vAlign w:val="center"/>
          </w:tcPr>
          <w:p w14:paraId="7C28D466">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镍</w:t>
            </w:r>
          </w:p>
        </w:tc>
        <w:tc>
          <w:tcPr>
            <w:tcW w:w="717" w:type="pct"/>
            <w:shd w:val="clear" w:color="auto" w:fill="auto"/>
            <w:vAlign w:val="center"/>
          </w:tcPr>
          <w:p w14:paraId="61038835">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Cs w:val="21"/>
                <w:highlight w:val="none"/>
                <w:lang w:val="en-US" w:eastAsia="zh-CN"/>
              </w:rPr>
              <w:t>mg/kg</w:t>
            </w:r>
          </w:p>
        </w:tc>
        <w:tc>
          <w:tcPr>
            <w:tcW w:w="514" w:type="pct"/>
            <w:shd w:val="clear" w:color="auto" w:fill="auto"/>
            <w:vAlign w:val="center"/>
          </w:tcPr>
          <w:p w14:paraId="3802E1EC">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12</w:t>
            </w:r>
          </w:p>
        </w:tc>
        <w:tc>
          <w:tcPr>
            <w:tcW w:w="575" w:type="pct"/>
            <w:shd w:val="clear" w:color="auto" w:fill="auto"/>
            <w:vAlign w:val="center"/>
          </w:tcPr>
          <w:p w14:paraId="67CBBFBE">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13</w:t>
            </w:r>
          </w:p>
        </w:tc>
        <w:tc>
          <w:tcPr>
            <w:tcW w:w="519" w:type="pct"/>
            <w:shd w:val="clear" w:color="auto" w:fill="auto"/>
            <w:vAlign w:val="center"/>
          </w:tcPr>
          <w:p w14:paraId="50CE18A1">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11</w:t>
            </w:r>
          </w:p>
        </w:tc>
        <w:tc>
          <w:tcPr>
            <w:tcW w:w="569" w:type="pct"/>
            <w:shd w:val="clear" w:color="auto" w:fill="auto"/>
            <w:vAlign w:val="center"/>
          </w:tcPr>
          <w:p w14:paraId="3A01845D">
            <w:pPr>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900</w:t>
            </w:r>
          </w:p>
        </w:tc>
        <w:tc>
          <w:tcPr>
            <w:tcW w:w="569" w:type="pct"/>
            <w:shd w:val="clear" w:color="auto" w:fill="auto"/>
            <w:vAlign w:val="center"/>
          </w:tcPr>
          <w:p w14:paraId="44D6BC1D">
            <w:pPr>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1</w:t>
            </w:r>
          </w:p>
        </w:tc>
      </w:tr>
      <w:tr w14:paraId="4D331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0F4A5902">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w:t>
            </w:r>
          </w:p>
        </w:tc>
        <w:tc>
          <w:tcPr>
            <w:tcW w:w="1173" w:type="pct"/>
            <w:shd w:val="clear" w:color="auto" w:fill="auto"/>
            <w:vAlign w:val="center"/>
          </w:tcPr>
          <w:p w14:paraId="46B93046">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铜</w:t>
            </w:r>
          </w:p>
        </w:tc>
        <w:tc>
          <w:tcPr>
            <w:tcW w:w="717" w:type="pct"/>
            <w:shd w:val="clear" w:color="auto" w:fill="auto"/>
            <w:vAlign w:val="center"/>
          </w:tcPr>
          <w:p w14:paraId="523A4AAE">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Cs w:val="21"/>
                <w:highlight w:val="none"/>
                <w:lang w:val="en-US" w:eastAsia="zh-CN"/>
              </w:rPr>
              <w:t>mg/kg</w:t>
            </w:r>
          </w:p>
        </w:tc>
        <w:tc>
          <w:tcPr>
            <w:tcW w:w="514" w:type="pct"/>
            <w:shd w:val="clear" w:color="auto" w:fill="auto"/>
            <w:vAlign w:val="center"/>
          </w:tcPr>
          <w:p w14:paraId="5A645F4C">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12.0</w:t>
            </w:r>
          </w:p>
        </w:tc>
        <w:tc>
          <w:tcPr>
            <w:tcW w:w="575" w:type="pct"/>
            <w:shd w:val="clear" w:color="auto" w:fill="auto"/>
            <w:vAlign w:val="center"/>
          </w:tcPr>
          <w:p w14:paraId="5178C69D">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15.2</w:t>
            </w:r>
          </w:p>
        </w:tc>
        <w:tc>
          <w:tcPr>
            <w:tcW w:w="519" w:type="pct"/>
            <w:shd w:val="clear" w:color="auto" w:fill="auto"/>
            <w:vAlign w:val="center"/>
          </w:tcPr>
          <w:p w14:paraId="6CBC9470">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12.1</w:t>
            </w:r>
          </w:p>
        </w:tc>
        <w:tc>
          <w:tcPr>
            <w:tcW w:w="569" w:type="pct"/>
            <w:shd w:val="clear" w:color="auto" w:fill="auto"/>
            <w:vAlign w:val="center"/>
          </w:tcPr>
          <w:p w14:paraId="1F036A5D">
            <w:pPr>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18000</w:t>
            </w:r>
          </w:p>
        </w:tc>
        <w:tc>
          <w:tcPr>
            <w:tcW w:w="569" w:type="pct"/>
            <w:shd w:val="clear" w:color="auto" w:fill="auto"/>
            <w:vAlign w:val="center"/>
          </w:tcPr>
          <w:p w14:paraId="0E54AE59">
            <w:pPr>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0.6</w:t>
            </w:r>
          </w:p>
        </w:tc>
      </w:tr>
      <w:tr w14:paraId="76FD0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4B8F9FEB">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6</w:t>
            </w:r>
          </w:p>
        </w:tc>
        <w:tc>
          <w:tcPr>
            <w:tcW w:w="1173" w:type="pct"/>
            <w:shd w:val="clear" w:color="auto" w:fill="auto"/>
            <w:vAlign w:val="center"/>
          </w:tcPr>
          <w:p w14:paraId="72A28067">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铅</w:t>
            </w:r>
          </w:p>
        </w:tc>
        <w:tc>
          <w:tcPr>
            <w:tcW w:w="717" w:type="pct"/>
            <w:shd w:val="clear" w:color="auto" w:fill="auto"/>
            <w:vAlign w:val="center"/>
          </w:tcPr>
          <w:p w14:paraId="2184C98F">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Cs w:val="21"/>
                <w:highlight w:val="none"/>
                <w:lang w:val="en-US" w:eastAsia="zh-CN"/>
              </w:rPr>
              <w:t>mg/kg</w:t>
            </w:r>
          </w:p>
        </w:tc>
        <w:tc>
          <w:tcPr>
            <w:tcW w:w="514" w:type="pct"/>
            <w:shd w:val="clear" w:color="auto" w:fill="auto"/>
            <w:vAlign w:val="center"/>
          </w:tcPr>
          <w:p w14:paraId="2C246C0D">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58</w:t>
            </w:r>
          </w:p>
        </w:tc>
        <w:tc>
          <w:tcPr>
            <w:tcW w:w="575" w:type="pct"/>
            <w:shd w:val="clear" w:color="auto" w:fill="auto"/>
            <w:vAlign w:val="center"/>
          </w:tcPr>
          <w:p w14:paraId="55A513D3">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12</w:t>
            </w:r>
          </w:p>
        </w:tc>
        <w:tc>
          <w:tcPr>
            <w:tcW w:w="519" w:type="pct"/>
            <w:shd w:val="clear" w:color="auto" w:fill="auto"/>
            <w:vAlign w:val="center"/>
          </w:tcPr>
          <w:p w14:paraId="08913185">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25</w:t>
            </w:r>
          </w:p>
        </w:tc>
        <w:tc>
          <w:tcPr>
            <w:tcW w:w="569" w:type="pct"/>
            <w:shd w:val="clear" w:color="auto" w:fill="auto"/>
            <w:vAlign w:val="center"/>
          </w:tcPr>
          <w:p w14:paraId="3D50F230">
            <w:pPr>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800</w:t>
            </w:r>
          </w:p>
        </w:tc>
        <w:tc>
          <w:tcPr>
            <w:tcW w:w="569" w:type="pct"/>
            <w:shd w:val="clear" w:color="auto" w:fill="auto"/>
            <w:vAlign w:val="center"/>
          </w:tcPr>
          <w:p w14:paraId="5F98D965">
            <w:pPr>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2</w:t>
            </w:r>
          </w:p>
        </w:tc>
      </w:tr>
      <w:tr w14:paraId="1340F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72BABD7F">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7</w:t>
            </w:r>
          </w:p>
        </w:tc>
        <w:tc>
          <w:tcPr>
            <w:tcW w:w="1173" w:type="pct"/>
            <w:shd w:val="clear" w:color="auto" w:fill="auto"/>
            <w:vAlign w:val="center"/>
          </w:tcPr>
          <w:p w14:paraId="78FBFB16">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铬（六价）</w:t>
            </w:r>
          </w:p>
        </w:tc>
        <w:tc>
          <w:tcPr>
            <w:tcW w:w="717" w:type="pct"/>
            <w:shd w:val="clear" w:color="auto" w:fill="auto"/>
            <w:vAlign w:val="center"/>
          </w:tcPr>
          <w:p w14:paraId="5644CCFA">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Cs w:val="21"/>
                <w:highlight w:val="none"/>
                <w:lang w:val="en-US" w:eastAsia="zh-CN"/>
              </w:rPr>
              <w:t>mg/kg</w:t>
            </w:r>
          </w:p>
        </w:tc>
        <w:tc>
          <w:tcPr>
            <w:tcW w:w="514" w:type="pct"/>
            <w:shd w:val="clear" w:color="auto" w:fill="auto"/>
            <w:vAlign w:val="center"/>
          </w:tcPr>
          <w:p w14:paraId="5F38213D">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&lt;0.5</w:t>
            </w:r>
          </w:p>
        </w:tc>
        <w:tc>
          <w:tcPr>
            <w:tcW w:w="575" w:type="pct"/>
            <w:shd w:val="clear" w:color="auto" w:fill="auto"/>
            <w:vAlign w:val="center"/>
          </w:tcPr>
          <w:p w14:paraId="7A86AD7F">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&lt;0.5</w:t>
            </w:r>
          </w:p>
        </w:tc>
        <w:tc>
          <w:tcPr>
            <w:tcW w:w="519" w:type="pct"/>
            <w:shd w:val="clear" w:color="auto" w:fill="auto"/>
            <w:vAlign w:val="center"/>
          </w:tcPr>
          <w:p w14:paraId="30964DF8">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&lt;0.5</w:t>
            </w:r>
          </w:p>
        </w:tc>
        <w:tc>
          <w:tcPr>
            <w:tcW w:w="569" w:type="pct"/>
            <w:shd w:val="clear" w:color="auto" w:fill="auto"/>
            <w:vAlign w:val="center"/>
          </w:tcPr>
          <w:p w14:paraId="6261AC0B">
            <w:pPr>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5.7</w:t>
            </w:r>
          </w:p>
        </w:tc>
        <w:tc>
          <w:tcPr>
            <w:tcW w:w="569" w:type="pct"/>
            <w:shd w:val="clear" w:color="auto" w:fill="auto"/>
            <w:vAlign w:val="center"/>
          </w:tcPr>
          <w:p w14:paraId="777C07ED">
            <w:pPr>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color w:val="000000"/>
                <w:sz w:val="21"/>
                <w:szCs w:val="21"/>
                <w:highlight w:val="none"/>
                <w:lang w:val="en-US" w:eastAsia="zh-CN"/>
              </w:rPr>
              <w:t>0.5</w:t>
            </w:r>
          </w:p>
        </w:tc>
      </w:tr>
      <w:tr w14:paraId="44451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3FC3EA18">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8</w:t>
            </w:r>
          </w:p>
        </w:tc>
        <w:tc>
          <w:tcPr>
            <w:tcW w:w="1173" w:type="pct"/>
            <w:shd w:val="clear" w:color="auto" w:fill="auto"/>
            <w:vAlign w:val="center"/>
          </w:tcPr>
          <w:p w14:paraId="7793EBE4">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汞</w:t>
            </w:r>
          </w:p>
        </w:tc>
        <w:tc>
          <w:tcPr>
            <w:tcW w:w="717" w:type="pct"/>
            <w:shd w:val="clear" w:color="auto" w:fill="auto"/>
            <w:vAlign w:val="center"/>
          </w:tcPr>
          <w:p w14:paraId="6A4101A0">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Cs w:val="21"/>
                <w:highlight w:val="none"/>
                <w:lang w:val="en-US" w:eastAsia="zh-CN"/>
              </w:rPr>
              <w:t>mg/kg</w:t>
            </w:r>
          </w:p>
        </w:tc>
        <w:tc>
          <w:tcPr>
            <w:tcW w:w="514" w:type="pct"/>
            <w:shd w:val="clear" w:color="auto" w:fill="auto"/>
            <w:vAlign w:val="center"/>
          </w:tcPr>
          <w:p w14:paraId="6636A293">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0.0488</w:t>
            </w:r>
          </w:p>
        </w:tc>
        <w:tc>
          <w:tcPr>
            <w:tcW w:w="575" w:type="pct"/>
            <w:shd w:val="clear" w:color="auto" w:fill="auto"/>
            <w:vAlign w:val="center"/>
          </w:tcPr>
          <w:p w14:paraId="0C8607BD">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0.0232</w:t>
            </w:r>
          </w:p>
        </w:tc>
        <w:tc>
          <w:tcPr>
            <w:tcW w:w="519" w:type="pct"/>
            <w:shd w:val="clear" w:color="auto" w:fill="auto"/>
            <w:vAlign w:val="center"/>
          </w:tcPr>
          <w:p w14:paraId="46D0F740">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0.0239</w:t>
            </w:r>
          </w:p>
        </w:tc>
        <w:tc>
          <w:tcPr>
            <w:tcW w:w="569" w:type="pct"/>
            <w:shd w:val="clear" w:color="auto" w:fill="auto"/>
            <w:vAlign w:val="center"/>
          </w:tcPr>
          <w:p w14:paraId="4C687813">
            <w:pPr>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38</w:t>
            </w:r>
          </w:p>
        </w:tc>
        <w:tc>
          <w:tcPr>
            <w:tcW w:w="569" w:type="pct"/>
            <w:shd w:val="clear" w:color="auto" w:fill="auto"/>
            <w:vAlign w:val="center"/>
          </w:tcPr>
          <w:p w14:paraId="2070D13D">
            <w:pPr>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color w:val="000000"/>
                <w:sz w:val="21"/>
                <w:szCs w:val="21"/>
                <w:highlight w:val="none"/>
                <w:lang w:val="en-US" w:eastAsia="zh-CN"/>
              </w:rPr>
              <w:t>0.002</w:t>
            </w:r>
          </w:p>
        </w:tc>
      </w:tr>
      <w:tr w14:paraId="26CA9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468879F5">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9</w:t>
            </w:r>
          </w:p>
        </w:tc>
        <w:tc>
          <w:tcPr>
            <w:tcW w:w="1173" w:type="pct"/>
            <w:shd w:val="clear" w:color="auto" w:fill="auto"/>
            <w:vAlign w:val="center"/>
          </w:tcPr>
          <w:p w14:paraId="3269B92C">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砷</w:t>
            </w:r>
          </w:p>
        </w:tc>
        <w:tc>
          <w:tcPr>
            <w:tcW w:w="717" w:type="pct"/>
            <w:shd w:val="clear" w:color="auto" w:fill="auto"/>
            <w:vAlign w:val="center"/>
          </w:tcPr>
          <w:p w14:paraId="0220EB0A">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Cs w:val="21"/>
                <w:highlight w:val="none"/>
                <w:lang w:val="en-US" w:eastAsia="zh-CN"/>
              </w:rPr>
              <w:t>mg/kg</w:t>
            </w:r>
          </w:p>
        </w:tc>
        <w:tc>
          <w:tcPr>
            <w:tcW w:w="514" w:type="pct"/>
            <w:shd w:val="clear" w:color="auto" w:fill="auto"/>
            <w:vAlign w:val="center"/>
          </w:tcPr>
          <w:p w14:paraId="61CCD531">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13.3</w:t>
            </w:r>
          </w:p>
        </w:tc>
        <w:tc>
          <w:tcPr>
            <w:tcW w:w="575" w:type="pct"/>
            <w:shd w:val="clear" w:color="auto" w:fill="auto"/>
            <w:vAlign w:val="center"/>
          </w:tcPr>
          <w:p w14:paraId="5AA8F472">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12.9</w:t>
            </w:r>
          </w:p>
        </w:tc>
        <w:tc>
          <w:tcPr>
            <w:tcW w:w="519" w:type="pct"/>
            <w:shd w:val="clear" w:color="auto" w:fill="auto"/>
            <w:vAlign w:val="center"/>
          </w:tcPr>
          <w:p w14:paraId="40189148">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14.7</w:t>
            </w:r>
          </w:p>
        </w:tc>
        <w:tc>
          <w:tcPr>
            <w:tcW w:w="569" w:type="pct"/>
            <w:shd w:val="clear" w:color="auto" w:fill="auto"/>
            <w:vAlign w:val="center"/>
          </w:tcPr>
          <w:p w14:paraId="729DD8DE">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60</w:t>
            </w:r>
          </w:p>
        </w:tc>
        <w:tc>
          <w:tcPr>
            <w:tcW w:w="569" w:type="pct"/>
            <w:shd w:val="clear" w:color="auto" w:fill="auto"/>
            <w:vAlign w:val="center"/>
          </w:tcPr>
          <w:p w14:paraId="498B4DCB">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0.01</w:t>
            </w:r>
          </w:p>
        </w:tc>
      </w:tr>
      <w:tr w14:paraId="7FA3F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6F6B59A9">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10</w:t>
            </w:r>
          </w:p>
        </w:tc>
        <w:tc>
          <w:tcPr>
            <w:tcW w:w="1173" w:type="pct"/>
            <w:shd w:val="clear" w:color="auto" w:fill="auto"/>
            <w:vAlign w:val="center"/>
          </w:tcPr>
          <w:p w14:paraId="10DB9FE1">
            <w:pPr>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Cs w:val="21"/>
                <w:highlight w:val="none"/>
                <w:lang w:val="en-US" w:eastAsia="zh-CN"/>
              </w:rPr>
              <w:t>石油烃（C</w:t>
            </w:r>
            <w:r>
              <w:rPr>
                <w:rFonts w:hint="default" w:ascii="Times New Roman" w:hAnsi="Times New Roman" w:cs="Times New Roman"/>
                <w:color w:val="000000"/>
                <w:szCs w:val="21"/>
                <w:highlight w:val="none"/>
                <w:vertAlign w:val="subscript"/>
                <w:lang w:val="en-US" w:eastAsia="zh-CN"/>
              </w:rPr>
              <w:t>10</w:t>
            </w:r>
            <w:r>
              <w:rPr>
                <w:rFonts w:hint="default" w:ascii="Times New Roman" w:hAnsi="Times New Roman" w:cs="Times New Roman"/>
                <w:color w:val="000000"/>
                <w:szCs w:val="21"/>
                <w:highlight w:val="none"/>
                <w:lang w:val="en-US" w:eastAsia="zh-CN"/>
              </w:rPr>
              <w:t>-C</w:t>
            </w:r>
            <w:r>
              <w:rPr>
                <w:rFonts w:hint="default" w:ascii="Times New Roman" w:hAnsi="Times New Roman" w:cs="Times New Roman"/>
                <w:color w:val="000000"/>
                <w:szCs w:val="21"/>
                <w:highlight w:val="none"/>
                <w:vertAlign w:val="subscript"/>
                <w:lang w:val="en-US" w:eastAsia="zh-CN"/>
              </w:rPr>
              <w:t>40</w:t>
            </w:r>
            <w:r>
              <w:rPr>
                <w:rFonts w:hint="default" w:ascii="Times New Roman" w:hAnsi="Times New Roman" w:cs="Times New Roman"/>
                <w:color w:val="000000"/>
                <w:szCs w:val="21"/>
                <w:highlight w:val="none"/>
                <w:lang w:val="en-US" w:eastAsia="zh-CN"/>
              </w:rPr>
              <w:t>）</w:t>
            </w:r>
          </w:p>
        </w:tc>
        <w:tc>
          <w:tcPr>
            <w:tcW w:w="717" w:type="pct"/>
            <w:shd w:val="clear" w:color="auto" w:fill="auto"/>
            <w:vAlign w:val="center"/>
          </w:tcPr>
          <w:p w14:paraId="3BE15CDD">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Cs w:val="21"/>
                <w:highlight w:val="none"/>
                <w:lang w:val="en-US" w:eastAsia="zh-CN"/>
              </w:rPr>
              <w:t>mg/kg</w:t>
            </w:r>
          </w:p>
        </w:tc>
        <w:tc>
          <w:tcPr>
            <w:tcW w:w="514" w:type="pct"/>
            <w:shd w:val="clear" w:color="auto" w:fill="auto"/>
            <w:vAlign w:val="center"/>
          </w:tcPr>
          <w:p w14:paraId="0BB479EB">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＜6</w:t>
            </w:r>
          </w:p>
        </w:tc>
        <w:tc>
          <w:tcPr>
            <w:tcW w:w="575" w:type="pct"/>
            <w:shd w:val="clear" w:color="auto" w:fill="auto"/>
            <w:vAlign w:val="center"/>
          </w:tcPr>
          <w:p w14:paraId="6EB6AE09">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＜6</w:t>
            </w:r>
          </w:p>
        </w:tc>
        <w:tc>
          <w:tcPr>
            <w:tcW w:w="519" w:type="pct"/>
            <w:shd w:val="clear" w:color="auto" w:fill="auto"/>
            <w:vAlign w:val="center"/>
          </w:tcPr>
          <w:p w14:paraId="2BBB98C8">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＜6</w:t>
            </w:r>
          </w:p>
        </w:tc>
        <w:tc>
          <w:tcPr>
            <w:tcW w:w="569" w:type="pct"/>
            <w:shd w:val="clear" w:color="auto" w:fill="auto"/>
            <w:vAlign w:val="center"/>
          </w:tcPr>
          <w:p w14:paraId="55E31BC9">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4500</w:t>
            </w:r>
          </w:p>
        </w:tc>
        <w:tc>
          <w:tcPr>
            <w:tcW w:w="569" w:type="pct"/>
            <w:shd w:val="clear" w:color="auto" w:fill="auto"/>
            <w:vAlign w:val="center"/>
          </w:tcPr>
          <w:p w14:paraId="60B46FCD">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6</w:t>
            </w:r>
          </w:p>
        </w:tc>
      </w:tr>
      <w:tr w14:paraId="7D7E6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763B0313">
            <w:pPr>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11</w:t>
            </w:r>
          </w:p>
        </w:tc>
        <w:tc>
          <w:tcPr>
            <w:tcW w:w="1173" w:type="pct"/>
            <w:shd w:val="clear" w:color="auto" w:fill="auto"/>
            <w:vAlign w:val="center"/>
          </w:tcPr>
          <w:p w14:paraId="13F135BD">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二噁英类</w:t>
            </w:r>
          </w:p>
        </w:tc>
        <w:tc>
          <w:tcPr>
            <w:tcW w:w="717" w:type="pct"/>
            <w:shd w:val="clear" w:color="auto" w:fill="auto"/>
            <w:vAlign w:val="center"/>
          </w:tcPr>
          <w:p w14:paraId="21950DB4">
            <w:pPr>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eastAsia="宋体" w:cs="宋体"/>
                <w:spacing w:val="-1"/>
                <w:sz w:val="24"/>
                <w:szCs w:val="24"/>
              </w:rPr>
              <w:t>ngTEQ/kg</w:t>
            </w:r>
          </w:p>
        </w:tc>
        <w:tc>
          <w:tcPr>
            <w:tcW w:w="514" w:type="pct"/>
            <w:shd w:val="clear" w:color="auto" w:fill="auto"/>
            <w:vAlign w:val="center"/>
          </w:tcPr>
          <w:p w14:paraId="2A005987">
            <w:pPr>
              <w:jc w:val="center"/>
              <w:rPr>
                <w:rFonts w:hint="default" w:ascii="Times New Roman" w:hAnsi="Times New Roman"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0.38</w:t>
            </w:r>
          </w:p>
        </w:tc>
        <w:tc>
          <w:tcPr>
            <w:tcW w:w="575" w:type="pct"/>
            <w:shd w:val="clear" w:color="auto" w:fill="auto"/>
            <w:vAlign w:val="center"/>
          </w:tcPr>
          <w:p w14:paraId="05F3A0D1">
            <w:pPr>
              <w:jc w:val="center"/>
              <w:rPr>
                <w:rFonts w:hint="default" w:ascii="Times New Roman" w:hAnsi="Times New Roman"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0.32</w:t>
            </w:r>
          </w:p>
        </w:tc>
        <w:tc>
          <w:tcPr>
            <w:tcW w:w="519" w:type="pct"/>
            <w:shd w:val="clear" w:color="auto" w:fill="auto"/>
            <w:vAlign w:val="center"/>
          </w:tcPr>
          <w:p w14:paraId="175CD0B6">
            <w:pPr>
              <w:jc w:val="center"/>
              <w:rPr>
                <w:rFonts w:hint="default" w:ascii="Times New Roman" w:hAnsi="Times New Roman"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0.28</w:t>
            </w:r>
          </w:p>
        </w:tc>
        <w:tc>
          <w:tcPr>
            <w:tcW w:w="569" w:type="pct"/>
            <w:shd w:val="clear" w:color="auto" w:fill="auto"/>
            <w:vAlign w:val="center"/>
          </w:tcPr>
          <w:p w14:paraId="49AA7D9E">
            <w:pPr>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40</w:t>
            </w:r>
          </w:p>
        </w:tc>
        <w:tc>
          <w:tcPr>
            <w:tcW w:w="569" w:type="pct"/>
            <w:shd w:val="clear" w:color="auto" w:fill="auto"/>
            <w:vAlign w:val="center"/>
          </w:tcPr>
          <w:p w14:paraId="58FC8B54">
            <w:pPr>
              <w:spacing w:line="300" w:lineRule="exact"/>
              <w:jc w:val="center"/>
              <w:rPr>
                <w:rFonts w:hint="default" w:ascii="Times New Roman" w:hAnsi="Times New Roman" w:cs="Times New Roman"/>
                <w:color w:val="000000"/>
                <w:sz w:val="21"/>
                <w:szCs w:val="21"/>
                <w:highlight w:val="none"/>
                <w:lang w:val="en-US" w:eastAsia="zh-CN"/>
              </w:rPr>
            </w:pPr>
          </w:p>
        </w:tc>
      </w:tr>
      <w:tr w14:paraId="11584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59317A69">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12</w:t>
            </w:r>
          </w:p>
        </w:tc>
        <w:tc>
          <w:tcPr>
            <w:tcW w:w="1173" w:type="pct"/>
            <w:shd w:val="clear" w:color="auto" w:fill="auto"/>
            <w:vAlign w:val="center"/>
          </w:tcPr>
          <w:p w14:paraId="7AE40070">
            <w:pPr>
              <w:spacing w:line="300" w:lineRule="exact"/>
              <w:jc w:val="center"/>
              <w:rPr>
                <w:rFonts w:hint="default" w:ascii="Times New Roman" w:hAnsi="Times New Roman" w:cs="Times New Roman" w:eastAsiaTheme="minorEastAsia"/>
                <w:szCs w:val="21"/>
                <w:highlight w:val="none"/>
                <w:lang w:val="en-US" w:eastAsia="zh-CN"/>
              </w:rPr>
            </w:pPr>
          </w:p>
        </w:tc>
        <w:tc>
          <w:tcPr>
            <w:tcW w:w="717" w:type="pct"/>
            <w:shd w:val="clear" w:color="auto" w:fill="auto"/>
            <w:vAlign w:val="center"/>
          </w:tcPr>
          <w:p w14:paraId="43748197">
            <w:pPr>
              <w:spacing w:line="300" w:lineRule="exact"/>
              <w:jc w:val="center"/>
              <w:rPr>
                <w:rFonts w:hint="default" w:ascii="Times New Roman" w:hAnsi="Times New Roman" w:cs="Times New Roman" w:eastAsiaTheme="minorEastAsia"/>
                <w:szCs w:val="21"/>
                <w:highlight w:val="none"/>
                <w:lang w:val="en-US" w:eastAsia="zh-CN"/>
              </w:rPr>
            </w:pPr>
          </w:p>
        </w:tc>
        <w:tc>
          <w:tcPr>
            <w:tcW w:w="1608" w:type="pct"/>
            <w:gridSpan w:val="3"/>
            <w:shd w:val="clear" w:color="auto" w:fill="auto"/>
            <w:vAlign w:val="center"/>
          </w:tcPr>
          <w:p w14:paraId="10DB4F84">
            <w:pPr>
              <w:spacing w:line="300" w:lineRule="exact"/>
              <w:jc w:val="center"/>
              <w:rPr>
                <w:rFonts w:hint="default" w:ascii="Times New Roman" w:hAnsi="Times New Roman" w:cs="Times New Roman" w:eastAsiaTheme="minorEastAsia"/>
                <w:szCs w:val="21"/>
                <w:highlight w:val="none"/>
                <w:lang w:val="en-US" w:eastAsia="zh-CN"/>
              </w:rPr>
            </w:pPr>
          </w:p>
        </w:tc>
        <w:tc>
          <w:tcPr>
            <w:tcW w:w="569" w:type="pct"/>
            <w:shd w:val="clear" w:color="auto" w:fill="auto"/>
            <w:vAlign w:val="center"/>
          </w:tcPr>
          <w:p w14:paraId="6F23B71E">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w:t>
            </w:r>
          </w:p>
        </w:tc>
        <w:tc>
          <w:tcPr>
            <w:tcW w:w="569" w:type="pct"/>
            <w:shd w:val="clear" w:color="auto" w:fill="auto"/>
            <w:vAlign w:val="center"/>
          </w:tcPr>
          <w:p w14:paraId="0132C660">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w:t>
            </w:r>
          </w:p>
        </w:tc>
      </w:tr>
      <w:tr w14:paraId="002C1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vMerge w:val="restart"/>
            <w:shd w:val="clear" w:color="auto" w:fill="auto"/>
            <w:vAlign w:val="center"/>
          </w:tcPr>
          <w:p w14:paraId="54771AFE">
            <w:pPr>
              <w:spacing w:line="300" w:lineRule="exact"/>
              <w:jc w:val="center"/>
              <w:rPr>
                <w:rFonts w:hint="default" w:ascii="Times New Roman" w:hAnsi="Times New Roman" w:cs="Times New Roman" w:eastAsiaTheme="minorEastAsia"/>
                <w:b/>
                <w:bCs/>
                <w:szCs w:val="21"/>
                <w:highlight w:val="none"/>
                <w:lang w:val="en-US" w:eastAsia="zh-CN"/>
              </w:rPr>
            </w:pPr>
            <w:r>
              <w:rPr>
                <w:rFonts w:hint="default" w:ascii="Times New Roman" w:hAnsi="Times New Roman" w:cs="Times New Roman" w:eastAsiaTheme="minorEastAsia"/>
                <w:b/>
                <w:bCs/>
                <w:szCs w:val="21"/>
                <w:highlight w:val="none"/>
                <w:lang w:val="en-US" w:eastAsia="zh-CN"/>
              </w:rPr>
              <w:t>序号</w:t>
            </w:r>
          </w:p>
        </w:tc>
        <w:tc>
          <w:tcPr>
            <w:tcW w:w="1173" w:type="pct"/>
            <w:vMerge w:val="restart"/>
            <w:shd w:val="clear" w:color="auto" w:fill="auto"/>
            <w:vAlign w:val="center"/>
          </w:tcPr>
          <w:p w14:paraId="4765E3DD">
            <w:pPr>
              <w:spacing w:line="300" w:lineRule="exact"/>
              <w:jc w:val="center"/>
              <w:rPr>
                <w:rFonts w:hint="default" w:ascii="Times New Roman" w:hAnsi="Times New Roman" w:cs="Times New Roman" w:eastAsiaTheme="minorEastAsia"/>
                <w:b/>
                <w:bCs/>
                <w:szCs w:val="21"/>
                <w:highlight w:val="none"/>
                <w:lang w:val="en-US" w:eastAsia="zh-CN"/>
              </w:rPr>
            </w:pPr>
            <w:r>
              <w:rPr>
                <w:rFonts w:hint="default" w:ascii="Times New Roman" w:hAnsi="Times New Roman" w:cs="Times New Roman" w:eastAsiaTheme="minorEastAsia"/>
                <w:b/>
                <w:bCs/>
                <w:szCs w:val="21"/>
                <w:highlight w:val="none"/>
                <w:lang w:val="en-US" w:eastAsia="zh-CN"/>
              </w:rPr>
              <w:t>检 测 项 目</w:t>
            </w:r>
          </w:p>
        </w:tc>
        <w:tc>
          <w:tcPr>
            <w:tcW w:w="717" w:type="pct"/>
            <w:vMerge w:val="restart"/>
            <w:shd w:val="clear" w:color="auto" w:fill="auto"/>
            <w:vAlign w:val="center"/>
          </w:tcPr>
          <w:p w14:paraId="1518403A">
            <w:pPr>
              <w:spacing w:line="300" w:lineRule="exact"/>
              <w:jc w:val="center"/>
              <w:rPr>
                <w:rFonts w:hint="default" w:ascii="Times New Roman" w:hAnsi="Times New Roman" w:cs="Times New Roman" w:eastAsiaTheme="minorEastAsia"/>
                <w:b/>
                <w:bCs/>
                <w:szCs w:val="21"/>
                <w:highlight w:val="none"/>
                <w:lang w:val="en-US" w:eastAsia="zh-CN"/>
              </w:rPr>
            </w:pPr>
            <w:r>
              <w:rPr>
                <w:rFonts w:hint="default" w:ascii="Times New Roman" w:hAnsi="Times New Roman" w:cs="Times New Roman" w:eastAsiaTheme="minorEastAsia"/>
                <w:b/>
                <w:bCs/>
                <w:szCs w:val="21"/>
                <w:highlight w:val="none"/>
                <w:lang w:val="en-US" w:eastAsia="zh-CN"/>
              </w:rPr>
              <w:t>单位</w:t>
            </w:r>
          </w:p>
        </w:tc>
        <w:tc>
          <w:tcPr>
            <w:tcW w:w="1608" w:type="pct"/>
            <w:gridSpan w:val="3"/>
            <w:shd w:val="clear" w:color="auto" w:fill="auto"/>
            <w:vAlign w:val="center"/>
          </w:tcPr>
          <w:p w14:paraId="71B21C2D">
            <w:pPr>
              <w:spacing w:line="300" w:lineRule="exact"/>
              <w:jc w:val="center"/>
              <w:rPr>
                <w:rFonts w:hint="default" w:ascii="Times New Roman" w:hAnsi="Times New Roman" w:cs="Times New Roman" w:eastAsiaTheme="minorEastAsia"/>
                <w:b/>
                <w:bCs/>
                <w:szCs w:val="21"/>
                <w:highlight w:val="none"/>
                <w:lang w:val="en-US" w:eastAsia="zh-CN"/>
              </w:rPr>
            </w:pPr>
            <w:r>
              <w:rPr>
                <w:rFonts w:hint="default" w:ascii="Times New Roman" w:hAnsi="Times New Roman" w:cs="Times New Roman" w:eastAsiaTheme="minorEastAsia"/>
                <w:b/>
                <w:bCs/>
                <w:szCs w:val="21"/>
                <w:highlight w:val="none"/>
                <w:lang w:val="en-US" w:eastAsia="zh-CN"/>
              </w:rPr>
              <w:t>项目区占地范围内：</w:t>
            </w:r>
            <w:r>
              <w:rPr>
                <w:rFonts w:hint="eastAsia" w:ascii="Times New Roman" w:hAnsi="Times New Roman" w:cs="Times New Roman"/>
                <w:b/>
                <w:bCs/>
                <w:szCs w:val="21"/>
                <w:highlight w:val="none"/>
                <w:lang w:val="en-US" w:eastAsia="zh-CN"/>
              </w:rPr>
              <w:t>2</w:t>
            </w:r>
            <w:r>
              <w:rPr>
                <w:rFonts w:hint="default" w:ascii="Times New Roman" w:hAnsi="Times New Roman" w:cs="Times New Roman" w:eastAsiaTheme="minorEastAsia"/>
                <w:b/>
                <w:bCs/>
                <w:szCs w:val="21"/>
                <w:highlight w:val="none"/>
                <w:lang w:val="en-US" w:eastAsia="zh-CN"/>
              </w:rPr>
              <w:t>#</w:t>
            </w:r>
            <w:r>
              <w:rPr>
                <w:rFonts w:hint="eastAsia" w:ascii="Times New Roman" w:hAnsi="Times New Roman" w:cs="Times New Roman"/>
                <w:b/>
                <w:bCs/>
                <w:szCs w:val="21"/>
                <w:highlight w:val="none"/>
                <w:lang w:val="en-US" w:eastAsia="zh-CN"/>
              </w:rPr>
              <w:t>柱状样</w:t>
            </w:r>
          </w:p>
        </w:tc>
        <w:tc>
          <w:tcPr>
            <w:tcW w:w="569" w:type="pct"/>
            <w:vMerge w:val="restart"/>
            <w:shd w:val="clear" w:color="auto" w:fill="auto"/>
            <w:vAlign w:val="center"/>
          </w:tcPr>
          <w:p w14:paraId="0C384714">
            <w:pPr>
              <w:spacing w:line="300" w:lineRule="exact"/>
              <w:jc w:val="center"/>
              <w:rPr>
                <w:rFonts w:hint="default" w:ascii="Times New Roman" w:hAnsi="Times New Roman" w:cs="Times New Roman" w:eastAsiaTheme="minorEastAsia"/>
                <w:b/>
                <w:bCs/>
                <w:szCs w:val="21"/>
                <w:highlight w:val="none"/>
                <w:lang w:val="en-US" w:eastAsia="zh-CN"/>
              </w:rPr>
            </w:pPr>
            <w:r>
              <w:rPr>
                <w:rFonts w:hint="default" w:ascii="Times New Roman" w:hAnsi="Times New Roman" w:cs="Times New Roman" w:eastAsiaTheme="minorEastAsia"/>
                <w:b/>
                <w:bCs/>
                <w:szCs w:val="21"/>
                <w:highlight w:val="none"/>
                <w:lang w:val="en-US" w:eastAsia="zh-CN"/>
              </w:rPr>
              <w:t>限值</w:t>
            </w:r>
          </w:p>
        </w:tc>
        <w:tc>
          <w:tcPr>
            <w:tcW w:w="569" w:type="pct"/>
            <w:vMerge w:val="restart"/>
            <w:shd w:val="clear" w:color="auto" w:fill="auto"/>
            <w:vAlign w:val="center"/>
          </w:tcPr>
          <w:p w14:paraId="3962DD17">
            <w:pPr>
              <w:spacing w:line="300" w:lineRule="exact"/>
              <w:jc w:val="center"/>
              <w:rPr>
                <w:rFonts w:hint="default" w:ascii="Times New Roman" w:hAnsi="Times New Roman" w:cs="Times New Roman" w:eastAsiaTheme="minorEastAsia"/>
                <w:b/>
                <w:bCs/>
                <w:szCs w:val="21"/>
                <w:highlight w:val="none"/>
                <w:lang w:val="en-US" w:eastAsia="zh-CN"/>
              </w:rPr>
            </w:pPr>
            <w:r>
              <w:rPr>
                <w:rFonts w:hint="default" w:ascii="Times New Roman" w:hAnsi="Times New Roman" w:cs="Times New Roman" w:eastAsiaTheme="minorEastAsia"/>
                <w:b/>
                <w:bCs/>
                <w:szCs w:val="21"/>
                <w:highlight w:val="none"/>
                <w:lang w:val="en-US" w:eastAsia="zh-CN"/>
              </w:rPr>
              <w:t>检出限</w:t>
            </w:r>
          </w:p>
        </w:tc>
      </w:tr>
      <w:tr w14:paraId="02118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vMerge w:val="continue"/>
            <w:shd w:val="clear" w:color="auto" w:fill="auto"/>
            <w:vAlign w:val="center"/>
          </w:tcPr>
          <w:p w14:paraId="03276425">
            <w:pPr>
              <w:spacing w:line="300" w:lineRule="exact"/>
              <w:jc w:val="center"/>
              <w:rPr>
                <w:rFonts w:hint="default" w:ascii="Times New Roman" w:hAnsi="Times New Roman" w:cs="Times New Roman" w:eastAsiaTheme="minorEastAsia"/>
                <w:szCs w:val="21"/>
                <w:highlight w:val="none"/>
                <w:lang w:val="en-US" w:eastAsia="zh-CN"/>
              </w:rPr>
            </w:pPr>
          </w:p>
        </w:tc>
        <w:tc>
          <w:tcPr>
            <w:tcW w:w="1173" w:type="pct"/>
            <w:vMerge w:val="continue"/>
            <w:shd w:val="clear" w:color="auto" w:fill="auto"/>
            <w:vAlign w:val="center"/>
          </w:tcPr>
          <w:p w14:paraId="425B7C1D">
            <w:pPr>
              <w:jc w:val="center"/>
              <w:rPr>
                <w:rFonts w:hint="eastAsia" w:ascii="Times New Roman" w:hAnsi="Times New Roman" w:cs="Times New Roman"/>
                <w:color w:val="000000"/>
                <w:szCs w:val="21"/>
                <w:highlight w:val="none"/>
                <w:lang w:val="en-US" w:eastAsia="zh-CN"/>
              </w:rPr>
            </w:pPr>
          </w:p>
        </w:tc>
        <w:tc>
          <w:tcPr>
            <w:tcW w:w="717" w:type="pct"/>
            <w:vMerge w:val="continue"/>
            <w:shd w:val="clear" w:color="auto" w:fill="auto"/>
            <w:vAlign w:val="center"/>
          </w:tcPr>
          <w:p w14:paraId="47D81EE1">
            <w:pPr>
              <w:spacing w:line="300" w:lineRule="exact"/>
              <w:jc w:val="center"/>
              <w:rPr>
                <w:rFonts w:hint="default" w:ascii="Times New Roman" w:hAnsi="Times New Roman" w:cs="Times New Roman" w:eastAsiaTheme="minorEastAsia"/>
                <w:szCs w:val="21"/>
                <w:highlight w:val="none"/>
                <w:lang w:val="en-US" w:eastAsia="zh-CN"/>
              </w:rPr>
            </w:pPr>
          </w:p>
        </w:tc>
        <w:tc>
          <w:tcPr>
            <w:tcW w:w="514" w:type="pct"/>
            <w:shd w:val="clear" w:color="auto" w:fill="auto"/>
            <w:vAlign w:val="center"/>
          </w:tcPr>
          <w:p w14:paraId="6BB7C544">
            <w:pPr>
              <w:spacing w:line="300" w:lineRule="exact"/>
              <w:jc w:val="center"/>
              <w:rPr>
                <w:rFonts w:hint="eastAsia"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0.5m</w:t>
            </w:r>
          </w:p>
        </w:tc>
        <w:tc>
          <w:tcPr>
            <w:tcW w:w="575" w:type="pct"/>
            <w:shd w:val="clear" w:color="auto" w:fill="auto"/>
            <w:vAlign w:val="center"/>
          </w:tcPr>
          <w:p w14:paraId="4A3DBFCC">
            <w:pPr>
              <w:spacing w:line="300" w:lineRule="exact"/>
              <w:jc w:val="center"/>
              <w:rPr>
                <w:rFonts w:hint="eastAsia"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1.5m</w:t>
            </w:r>
          </w:p>
        </w:tc>
        <w:tc>
          <w:tcPr>
            <w:tcW w:w="519" w:type="pct"/>
            <w:shd w:val="clear" w:color="auto" w:fill="auto"/>
            <w:vAlign w:val="center"/>
          </w:tcPr>
          <w:p w14:paraId="6F47956C">
            <w:pPr>
              <w:spacing w:line="300" w:lineRule="exact"/>
              <w:jc w:val="center"/>
              <w:rPr>
                <w:rFonts w:hint="eastAsia"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3m</w:t>
            </w:r>
          </w:p>
        </w:tc>
        <w:tc>
          <w:tcPr>
            <w:tcW w:w="569" w:type="pct"/>
            <w:vMerge w:val="continue"/>
            <w:shd w:val="clear" w:color="auto" w:fill="auto"/>
            <w:vAlign w:val="center"/>
          </w:tcPr>
          <w:p w14:paraId="2E83961F">
            <w:pPr>
              <w:spacing w:line="300" w:lineRule="exact"/>
              <w:jc w:val="center"/>
              <w:rPr>
                <w:rFonts w:hint="default" w:ascii="Times New Roman" w:hAnsi="Times New Roman" w:cs="Times New Roman" w:eastAsiaTheme="minorEastAsia"/>
                <w:szCs w:val="21"/>
                <w:highlight w:val="none"/>
                <w:lang w:val="en-US" w:eastAsia="zh-CN"/>
              </w:rPr>
            </w:pPr>
          </w:p>
        </w:tc>
        <w:tc>
          <w:tcPr>
            <w:tcW w:w="569" w:type="pct"/>
            <w:vMerge w:val="continue"/>
            <w:shd w:val="clear" w:color="auto" w:fill="auto"/>
            <w:vAlign w:val="center"/>
          </w:tcPr>
          <w:p w14:paraId="1F0F5F52">
            <w:pPr>
              <w:spacing w:line="300" w:lineRule="exact"/>
              <w:jc w:val="center"/>
              <w:rPr>
                <w:rFonts w:hint="default" w:ascii="Times New Roman" w:hAnsi="Times New Roman" w:cs="Times New Roman" w:eastAsiaTheme="minorEastAsia"/>
                <w:szCs w:val="21"/>
                <w:highlight w:val="none"/>
                <w:lang w:val="en-US" w:eastAsia="zh-CN"/>
              </w:rPr>
            </w:pPr>
          </w:p>
        </w:tc>
      </w:tr>
      <w:tr w14:paraId="40CD5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19EF3233">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1173" w:type="pct"/>
            <w:shd w:val="clear" w:color="auto" w:fill="auto"/>
            <w:vAlign w:val="center"/>
          </w:tcPr>
          <w:p w14:paraId="20363C58">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pH值</w:t>
            </w:r>
          </w:p>
        </w:tc>
        <w:tc>
          <w:tcPr>
            <w:tcW w:w="717" w:type="pct"/>
            <w:shd w:val="clear" w:color="auto" w:fill="auto"/>
            <w:vAlign w:val="center"/>
          </w:tcPr>
          <w:p w14:paraId="1A024180">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无量纲</w:t>
            </w:r>
          </w:p>
        </w:tc>
        <w:tc>
          <w:tcPr>
            <w:tcW w:w="514" w:type="pct"/>
            <w:shd w:val="clear" w:color="auto" w:fill="auto"/>
            <w:vAlign w:val="center"/>
          </w:tcPr>
          <w:p w14:paraId="71040EF5">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8.08</w:t>
            </w:r>
          </w:p>
        </w:tc>
        <w:tc>
          <w:tcPr>
            <w:tcW w:w="575" w:type="pct"/>
            <w:shd w:val="clear" w:color="auto" w:fill="auto"/>
            <w:vAlign w:val="center"/>
          </w:tcPr>
          <w:p w14:paraId="6B276434">
            <w:pPr>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8.29</w:t>
            </w:r>
          </w:p>
        </w:tc>
        <w:tc>
          <w:tcPr>
            <w:tcW w:w="519" w:type="pct"/>
            <w:shd w:val="clear" w:color="auto" w:fill="auto"/>
            <w:vAlign w:val="center"/>
          </w:tcPr>
          <w:p w14:paraId="2805A02A">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8.22</w:t>
            </w:r>
          </w:p>
        </w:tc>
        <w:tc>
          <w:tcPr>
            <w:tcW w:w="569" w:type="pct"/>
            <w:shd w:val="clear" w:color="auto" w:fill="auto"/>
            <w:vAlign w:val="center"/>
          </w:tcPr>
          <w:p w14:paraId="7B93E6E9">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w:t>
            </w:r>
          </w:p>
        </w:tc>
        <w:tc>
          <w:tcPr>
            <w:tcW w:w="569" w:type="pct"/>
            <w:shd w:val="clear" w:color="auto" w:fill="auto"/>
            <w:vAlign w:val="center"/>
          </w:tcPr>
          <w:p w14:paraId="4DF21FD0">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w:t>
            </w:r>
          </w:p>
        </w:tc>
      </w:tr>
      <w:tr w14:paraId="37973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6418998F">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2</w:t>
            </w:r>
          </w:p>
        </w:tc>
        <w:tc>
          <w:tcPr>
            <w:tcW w:w="1173" w:type="pct"/>
            <w:shd w:val="clear" w:color="auto" w:fill="auto"/>
            <w:vAlign w:val="center"/>
          </w:tcPr>
          <w:p w14:paraId="00A3A674">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水分</w:t>
            </w:r>
          </w:p>
        </w:tc>
        <w:tc>
          <w:tcPr>
            <w:tcW w:w="717" w:type="pct"/>
            <w:shd w:val="clear" w:color="auto" w:fill="auto"/>
            <w:vAlign w:val="center"/>
          </w:tcPr>
          <w:p w14:paraId="012840CF">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514" w:type="pct"/>
            <w:shd w:val="clear" w:color="auto" w:fill="auto"/>
            <w:vAlign w:val="center"/>
          </w:tcPr>
          <w:p w14:paraId="16114899">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0.22</w:t>
            </w:r>
          </w:p>
        </w:tc>
        <w:tc>
          <w:tcPr>
            <w:tcW w:w="575" w:type="pct"/>
            <w:shd w:val="clear" w:color="auto" w:fill="auto"/>
            <w:vAlign w:val="center"/>
          </w:tcPr>
          <w:p w14:paraId="0883A6AD">
            <w:pPr>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0.27</w:t>
            </w:r>
          </w:p>
        </w:tc>
        <w:tc>
          <w:tcPr>
            <w:tcW w:w="519" w:type="pct"/>
            <w:shd w:val="clear" w:color="auto" w:fill="auto"/>
            <w:vAlign w:val="center"/>
          </w:tcPr>
          <w:p w14:paraId="5847A71D">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0.25</w:t>
            </w:r>
          </w:p>
        </w:tc>
        <w:tc>
          <w:tcPr>
            <w:tcW w:w="569" w:type="pct"/>
            <w:shd w:val="clear" w:color="auto" w:fill="auto"/>
            <w:vAlign w:val="center"/>
          </w:tcPr>
          <w:p w14:paraId="4E36B541">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w:t>
            </w:r>
          </w:p>
        </w:tc>
        <w:tc>
          <w:tcPr>
            <w:tcW w:w="569" w:type="pct"/>
            <w:shd w:val="clear" w:color="auto" w:fill="auto"/>
            <w:vAlign w:val="center"/>
          </w:tcPr>
          <w:p w14:paraId="732AB346">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w:t>
            </w:r>
          </w:p>
        </w:tc>
      </w:tr>
      <w:tr w14:paraId="3DD2E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7D4CA00C">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3</w:t>
            </w:r>
          </w:p>
        </w:tc>
        <w:tc>
          <w:tcPr>
            <w:tcW w:w="1173" w:type="pct"/>
            <w:shd w:val="clear" w:color="auto" w:fill="auto"/>
            <w:vAlign w:val="center"/>
          </w:tcPr>
          <w:p w14:paraId="7517A8A5">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镉</w:t>
            </w:r>
          </w:p>
        </w:tc>
        <w:tc>
          <w:tcPr>
            <w:tcW w:w="717" w:type="pct"/>
            <w:shd w:val="clear" w:color="auto" w:fill="auto"/>
            <w:vAlign w:val="center"/>
          </w:tcPr>
          <w:p w14:paraId="3CA2BAFA">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514" w:type="pct"/>
            <w:shd w:val="clear" w:color="auto" w:fill="auto"/>
            <w:vAlign w:val="center"/>
          </w:tcPr>
          <w:p w14:paraId="77C4C9DC">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0.33</w:t>
            </w:r>
          </w:p>
        </w:tc>
        <w:tc>
          <w:tcPr>
            <w:tcW w:w="575" w:type="pct"/>
            <w:shd w:val="clear" w:color="auto" w:fill="auto"/>
            <w:vAlign w:val="center"/>
          </w:tcPr>
          <w:p w14:paraId="0A66DD19">
            <w:pPr>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&lt;0.09</w:t>
            </w:r>
          </w:p>
        </w:tc>
        <w:tc>
          <w:tcPr>
            <w:tcW w:w="519" w:type="pct"/>
            <w:shd w:val="clear" w:color="auto" w:fill="auto"/>
            <w:vAlign w:val="center"/>
          </w:tcPr>
          <w:p w14:paraId="11E014FE">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&lt;0.09</w:t>
            </w:r>
          </w:p>
        </w:tc>
        <w:tc>
          <w:tcPr>
            <w:tcW w:w="569" w:type="pct"/>
            <w:shd w:val="clear" w:color="auto" w:fill="auto"/>
            <w:vAlign w:val="center"/>
          </w:tcPr>
          <w:p w14:paraId="70D0BDF9">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38</w:t>
            </w:r>
          </w:p>
        </w:tc>
        <w:tc>
          <w:tcPr>
            <w:tcW w:w="569" w:type="pct"/>
            <w:shd w:val="clear" w:color="auto" w:fill="auto"/>
            <w:vAlign w:val="center"/>
          </w:tcPr>
          <w:p w14:paraId="13D08AEC">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0.002</w:t>
            </w:r>
          </w:p>
        </w:tc>
      </w:tr>
      <w:tr w14:paraId="2EAEE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651BDEF5">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4</w:t>
            </w:r>
          </w:p>
        </w:tc>
        <w:tc>
          <w:tcPr>
            <w:tcW w:w="1173" w:type="pct"/>
            <w:shd w:val="clear" w:color="auto" w:fill="auto"/>
            <w:vAlign w:val="center"/>
          </w:tcPr>
          <w:p w14:paraId="49DD93CC">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镍</w:t>
            </w:r>
          </w:p>
        </w:tc>
        <w:tc>
          <w:tcPr>
            <w:tcW w:w="717" w:type="pct"/>
            <w:shd w:val="clear" w:color="auto" w:fill="auto"/>
            <w:vAlign w:val="center"/>
          </w:tcPr>
          <w:p w14:paraId="48870CE4">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Cs w:val="21"/>
                <w:highlight w:val="none"/>
                <w:lang w:val="en-US" w:eastAsia="zh-CN"/>
              </w:rPr>
              <w:t>mg/kg</w:t>
            </w:r>
          </w:p>
        </w:tc>
        <w:tc>
          <w:tcPr>
            <w:tcW w:w="514" w:type="pct"/>
            <w:shd w:val="clear" w:color="auto" w:fill="auto"/>
            <w:vAlign w:val="center"/>
          </w:tcPr>
          <w:p w14:paraId="24A361A5">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11</w:t>
            </w:r>
          </w:p>
        </w:tc>
        <w:tc>
          <w:tcPr>
            <w:tcW w:w="575" w:type="pct"/>
            <w:shd w:val="clear" w:color="auto" w:fill="auto"/>
            <w:vAlign w:val="center"/>
          </w:tcPr>
          <w:p w14:paraId="5D41B4EB">
            <w:pPr>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Cs w:val="21"/>
                <w:highlight w:val="none"/>
                <w:lang w:val="en-US" w:eastAsia="zh-CN"/>
              </w:rPr>
              <w:t>7</w:t>
            </w:r>
          </w:p>
        </w:tc>
        <w:tc>
          <w:tcPr>
            <w:tcW w:w="519" w:type="pct"/>
            <w:shd w:val="clear" w:color="auto" w:fill="auto"/>
            <w:vAlign w:val="center"/>
          </w:tcPr>
          <w:p w14:paraId="181C00EF">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7</w:t>
            </w:r>
          </w:p>
        </w:tc>
        <w:tc>
          <w:tcPr>
            <w:tcW w:w="569" w:type="pct"/>
            <w:shd w:val="clear" w:color="auto" w:fill="auto"/>
            <w:vAlign w:val="center"/>
          </w:tcPr>
          <w:p w14:paraId="0F6A6063">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900</w:t>
            </w:r>
          </w:p>
        </w:tc>
        <w:tc>
          <w:tcPr>
            <w:tcW w:w="569" w:type="pct"/>
            <w:shd w:val="clear" w:color="auto" w:fill="auto"/>
            <w:vAlign w:val="center"/>
          </w:tcPr>
          <w:p w14:paraId="6E33FCDD">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w:t>
            </w:r>
          </w:p>
        </w:tc>
      </w:tr>
      <w:tr w14:paraId="3E50B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60" w:type="pct"/>
            <w:shd w:val="clear" w:color="auto" w:fill="auto"/>
            <w:vAlign w:val="center"/>
          </w:tcPr>
          <w:p w14:paraId="13A52E4B">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w:t>
            </w:r>
          </w:p>
        </w:tc>
        <w:tc>
          <w:tcPr>
            <w:tcW w:w="1173" w:type="pct"/>
            <w:shd w:val="clear" w:color="auto" w:fill="auto"/>
            <w:vAlign w:val="center"/>
          </w:tcPr>
          <w:p w14:paraId="1A02DB33">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铜</w:t>
            </w:r>
          </w:p>
        </w:tc>
        <w:tc>
          <w:tcPr>
            <w:tcW w:w="717" w:type="pct"/>
            <w:shd w:val="clear" w:color="auto" w:fill="auto"/>
            <w:vAlign w:val="center"/>
          </w:tcPr>
          <w:p w14:paraId="23BBD75E">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Cs w:val="21"/>
                <w:highlight w:val="none"/>
                <w:lang w:val="en-US" w:eastAsia="zh-CN"/>
              </w:rPr>
              <w:t>mg/kg</w:t>
            </w:r>
          </w:p>
        </w:tc>
        <w:tc>
          <w:tcPr>
            <w:tcW w:w="514" w:type="pct"/>
            <w:shd w:val="clear" w:color="auto" w:fill="auto"/>
            <w:vAlign w:val="center"/>
          </w:tcPr>
          <w:p w14:paraId="1FF459F4">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16.0</w:t>
            </w:r>
          </w:p>
        </w:tc>
        <w:tc>
          <w:tcPr>
            <w:tcW w:w="575" w:type="pct"/>
            <w:shd w:val="clear" w:color="auto" w:fill="auto"/>
            <w:vAlign w:val="center"/>
          </w:tcPr>
          <w:p w14:paraId="213DB2C8">
            <w:pPr>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Cs w:val="21"/>
                <w:highlight w:val="none"/>
                <w:lang w:val="en-US" w:eastAsia="zh-CN"/>
              </w:rPr>
              <w:t>0.8</w:t>
            </w:r>
          </w:p>
        </w:tc>
        <w:tc>
          <w:tcPr>
            <w:tcW w:w="519" w:type="pct"/>
            <w:shd w:val="clear" w:color="auto" w:fill="auto"/>
            <w:vAlign w:val="center"/>
          </w:tcPr>
          <w:p w14:paraId="61A25C87">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&lt;0.6</w:t>
            </w:r>
          </w:p>
        </w:tc>
        <w:tc>
          <w:tcPr>
            <w:tcW w:w="569" w:type="pct"/>
            <w:shd w:val="clear" w:color="auto" w:fill="auto"/>
            <w:vAlign w:val="center"/>
          </w:tcPr>
          <w:p w14:paraId="75CD55E5">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18000</w:t>
            </w:r>
          </w:p>
        </w:tc>
        <w:tc>
          <w:tcPr>
            <w:tcW w:w="569" w:type="pct"/>
            <w:shd w:val="clear" w:color="auto" w:fill="auto"/>
            <w:vAlign w:val="center"/>
          </w:tcPr>
          <w:p w14:paraId="787CC474">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0.6</w:t>
            </w:r>
          </w:p>
        </w:tc>
      </w:tr>
      <w:tr w14:paraId="63D0F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5C581E16">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6</w:t>
            </w:r>
          </w:p>
        </w:tc>
        <w:tc>
          <w:tcPr>
            <w:tcW w:w="1173" w:type="pct"/>
            <w:shd w:val="clear" w:color="auto" w:fill="auto"/>
            <w:vAlign w:val="center"/>
          </w:tcPr>
          <w:p w14:paraId="70739F93">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铅</w:t>
            </w:r>
          </w:p>
        </w:tc>
        <w:tc>
          <w:tcPr>
            <w:tcW w:w="717" w:type="pct"/>
            <w:shd w:val="clear" w:color="auto" w:fill="auto"/>
            <w:vAlign w:val="center"/>
          </w:tcPr>
          <w:p w14:paraId="4817D969">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Cs w:val="21"/>
                <w:highlight w:val="none"/>
                <w:lang w:val="en-US" w:eastAsia="zh-CN"/>
              </w:rPr>
              <w:t>mg/kg</w:t>
            </w:r>
          </w:p>
        </w:tc>
        <w:tc>
          <w:tcPr>
            <w:tcW w:w="514" w:type="pct"/>
            <w:shd w:val="clear" w:color="auto" w:fill="auto"/>
            <w:vAlign w:val="center"/>
          </w:tcPr>
          <w:p w14:paraId="72EDE03A">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34</w:t>
            </w:r>
          </w:p>
        </w:tc>
        <w:tc>
          <w:tcPr>
            <w:tcW w:w="575" w:type="pct"/>
            <w:shd w:val="clear" w:color="auto" w:fill="auto"/>
            <w:vAlign w:val="center"/>
          </w:tcPr>
          <w:p w14:paraId="6AC18DEA">
            <w:pPr>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Cs w:val="21"/>
                <w:highlight w:val="none"/>
                <w:lang w:val="en-US" w:eastAsia="zh-CN"/>
              </w:rPr>
              <w:t>12</w:t>
            </w:r>
          </w:p>
        </w:tc>
        <w:tc>
          <w:tcPr>
            <w:tcW w:w="519" w:type="pct"/>
            <w:shd w:val="clear" w:color="auto" w:fill="auto"/>
            <w:vAlign w:val="center"/>
          </w:tcPr>
          <w:p w14:paraId="5876137A">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8</w:t>
            </w:r>
          </w:p>
        </w:tc>
        <w:tc>
          <w:tcPr>
            <w:tcW w:w="569" w:type="pct"/>
            <w:shd w:val="clear" w:color="auto" w:fill="auto"/>
            <w:vAlign w:val="center"/>
          </w:tcPr>
          <w:p w14:paraId="4BD5EF63">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800</w:t>
            </w:r>
          </w:p>
        </w:tc>
        <w:tc>
          <w:tcPr>
            <w:tcW w:w="569" w:type="pct"/>
            <w:shd w:val="clear" w:color="auto" w:fill="auto"/>
            <w:vAlign w:val="center"/>
          </w:tcPr>
          <w:p w14:paraId="166D1CF3">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w:t>
            </w:r>
          </w:p>
        </w:tc>
      </w:tr>
      <w:tr w14:paraId="54DEA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0FB83719">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7</w:t>
            </w:r>
          </w:p>
        </w:tc>
        <w:tc>
          <w:tcPr>
            <w:tcW w:w="1173" w:type="pct"/>
            <w:shd w:val="clear" w:color="auto" w:fill="auto"/>
            <w:vAlign w:val="center"/>
          </w:tcPr>
          <w:p w14:paraId="217A60AE">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铬（六价）</w:t>
            </w:r>
          </w:p>
        </w:tc>
        <w:tc>
          <w:tcPr>
            <w:tcW w:w="717" w:type="pct"/>
            <w:shd w:val="clear" w:color="auto" w:fill="auto"/>
            <w:vAlign w:val="center"/>
          </w:tcPr>
          <w:p w14:paraId="4F76890D">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Cs w:val="21"/>
                <w:highlight w:val="none"/>
                <w:lang w:val="en-US" w:eastAsia="zh-CN"/>
              </w:rPr>
              <w:t>mg/kg</w:t>
            </w:r>
          </w:p>
        </w:tc>
        <w:tc>
          <w:tcPr>
            <w:tcW w:w="514" w:type="pct"/>
            <w:shd w:val="clear" w:color="auto" w:fill="auto"/>
            <w:vAlign w:val="center"/>
          </w:tcPr>
          <w:p w14:paraId="5EED5BEA">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&lt;0.5</w:t>
            </w:r>
          </w:p>
        </w:tc>
        <w:tc>
          <w:tcPr>
            <w:tcW w:w="575" w:type="pct"/>
            <w:shd w:val="clear" w:color="auto" w:fill="auto"/>
            <w:vAlign w:val="center"/>
          </w:tcPr>
          <w:p w14:paraId="6082D28D">
            <w:pPr>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&lt;0.5</w:t>
            </w:r>
          </w:p>
        </w:tc>
        <w:tc>
          <w:tcPr>
            <w:tcW w:w="519" w:type="pct"/>
            <w:shd w:val="clear" w:color="auto" w:fill="auto"/>
            <w:vAlign w:val="center"/>
          </w:tcPr>
          <w:p w14:paraId="75E4D761">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&lt;0.5</w:t>
            </w:r>
          </w:p>
        </w:tc>
        <w:tc>
          <w:tcPr>
            <w:tcW w:w="569" w:type="pct"/>
            <w:shd w:val="clear" w:color="auto" w:fill="auto"/>
            <w:vAlign w:val="center"/>
          </w:tcPr>
          <w:p w14:paraId="2A81F0C4">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5.7</w:t>
            </w:r>
          </w:p>
        </w:tc>
        <w:tc>
          <w:tcPr>
            <w:tcW w:w="569" w:type="pct"/>
            <w:shd w:val="clear" w:color="auto" w:fill="auto"/>
            <w:vAlign w:val="center"/>
          </w:tcPr>
          <w:p w14:paraId="072CCB63">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0.5</w:t>
            </w:r>
          </w:p>
        </w:tc>
      </w:tr>
      <w:tr w14:paraId="5F185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02ACE1A5">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8</w:t>
            </w:r>
          </w:p>
        </w:tc>
        <w:tc>
          <w:tcPr>
            <w:tcW w:w="1173" w:type="pct"/>
            <w:shd w:val="clear" w:color="auto" w:fill="auto"/>
            <w:vAlign w:val="center"/>
          </w:tcPr>
          <w:p w14:paraId="2B388F2A">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汞</w:t>
            </w:r>
          </w:p>
        </w:tc>
        <w:tc>
          <w:tcPr>
            <w:tcW w:w="717" w:type="pct"/>
            <w:shd w:val="clear" w:color="auto" w:fill="auto"/>
            <w:vAlign w:val="center"/>
          </w:tcPr>
          <w:p w14:paraId="589EEF2D">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Cs w:val="21"/>
                <w:highlight w:val="none"/>
                <w:lang w:val="en-US" w:eastAsia="zh-CN"/>
              </w:rPr>
              <w:t>mg/kg</w:t>
            </w:r>
          </w:p>
        </w:tc>
        <w:tc>
          <w:tcPr>
            <w:tcW w:w="514" w:type="pct"/>
            <w:shd w:val="clear" w:color="auto" w:fill="auto"/>
            <w:vAlign w:val="center"/>
          </w:tcPr>
          <w:p w14:paraId="1AF580C5">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0.0394</w:t>
            </w:r>
          </w:p>
        </w:tc>
        <w:tc>
          <w:tcPr>
            <w:tcW w:w="575" w:type="pct"/>
            <w:shd w:val="clear" w:color="auto" w:fill="auto"/>
            <w:vAlign w:val="center"/>
          </w:tcPr>
          <w:p w14:paraId="13505F4D">
            <w:pPr>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Cs w:val="21"/>
                <w:highlight w:val="none"/>
                <w:lang w:val="en-US" w:eastAsia="zh-CN"/>
              </w:rPr>
              <w:t>0.0691</w:t>
            </w:r>
          </w:p>
        </w:tc>
        <w:tc>
          <w:tcPr>
            <w:tcW w:w="519" w:type="pct"/>
            <w:shd w:val="clear" w:color="auto" w:fill="auto"/>
            <w:vAlign w:val="center"/>
          </w:tcPr>
          <w:p w14:paraId="6074F281">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0.160</w:t>
            </w:r>
          </w:p>
        </w:tc>
        <w:tc>
          <w:tcPr>
            <w:tcW w:w="569" w:type="pct"/>
            <w:shd w:val="clear" w:color="auto" w:fill="auto"/>
            <w:vAlign w:val="center"/>
          </w:tcPr>
          <w:p w14:paraId="3B9677E3">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38</w:t>
            </w:r>
          </w:p>
        </w:tc>
        <w:tc>
          <w:tcPr>
            <w:tcW w:w="569" w:type="pct"/>
            <w:shd w:val="clear" w:color="auto" w:fill="auto"/>
            <w:vAlign w:val="center"/>
          </w:tcPr>
          <w:p w14:paraId="521EE5F2">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0.002</w:t>
            </w:r>
          </w:p>
        </w:tc>
      </w:tr>
      <w:tr w14:paraId="0690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29AE5B26">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9</w:t>
            </w:r>
          </w:p>
        </w:tc>
        <w:tc>
          <w:tcPr>
            <w:tcW w:w="1173" w:type="pct"/>
            <w:shd w:val="clear" w:color="auto" w:fill="auto"/>
            <w:vAlign w:val="center"/>
          </w:tcPr>
          <w:p w14:paraId="45002AE5">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砷</w:t>
            </w:r>
          </w:p>
        </w:tc>
        <w:tc>
          <w:tcPr>
            <w:tcW w:w="717" w:type="pct"/>
            <w:shd w:val="clear" w:color="auto" w:fill="auto"/>
            <w:vAlign w:val="center"/>
          </w:tcPr>
          <w:p w14:paraId="78390977">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Cs w:val="21"/>
                <w:highlight w:val="none"/>
                <w:lang w:val="en-US" w:eastAsia="zh-CN"/>
              </w:rPr>
              <w:t>mg/kg</w:t>
            </w:r>
          </w:p>
        </w:tc>
        <w:tc>
          <w:tcPr>
            <w:tcW w:w="514" w:type="pct"/>
            <w:shd w:val="clear" w:color="auto" w:fill="auto"/>
            <w:vAlign w:val="center"/>
          </w:tcPr>
          <w:p w14:paraId="75A68592">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8.96</w:t>
            </w:r>
          </w:p>
        </w:tc>
        <w:tc>
          <w:tcPr>
            <w:tcW w:w="575" w:type="pct"/>
            <w:shd w:val="clear" w:color="auto" w:fill="auto"/>
            <w:vAlign w:val="center"/>
          </w:tcPr>
          <w:p w14:paraId="62040968">
            <w:pPr>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Cs w:val="21"/>
                <w:highlight w:val="none"/>
                <w:lang w:val="en-US" w:eastAsia="zh-CN"/>
              </w:rPr>
              <w:t>11.7</w:t>
            </w:r>
          </w:p>
        </w:tc>
        <w:tc>
          <w:tcPr>
            <w:tcW w:w="519" w:type="pct"/>
            <w:shd w:val="clear" w:color="auto" w:fill="auto"/>
            <w:vAlign w:val="center"/>
          </w:tcPr>
          <w:p w14:paraId="02C63D42">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9.07</w:t>
            </w:r>
          </w:p>
        </w:tc>
        <w:tc>
          <w:tcPr>
            <w:tcW w:w="569" w:type="pct"/>
            <w:shd w:val="clear" w:color="auto" w:fill="auto"/>
            <w:vAlign w:val="center"/>
          </w:tcPr>
          <w:p w14:paraId="431DDBA8">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60</w:t>
            </w:r>
          </w:p>
        </w:tc>
        <w:tc>
          <w:tcPr>
            <w:tcW w:w="569" w:type="pct"/>
            <w:shd w:val="clear" w:color="auto" w:fill="auto"/>
            <w:vAlign w:val="center"/>
          </w:tcPr>
          <w:p w14:paraId="5432D3B7">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0.01</w:t>
            </w:r>
          </w:p>
        </w:tc>
      </w:tr>
      <w:tr w14:paraId="552AC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35E7A4DC">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10</w:t>
            </w:r>
          </w:p>
        </w:tc>
        <w:tc>
          <w:tcPr>
            <w:tcW w:w="1173" w:type="pct"/>
            <w:shd w:val="clear" w:color="auto" w:fill="auto"/>
            <w:vAlign w:val="center"/>
          </w:tcPr>
          <w:p w14:paraId="04ED7D45">
            <w:pPr>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Cs w:val="21"/>
                <w:highlight w:val="none"/>
                <w:lang w:val="en-US" w:eastAsia="zh-CN"/>
              </w:rPr>
              <w:t>石油烃（C</w:t>
            </w:r>
            <w:r>
              <w:rPr>
                <w:rFonts w:hint="default" w:ascii="Times New Roman" w:hAnsi="Times New Roman" w:cs="Times New Roman"/>
                <w:color w:val="000000"/>
                <w:szCs w:val="21"/>
                <w:highlight w:val="none"/>
                <w:vertAlign w:val="subscript"/>
                <w:lang w:val="en-US" w:eastAsia="zh-CN"/>
              </w:rPr>
              <w:t>10</w:t>
            </w:r>
            <w:r>
              <w:rPr>
                <w:rFonts w:hint="default" w:ascii="Times New Roman" w:hAnsi="Times New Roman" w:cs="Times New Roman"/>
                <w:color w:val="000000"/>
                <w:szCs w:val="21"/>
                <w:highlight w:val="none"/>
                <w:lang w:val="en-US" w:eastAsia="zh-CN"/>
              </w:rPr>
              <w:t>-C</w:t>
            </w:r>
            <w:r>
              <w:rPr>
                <w:rFonts w:hint="default" w:ascii="Times New Roman" w:hAnsi="Times New Roman" w:cs="Times New Roman"/>
                <w:color w:val="000000"/>
                <w:szCs w:val="21"/>
                <w:highlight w:val="none"/>
                <w:vertAlign w:val="subscript"/>
                <w:lang w:val="en-US" w:eastAsia="zh-CN"/>
              </w:rPr>
              <w:t>40</w:t>
            </w:r>
            <w:r>
              <w:rPr>
                <w:rFonts w:hint="default" w:ascii="Times New Roman" w:hAnsi="Times New Roman" w:cs="Times New Roman"/>
                <w:color w:val="000000"/>
                <w:szCs w:val="21"/>
                <w:highlight w:val="none"/>
                <w:lang w:val="en-US" w:eastAsia="zh-CN"/>
              </w:rPr>
              <w:t>）</w:t>
            </w:r>
          </w:p>
        </w:tc>
        <w:tc>
          <w:tcPr>
            <w:tcW w:w="717" w:type="pct"/>
            <w:shd w:val="clear" w:color="auto" w:fill="auto"/>
            <w:vAlign w:val="center"/>
          </w:tcPr>
          <w:p w14:paraId="12FA61FA">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Cs w:val="21"/>
                <w:highlight w:val="none"/>
                <w:lang w:val="en-US" w:eastAsia="zh-CN"/>
              </w:rPr>
              <w:t>mg/kg</w:t>
            </w:r>
          </w:p>
        </w:tc>
        <w:tc>
          <w:tcPr>
            <w:tcW w:w="514" w:type="pct"/>
            <w:shd w:val="clear" w:color="auto" w:fill="auto"/>
            <w:vAlign w:val="center"/>
          </w:tcPr>
          <w:p w14:paraId="79DC2CE6">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&lt;6</w:t>
            </w:r>
          </w:p>
        </w:tc>
        <w:tc>
          <w:tcPr>
            <w:tcW w:w="575" w:type="pct"/>
            <w:shd w:val="clear" w:color="auto" w:fill="auto"/>
            <w:vAlign w:val="center"/>
          </w:tcPr>
          <w:p w14:paraId="6B9EA329">
            <w:pPr>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＜6</w:t>
            </w:r>
          </w:p>
        </w:tc>
        <w:tc>
          <w:tcPr>
            <w:tcW w:w="519" w:type="pct"/>
            <w:shd w:val="clear" w:color="auto" w:fill="auto"/>
            <w:vAlign w:val="center"/>
          </w:tcPr>
          <w:p w14:paraId="70576A03">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＜6</w:t>
            </w:r>
          </w:p>
        </w:tc>
        <w:tc>
          <w:tcPr>
            <w:tcW w:w="569" w:type="pct"/>
            <w:shd w:val="clear" w:color="auto" w:fill="auto"/>
            <w:vAlign w:val="center"/>
          </w:tcPr>
          <w:p w14:paraId="12937405">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4500</w:t>
            </w:r>
          </w:p>
        </w:tc>
        <w:tc>
          <w:tcPr>
            <w:tcW w:w="569" w:type="pct"/>
            <w:shd w:val="clear" w:color="auto" w:fill="auto"/>
            <w:vAlign w:val="center"/>
          </w:tcPr>
          <w:p w14:paraId="56A92220">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6</w:t>
            </w:r>
          </w:p>
        </w:tc>
      </w:tr>
      <w:tr w14:paraId="73354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64A569A2">
            <w:pPr>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11</w:t>
            </w:r>
          </w:p>
        </w:tc>
        <w:tc>
          <w:tcPr>
            <w:tcW w:w="1173" w:type="pct"/>
            <w:shd w:val="clear" w:color="auto" w:fill="auto"/>
            <w:vAlign w:val="center"/>
          </w:tcPr>
          <w:p w14:paraId="7A222201">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二噁英类</w:t>
            </w:r>
          </w:p>
        </w:tc>
        <w:tc>
          <w:tcPr>
            <w:tcW w:w="717" w:type="pct"/>
            <w:shd w:val="clear" w:color="auto" w:fill="auto"/>
            <w:vAlign w:val="center"/>
          </w:tcPr>
          <w:p w14:paraId="2753A307">
            <w:pPr>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eastAsia="宋体" w:cs="宋体"/>
                <w:spacing w:val="-1"/>
                <w:sz w:val="24"/>
                <w:szCs w:val="24"/>
              </w:rPr>
              <w:t>ngTEQ/kg</w:t>
            </w:r>
          </w:p>
        </w:tc>
        <w:tc>
          <w:tcPr>
            <w:tcW w:w="514" w:type="pct"/>
            <w:shd w:val="clear" w:color="auto" w:fill="auto"/>
            <w:vAlign w:val="center"/>
          </w:tcPr>
          <w:p w14:paraId="55FD6D85">
            <w:pPr>
              <w:jc w:val="center"/>
              <w:rPr>
                <w:rFonts w:hint="default" w:ascii="Times New Roman" w:hAnsi="Times New Roman"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0.31</w:t>
            </w:r>
          </w:p>
        </w:tc>
        <w:tc>
          <w:tcPr>
            <w:tcW w:w="575" w:type="pct"/>
            <w:shd w:val="clear" w:color="auto" w:fill="auto"/>
            <w:vAlign w:val="center"/>
          </w:tcPr>
          <w:p w14:paraId="68C2F3B2">
            <w:pPr>
              <w:jc w:val="center"/>
              <w:rPr>
                <w:rFonts w:hint="default" w:ascii="Times New Roman" w:hAnsi="Times New Roman"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0.27</w:t>
            </w:r>
          </w:p>
        </w:tc>
        <w:tc>
          <w:tcPr>
            <w:tcW w:w="519" w:type="pct"/>
            <w:shd w:val="clear" w:color="auto" w:fill="auto"/>
            <w:vAlign w:val="center"/>
          </w:tcPr>
          <w:p w14:paraId="7B7C5A5E">
            <w:pPr>
              <w:jc w:val="center"/>
              <w:rPr>
                <w:rFonts w:hint="default" w:ascii="Times New Roman" w:hAnsi="Times New Roman"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0.18</w:t>
            </w:r>
          </w:p>
        </w:tc>
        <w:tc>
          <w:tcPr>
            <w:tcW w:w="569" w:type="pct"/>
            <w:shd w:val="clear" w:color="auto" w:fill="auto"/>
            <w:vAlign w:val="center"/>
          </w:tcPr>
          <w:p w14:paraId="35342164">
            <w:pPr>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40</w:t>
            </w:r>
          </w:p>
        </w:tc>
        <w:tc>
          <w:tcPr>
            <w:tcW w:w="569" w:type="pct"/>
            <w:shd w:val="clear" w:color="auto" w:fill="auto"/>
            <w:vAlign w:val="center"/>
          </w:tcPr>
          <w:p w14:paraId="745FFDF8">
            <w:pPr>
              <w:spacing w:line="300" w:lineRule="exact"/>
              <w:jc w:val="center"/>
              <w:rPr>
                <w:rFonts w:hint="default" w:ascii="Times New Roman" w:hAnsi="Times New Roman" w:cs="Times New Roman"/>
                <w:color w:val="000000"/>
                <w:sz w:val="21"/>
                <w:szCs w:val="21"/>
                <w:highlight w:val="none"/>
                <w:lang w:val="en-US" w:eastAsia="zh-CN"/>
              </w:rPr>
            </w:pPr>
            <w:r>
              <w:rPr>
                <w:rFonts w:hint="eastAsia" w:ascii="Times New Roman" w:hAnsi="Times New Roman" w:cs="Times New Roman"/>
                <w:color w:val="000000"/>
                <w:sz w:val="21"/>
                <w:szCs w:val="21"/>
                <w:highlight w:val="none"/>
                <w:lang w:val="en-US" w:eastAsia="zh-CN"/>
              </w:rPr>
              <w:t>-</w:t>
            </w:r>
          </w:p>
        </w:tc>
      </w:tr>
      <w:tr w14:paraId="00998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7EE8C394">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12</w:t>
            </w:r>
          </w:p>
        </w:tc>
        <w:tc>
          <w:tcPr>
            <w:tcW w:w="1173" w:type="pct"/>
            <w:shd w:val="clear" w:color="auto" w:fill="auto"/>
            <w:vAlign w:val="center"/>
          </w:tcPr>
          <w:p w14:paraId="66F878CD">
            <w:pPr>
              <w:spacing w:line="300" w:lineRule="exact"/>
              <w:jc w:val="center"/>
              <w:rPr>
                <w:rFonts w:hint="default" w:ascii="Times New Roman" w:hAnsi="Times New Roman" w:cs="Times New Roman" w:eastAsiaTheme="minorEastAsia"/>
                <w:szCs w:val="21"/>
                <w:highlight w:val="none"/>
                <w:lang w:val="en-US" w:eastAsia="zh-CN"/>
              </w:rPr>
            </w:pPr>
          </w:p>
        </w:tc>
        <w:tc>
          <w:tcPr>
            <w:tcW w:w="717" w:type="pct"/>
            <w:shd w:val="clear" w:color="auto" w:fill="auto"/>
            <w:vAlign w:val="center"/>
          </w:tcPr>
          <w:p w14:paraId="6BEAFB9E">
            <w:pPr>
              <w:spacing w:line="300" w:lineRule="exact"/>
              <w:jc w:val="center"/>
              <w:rPr>
                <w:rFonts w:hint="default" w:ascii="Times New Roman" w:hAnsi="Times New Roman" w:cs="Times New Roman" w:eastAsiaTheme="minorEastAsia"/>
                <w:szCs w:val="21"/>
                <w:highlight w:val="none"/>
                <w:lang w:val="en-US" w:eastAsia="zh-CN"/>
              </w:rPr>
            </w:pPr>
          </w:p>
        </w:tc>
        <w:tc>
          <w:tcPr>
            <w:tcW w:w="1608" w:type="pct"/>
            <w:gridSpan w:val="3"/>
            <w:shd w:val="clear" w:color="auto" w:fill="auto"/>
            <w:vAlign w:val="center"/>
          </w:tcPr>
          <w:p w14:paraId="4384917C">
            <w:pPr>
              <w:spacing w:line="300" w:lineRule="exact"/>
              <w:jc w:val="center"/>
              <w:rPr>
                <w:rFonts w:hint="default" w:ascii="Times New Roman" w:hAnsi="Times New Roman" w:cs="Times New Roman" w:eastAsiaTheme="minorEastAsia"/>
                <w:szCs w:val="21"/>
                <w:highlight w:val="none"/>
                <w:lang w:val="en-US" w:eastAsia="zh-CN"/>
              </w:rPr>
            </w:pPr>
          </w:p>
        </w:tc>
        <w:tc>
          <w:tcPr>
            <w:tcW w:w="569" w:type="pct"/>
            <w:shd w:val="clear" w:color="auto" w:fill="auto"/>
            <w:vAlign w:val="center"/>
          </w:tcPr>
          <w:p w14:paraId="43810C86">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w:t>
            </w:r>
          </w:p>
        </w:tc>
        <w:tc>
          <w:tcPr>
            <w:tcW w:w="569" w:type="pct"/>
            <w:shd w:val="clear" w:color="auto" w:fill="auto"/>
            <w:vAlign w:val="center"/>
          </w:tcPr>
          <w:p w14:paraId="574D8D75">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w:t>
            </w:r>
          </w:p>
        </w:tc>
      </w:tr>
      <w:tr w14:paraId="05C15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0FA3278F">
            <w:pPr>
              <w:spacing w:line="300" w:lineRule="exact"/>
              <w:jc w:val="center"/>
              <w:rPr>
                <w:rFonts w:hint="default" w:ascii="Times New Roman" w:hAnsi="Times New Roman" w:cs="Times New Roman" w:eastAsiaTheme="minorEastAsia"/>
                <w:b/>
                <w:bCs/>
                <w:szCs w:val="21"/>
                <w:highlight w:val="none"/>
                <w:lang w:val="en-US" w:eastAsia="zh-CN"/>
              </w:rPr>
            </w:pPr>
            <w:r>
              <w:rPr>
                <w:rFonts w:hint="default" w:ascii="Times New Roman" w:hAnsi="Times New Roman" w:cs="Times New Roman" w:eastAsiaTheme="minorEastAsia"/>
                <w:b/>
                <w:bCs/>
                <w:szCs w:val="21"/>
                <w:highlight w:val="none"/>
                <w:lang w:val="en-US" w:eastAsia="zh-CN"/>
              </w:rPr>
              <w:t>序号</w:t>
            </w:r>
          </w:p>
        </w:tc>
        <w:tc>
          <w:tcPr>
            <w:tcW w:w="1173" w:type="pct"/>
            <w:shd w:val="clear" w:color="auto" w:fill="auto"/>
            <w:vAlign w:val="center"/>
          </w:tcPr>
          <w:p w14:paraId="3B36370B">
            <w:pPr>
              <w:spacing w:line="300" w:lineRule="exact"/>
              <w:jc w:val="center"/>
              <w:rPr>
                <w:rFonts w:hint="default" w:ascii="Times New Roman" w:hAnsi="Times New Roman" w:cs="Times New Roman" w:eastAsiaTheme="minorEastAsia"/>
                <w:b/>
                <w:bCs/>
                <w:szCs w:val="21"/>
                <w:highlight w:val="none"/>
                <w:lang w:val="en-US" w:eastAsia="zh-CN"/>
              </w:rPr>
            </w:pPr>
            <w:r>
              <w:rPr>
                <w:rFonts w:hint="default" w:ascii="Times New Roman" w:hAnsi="Times New Roman" w:cs="Times New Roman" w:eastAsiaTheme="minorEastAsia"/>
                <w:b/>
                <w:bCs/>
                <w:szCs w:val="21"/>
                <w:highlight w:val="none"/>
                <w:lang w:val="en-US" w:eastAsia="zh-CN"/>
              </w:rPr>
              <w:t>检 测 项 目</w:t>
            </w:r>
          </w:p>
        </w:tc>
        <w:tc>
          <w:tcPr>
            <w:tcW w:w="717" w:type="pct"/>
            <w:shd w:val="clear" w:color="auto" w:fill="auto"/>
            <w:vAlign w:val="center"/>
          </w:tcPr>
          <w:p w14:paraId="0283F467">
            <w:pPr>
              <w:spacing w:line="300" w:lineRule="exact"/>
              <w:jc w:val="center"/>
              <w:rPr>
                <w:rFonts w:hint="default" w:ascii="Times New Roman" w:hAnsi="Times New Roman" w:cs="Times New Roman" w:eastAsiaTheme="minorEastAsia"/>
                <w:b/>
                <w:bCs/>
                <w:szCs w:val="21"/>
                <w:highlight w:val="none"/>
                <w:lang w:val="en-US" w:eastAsia="zh-CN"/>
              </w:rPr>
            </w:pPr>
            <w:r>
              <w:rPr>
                <w:rFonts w:hint="default" w:ascii="Times New Roman" w:hAnsi="Times New Roman" w:cs="Times New Roman" w:eastAsiaTheme="minorEastAsia"/>
                <w:b/>
                <w:bCs/>
                <w:szCs w:val="21"/>
                <w:highlight w:val="none"/>
                <w:lang w:val="en-US" w:eastAsia="zh-CN"/>
              </w:rPr>
              <w:t>单位</w:t>
            </w:r>
          </w:p>
        </w:tc>
        <w:tc>
          <w:tcPr>
            <w:tcW w:w="1608" w:type="pct"/>
            <w:gridSpan w:val="3"/>
            <w:shd w:val="clear" w:color="auto" w:fill="auto"/>
            <w:vAlign w:val="center"/>
          </w:tcPr>
          <w:p w14:paraId="1E89F34A">
            <w:pPr>
              <w:spacing w:line="300" w:lineRule="exact"/>
              <w:jc w:val="center"/>
              <w:rPr>
                <w:rFonts w:hint="default" w:ascii="Times New Roman" w:hAnsi="Times New Roman" w:cs="Times New Roman" w:eastAsiaTheme="minorEastAsia"/>
                <w:b/>
                <w:bCs/>
                <w:szCs w:val="21"/>
                <w:highlight w:val="none"/>
                <w:lang w:val="en-US" w:eastAsia="zh-CN"/>
              </w:rPr>
            </w:pPr>
            <w:r>
              <w:rPr>
                <w:rFonts w:hint="default" w:ascii="Times New Roman" w:hAnsi="Times New Roman" w:cs="Times New Roman" w:eastAsiaTheme="minorEastAsia"/>
                <w:b/>
                <w:bCs/>
                <w:szCs w:val="21"/>
                <w:highlight w:val="none"/>
                <w:lang w:val="en-US" w:eastAsia="zh-CN"/>
              </w:rPr>
              <w:t>项目区占地范围</w:t>
            </w:r>
            <w:r>
              <w:rPr>
                <w:rFonts w:hint="eastAsia" w:ascii="Times New Roman" w:hAnsi="Times New Roman" w:cs="Times New Roman"/>
                <w:b/>
                <w:bCs/>
                <w:szCs w:val="21"/>
                <w:highlight w:val="none"/>
                <w:lang w:val="en-US" w:eastAsia="zh-CN"/>
              </w:rPr>
              <w:t>内</w:t>
            </w:r>
            <w:r>
              <w:rPr>
                <w:rFonts w:hint="default" w:ascii="Times New Roman" w:hAnsi="Times New Roman" w:cs="Times New Roman" w:eastAsiaTheme="minorEastAsia"/>
                <w:b/>
                <w:bCs/>
                <w:szCs w:val="21"/>
                <w:highlight w:val="none"/>
                <w:lang w:val="en-US" w:eastAsia="zh-CN"/>
              </w:rPr>
              <w:t>：</w:t>
            </w:r>
            <w:r>
              <w:rPr>
                <w:rFonts w:hint="eastAsia" w:ascii="Times New Roman" w:hAnsi="Times New Roman" w:cs="Times New Roman"/>
                <w:b/>
                <w:bCs/>
                <w:szCs w:val="21"/>
                <w:highlight w:val="none"/>
                <w:lang w:val="en-US" w:eastAsia="zh-CN"/>
              </w:rPr>
              <w:t>3</w:t>
            </w:r>
            <w:r>
              <w:rPr>
                <w:rFonts w:hint="default" w:ascii="Times New Roman" w:hAnsi="Times New Roman" w:cs="Times New Roman" w:eastAsiaTheme="minorEastAsia"/>
                <w:b/>
                <w:bCs/>
                <w:szCs w:val="21"/>
                <w:highlight w:val="none"/>
                <w:lang w:val="en-US" w:eastAsia="zh-CN"/>
              </w:rPr>
              <w:t>#</w:t>
            </w:r>
            <w:r>
              <w:rPr>
                <w:rFonts w:hint="eastAsia" w:ascii="Times New Roman" w:hAnsi="Times New Roman" w:cs="Times New Roman"/>
                <w:b/>
                <w:bCs/>
                <w:szCs w:val="21"/>
                <w:highlight w:val="none"/>
                <w:lang w:val="en-US" w:eastAsia="zh-CN"/>
              </w:rPr>
              <w:t>柱状样</w:t>
            </w:r>
          </w:p>
        </w:tc>
        <w:tc>
          <w:tcPr>
            <w:tcW w:w="569" w:type="pct"/>
            <w:shd w:val="clear" w:color="auto" w:fill="auto"/>
            <w:vAlign w:val="center"/>
          </w:tcPr>
          <w:p w14:paraId="40617CD7">
            <w:pPr>
              <w:spacing w:line="300" w:lineRule="exact"/>
              <w:jc w:val="center"/>
              <w:rPr>
                <w:rFonts w:hint="default" w:ascii="Times New Roman" w:hAnsi="Times New Roman" w:cs="Times New Roman" w:eastAsiaTheme="minorEastAsia"/>
                <w:b/>
                <w:bCs/>
                <w:szCs w:val="21"/>
                <w:highlight w:val="none"/>
                <w:lang w:val="en-US" w:eastAsia="zh-CN"/>
              </w:rPr>
            </w:pPr>
            <w:r>
              <w:rPr>
                <w:rFonts w:hint="default" w:ascii="Times New Roman" w:hAnsi="Times New Roman" w:cs="Times New Roman" w:eastAsiaTheme="minorEastAsia"/>
                <w:b/>
                <w:bCs/>
                <w:szCs w:val="21"/>
                <w:highlight w:val="none"/>
                <w:lang w:val="en-US" w:eastAsia="zh-CN"/>
              </w:rPr>
              <w:t>限值</w:t>
            </w:r>
          </w:p>
        </w:tc>
        <w:tc>
          <w:tcPr>
            <w:tcW w:w="569" w:type="pct"/>
            <w:shd w:val="clear" w:color="auto" w:fill="auto"/>
            <w:vAlign w:val="center"/>
          </w:tcPr>
          <w:p w14:paraId="4B7BC3C7">
            <w:pPr>
              <w:spacing w:line="300" w:lineRule="exact"/>
              <w:jc w:val="center"/>
              <w:rPr>
                <w:rFonts w:hint="default" w:ascii="Times New Roman" w:hAnsi="Times New Roman" w:cs="Times New Roman" w:eastAsiaTheme="minorEastAsia"/>
                <w:b/>
                <w:bCs/>
                <w:szCs w:val="21"/>
                <w:highlight w:val="none"/>
                <w:lang w:val="en-US" w:eastAsia="zh-CN"/>
              </w:rPr>
            </w:pPr>
            <w:r>
              <w:rPr>
                <w:rFonts w:hint="default" w:ascii="Times New Roman" w:hAnsi="Times New Roman" w:cs="Times New Roman" w:eastAsiaTheme="minorEastAsia"/>
                <w:b/>
                <w:bCs/>
                <w:szCs w:val="21"/>
                <w:highlight w:val="none"/>
                <w:lang w:val="en-US" w:eastAsia="zh-CN"/>
              </w:rPr>
              <w:t>检出限</w:t>
            </w:r>
          </w:p>
        </w:tc>
      </w:tr>
      <w:tr w14:paraId="0F310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709FB9D2">
            <w:pPr>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eastAsiaTheme="minorEastAsia"/>
                <w:szCs w:val="21"/>
                <w:highlight w:val="none"/>
                <w:lang w:val="en-US" w:eastAsia="zh-CN"/>
              </w:rPr>
              <w:t>1</w:t>
            </w:r>
          </w:p>
        </w:tc>
        <w:tc>
          <w:tcPr>
            <w:tcW w:w="1173" w:type="pct"/>
            <w:shd w:val="clear" w:color="auto" w:fill="auto"/>
            <w:vAlign w:val="center"/>
          </w:tcPr>
          <w:p w14:paraId="2B6FC2B5">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pH值</w:t>
            </w:r>
          </w:p>
        </w:tc>
        <w:tc>
          <w:tcPr>
            <w:tcW w:w="717" w:type="pct"/>
            <w:shd w:val="clear" w:color="auto" w:fill="auto"/>
            <w:vAlign w:val="center"/>
          </w:tcPr>
          <w:p w14:paraId="181322F8">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无量纲</w:t>
            </w:r>
          </w:p>
        </w:tc>
        <w:tc>
          <w:tcPr>
            <w:tcW w:w="514" w:type="pct"/>
            <w:shd w:val="clear" w:color="auto" w:fill="auto"/>
            <w:vAlign w:val="center"/>
          </w:tcPr>
          <w:p w14:paraId="3B09D021">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8.30</w:t>
            </w:r>
          </w:p>
        </w:tc>
        <w:tc>
          <w:tcPr>
            <w:tcW w:w="575" w:type="pct"/>
            <w:shd w:val="clear" w:color="auto" w:fill="auto"/>
            <w:vAlign w:val="center"/>
          </w:tcPr>
          <w:p w14:paraId="0CE41402">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8.17</w:t>
            </w:r>
          </w:p>
        </w:tc>
        <w:tc>
          <w:tcPr>
            <w:tcW w:w="519" w:type="pct"/>
            <w:shd w:val="clear" w:color="auto" w:fill="auto"/>
            <w:vAlign w:val="center"/>
          </w:tcPr>
          <w:p w14:paraId="5D2B3E83">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8.14</w:t>
            </w:r>
          </w:p>
        </w:tc>
        <w:tc>
          <w:tcPr>
            <w:tcW w:w="569" w:type="pct"/>
            <w:shd w:val="clear" w:color="auto" w:fill="auto"/>
            <w:vAlign w:val="center"/>
          </w:tcPr>
          <w:p w14:paraId="1BDD68B5">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w:t>
            </w:r>
          </w:p>
        </w:tc>
        <w:tc>
          <w:tcPr>
            <w:tcW w:w="569" w:type="pct"/>
            <w:shd w:val="clear" w:color="auto" w:fill="auto"/>
            <w:vAlign w:val="center"/>
          </w:tcPr>
          <w:p w14:paraId="223C34AD">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w:t>
            </w:r>
          </w:p>
        </w:tc>
      </w:tr>
      <w:tr w14:paraId="3287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64921A79">
            <w:pPr>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eastAsiaTheme="minorEastAsia"/>
                <w:szCs w:val="21"/>
                <w:highlight w:val="none"/>
                <w:lang w:val="en-US" w:eastAsia="zh-CN"/>
              </w:rPr>
              <w:t>2</w:t>
            </w:r>
          </w:p>
        </w:tc>
        <w:tc>
          <w:tcPr>
            <w:tcW w:w="1173" w:type="pct"/>
            <w:shd w:val="clear" w:color="auto" w:fill="auto"/>
            <w:vAlign w:val="center"/>
          </w:tcPr>
          <w:p w14:paraId="5921E5D0">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水分</w:t>
            </w:r>
          </w:p>
        </w:tc>
        <w:tc>
          <w:tcPr>
            <w:tcW w:w="717" w:type="pct"/>
            <w:shd w:val="clear" w:color="auto" w:fill="auto"/>
            <w:vAlign w:val="center"/>
          </w:tcPr>
          <w:p w14:paraId="41C42412">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514" w:type="pct"/>
            <w:shd w:val="clear" w:color="auto" w:fill="auto"/>
            <w:vAlign w:val="center"/>
          </w:tcPr>
          <w:p w14:paraId="1C811301">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0.38</w:t>
            </w:r>
          </w:p>
        </w:tc>
        <w:tc>
          <w:tcPr>
            <w:tcW w:w="575" w:type="pct"/>
            <w:shd w:val="clear" w:color="auto" w:fill="auto"/>
            <w:vAlign w:val="center"/>
          </w:tcPr>
          <w:p w14:paraId="4BF9D751">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0.20</w:t>
            </w:r>
          </w:p>
        </w:tc>
        <w:tc>
          <w:tcPr>
            <w:tcW w:w="519" w:type="pct"/>
            <w:shd w:val="clear" w:color="auto" w:fill="auto"/>
            <w:vAlign w:val="center"/>
          </w:tcPr>
          <w:p w14:paraId="77B2D025">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0.27</w:t>
            </w:r>
          </w:p>
        </w:tc>
        <w:tc>
          <w:tcPr>
            <w:tcW w:w="569" w:type="pct"/>
            <w:shd w:val="clear" w:color="auto" w:fill="auto"/>
            <w:vAlign w:val="center"/>
          </w:tcPr>
          <w:p w14:paraId="50EA592D">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w:t>
            </w:r>
          </w:p>
        </w:tc>
        <w:tc>
          <w:tcPr>
            <w:tcW w:w="569" w:type="pct"/>
            <w:shd w:val="clear" w:color="auto" w:fill="auto"/>
            <w:vAlign w:val="center"/>
          </w:tcPr>
          <w:p w14:paraId="6759C4C1">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w:t>
            </w:r>
          </w:p>
        </w:tc>
      </w:tr>
      <w:tr w14:paraId="575E4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0FAF048E">
            <w:pPr>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eastAsiaTheme="minorEastAsia"/>
                <w:szCs w:val="21"/>
                <w:highlight w:val="none"/>
                <w:lang w:val="en-US" w:eastAsia="zh-CN"/>
              </w:rPr>
              <w:t>3</w:t>
            </w:r>
          </w:p>
        </w:tc>
        <w:tc>
          <w:tcPr>
            <w:tcW w:w="1173" w:type="pct"/>
            <w:shd w:val="clear" w:color="auto" w:fill="auto"/>
            <w:vAlign w:val="center"/>
          </w:tcPr>
          <w:p w14:paraId="32FDD212">
            <w:pPr>
              <w:jc w:val="center"/>
              <w:rPr>
                <w:rFonts w:hint="default" w:ascii="Times New Roman" w:hAnsi="Times New Roman" w:cs="Times New Roman" w:eastAsiaTheme="minorEastAsia"/>
                <w:szCs w:val="21"/>
                <w:highlight w:val="red"/>
                <w:lang w:val="en-US" w:eastAsia="zh-CN"/>
              </w:rPr>
            </w:pPr>
            <w:r>
              <w:rPr>
                <w:rFonts w:hint="eastAsia" w:ascii="Times New Roman" w:hAnsi="Times New Roman" w:cs="Times New Roman"/>
                <w:color w:val="000000"/>
                <w:szCs w:val="21"/>
                <w:highlight w:val="none"/>
                <w:lang w:val="en-US" w:eastAsia="zh-CN"/>
              </w:rPr>
              <w:t>镉</w:t>
            </w:r>
          </w:p>
        </w:tc>
        <w:tc>
          <w:tcPr>
            <w:tcW w:w="717" w:type="pct"/>
            <w:shd w:val="clear" w:color="auto" w:fill="auto"/>
            <w:vAlign w:val="center"/>
          </w:tcPr>
          <w:p w14:paraId="4A6C6FF7">
            <w:pPr>
              <w:spacing w:line="300" w:lineRule="exact"/>
              <w:jc w:val="center"/>
              <w:rPr>
                <w:rFonts w:hint="default" w:ascii="Times New Roman" w:hAnsi="Times New Roman" w:cs="Times New Roman" w:eastAsiaTheme="minorEastAsia"/>
                <w:szCs w:val="21"/>
                <w:highlight w:val="red"/>
                <w:lang w:val="en-US" w:eastAsia="zh-CN"/>
              </w:rPr>
            </w:pPr>
            <w:r>
              <w:rPr>
                <w:rFonts w:hint="default" w:ascii="Times New Roman" w:hAnsi="Times New Roman" w:cs="Times New Roman" w:eastAsiaTheme="minorEastAsia"/>
                <w:szCs w:val="21"/>
                <w:highlight w:val="none"/>
                <w:lang w:val="en-US" w:eastAsia="zh-CN"/>
              </w:rPr>
              <w:t>mg/kg</w:t>
            </w:r>
          </w:p>
        </w:tc>
        <w:tc>
          <w:tcPr>
            <w:tcW w:w="514" w:type="pct"/>
            <w:shd w:val="clear" w:color="auto" w:fill="auto"/>
            <w:vAlign w:val="center"/>
          </w:tcPr>
          <w:p w14:paraId="0851C4D6">
            <w:pPr>
              <w:jc w:val="center"/>
              <w:rPr>
                <w:rFonts w:hint="default" w:ascii="Times New Roman" w:hAnsi="Times New Roman" w:cs="Times New Roman" w:eastAsiaTheme="minorEastAsia"/>
                <w:szCs w:val="21"/>
                <w:highlight w:val="red"/>
                <w:lang w:val="en-US" w:eastAsia="zh-CN"/>
              </w:rPr>
            </w:pPr>
            <w:r>
              <w:rPr>
                <w:rFonts w:hint="eastAsia" w:ascii="Times New Roman" w:hAnsi="Times New Roman" w:cs="Times New Roman"/>
                <w:color w:val="000000"/>
                <w:szCs w:val="21"/>
                <w:lang w:val="en-US" w:eastAsia="zh-CN"/>
              </w:rPr>
              <w:t>&lt;0.09</w:t>
            </w:r>
          </w:p>
        </w:tc>
        <w:tc>
          <w:tcPr>
            <w:tcW w:w="575" w:type="pct"/>
            <w:shd w:val="clear" w:color="auto" w:fill="auto"/>
            <w:vAlign w:val="center"/>
          </w:tcPr>
          <w:p w14:paraId="09F7E42A">
            <w:pPr>
              <w:jc w:val="center"/>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Cs w:val="21"/>
                <w:lang w:val="en-US" w:eastAsia="zh-CN"/>
              </w:rPr>
              <w:t>&lt;0.09</w:t>
            </w:r>
          </w:p>
        </w:tc>
        <w:tc>
          <w:tcPr>
            <w:tcW w:w="519" w:type="pct"/>
            <w:shd w:val="clear" w:color="auto" w:fill="auto"/>
            <w:vAlign w:val="center"/>
          </w:tcPr>
          <w:p w14:paraId="4F5EFE09">
            <w:pPr>
              <w:jc w:val="center"/>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Cs w:val="21"/>
                <w:lang w:val="en-US" w:eastAsia="zh-CN"/>
              </w:rPr>
              <w:t>&lt;0.09</w:t>
            </w:r>
          </w:p>
        </w:tc>
        <w:tc>
          <w:tcPr>
            <w:tcW w:w="569" w:type="pct"/>
            <w:shd w:val="clear" w:color="auto" w:fill="auto"/>
            <w:vAlign w:val="center"/>
          </w:tcPr>
          <w:p w14:paraId="3274317F">
            <w:pPr>
              <w:spacing w:line="300" w:lineRule="exact"/>
              <w:jc w:val="center"/>
              <w:rPr>
                <w:rFonts w:hint="default" w:ascii="Times New Roman" w:hAnsi="Times New Roman" w:cs="Times New Roman" w:eastAsiaTheme="minorEastAsia"/>
                <w:szCs w:val="21"/>
                <w:highlight w:val="red"/>
                <w:lang w:val="en-US" w:eastAsia="zh-CN"/>
              </w:rPr>
            </w:pPr>
            <w:r>
              <w:rPr>
                <w:rFonts w:hint="default" w:ascii="Times New Roman" w:hAnsi="Times New Roman" w:cs="Times New Roman" w:eastAsiaTheme="minorEastAsia"/>
                <w:szCs w:val="21"/>
                <w:highlight w:val="none"/>
                <w:lang w:val="en-US" w:eastAsia="zh-CN"/>
              </w:rPr>
              <w:t>38</w:t>
            </w:r>
          </w:p>
        </w:tc>
        <w:tc>
          <w:tcPr>
            <w:tcW w:w="569" w:type="pct"/>
            <w:shd w:val="clear" w:color="auto" w:fill="auto"/>
            <w:vAlign w:val="center"/>
          </w:tcPr>
          <w:p w14:paraId="0FE0F52F">
            <w:pPr>
              <w:spacing w:line="300" w:lineRule="exact"/>
              <w:jc w:val="center"/>
              <w:rPr>
                <w:rFonts w:hint="default" w:ascii="Times New Roman" w:hAnsi="Times New Roman" w:cs="Times New Roman" w:eastAsiaTheme="minorEastAsia"/>
                <w:szCs w:val="21"/>
                <w:highlight w:val="red"/>
                <w:lang w:val="en-US" w:eastAsia="zh-CN"/>
              </w:rPr>
            </w:pPr>
            <w:r>
              <w:rPr>
                <w:rFonts w:hint="default" w:ascii="Times New Roman" w:hAnsi="Times New Roman" w:cs="Times New Roman" w:eastAsiaTheme="minorEastAsia"/>
                <w:szCs w:val="21"/>
                <w:highlight w:val="none"/>
                <w:lang w:val="en-US" w:eastAsia="zh-CN"/>
              </w:rPr>
              <w:t>0.002</w:t>
            </w:r>
          </w:p>
        </w:tc>
      </w:tr>
      <w:tr w14:paraId="22444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6F8EB630">
            <w:pPr>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4</w:t>
            </w:r>
          </w:p>
        </w:tc>
        <w:tc>
          <w:tcPr>
            <w:tcW w:w="1173" w:type="pct"/>
            <w:shd w:val="clear" w:color="auto" w:fill="auto"/>
            <w:vAlign w:val="center"/>
          </w:tcPr>
          <w:p w14:paraId="0FEAC281">
            <w:pPr>
              <w:jc w:val="center"/>
              <w:rPr>
                <w:rFonts w:hint="default" w:ascii="Times New Roman" w:hAnsi="Times New Roman" w:cs="Times New Roman" w:eastAsiaTheme="minorEastAsia"/>
                <w:szCs w:val="21"/>
                <w:highlight w:val="red"/>
                <w:lang w:val="en-US" w:eastAsia="zh-CN"/>
              </w:rPr>
            </w:pPr>
            <w:r>
              <w:rPr>
                <w:rFonts w:hint="eastAsia" w:ascii="Times New Roman" w:hAnsi="Times New Roman" w:eastAsia="宋体" w:cs="Times New Roman"/>
                <w:color w:val="000000"/>
                <w:szCs w:val="21"/>
                <w:highlight w:val="none"/>
                <w:lang w:val="en-US" w:eastAsia="zh-CN"/>
              </w:rPr>
              <w:t>镍</w:t>
            </w:r>
          </w:p>
        </w:tc>
        <w:tc>
          <w:tcPr>
            <w:tcW w:w="717" w:type="pct"/>
            <w:shd w:val="clear" w:color="auto" w:fill="auto"/>
            <w:vAlign w:val="center"/>
          </w:tcPr>
          <w:p w14:paraId="24EC57CE">
            <w:pPr>
              <w:spacing w:line="300" w:lineRule="exact"/>
              <w:jc w:val="center"/>
              <w:rPr>
                <w:rFonts w:hint="default" w:ascii="Times New Roman" w:hAnsi="Times New Roman" w:cs="Times New Roman" w:eastAsiaTheme="minorEastAsia"/>
                <w:szCs w:val="21"/>
                <w:highlight w:val="red"/>
                <w:lang w:val="en-US" w:eastAsia="zh-CN"/>
              </w:rPr>
            </w:pPr>
            <w:r>
              <w:rPr>
                <w:rFonts w:hint="default" w:ascii="Times New Roman" w:hAnsi="Times New Roman" w:cs="Times New Roman"/>
                <w:color w:val="000000"/>
                <w:szCs w:val="21"/>
                <w:highlight w:val="none"/>
                <w:lang w:val="en-US" w:eastAsia="zh-CN"/>
              </w:rPr>
              <w:t>mg/kg</w:t>
            </w:r>
          </w:p>
        </w:tc>
        <w:tc>
          <w:tcPr>
            <w:tcW w:w="514" w:type="pct"/>
            <w:shd w:val="clear" w:color="auto" w:fill="auto"/>
            <w:vAlign w:val="center"/>
          </w:tcPr>
          <w:p w14:paraId="73F44BC3">
            <w:pPr>
              <w:jc w:val="center"/>
              <w:rPr>
                <w:rFonts w:hint="default" w:ascii="Times New Roman" w:hAnsi="Times New Roman" w:cs="Times New Roman" w:eastAsiaTheme="minorEastAsia"/>
                <w:szCs w:val="21"/>
                <w:highlight w:val="red"/>
                <w:lang w:val="en-US" w:eastAsia="zh-CN"/>
              </w:rPr>
            </w:pPr>
            <w:r>
              <w:rPr>
                <w:rFonts w:hint="eastAsia" w:ascii="Times New Roman" w:hAnsi="Times New Roman" w:cs="Times New Roman"/>
                <w:color w:val="000000"/>
                <w:szCs w:val="21"/>
                <w:lang w:val="en-US" w:eastAsia="zh-CN"/>
              </w:rPr>
              <w:t>7</w:t>
            </w:r>
          </w:p>
        </w:tc>
        <w:tc>
          <w:tcPr>
            <w:tcW w:w="575" w:type="pct"/>
            <w:shd w:val="clear" w:color="auto" w:fill="auto"/>
            <w:vAlign w:val="center"/>
          </w:tcPr>
          <w:p w14:paraId="042C8BA1">
            <w:pPr>
              <w:jc w:val="center"/>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Cs w:val="21"/>
                <w:lang w:val="en-US" w:eastAsia="zh-CN"/>
              </w:rPr>
              <w:t>7</w:t>
            </w:r>
          </w:p>
        </w:tc>
        <w:tc>
          <w:tcPr>
            <w:tcW w:w="519" w:type="pct"/>
            <w:shd w:val="clear" w:color="auto" w:fill="auto"/>
            <w:vAlign w:val="center"/>
          </w:tcPr>
          <w:p w14:paraId="1C9DC53A">
            <w:pPr>
              <w:jc w:val="center"/>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Cs w:val="21"/>
                <w:lang w:val="en-US" w:eastAsia="zh-CN"/>
              </w:rPr>
              <w:t>7</w:t>
            </w:r>
          </w:p>
        </w:tc>
        <w:tc>
          <w:tcPr>
            <w:tcW w:w="569" w:type="pct"/>
            <w:shd w:val="clear" w:color="auto" w:fill="auto"/>
            <w:vAlign w:val="center"/>
          </w:tcPr>
          <w:p w14:paraId="3245E818">
            <w:pPr>
              <w:spacing w:line="300" w:lineRule="exact"/>
              <w:jc w:val="center"/>
              <w:rPr>
                <w:rFonts w:hint="default" w:ascii="Times New Roman" w:hAnsi="Times New Roman" w:cs="Times New Roman" w:eastAsiaTheme="minorEastAsia"/>
                <w:szCs w:val="21"/>
                <w:highlight w:val="red"/>
                <w:lang w:val="en-US" w:eastAsia="zh-CN"/>
              </w:rPr>
            </w:pPr>
            <w:r>
              <w:rPr>
                <w:rFonts w:hint="eastAsia" w:ascii="Times New Roman" w:hAnsi="Times New Roman" w:cs="Times New Roman"/>
                <w:szCs w:val="21"/>
                <w:highlight w:val="none"/>
                <w:lang w:val="en-US" w:eastAsia="zh-CN"/>
              </w:rPr>
              <w:t>900</w:t>
            </w:r>
          </w:p>
        </w:tc>
        <w:tc>
          <w:tcPr>
            <w:tcW w:w="569" w:type="pct"/>
            <w:shd w:val="clear" w:color="auto" w:fill="auto"/>
            <w:vAlign w:val="center"/>
          </w:tcPr>
          <w:p w14:paraId="4A93906E">
            <w:pPr>
              <w:spacing w:line="300" w:lineRule="exact"/>
              <w:jc w:val="center"/>
              <w:rPr>
                <w:rFonts w:hint="default" w:ascii="Times New Roman" w:hAnsi="Times New Roman" w:cs="Times New Roman" w:eastAsiaTheme="minorEastAsia"/>
                <w:szCs w:val="21"/>
                <w:highlight w:val="red"/>
                <w:lang w:val="en-US" w:eastAsia="zh-CN"/>
              </w:rPr>
            </w:pPr>
            <w:r>
              <w:rPr>
                <w:rFonts w:hint="eastAsia" w:ascii="Times New Roman" w:hAnsi="Times New Roman" w:cs="Times New Roman"/>
                <w:szCs w:val="21"/>
                <w:highlight w:val="none"/>
                <w:lang w:val="en-US" w:eastAsia="zh-CN"/>
              </w:rPr>
              <w:t>1</w:t>
            </w:r>
          </w:p>
        </w:tc>
      </w:tr>
      <w:tr w14:paraId="7D54E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6B3985B8">
            <w:pPr>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5</w:t>
            </w:r>
          </w:p>
        </w:tc>
        <w:tc>
          <w:tcPr>
            <w:tcW w:w="1173" w:type="pct"/>
            <w:shd w:val="clear" w:color="auto" w:fill="auto"/>
            <w:vAlign w:val="center"/>
          </w:tcPr>
          <w:p w14:paraId="24E8045B">
            <w:pPr>
              <w:jc w:val="center"/>
              <w:rPr>
                <w:rFonts w:hint="default" w:ascii="Times New Roman" w:hAnsi="Times New Roman" w:cs="Times New Roman" w:eastAsiaTheme="minorEastAsia"/>
                <w:szCs w:val="21"/>
                <w:highlight w:val="red"/>
                <w:lang w:val="en-US" w:eastAsia="zh-CN"/>
              </w:rPr>
            </w:pPr>
            <w:r>
              <w:rPr>
                <w:rFonts w:hint="eastAsia" w:ascii="Times New Roman" w:hAnsi="Times New Roman" w:eastAsia="宋体" w:cs="Times New Roman"/>
                <w:color w:val="000000"/>
                <w:szCs w:val="21"/>
                <w:highlight w:val="none"/>
                <w:lang w:val="en-US" w:eastAsia="zh-CN"/>
              </w:rPr>
              <w:t>铜</w:t>
            </w:r>
          </w:p>
        </w:tc>
        <w:tc>
          <w:tcPr>
            <w:tcW w:w="717" w:type="pct"/>
            <w:shd w:val="clear" w:color="auto" w:fill="auto"/>
            <w:vAlign w:val="center"/>
          </w:tcPr>
          <w:p w14:paraId="7B3E64A5">
            <w:pPr>
              <w:spacing w:line="300" w:lineRule="exact"/>
              <w:jc w:val="center"/>
              <w:rPr>
                <w:rFonts w:hint="default" w:ascii="Times New Roman" w:hAnsi="Times New Roman" w:cs="Times New Roman" w:eastAsiaTheme="minorEastAsia"/>
                <w:szCs w:val="21"/>
                <w:highlight w:val="red"/>
                <w:lang w:val="en-US" w:eastAsia="zh-CN"/>
              </w:rPr>
            </w:pPr>
            <w:r>
              <w:rPr>
                <w:rFonts w:hint="default" w:ascii="Times New Roman" w:hAnsi="Times New Roman" w:cs="Times New Roman"/>
                <w:color w:val="000000"/>
                <w:szCs w:val="21"/>
                <w:highlight w:val="none"/>
                <w:lang w:val="en-US" w:eastAsia="zh-CN"/>
              </w:rPr>
              <w:t>mg/kg</w:t>
            </w:r>
          </w:p>
        </w:tc>
        <w:tc>
          <w:tcPr>
            <w:tcW w:w="514" w:type="pct"/>
            <w:shd w:val="clear" w:color="auto" w:fill="auto"/>
            <w:vAlign w:val="center"/>
          </w:tcPr>
          <w:p w14:paraId="5EEBF7F5">
            <w:pPr>
              <w:jc w:val="center"/>
              <w:rPr>
                <w:rFonts w:hint="default" w:ascii="Times New Roman" w:hAnsi="Times New Roman" w:cs="Times New Roman" w:eastAsiaTheme="minorEastAsia"/>
                <w:szCs w:val="21"/>
                <w:highlight w:val="red"/>
                <w:lang w:val="en-US" w:eastAsia="zh-CN"/>
              </w:rPr>
            </w:pPr>
            <w:r>
              <w:rPr>
                <w:rFonts w:hint="eastAsia" w:ascii="Times New Roman" w:hAnsi="Times New Roman" w:cs="Times New Roman"/>
                <w:color w:val="000000"/>
                <w:szCs w:val="21"/>
                <w:lang w:val="en-US" w:eastAsia="zh-CN"/>
              </w:rPr>
              <w:t>&lt;0.6</w:t>
            </w:r>
          </w:p>
        </w:tc>
        <w:tc>
          <w:tcPr>
            <w:tcW w:w="575" w:type="pct"/>
            <w:shd w:val="clear" w:color="auto" w:fill="auto"/>
            <w:vAlign w:val="center"/>
          </w:tcPr>
          <w:p w14:paraId="19809309">
            <w:pPr>
              <w:jc w:val="center"/>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Cs w:val="21"/>
                <w:lang w:val="en-US" w:eastAsia="zh-CN"/>
              </w:rPr>
              <w:t>0.7</w:t>
            </w:r>
          </w:p>
        </w:tc>
        <w:tc>
          <w:tcPr>
            <w:tcW w:w="519" w:type="pct"/>
            <w:shd w:val="clear" w:color="auto" w:fill="auto"/>
            <w:vAlign w:val="center"/>
          </w:tcPr>
          <w:p w14:paraId="60F85481">
            <w:pPr>
              <w:jc w:val="center"/>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Cs w:val="21"/>
                <w:lang w:val="en-US" w:eastAsia="zh-CN"/>
              </w:rPr>
              <w:t>&lt;0.6</w:t>
            </w:r>
          </w:p>
        </w:tc>
        <w:tc>
          <w:tcPr>
            <w:tcW w:w="569" w:type="pct"/>
            <w:shd w:val="clear" w:color="auto" w:fill="auto"/>
            <w:vAlign w:val="center"/>
          </w:tcPr>
          <w:p w14:paraId="1F0E4A0F">
            <w:pPr>
              <w:spacing w:line="300" w:lineRule="exact"/>
              <w:jc w:val="center"/>
              <w:rPr>
                <w:rFonts w:hint="default" w:ascii="Times New Roman" w:hAnsi="Times New Roman" w:cs="Times New Roman" w:eastAsiaTheme="minorEastAsia"/>
                <w:szCs w:val="21"/>
                <w:highlight w:val="red"/>
                <w:lang w:val="en-US" w:eastAsia="zh-CN"/>
              </w:rPr>
            </w:pPr>
            <w:r>
              <w:rPr>
                <w:rFonts w:hint="eastAsia" w:ascii="Times New Roman" w:hAnsi="Times New Roman" w:cs="Times New Roman"/>
                <w:szCs w:val="21"/>
                <w:highlight w:val="none"/>
                <w:lang w:val="en-US" w:eastAsia="zh-CN"/>
              </w:rPr>
              <w:t>18000</w:t>
            </w:r>
          </w:p>
        </w:tc>
        <w:tc>
          <w:tcPr>
            <w:tcW w:w="569" w:type="pct"/>
            <w:shd w:val="clear" w:color="auto" w:fill="auto"/>
            <w:vAlign w:val="center"/>
          </w:tcPr>
          <w:p w14:paraId="30EF2703">
            <w:pPr>
              <w:spacing w:line="300" w:lineRule="exact"/>
              <w:jc w:val="center"/>
              <w:rPr>
                <w:rFonts w:hint="default" w:ascii="Times New Roman" w:hAnsi="Times New Roman" w:cs="Times New Roman" w:eastAsiaTheme="minorEastAsia"/>
                <w:szCs w:val="21"/>
                <w:highlight w:val="red"/>
                <w:lang w:val="en-US" w:eastAsia="zh-CN"/>
              </w:rPr>
            </w:pPr>
            <w:r>
              <w:rPr>
                <w:rFonts w:hint="eastAsia" w:ascii="Times New Roman" w:hAnsi="Times New Roman" w:cs="Times New Roman"/>
                <w:szCs w:val="21"/>
                <w:highlight w:val="none"/>
                <w:lang w:val="en-US" w:eastAsia="zh-CN"/>
              </w:rPr>
              <w:t>0.6</w:t>
            </w:r>
          </w:p>
        </w:tc>
      </w:tr>
      <w:tr w14:paraId="587A7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40B2EF81">
            <w:pPr>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6</w:t>
            </w:r>
          </w:p>
        </w:tc>
        <w:tc>
          <w:tcPr>
            <w:tcW w:w="1173" w:type="pct"/>
            <w:shd w:val="clear" w:color="auto" w:fill="auto"/>
            <w:vAlign w:val="center"/>
          </w:tcPr>
          <w:p w14:paraId="7B6265B9">
            <w:pPr>
              <w:jc w:val="center"/>
              <w:rPr>
                <w:rFonts w:hint="default" w:ascii="Times New Roman" w:hAnsi="Times New Roman" w:cs="Times New Roman" w:eastAsiaTheme="minorEastAsia"/>
                <w:szCs w:val="21"/>
                <w:highlight w:val="red"/>
                <w:lang w:val="en-US" w:eastAsia="zh-CN"/>
              </w:rPr>
            </w:pPr>
            <w:r>
              <w:rPr>
                <w:rFonts w:hint="eastAsia" w:ascii="Times New Roman" w:hAnsi="Times New Roman" w:cs="Times New Roman"/>
                <w:color w:val="000000"/>
                <w:szCs w:val="21"/>
                <w:highlight w:val="none"/>
                <w:lang w:val="en-US" w:eastAsia="zh-CN"/>
              </w:rPr>
              <w:t>铅</w:t>
            </w:r>
          </w:p>
        </w:tc>
        <w:tc>
          <w:tcPr>
            <w:tcW w:w="717" w:type="pct"/>
            <w:shd w:val="clear" w:color="auto" w:fill="auto"/>
            <w:vAlign w:val="center"/>
          </w:tcPr>
          <w:p w14:paraId="78FFBC17">
            <w:pPr>
              <w:spacing w:line="300" w:lineRule="exact"/>
              <w:jc w:val="center"/>
              <w:rPr>
                <w:rFonts w:hint="default" w:ascii="Times New Roman" w:hAnsi="Times New Roman" w:cs="Times New Roman" w:eastAsiaTheme="minorEastAsia"/>
                <w:szCs w:val="21"/>
                <w:highlight w:val="red"/>
                <w:lang w:val="en-US" w:eastAsia="zh-CN"/>
              </w:rPr>
            </w:pPr>
            <w:r>
              <w:rPr>
                <w:rFonts w:hint="default" w:ascii="Times New Roman" w:hAnsi="Times New Roman" w:cs="Times New Roman"/>
                <w:color w:val="000000"/>
                <w:szCs w:val="21"/>
                <w:highlight w:val="none"/>
                <w:lang w:val="en-US" w:eastAsia="zh-CN"/>
              </w:rPr>
              <w:t>mg/kg</w:t>
            </w:r>
          </w:p>
        </w:tc>
        <w:tc>
          <w:tcPr>
            <w:tcW w:w="514" w:type="pct"/>
            <w:shd w:val="clear" w:color="auto" w:fill="auto"/>
            <w:vAlign w:val="center"/>
          </w:tcPr>
          <w:p w14:paraId="44A2A5A6">
            <w:pPr>
              <w:jc w:val="center"/>
              <w:rPr>
                <w:rFonts w:hint="default" w:ascii="Times New Roman" w:hAnsi="Times New Roman" w:cs="Times New Roman" w:eastAsiaTheme="minorEastAsia"/>
                <w:szCs w:val="21"/>
                <w:highlight w:val="red"/>
                <w:lang w:val="en-US" w:eastAsia="zh-CN"/>
              </w:rPr>
            </w:pPr>
            <w:r>
              <w:rPr>
                <w:rFonts w:hint="eastAsia" w:ascii="Times New Roman" w:hAnsi="Times New Roman" w:cs="Times New Roman"/>
                <w:color w:val="000000"/>
                <w:szCs w:val="21"/>
                <w:lang w:val="en-US" w:eastAsia="zh-CN"/>
              </w:rPr>
              <w:t>10</w:t>
            </w:r>
          </w:p>
        </w:tc>
        <w:tc>
          <w:tcPr>
            <w:tcW w:w="575" w:type="pct"/>
            <w:shd w:val="clear" w:color="auto" w:fill="auto"/>
            <w:vAlign w:val="center"/>
          </w:tcPr>
          <w:p w14:paraId="7EDE9783">
            <w:pPr>
              <w:jc w:val="center"/>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Cs w:val="21"/>
                <w:lang w:val="en-US" w:eastAsia="zh-CN"/>
              </w:rPr>
              <w:t>12</w:t>
            </w:r>
          </w:p>
        </w:tc>
        <w:tc>
          <w:tcPr>
            <w:tcW w:w="519" w:type="pct"/>
            <w:shd w:val="clear" w:color="auto" w:fill="auto"/>
            <w:vAlign w:val="center"/>
          </w:tcPr>
          <w:p w14:paraId="1F0E8C95">
            <w:pPr>
              <w:jc w:val="center"/>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Cs w:val="21"/>
                <w:lang w:val="en-US" w:eastAsia="zh-CN"/>
              </w:rPr>
              <w:t>12</w:t>
            </w:r>
          </w:p>
        </w:tc>
        <w:tc>
          <w:tcPr>
            <w:tcW w:w="569" w:type="pct"/>
            <w:shd w:val="clear" w:color="auto" w:fill="auto"/>
            <w:vAlign w:val="center"/>
          </w:tcPr>
          <w:p w14:paraId="3B8A0213">
            <w:pPr>
              <w:spacing w:line="300" w:lineRule="exact"/>
              <w:jc w:val="center"/>
              <w:rPr>
                <w:rFonts w:hint="default" w:ascii="Times New Roman" w:hAnsi="Times New Roman" w:cs="Times New Roman" w:eastAsiaTheme="minorEastAsia"/>
                <w:szCs w:val="21"/>
                <w:highlight w:val="red"/>
                <w:lang w:val="en-US" w:eastAsia="zh-CN"/>
              </w:rPr>
            </w:pPr>
            <w:r>
              <w:rPr>
                <w:rFonts w:hint="eastAsia" w:ascii="Times New Roman" w:hAnsi="Times New Roman" w:cs="Times New Roman"/>
                <w:szCs w:val="21"/>
                <w:highlight w:val="none"/>
                <w:lang w:val="en-US" w:eastAsia="zh-CN"/>
              </w:rPr>
              <w:t>800</w:t>
            </w:r>
          </w:p>
        </w:tc>
        <w:tc>
          <w:tcPr>
            <w:tcW w:w="569" w:type="pct"/>
            <w:shd w:val="clear" w:color="auto" w:fill="auto"/>
            <w:vAlign w:val="center"/>
          </w:tcPr>
          <w:p w14:paraId="55FEDC61">
            <w:pPr>
              <w:spacing w:line="300" w:lineRule="exact"/>
              <w:jc w:val="center"/>
              <w:rPr>
                <w:rFonts w:hint="default" w:ascii="Times New Roman" w:hAnsi="Times New Roman" w:cs="Times New Roman" w:eastAsiaTheme="minorEastAsia"/>
                <w:szCs w:val="21"/>
                <w:highlight w:val="red"/>
                <w:lang w:val="en-US" w:eastAsia="zh-CN"/>
              </w:rPr>
            </w:pPr>
            <w:r>
              <w:rPr>
                <w:rFonts w:hint="eastAsia" w:ascii="Times New Roman" w:hAnsi="Times New Roman" w:cs="Times New Roman"/>
                <w:szCs w:val="21"/>
                <w:highlight w:val="none"/>
                <w:lang w:val="en-US" w:eastAsia="zh-CN"/>
              </w:rPr>
              <w:t>2</w:t>
            </w:r>
          </w:p>
        </w:tc>
      </w:tr>
      <w:tr w14:paraId="5B5F5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010B0B63">
            <w:pPr>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7</w:t>
            </w:r>
          </w:p>
        </w:tc>
        <w:tc>
          <w:tcPr>
            <w:tcW w:w="1173" w:type="pct"/>
            <w:shd w:val="clear" w:color="auto" w:fill="auto"/>
            <w:vAlign w:val="center"/>
          </w:tcPr>
          <w:p w14:paraId="444CFBE8">
            <w:pPr>
              <w:jc w:val="center"/>
              <w:rPr>
                <w:rFonts w:hint="default" w:ascii="Times New Roman" w:hAnsi="Times New Roman" w:cs="Times New Roman" w:eastAsiaTheme="minorEastAsia"/>
                <w:szCs w:val="21"/>
                <w:highlight w:val="red"/>
                <w:lang w:val="en-US" w:eastAsia="zh-CN"/>
              </w:rPr>
            </w:pPr>
            <w:r>
              <w:rPr>
                <w:rFonts w:hint="eastAsia" w:ascii="Times New Roman" w:hAnsi="Times New Roman" w:cs="Times New Roman"/>
                <w:color w:val="000000"/>
                <w:szCs w:val="21"/>
                <w:highlight w:val="none"/>
                <w:lang w:val="en-US" w:eastAsia="zh-CN"/>
              </w:rPr>
              <w:t>铬（六价）</w:t>
            </w:r>
          </w:p>
        </w:tc>
        <w:tc>
          <w:tcPr>
            <w:tcW w:w="717" w:type="pct"/>
            <w:shd w:val="clear" w:color="auto" w:fill="auto"/>
            <w:vAlign w:val="center"/>
          </w:tcPr>
          <w:p w14:paraId="55062D99">
            <w:pPr>
              <w:spacing w:line="300" w:lineRule="exact"/>
              <w:jc w:val="center"/>
              <w:rPr>
                <w:rFonts w:hint="default" w:ascii="Times New Roman" w:hAnsi="Times New Roman" w:cs="Times New Roman" w:eastAsiaTheme="minorEastAsia"/>
                <w:szCs w:val="21"/>
                <w:highlight w:val="red"/>
                <w:lang w:val="en-US" w:eastAsia="zh-CN"/>
              </w:rPr>
            </w:pPr>
            <w:r>
              <w:rPr>
                <w:rFonts w:hint="default" w:ascii="Times New Roman" w:hAnsi="Times New Roman" w:cs="Times New Roman"/>
                <w:color w:val="000000"/>
                <w:szCs w:val="21"/>
                <w:highlight w:val="none"/>
                <w:lang w:val="en-US" w:eastAsia="zh-CN"/>
              </w:rPr>
              <w:t>mg/kg</w:t>
            </w:r>
          </w:p>
        </w:tc>
        <w:tc>
          <w:tcPr>
            <w:tcW w:w="514" w:type="pct"/>
            <w:shd w:val="clear" w:color="auto" w:fill="auto"/>
            <w:vAlign w:val="center"/>
          </w:tcPr>
          <w:p w14:paraId="3E5A80C3">
            <w:pPr>
              <w:jc w:val="center"/>
              <w:rPr>
                <w:rFonts w:hint="default" w:ascii="Times New Roman" w:hAnsi="Times New Roman" w:cs="Times New Roman" w:eastAsiaTheme="minorEastAsia"/>
                <w:szCs w:val="21"/>
                <w:highlight w:val="red"/>
                <w:lang w:val="en-US" w:eastAsia="zh-CN"/>
              </w:rPr>
            </w:pPr>
            <w:r>
              <w:rPr>
                <w:rFonts w:hint="eastAsia" w:ascii="Times New Roman" w:hAnsi="Times New Roman" w:cs="Times New Roman"/>
                <w:color w:val="000000"/>
                <w:szCs w:val="21"/>
                <w:lang w:val="en-US" w:eastAsia="zh-CN"/>
              </w:rPr>
              <w:t>&lt;0.5</w:t>
            </w:r>
          </w:p>
        </w:tc>
        <w:tc>
          <w:tcPr>
            <w:tcW w:w="575" w:type="pct"/>
            <w:shd w:val="clear" w:color="auto" w:fill="auto"/>
            <w:vAlign w:val="center"/>
          </w:tcPr>
          <w:p w14:paraId="1453F096">
            <w:pPr>
              <w:jc w:val="center"/>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Cs w:val="21"/>
                <w:lang w:val="en-US" w:eastAsia="zh-CN"/>
              </w:rPr>
              <w:t>&lt;0.5</w:t>
            </w:r>
          </w:p>
        </w:tc>
        <w:tc>
          <w:tcPr>
            <w:tcW w:w="519" w:type="pct"/>
            <w:shd w:val="clear" w:color="auto" w:fill="auto"/>
            <w:vAlign w:val="center"/>
          </w:tcPr>
          <w:p w14:paraId="7B5222C4">
            <w:pPr>
              <w:jc w:val="center"/>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Cs w:val="21"/>
                <w:lang w:val="en-US" w:eastAsia="zh-CN"/>
              </w:rPr>
              <w:t>&lt;0.5</w:t>
            </w:r>
          </w:p>
        </w:tc>
        <w:tc>
          <w:tcPr>
            <w:tcW w:w="569" w:type="pct"/>
            <w:shd w:val="clear" w:color="auto" w:fill="auto"/>
            <w:vAlign w:val="center"/>
          </w:tcPr>
          <w:p w14:paraId="7CE14A1E">
            <w:pPr>
              <w:spacing w:line="300" w:lineRule="exact"/>
              <w:jc w:val="center"/>
              <w:rPr>
                <w:rFonts w:hint="default" w:ascii="Times New Roman" w:hAnsi="Times New Roman" w:cs="Times New Roman" w:eastAsiaTheme="minorEastAsia"/>
                <w:szCs w:val="21"/>
                <w:highlight w:val="red"/>
                <w:lang w:val="en-US" w:eastAsia="zh-CN"/>
              </w:rPr>
            </w:pPr>
            <w:r>
              <w:rPr>
                <w:rFonts w:hint="eastAsia" w:ascii="Times New Roman" w:hAnsi="Times New Roman" w:cs="Times New Roman"/>
                <w:szCs w:val="21"/>
                <w:highlight w:val="none"/>
                <w:lang w:val="en-US" w:eastAsia="zh-CN"/>
              </w:rPr>
              <w:t>5.7</w:t>
            </w:r>
          </w:p>
        </w:tc>
        <w:tc>
          <w:tcPr>
            <w:tcW w:w="569" w:type="pct"/>
            <w:shd w:val="clear" w:color="auto" w:fill="auto"/>
            <w:vAlign w:val="center"/>
          </w:tcPr>
          <w:p w14:paraId="6645C86D">
            <w:pPr>
              <w:spacing w:line="300" w:lineRule="exact"/>
              <w:jc w:val="center"/>
              <w:rPr>
                <w:rFonts w:hint="default" w:ascii="Times New Roman" w:hAnsi="Times New Roman" w:cs="Times New Roman" w:eastAsiaTheme="minorEastAsia"/>
                <w:szCs w:val="21"/>
                <w:highlight w:val="red"/>
                <w:lang w:val="en-US" w:eastAsia="zh-CN"/>
              </w:rPr>
            </w:pPr>
            <w:r>
              <w:rPr>
                <w:rFonts w:hint="default" w:ascii="Times New Roman" w:hAnsi="Times New Roman" w:cs="Times New Roman"/>
                <w:color w:val="000000"/>
                <w:sz w:val="21"/>
                <w:szCs w:val="21"/>
                <w:highlight w:val="none"/>
                <w:lang w:val="en-US" w:eastAsia="zh-CN"/>
              </w:rPr>
              <w:t>0.5</w:t>
            </w:r>
          </w:p>
        </w:tc>
      </w:tr>
      <w:tr w14:paraId="0884D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0F55ED0A">
            <w:pPr>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8</w:t>
            </w:r>
          </w:p>
        </w:tc>
        <w:tc>
          <w:tcPr>
            <w:tcW w:w="1173" w:type="pct"/>
            <w:shd w:val="clear" w:color="auto" w:fill="auto"/>
            <w:vAlign w:val="center"/>
          </w:tcPr>
          <w:p w14:paraId="462E812D">
            <w:pPr>
              <w:jc w:val="center"/>
              <w:rPr>
                <w:rFonts w:hint="default" w:ascii="Times New Roman" w:hAnsi="Times New Roman" w:cs="Times New Roman" w:eastAsiaTheme="minorEastAsia"/>
                <w:szCs w:val="21"/>
                <w:highlight w:val="red"/>
                <w:lang w:val="en-US" w:eastAsia="zh-CN"/>
              </w:rPr>
            </w:pPr>
            <w:r>
              <w:rPr>
                <w:rFonts w:hint="eastAsia" w:ascii="Times New Roman" w:hAnsi="Times New Roman" w:cs="Times New Roman"/>
                <w:color w:val="000000"/>
                <w:szCs w:val="21"/>
                <w:highlight w:val="none"/>
                <w:lang w:val="en-US" w:eastAsia="zh-CN"/>
              </w:rPr>
              <w:t>汞</w:t>
            </w:r>
          </w:p>
        </w:tc>
        <w:tc>
          <w:tcPr>
            <w:tcW w:w="717" w:type="pct"/>
            <w:shd w:val="clear" w:color="auto" w:fill="auto"/>
            <w:vAlign w:val="center"/>
          </w:tcPr>
          <w:p w14:paraId="2717F246">
            <w:pPr>
              <w:spacing w:line="300" w:lineRule="exact"/>
              <w:jc w:val="center"/>
              <w:rPr>
                <w:rFonts w:hint="default" w:ascii="Times New Roman" w:hAnsi="Times New Roman" w:cs="Times New Roman" w:eastAsiaTheme="minorEastAsia"/>
                <w:szCs w:val="21"/>
                <w:highlight w:val="red"/>
                <w:lang w:val="en-US" w:eastAsia="zh-CN"/>
              </w:rPr>
            </w:pPr>
            <w:r>
              <w:rPr>
                <w:rFonts w:hint="default" w:ascii="Times New Roman" w:hAnsi="Times New Roman" w:cs="Times New Roman"/>
                <w:color w:val="000000"/>
                <w:szCs w:val="21"/>
                <w:highlight w:val="none"/>
                <w:lang w:val="en-US" w:eastAsia="zh-CN"/>
              </w:rPr>
              <w:t>mg/kg</w:t>
            </w:r>
          </w:p>
        </w:tc>
        <w:tc>
          <w:tcPr>
            <w:tcW w:w="514" w:type="pct"/>
            <w:shd w:val="clear" w:color="auto" w:fill="auto"/>
            <w:vAlign w:val="center"/>
          </w:tcPr>
          <w:p w14:paraId="26F8291E">
            <w:pPr>
              <w:jc w:val="center"/>
              <w:rPr>
                <w:rFonts w:hint="default" w:ascii="Times New Roman" w:hAnsi="Times New Roman" w:cs="Times New Roman" w:eastAsiaTheme="minorEastAsia"/>
                <w:szCs w:val="21"/>
                <w:highlight w:val="red"/>
                <w:lang w:val="en-US" w:eastAsia="zh-CN"/>
              </w:rPr>
            </w:pPr>
            <w:r>
              <w:rPr>
                <w:rFonts w:hint="eastAsia" w:ascii="Times New Roman" w:hAnsi="Times New Roman" w:cs="Times New Roman"/>
                <w:color w:val="000000"/>
                <w:szCs w:val="21"/>
                <w:lang w:val="en-US" w:eastAsia="zh-CN"/>
              </w:rPr>
              <w:t>0.0228</w:t>
            </w:r>
          </w:p>
        </w:tc>
        <w:tc>
          <w:tcPr>
            <w:tcW w:w="575" w:type="pct"/>
            <w:shd w:val="clear" w:color="auto" w:fill="auto"/>
            <w:vAlign w:val="center"/>
          </w:tcPr>
          <w:p w14:paraId="2EAD6D1F">
            <w:pPr>
              <w:jc w:val="center"/>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Cs w:val="21"/>
                <w:lang w:val="en-US" w:eastAsia="zh-CN"/>
              </w:rPr>
              <w:t>0.0536</w:t>
            </w:r>
          </w:p>
        </w:tc>
        <w:tc>
          <w:tcPr>
            <w:tcW w:w="519" w:type="pct"/>
            <w:shd w:val="clear" w:color="auto" w:fill="auto"/>
            <w:vAlign w:val="center"/>
          </w:tcPr>
          <w:p w14:paraId="799CFCE5">
            <w:pPr>
              <w:jc w:val="center"/>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Cs w:val="21"/>
                <w:lang w:val="en-US" w:eastAsia="zh-CN"/>
              </w:rPr>
              <w:t>0.0563</w:t>
            </w:r>
          </w:p>
        </w:tc>
        <w:tc>
          <w:tcPr>
            <w:tcW w:w="569" w:type="pct"/>
            <w:shd w:val="clear" w:color="auto" w:fill="auto"/>
            <w:vAlign w:val="center"/>
          </w:tcPr>
          <w:p w14:paraId="3CF3E4AF">
            <w:pPr>
              <w:spacing w:line="300" w:lineRule="exact"/>
              <w:jc w:val="center"/>
              <w:rPr>
                <w:rFonts w:hint="default" w:ascii="Times New Roman" w:hAnsi="Times New Roman" w:cs="Times New Roman" w:eastAsiaTheme="minorEastAsia"/>
                <w:szCs w:val="21"/>
                <w:highlight w:val="red"/>
                <w:lang w:val="en-US" w:eastAsia="zh-CN"/>
              </w:rPr>
            </w:pPr>
            <w:r>
              <w:rPr>
                <w:rFonts w:hint="eastAsia" w:ascii="Times New Roman" w:hAnsi="Times New Roman" w:cs="Times New Roman"/>
                <w:szCs w:val="21"/>
                <w:highlight w:val="none"/>
                <w:lang w:val="en-US" w:eastAsia="zh-CN"/>
              </w:rPr>
              <w:t>38</w:t>
            </w:r>
          </w:p>
        </w:tc>
        <w:tc>
          <w:tcPr>
            <w:tcW w:w="569" w:type="pct"/>
            <w:shd w:val="clear" w:color="auto" w:fill="auto"/>
            <w:vAlign w:val="center"/>
          </w:tcPr>
          <w:p w14:paraId="733E1B7B">
            <w:pPr>
              <w:spacing w:line="300" w:lineRule="exact"/>
              <w:jc w:val="center"/>
              <w:rPr>
                <w:rFonts w:hint="default" w:ascii="Times New Roman" w:hAnsi="Times New Roman" w:cs="Times New Roman" w:eastAsiaTheme="minorEastAsia"/>
                <w:szCs w:val="21"/>
                <w:highlight w:val="red"/>
                <w:lang w:val="en-US" w:eastAsia="zh-CN"/>
              </w:rPr>
            </w:pPr>
            <w:r>
              <w:rPr>
                <w:rFonts w:hint="default" w:ascii="Times New Roman" w:hAnsi="Times New Roman" w:cs="Times New Roman"/>
                <w:color w:val="000000"/>
                <w:sz w:val="21"/>
                <w:szCs w:val="21"/>
                <w:highlight w:val="none"/>
                <w:lang w:val="en-US" w:eastAsia="zh-CN"/>
              </w:rPr>
              <w:t>0.002</w:t>
            </w:r>
          </w:p>
        </w:tc>
      </w:tr>
      <w:tr w14:paraId="68E3A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7D860A35">
            <w:pPr>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9</w:t>
            </w:r>
          </w:p>
        </w:tc>
        <w:tc>
          <w:tcPr>
            <w:tcW w:w="1173" w:type="pct"/>
            <w:shd w:val="clear" w:color="auto" w:fill="auto"/>
            <w:vAlign w:val="center"/>
          </w:tcPr>
          <w:p w14:paraId="771C3835">
            <w:pPr>
              <w:jc w:val="center"/>
              <w:rPr>
                <w:rFonts w:hint="default" w:ascii="Times New Roman" w:hAnsi="Times New Roman" w:cs="Times New Roman" w:eastAsiaTheme="minorEastAsia"/>
                <w:szCs w:val="21"/>
                <w:highlight w:val="red"/>
                <w:lang w:val="en-US" w:eastAsia="zh-CN"/>
              </w:rPr>
            </w:pPr>
            <w:r>
              <w:rPr>
                <w:rFonts w:hint="eastAsia" w:ascii="Times New Roman" w:hAnsi="Times New Roman" w:cs="Times New Roman"/>
                <w:color w:val="000000"/>
                <w:szCs w:val="21"/>
                <w:highlight w:val="none"/>
                <w:lang w:val="en-US" w:eastAsia="zh-CN"/>
              </w:rPr>
              <w:t>砷</w:t>
            </w:r>
          </w:p>
        </w:tc>
        <w:tc>
          <w:tcPr>
            <w:tcW w:w="717" w:type="pct"/>
            <w:shd w:val="clear" w:color="auto" w:fill="auto"/>
            <w:vAlign w:val="center"/>
          </w:tcPr>
          <w:p w14:paraId="6FDF6AA1">
            <w:pPr>
              <w:spacing w:line="300" w:lineRule="exact"/>
              <w:jc w:val="center"/>
              <w:rPr>
                <w:rFonts w:hint="default" w:ascii="Times New Roman" w:hAnsi="Times New Roman" w:cs="Times New Roman" w:eastAsiaTheme="minorEastAsia"/>
                <w:szCs w:val="21"/>
                <w:highlight w:val="red"/>
                <w:lang w:val="en-US" w:eastAsia="zh-CN"/>
              </w:rPr>
            </w:pPr>
            <w:r>
              <w:rPr>
                <w:rFonts w:hint="default" w:ascii="Times New Roman" w:hAnsi="Times New Roman" w:cs="Times New Roman"/>
                <w:color w:val="000000"/>
                <w:szCs w:val="21"/>
                <w:highlight w:val="none"/>
                <w:lang w:val="en-US" w:eastAsia="zh-CN"/>
              </w:rPr>
              <w:t>mg/kg</w:t>
            </w:r>
          </w:p>
        </w:tc>
        <w:tc>
          <w:tcPr>
            <w:tcW w:w="514" w:type="pct"/>
            <w:shd w:val="clear" w:color="auto" w:fill="auto"/>
            <w:vAlign w:val="center"/>
          </w:tcPr>
          <w:p w14:paraId="1CE4C6AD">
            <w:pPr>
              <w:jc w:val="center"/>
              <w:rPr>
                <w:rFonts w:hint="default" w:ascii="Times New Roman" w:hAnsi="Times New Roman" w:cs="Times New Roman" w:eastAsiaTheme="minorEastAsia"/>
                <w:szCs w:val="21"/>
                <w:highlight w:val="red"/>
                <w:lang w:val="en-US" w:eastAsia="zh-CN"/>
              </w:rPr>
            </w:pPr>
            <w:r>
              <w:rPr>
                <w:rFonts w:hint="eastAsia" w:ascii="Times New Roman" w:hAnsi="Times New Roman" w:cs="Times New Roman"/>
                <w:color w:val="000000"/>
                <w:szCs w:val="21"/>
                <w:lang w:val="en-US" w:eastAsia="zh-CN"/>
              </w:rPr>
              <w:t>10.1</w:t>
            </w:r>
          </w:p>
        </w:tc>
        <w:tc>
          <w:tcPr>
            <w:tcW w:w="575" w:type="pct"/>
            <w:shd w:val="clear" w:color="auto" w:fill="auto"/>
            <w:vAlign w:val="center"/>
          </w:tcPr>
          <w:p w14:paraId="660818A2">
            <w:pPr>
              <w:jc w:val="center"/>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Cs w:val="21"/>
                <w:lang w:val="en-US" w:eastAsia="zh-CN"/>
              </w:rPr>
              <w:t>10.7</w:t>
            </w:r>
          </w:p>
        </w:tc>
        <w:tc>
          <w:tcPr>
            <w:tcW w:w="519" w:type="pct"/>
            <w:shd w:val="clear" w:color="auto" w:fill="auto"/>
            <w:vAlign w:val="center"/>
          </w:tcPr>
          <w:p w14:paraId="2D5043AF">
            <w:pPr>
              <w:jc w:val="center"/>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Cs w:val="21"/>
                <w:lang w:val="en-US" w:eastAsia="zh-CN"/>
              </w:rPr>
              <w:t>11.7</w:t>
            </w:r>
          </w:p>
        </w:tc>
        <w:tc>
          <w:tcPr>
            <w:tcW w:w="569" w:type="pct"/>
            <w:shd w:val="clear" w:color="auto" w:fill="auto"/>
            <w:vAlign w:val="center"/>
          </w:tcPr>
          <w:p w14:paraId="0BDE6B70">
            <w:pPr>
              <w:spacing w:line="300" w:lineRule="exact"/>
              <w:jc w:val="center"/>
              <w:rPr>
                <w:rFonts w:hint="default" w:ascii="Times New Roman" w:hAnsi="Times New Roman" w:cs="Times New Roman" w:eastAsiaTheme="minorEastAsia"/>
                <w:szCs w:val="21"/>
                <w:highlight w:val="red"/>
                <w:lang w:val="en-US" w:eastAsia="zh-CN"/>
              </w:rPr>
            </w:pPr>
            <w:r>
              <w:rPr>
                <w:rFonts w:hint="eastAsia" w:ascii="Times New Roman" w:hAnsi="Times New Roman" w:cs="Times New Roman"/>
                <w:szCs w:val="21"/>
                <w:highlight w:val="none"/>
                <w:lang w:val="en-US" w:eastAsia="zh-CN"/>
              </w:rPr>
              <w:t>60</w:t>
            </w:r>
          </w:p>
        </w:tc>
        <w:tc>
          <w:tcPr>
            <w:tcW w:w="569" w:type="pct"/>
            <w:shd w:val="clear" w:color="auto" w:fill="auto"/>
            <w:vAlign w:val="center"/>
          </w:tcPr>
          <w:p w14:paraId="1F3EB9BE">
            <w:pPr>
              <w:spacing w:line="300" w:lineRule="exact"/>
              <w:jc w:val="center"/>
              <w:rPr>
                <w:rFonts w:hint="default" w:ascii="Times New Roman" w:hAnsi="Times New Roman" w:cs="Times New Roman" w:eastAsiaTheme="minorEastAsia"/>
                <w:szCs w:val="21"/>
                <w:highlight w:val="red"/>
                <w:lang w:val="en-US" w:eastAsia="zh-CN"/>
              </w:rPr>
            </w:pPr>
            <w:r>
              <w:rPr>
                <w:rFonts w:hint="default" w:ascii="Times New Roman" w:hAnsi="Times New Roman" w:cs="Times New Roman"/>
                <w:color w:val="000000"/>
                <w:sz w:val="21"/>
                <w:szCs w:val="21"/>
                <w:highlight w:val="none"/>
                <w:lang w:val="en-US" w:eastAsia="zh-CN"/>
              </w:rPr>
              <w:t>0.01</w:t>
            </w:r>
          </w:p>
        </w:tc>
      </w:tr>
      <w:tr w14:paraId="34DA3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006B6569">
            <w:pPr>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10</w:t>
            </w:r>
          </w:p>
        </w:tc>
        <w:tc>
          <w:tcPr>
            <w:tcW w:w="1173" w:type="pct"/>
            <w:shd w:val="clear" w:color="auto" w:fill="auto"/>
            <w:vAlign w:val="center"/>
          </w:tcPr>
          <w:p w14:paraId="44DAAEAB">
            <w:pPr>
              <w:jc w:val="center"/>
              <w:rPr>
                <w:rFonts w:hint="default" w:ascii="Times New Roman" w:hAnsi="Times New Roman" w:cs="Times New Roman" w:eastAsiaTheme="minorEastAsia"/>
                <w:szCs w:val="21"/>
                <w:highlight w:val="red"/>
                <w:lang w:val="en-US" w:eastAsia="zh-CN"/>
              </w:rPr>
            </w:pPr>
            <w:r>
              <w:rPr>
                <w:rFonts w:hint="default" w:ascii="Times New Roman" w:hAnsi="Times New Roman" w:cs="Times New Roman"/>
                <w:color w:val="000000"/>
                <w:szCs w:val="21"/>
                <w:highlight w:val="none"/>
                <w:lang w:val="en-US" w:eastAsia="zh-CN"/>
              </w:rPr>
              <w:t>石油烃（C</w:t>
            </w:r>
            <w:r>
              <w:rPr>
                <w:rFonts w:hint="default" w:ascii="Times New Roman" w:hAnsi="Times New Roman" w:cs="Times New Roman"/>
                <w:color w:val="000000"/>
                <w:szCs w:val="21"/>
                <w:highlight w:val="none"/>
                <w:vertAlign w:val="subscript"/>
                <w:lang w:val="en-US" w:eastAsia="zh-CN"/>
              </w:rPr>
              <w:t>10</w:t>
            </w:r>
            <w:r>
              <w:rPr>
                <w:rFonts w:hint="default" w:ascii="Times New Roman" w:hAnsi="Times New Roman" w:cs="Times New Roman"/>
                <w:color w:val="000000"/>
                <w:szCs w:val="21"/>
                <w:highlight w:val="none"/>
                <w:lang w:val="en-US" w:eastAsia="zh-CN"/>
              </w:rPr>
              <w:t>-C</w:t>
            </w:r>
            <w:r>
              <w:rPr>
                <w:rFonts w:hint="default" w:ascii="Times New Roman" w:hAnsi="Times New Roman" w:cs="Times New Roman"/>
                <w:color w:val="000000"/>
                <w:szCs w:val="21"/>
                <w:highlight w:val="none"/>
                <w:vertAlign w:val="subscript"/>
                <w:lang w:val="en-US" w:eastAsia="zh-CN"/>
              </w:rPr>
              <w:t>40</w:t>
            </w:r>
            <w:r>
              <w:rPr>
                <w:rFonts w:hint="default" w:ascii="Times New Roman" w:hAnsi="Times New Roman" w:cs="Times New Roman"/>
                <w:color w:val="000000"/>
                <w:szCs w:val="21"/>
                <w:highlight w:val="none"/>
                <w:lang w:val="en-US" w:eastAsia="zh-CN"/>
              </w:rPr>
              <w:t>）</w:t>
            </w:r>
          </w:p>
        </w:tc>
        <w:tc>
          <w:tcPr>
            <w:tcW w:w="717" w:type="pct"/>
            <w:shd w:val="clear" w:color="auto" w:fill="auto"/>
            <w:vAlign w:val="center"/>
          </w:tcPr>
          <w:p w14:paraId="4E5FD0F5">
            <w:pPr>
              <w:spacing w:line="300" w:lineRule="exact"/>
              <w:jc w:val="center"/>
              <w:rPr>
                <w:rFonts w:hint="default" w:ascii="Times New Roman" w:hAnsi="Times New Roman" w:cs="Times New Roman" w:eastAsiaTheme="minorEastAsia"/>
                <w:szCs w:val="21"/>
                <w:highlight w:val="red"/>
                <w:lang w:val="en-US" w:eastAsia="zh-CN"/>
              </w:rPr>
            </w:pPr>
            <w:r>
              <w:rPr>
                <w:rFonts w:hint="default" w:ascii="Times New Roman" w:hAnsi="Times New Roman" w:cs="Times New Roman"/>
                <w:color w:val="000000"/>
                <w:szCs w:val="21"/>
                <w:highlight w:val="none"/>
                <w:lang w:val="en-US" w:eastAsia="zh-CN"/>
              </w:rPr>
              <w:t>mg/kg</w:t>
            </w:r>
          </w:p>
        </w:tc>
        <w:tc>
          <w:tcPr>
            <w:tcW w:w="514" w:type="pct"/>
            <w:shd w:val="clear" w:color="auto" w:fill="auto"/>
            <w:vAlign w:val="center"/>
          </w:tcPr>
          <w:p w14:paraId="0A078B61">
            <w:pPr>
              <w:jc w:val="center"/>
              <w:rPr>
                <w:rFonts w:hint="default" w:ascii="Times New Roman" w:hAnsi="Times New Roman" w:cs="Times New Roman" w:eastAsiaTheme="minorEastAsia"/>
                <w:szCs w:val="21"/>
                <w:highlight w:val="red"/>
                <w:lang w:val="en-US" w:eastAsia="zh-CN"/>
              </w:rPr>
            </w:pPr>
            <w:r>
              <w:rPr>
                <w:rFonts w:hint="eastAsia" w:ascii="Times New Roman" w:hAnsi="Times New Roman" w:cs="Times New Roman"/>
                <w:color w:val="000000"/>
                <w:szCs w:val="21"/>
                <w:lang w:val="en-US" w:eastAsia="zh-CN"/>
              </w:rPr>
              <w:t>＜6</w:t>
            </w:r>
          </w:p>
        </w:tc>
        <w:tc>
          <w:tcPr>
            <w:tcW w:w="575" w:type="pct"/>
            <w:shd w:val="clear" w:color="auto" w:fill="auto"/>
            <w:vAlign w:val="center"/>
          </w:tcPr>
          <w:p w14:paraId="16B47A4F">
            <w:pPr>
              <w:jc w:val="center"/>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Cs w:val="21"/>
                <w:lang w:val="en-US" w:eastAsia="zh-CN"/>
              </w:rPr>
              <w:t>＜6</w:t>
            </w:r>
          </w:p>
        </w:tc>
        <w:tc>
          <w:tcPr>
            <w:tcW w:w="519" w:type="pct"/>
            <w:shd w:val="clear" w:color="auto" w:fill="auto"/>
            <w:vAlign w:val="center"/>
          </w:tcPr>
          <w:p w14:paraId="6A08E4F3">
            <w:pPr>
              <w:jc w:val="center"/>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Cs w:val="21"/>
                <w:lang w:val="en-US" w:eastAsia="zh-CN"/>
              </w:rPr>
              <w:t>＜6</w:t>
            </w:r>
          </w:p>
        </w:tc>
        <w:tc>
          <w:tcPr>
            <w:tcW w:w="569" w:type="pct"/>
            <w:shd w:val="clear" w:color="auto" w:fill="auto"/>
            <w:vAlign w:val="center"/>
          </w:tcPr>
          <w:p w14:paraId="6AE8FA5F">
            <w:pPr>
              <w:spacing w:line="300" w:lineRule="exact"/>
              <w:jc w:val="center"/>
              <w:rPr>
                <w:rFonts w:hint="default" w:ascii="Times New Roman" w:hAnsi="Times New Roman" w:cs="Times New Roman" w:eastAsiaTheme="minorEastAsia"/>
                <w:szCs w:val="21"/>
                <w:highlight w:val="red"/>
                <w:lang w:val="en-US" w:eastAsia="zh-CN"/>
              </w:rPr>
            </w:pPr>
            <w:r>
              <w:rPr>
                <w:rFonts w:hint="eastAsia" w:ascii="Times New Roman" w:hAnsi="Times New Roman" w:cs="Times New Roman"/>
                <w:szCs w:val="21"/>
                <w:highlight w:val="none"/>
                <w:lang w:val="en-US" w:eastAsia="zh-CN"/>
              </w:rPr>
              <w:t>4500</w:t>
            </w:r>
          </w:p>
        </w:tc>
        <w:tc>
          <w:tcPr>
            <w:tcW w:w="569" w:type="pct"/>
            <w:shd w:val="clear" w:color="auto" w:fill="auto"/>
            <w:vAlign w:val="center"/>
          </w:tcPr>
          <w:p w14:paraId="08DEDFFB">
            <w:pPr>
              <w:spacing w:line="300" w:lineRule="exact"/>
              <w:jc w:val="center"/>
              <w:rPr>
                <w:rFonts w:hint="default" w:ascii="Times New Roman" w:hAnsi="Times New Roman" w:cs="Times New Roman" w:eastAsiaTheme="minorEastAsia"/>
                <w:szCs w:val="21"/>
                <w:highlight w:val="red"/>
                <w:lang w:val="en-US" w:eastAsia="zh-CN"/>
              </w:rPr>
            </w:pPr>
            <w:r>
              <w:rPr>
                <w:rFonts w:hint="default" w:ascii="Times New Roman" w:hAnsi="Times New Roman" w:cs="Times New Roman"/>
                <w:color w:val="000000"/>
                <w:sz w:val="21"/>
                <w:szCs w:val="21"/>
                <w:highlight w:val="none"/>
                <w:lang w:val="en-US" w:eastAsia="zh-CN"/>
              </w:rPr>
              <w:t>6</w:t>
            </w:r>
          </w:p>
        </w:tc>
      </w:tr>
      <w:tr w14:paraId="34F3B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7BDE2B3C">
            <w:pPr>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11</w:t>
            </w:r>
          </w:p>
        </w:tc>
        <w:tc>
          <w:tcPr>
            <w:tcW w:w="1173" w:type="pct"/>
            <w:shd w:val="clear" w:color="auto" w:fill="auto"/>
            <w:vAlign w:val="center"/>
          </w:tcPr>
          <w:p w14:paraId="096561D0">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二噁英类</w:t>
            </w:r>
          </w:p>
        </w:tc>
        <w:tc>
          <w:tcPr>
            <w:tcW w:w="717" w:type="pct"/>
            <w:shd w:val="clear" w:color="auto" w:fill="auto"/>
            <w:vAlign w:val="center"/>
          </w:tcPr>
          <w:p w14:paraId="0B74E984">
            <w:pPr>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eastAsia="宋体" w:cs="宋体"/>
                <w:spacing w:val="-1"/>
                <w:sz w:val="24"/>
                <w:szCs w:val="24"/>
              </w:rPr>
              <w:t>ngTEQ/kg</w:t>
            </w:r>
          </w:p>
        </w:tc>
        <w:tc>
          <w:tcPr>
            <w:tcW w:w="514" w:type="pct"/>
            <w:shd w:val="clear" w:color="auto" w:fill="auto"/>
            <w:vAlign w:val="center"/>
          </w:tcPr>
          <w:p w14:paraId="000DE3DB">
            <w:pPr>
              <w:jc w:val="center"/>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0.33</w:t>
            </w:r>
          </w:p>
        </w:tc>
        <w:tc>
          <w:tcPr>
            <w:tcW w:w="575" w:type="pct"/>
            <w:shd w:val="clear" w:color="auto" w:fill="auto"/>
            <w:vAlign w:val="center"/>
          </w:tcPr>
          <w:p w14:paraId="1C18AEAD">
            <w:pPr>
              <w:jc w:val="center"/>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0.27</w:t>
            </w:r>
          </w:p>
        </w:tc>
        <w:tc>
          <w:tcPr>
            <w:tcW w:w="519" w:type="pct"/>
            <w:shd w:val="clear" w:color="auto" w:fill="auto"/>
            <w:vAlign w:val="center"/>
          </w:tcPr>
          <w:p w14:paraId="4A17EE5B">
            <w:pPr>
              <w:jc w:val="center"/>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0.21</w:t>
            </w:r>
          </w:p>
        </w:tc>
        <w:tc>
          <w:tcPr>
            <w:tcW w:w="569" w:type="pct"/>
            <w:shd w:val="clear" w:color="auto" w:fill="auto"/>
            <w:vAlign w:val="center"/>
          </w:tcPr>
          <w:p w14:paraId="4B3F7365">
            <w:pPr>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40</w:t>
            </w:r>
          </w:p>
        </w:tc>
        <w:tc>
          <w:tcPr>
            <w:tcW w:w="569" w:type="pct"/>
            <w:shd w:val="clear" w:color="auto" w:fill="auto"/>
            <w:vAlign w:val="center"/>
          </w:tcPr>
          <w:p w14:paraId="67F20100">
            <w:pPr>
              <w:spacing w:line="300" w:lineRule="exact"/>
              <w:jc w:val="center"/>
              <w:rPr>
                <w:rFonts w:hint="default" w:ascii="Times New Roman" w:hAnsi="Times New Roman" w:cs="Times New Roman"/>
                <w:color w:val="000000"/>
                <w:sz w:val="21"/>
                <w:szCs w:val="21"/>
                <w:highlight w:val="none"/>
                <w:lang w:val="en-US" w:eastAsia="zh-CN"/>
              </w:rPr>
            </w:pPr>
          </w:p>
        </w:tc>
      </w:tr>
      <w:tr w14:paraId="3C1AB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0E620D6D">
            <w:pPr>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12</w:t>
            </w:r>
          </w:p>
        </w:tc>
        <w:tc>
          <w:tcPr>
            <w:tcW w:w="1173" w:type="pct"/>
            <w:shd w:val="clear" w:color="auto" w:fill="auto"/>
            <w:vAlign w:val="center"/>
          </w:tcPr>
          <w:p w14:paraId="624173D9">
            <w:pPr>
              <w:spacing w:line="300" w:lineRule="exact"/>
              <w:jc w:val="center"/>
              <w:rPr>
                <w:rFonts w:hint="default" w:ascii="Times New Roman" w:hAnsi="Times New Roman" w:cs="Times New Roman" w:eastAsiaTheme="minorEastAsia"/>
                <w:szCs w:val="21"/>
                <w:highlight w:val="red"/>
                <w:lang w:val="en-US" w:eastAsia="zh-CN"/>
              </w:rPr>
            </w:pPr>
          </w:p>
        </w:tc>
        <w:tc>
          <w:tcPr>
            <w:tcW w:w="717" w:type="pct"/>
            <w:shd w:val="clear" w:color="auto" w:fill="auto"/>
            <w:vAlign w:val="center"/>
          </w:tcPr>
          <w:p w14:paraId="6D1DB854">
            <w:pPr>
              <w:spacing w:line="300" w:lineRule="exact"/>
              <w:jc w:val="center"/>
              <w:rPr>
                <w:rFonts w:hint="default" w:ascii="Times New Roman" w:hAnsi="Times New Roman" w:cs="Times New Roman" w:eastAsiaTheme="minorEastAsia"/>
                <w:szCs w:val="21"/>
                <w:highlight w:val="red"/>
                <w:lang w:val="en-US" w:eastAsia="zh-CN"/>
              </w:rPr>
            </w:pPr>
          </w:p>
        </w:tc>
        <w:tc>
          <w:tcPr>
            <w:tcW w:w="1608" w:type="pct"/>
            <w:gridSpan w:val="3"/>
            <w:shd w:val="clear" w:color="auto" w:fill="auto"/>
            <w:vAlign w:val="center"/>
          </w:tcPr>
          <w:p w14:paraId="1DA489EC">
            <w:pPr>
              <w:spacing w:line="300" w:lineRule="exact"/>
              <w:jc w:val="center"/>
              <w:rPr>
                <w:rFonts w:hint="default" w:ascii="Times New Roman" w:hAnsi="Times New Roman" w:cs="Times New Roman" w:eastAsiaTheme="minorEastAsia"/>
                <w:szCs w:val="21"/>
                <w:highlight w:val="none"/>
                <w:lang w:val="en-US" w:eastAsia="zh-CN"/>
              </w:rPr>
            </w:pPr>
          </w:p>
        </w:tc>
        <w:tc>
          <w:tcPr>
            <w:tcW w:w="569" w:type="pct"/>
            <w:shd w:val="clear" w:color="auto" w:fill="auto"/>
            <w:vAlign w:val="center"/>
          </w:tcPr>
          <w:p w14:paraId="1426019D">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569" w:type="pct"/>
            <w:shd w:val="clear" w:color="auto" w:fill="auto"/>
            <w:vAlign w:val="center"/>
          </w:tcPr>
          <w:p w14:paraId="56C70141">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r>
      <w:tr w14:paraId="663A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6985DEB6">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b/>
                <w:bCs/>
                <w:szCs w:val="21"/>
                <w:highlight w:val="none"/>
                <w:lang w:val="en-US" w:eastAsia="zh-CN"/>
              </w:rPr>
              <w:t>序号</w:t>
            </w:r>
          </w:p>
        </w:tc>
        <w:tc>
          <w:tcPr>
            <w:tcW w:w="1173" w:type="pct"/>
            <w:shd w:val="clear" w:color="auto" w:fill="auto"/>
            <w:vAlign w:val="center"/>
          </w:tcPr>
          <w:p w14:paraId="1DE03EA9">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b/>
                <w:bCs/>
                <w:szCs w:val="21"/>
                <w:highlight w:val="none"/>
                <w:lang w:val="en-US" w:eastAsia="zh-CN"/>
              </w:rPr>
              <w:t>检 测 项 目</w:t>
            </w:r>
          </w:p>
        </w:tc>
        <w:tc>
          <w:tcPr>
            <w:tcW w:w="717" w:type="pct"/>
            <w:shd w:val="clear" w:color="auto" w:fill="auto"/>
            <w:vAlign w:val="center"/>
          </w:tcPr>
          <w:p w14:paraId="79E6DE9B">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b/>
                <w:bCs/>
                <w:szCs w:val="21"/>
                <w:highlight w:val="none"/>
                <w:lang w:val="en-US" w:eastAsia="zh-CN"/>
              </w:rPr>
              <w:t>单位</w:t>
            </w:r>
          </w:p>
        </w:tc>
        <w:tc>
          <w:tcPr>
            <w:tcW w:w="1608" w:type="pct"/>
            <w:gridSpan w:val="3"/>
            <w:shd w:val="clear" w:color="auto" w:fill="auto"/>
            <w:vAlign w:val="center"/>
          </w:tcPr>
          <w:p w14:paraId="55AC2566">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b/>
                <w:bCs/>
                <w:szCs w:val="21"/>
                <w:highlight w:val="none"/>
                <w:lang w:val="en-US" w:eastAsia="zh-CN"/>
              </w:rPr>
              <w:t>项目区占地范围</w:t>
            </w:r>
            <w:r>
              <w:rPr>
                <w:rFonts w:hint="eastAsia" w:ascii="Times New Roman" w:hAnsi="Times New Roman" w:cs="Times New Roman"/>
                <w:b/>
                <w:bCs/>
                <w:szCs w:val="21"/>
                <w:highlight w:val="none"/>
                <w:lang w:val="en-US" w:eastAsia="zh-CN"/>
              </w:rPr>
              <w:t>外</w:t>
            </w:r>
            <w:r>
              <w:rPr>
                <w:rFonts w:hint="default" w:ascii="Times New Roman" w:hAnsi="Times New Roman" w:cs="Times New Roman" w:eastAsiaTheme="minorEastAsia"/>
                <w:b/>
                <w:bCs/>
                <w:szCs w:val="21"/>
                <w:highlight w:val="none"/>
                <w:lang w:val="en-US" w:eastAsia="zh-CN"/>
              </w:rPr>
              <w:t>：</w:t>
            </w:r>
            <w:r>
              <w:rPr>
                <w:rFonts w:hint="eastAsia" w:ascii="Times New Roman" w:hAnsi="Times New Roman" w:cs="Times New Roman"/>
                <w:b/>
                <w:bCs/>
                <w:szCs w:val="21"/>
                <w:highlight w:val="none"/>
                <w:lang w:val="en-US" w:eastAsia="zh-CN"/>
              </w:rPr>
              <w:t>5</w:t>
            </w:r>
            <w:r>
              <w:rPr>
                <w:rFonts w:hint="default" w:ascii="Times New Roman" w:hAnsi="Times New Roman" w:cs="Times New Roman" w:eastAsiaTheme="minorEastAsia"/>
                <w:b/>
                <w:bCs/>
                <w:szCs w:val="21"/>
                <w:highlight w:val="none"/>
                <w:lang w:val="en-US" w:eastAsia="zh-CN"/>
              </w:rPr>
              <w:t>#</w:t>
            </w:r>
            <w:r>
              <w:rPr>
                <w:rFonts w:hint="eastAsia" w:ascii="Times New Roman" w:hAnsi="Times New Roman" w:cs="Times New Roman"/>
                <w:b/>
                <w:bCs/>
                <w:szCs w:val="21"/>
                <w:highlight w:val="none"/>
                <w:lang w:val="en-US" w:eastAsia="zh-CN"/>
              </w:rPr>
              <w:t>表层样</w:t>
            </w:r>
            <w:r>
              <w:rPr>
                <w:rFonts w:hint="default" w:ascii="Times New Roman" w:hAnsi="Times New Roman" w:cs="Times New Roman" w:eastAsiaTheme="minorEastAsia"/>
                <w:b/>
                <w:bCs/>
                <w:szCs w:val="21"/>
                <w:highlight w:val="none"/>
                <w:lang w:val="en-US" w:eastAsia="zh-CN"/>
              </w:rPr>
              <w:t>（20cm）</w:t>
            </w:r>
          </w:p>
        </w:tc>
        <w:tc>
          <w:tcPr>
            <w:tcW w:w="569" w:type="pct"/>
            <w:shd w:val="clear" w:color="auto" w:fill="auto"/>
            <w:vAlign w:val="center"/>
          </w:tcPr>
          <w:p w14:paraId="7A9C6825">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b/>
                <w:bCs/>
                <w:szCs w:val="21"/>
                <w:highlight w:val="none"/>
                <w:lang w:val="en-US" w:eastAsia="zh-CN"/>
              </w:rPr>
              <w:t>限值</w:t>
            </w:r>
          </w:p>
        </w:tc>
        <w:tc>
          <w:tcPr>
            <w:tcW w:w="569" w:type="pct"/>
            <w:shd w:val="clear" w:color="auto" w:fill="auto"/>
            <w:vAlign w:val="center"/>
          </w:tcPr>
          <w:p w14:paraId="2C02FA84">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b/>
                <w:bCs/>
                <w:szCs w:val="21"/>
                <w:highlight w:val="none"/>
                <w:lang w:val="en-US" w:eastAsia="zh-CN"/>
              </w:rPr>
              <w:t>检出限</w:t>
            </w:r>
          </w:p>
        </w:tc>
      </w:tr>
      <w:tr w14:paraId="5AD70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72B0BC76">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1173" w:type="pct"/>
            <w:shd w:val="clear" w:color="auto" w:fill="auto"/>
            <w:vAlign w:val="center"/>
          </w:tcPr>
          <w:p w14:paraId="68710E3C">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pH值</w:t>
            </w:r>
          </w:p>
        </w:tc>
        <w:tc>
          <w:tcPr>
            <w:tcW w:w="717" w:type="pct"/>
            <w:shd w:val="clear" w:color="auto" w:fill="auto"/>
            <w:vAlign w:val="center"/>
          </w:tcPr>
          <w:p w14:paraId="2843D5FD">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无量纲</w:t>
            </w:r>
          </w:p>
        </w:tc>
        <w:tc>
          <w:tcPr>
            <w:tcW w:w="1608" w:type="pct"/>
            <w:gridSpan w:val="3"/>
            <w:shd w:val="clear" w:color="auto" w:fill="auto"/>
            <w:vAlign w:val="center"/>
          </w:tcPr>
          <w:p w14:paraId="2385811F">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8.24</w:t>
            </w:r>
          </w:p>
        </w:tc>
        <w:tc>
          <w:tcPr>
            <w:tcW w:w="1043" w:type="dxa"/>
            <w:shd w:val="clear" w:color="auto" w:fill="auto"/>
            <w:vAlign w:val="center"/>
          </w:tcPr>
          <w:p w14:paraId="2CC93E47">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w:t>
            </w:r>
          </w:p>
        </w:tc>
        <w:tc>
          <w:tcPr>
            <w:tcW w:w="569" w:type="pct"/>
            <w:shd w:val="clear" w:color="auto" w:fill="auto"/>
            <w:vAlign w:val="center"/>
          </w:tcPr>
          <w:p w14:paraId="128B1092">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w:t>
            </w:r>
          </w:p>
        </w:tc>
      </w:tr>
      <w:tr w14:paraId="23250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26686999">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2</w:t>
            </w:r>
          </w:p>
        </w:tc>
        <w:tc>
          <w:tcPr>
            <w:tcW w:w="1173" w:type="pct"/>
            <w:shd w:val="clear" w:color="auto" w:fill="auto"/>
            <w:vAlign w:val="center"/>
          </w:tcPr>
          <w:p w14:paraId="579E8826">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水分</w:t>
            </w:r>
          </w:p>
        </w:tc>
        <w:tc>
          <w:tcPr>
            <w:tcW w:w="717" w:type="pct"/>
            <w:shd w:val="clear" w:color="auto" w:fill="auto"/>
            <w:vAlign w:val="center"/>
          </w:tcPr>
          <w:p w14:paraId="625AE25B">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1608" w:type="pct"/>
            <w:gridSpan w:val="3"/>
            <w:shd w:val="clear" w:color="auto" w:fill="auto"/>
            <w:vAlign w:val="center"/>
          </w:tcPr>
          <w:p w14:paraId="792C2993">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0.29</w:t>
            </w:r>
          </w:p>
        </w:tc>
        <w:tc>
          <w:tcPr>
            <w:tcW w:w="1043" w:type="dxa"/>
            <w:shd w:val="clear" w:color="auto" w:fill="auto"/>
            <w:vAlign w:val="center"/>
          </w:tcPr>
          <w:p w14:paraId="5DFD3A94">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w:t>
            </w:r>
          </w:p>
        </w:tc>
        <w:tc>
          <w:tcPr>
            <w:tcW w:w="569" w:type="pct"/>
            <w:shd w:val="clear" w:color="auto" w:fill="auto"/>
            <w:vAlign w:val="center"/>
          </w:tcPr>
          <w:p w14:paraId="6B8EBCFC">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w:t>
            </w:r>
          </w:p>
        </w:tc>
      </w:tr>
      <w:tr w14:paraId="13C7D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5492FFF9">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3</w:t>
            </w:r>
          </w:p>
        </w:tc>
        <w:tc>
          <w:tcPr>
            <w:tcW w:w="1173" w:type="pct"/>
            <w:shd w:val="clear" w:color="auto" w:fill="auto"/>
            <w:vAlign w:val="center"/>
          </w:tcPr>
          <w:p w14:paraId="6D3E3CD1">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镉</w:t>
            </w:r>
          </w:p>
        </w:tc>
        <w:tc>
          <w:tcPr>
            <w:tcW w:w="717" w:type="pct"/>
            <w:shd w:val="clear" w:color="auto" w:fill="auto"/>
            <w:vAlign w:val="center"/>
          </w:tcPr>
          <w:p w14:paraId="7869E88E">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shd w:val="clear" w:color="auto" w:fill="auto"/>
            <w:vAlign w:val="center"/>
          </w:tcPr>
          <w:p w14:paraId="7FAB5835">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&lt;0.09</w:t>
            </w:r>
          </w:p>
        </w:tc>
        <w:tc>
          <w:tcPr>
            <w:tcW w:w="1043" w:type="dxa"/>
            <w:shd w:val="clear" w:color="auto" w:fill="auto"/>
            <w:vAlign w:val="center"/>
          </w:tcPr>
          <w:p w14:paraId="33169228">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38</w:t>
            </w:r>
          </w:p>
        </w:tc>
        <w:tc>
          <w:tcPr>
            <w:tcW w:w="569" w:type="pct"/>
            <w:shd w:val="clear" w:color="auto" w:fill="auto"/>
            <w:vAlign w:val="center"/>
          </w:tcPr>
          <w:p w14:paraId="7AC74157">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0.002</w:t>
            </w:r>
          </w:p>
        </w:tc>
      </w:tr>
      <w:tr w14:paraId="7F73E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57A3F696">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4</w:t>
            </w:r>
          </w:p>
        </w:tc>
        <w:tc>
          <w:tcPr>
            <w:tcW w:w="1173" w:type="pct"/>
            <w:shd w:val="clear" w:color="auto" w:fill="auto"/>
            <w:vAlign w:val="center"/>
          </w:tcPr>
          <w:p w14:paraId="78200A3A">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镍</w:t>
            </w:r>
          </w:p>
        </w:tc>
        <w:tc>
          <w:tcPr>
            <w:tcW w:w="717" w:type="pct"/>
            <w:shd w:val="clear" w:color="auto" w:fill="auto"/>
            <w:vAlign w:val="center"/>
          </w:tcPr>
          <w:p w14:paraId="4C8AD72B">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Cs w:val="21"/>
                <w:highlight w:val="none"/>
                <w:lang w:val="en-US" w:eastAsia="zh-CN"/>
              </w:rPr>
              <w:t>mg/kg</w:t>
            </w:r>
          </w:p>
        </w:tc>
        <w:tc>
          <w:tcPr>
            <w:tcW w:w="1608" w:type="pct"/>
            <w:gridSpan w:val="3"/>
            <w:shd w:val="clear" w:color="auto" w:fill="auto"/>
            <w:vAlign w:val="center"/>
          </w:tcPr>
          <w:p w14:paraId="41A4DFEC">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szCs w:val="21"/>
                <w:highlight w:val="none"/>
                <w:lang w:val="en-US" w:eastAsia="zh-CN"/>
              </w:rPr>
              <w:t>8</w:t>
            </w:r>
          </w:p>
        </w:tc>
        <w:tc>
          <w:tcPr>
            <w:tcW w:w="1043" w:type="dxa"/>
            <w:shd w:val="clear" w:color="auto" w:fill="auto"/>
            <w:vAlign w:val="center"/>
          </w:tcPr>
          <w:p w14:paraId="7E10A5BA">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900</w:t>
            </w:r>
          </w:p>
        </w:tc>
        <w:tc>
          <w:tcPr>
            <w:tcW w:w="569" w:type="pct"/>
            <w:shd w:val="clear" w:color="auto" w:fill="auto"/>
            <w:vAlign w:val="center"/>
          </w:tcPr>
          <w:p w14:paraId="1FF5CE49">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w:t>
            </w:r>
          </w:p>
        </w:tc>
      </w:tr>
      <w:tr w14:paraId="386C5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6B2BC422">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w:t>
            </w:r>
          </w:p>
        </w:tc>
        <w:tc>
          <w:tcPr>
            <w:tcW w:w="1173" w:type="pct"/>
            <w:shd w:val="clear" w:color="auto" w:fill="auto"/>
            <w:vAlign w:val="center"/>
          </w:tcPr>
          <w:p w14:paraId="277AC9BB">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铜</w:t>
            </w:r>
          </w:p>
        </w:tc>
        <w:tc>
          <w:tcPr>
            <w:tcW w:w="717" w:type="pct"/>
            <w:shd w:val="clear" w:color="auto" w:fill="auto"/>
            <w:vAlign w:val="center"/>
          </w:tcPr>
          <w:p w14:paraId="629F17C9">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Cs w:val="21"/>
                <w:highlight w:val="none"/>
                <w:lang w:val="en-US" w:eastAsia="zh-CN"/>
              </w:rPr>
              <w:t>mg/kg</w:t>
            </w:r>
          </w:p>
        </w:tc>
        <w:tc>
          <w:tcPr>
            <w:tcW w:w="1608" w:type="pct"/>
            <w:gridSpan w:val="3"/>
            <w:shd w:val="clear" w:color="auto" w:fill="auto"/>
            <w:vAlign w:val="center"/>
          </w:tcPr>
          <w:p w14:paraId="62421D98">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szCs w:val="21"/>
                <w:highlight w:val="none"/>
                <w:lang w:val="en-US" w:eastAsia="zh-CN"/>
              </w:rPr>
              <w:t>1.9</w:t>
            </w:r>
          </w:p>
        </w:tc>
        <w:tc>
          <w:tcPr>
            <w:tcW w:w="1043" w:type="dxa"/>
            <w:shd w:val="clear" w:color="auto" w:fill="auto"/>
            <w:vAlign w:val="center"/>
          </w:tcPr>
          <w:p w14:paraId="570032DB">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18000</w:t>
            </w:r>
          </w:p>
        </w:tc>
        <w:tc>
          <w:tcPr>
            <w:tcW w:w="569" w:type="pct"/>
            <w:shd w:val="clear" w:color="auto" w:fill="auto"/>
            <w:vAlign w:val="center"/>
          </w:tcPr>
          <w:p w14:paraId="35F2FE7C">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0.6</w:t>
            </w:r>
          </w:p>
        </w:tc>
      </w:tr>
      <w:tr w14:paraId="72801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114A8835">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6</w:t>
            </w:r>
          </w:p>
        </w:tc>
        <w:tc>
          <w:tcPr>
            <w:tcW w:w="1173" w:type="pct"/>
            <w:shd w:val="clear" w:color="auto" w:fill="auto"/>
            <w:vAlign w:val="center"/>
          </w:tcPr>
          <w:p w14:paraId="4921B2D0">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铅</w:t>
            </w:r>
          </w:p>
        </w:tc>
        <w:tc>
          <w:tcPr>
            <w:tcW w:w="717" w:type="pct"/>
            <w:shd w:val="clear" w:color="auto" w:fill="auto"/>
            <w:vAlign w:val="center"/>
          </w:tcPr>
          <w:p w14:paraId="4ADAA669">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Cs w:val="21"/>
                <w:highlight w:val="none"/>
                <w:lang w:val="en-US" w:eastAsia="zh-CN"/>
              </w:rPr>
              <w:t>mg/kg</w:t>
            </w:r>
          </w:p>
        </w:tc>
        <w:tc>
          <w:tcPr>
            <w:tcW w:w="1608" w:type="pct"/>
            <w:gridSpan w:val="3"/>
            <w:shd w:val="clear" w:color="auto" w:fill="auto"/>
            <w:vAlign w:val="center"/>
          </w:tcPr>
          <w:p w14:paraId="3C403D15">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szCs w:val="21"/>
                <w:highlight w:val="none"/>
                <w:lang w:val="en-US" w:eastAsia="zh-CN"/>
              </w:rPr>
              <w:t>9</w:t>
            </w:r>
          </w:p>
        </w:tc>
        <w:tc>
          <w:tcPr>
            <w:tcW w:w="1043" w:type="dxa"/>
            <w:shd w:val="clear" w:color="auto" w:fill="auto"/>
            <w:vAlign w:val="center"/>
          </w:tcPr>
          <w:p w14:paraId="2B66F5E6">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800</w:t>
            </w:r>
          </w:p>
        </w:tc>
        <w:tc>
          <w:tcPr>
            <w:tcW w:w="569" w:type="pct"/>
            <w:shd w:val="clear" w:color="auto" w:fill="auto"/>
            <w:vAlign w:val="center"/>
          </w:tcPr>
          <w:p w14:paraId="52A0F1CE">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w:t>
            </w:r>
          </w:p>
        </w:tc>
      </w:tr>
      <w:tr w14:paraId="00AC2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511AD8EE">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7</w:t>
            </w:r>
          </w:p>
        </w:tc>
        <w:tc>
          <w:tcPr>
            <w:tcW w:w="1173" w:type="pct"/>
            <w:shd w:val="clear" w:color="auto" w:fill="auto"/>
            <w:vAlign w:val="center"/>
          </w:tcPr>
          <w:p w14:paraId="57373E61">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铬（六价）</w:t>
            </w:r>
          </w:p>
        </w:tc>
        <w:tc>
          <w:tcPr>
            <w:tcW w:w="717" w:type="pct"/>
            <w:shd w:val="clear" w:color="auto" w:fill="auto"/>
            <w:vAlign w:val="center"/>
          </w:tcPr>
          <w:p w14:paraId="57F60711">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Cs w:val="21"/>
                <w:highlight w:val="none"/>
                <w:lang w:val="en-US" w:eastAsia="zh-CN"/>
              </w:rPr>
              <w:t>mg/kg</w:t>
            </w:r>
          </w:p>
        </w:tc>
        <w:tc>
          <w:tcPr>
            <w:tcW w:w="1608" w:type="pct"/>
            <w:gridSpan w:val="3"/>
            <w:shd w:val="clear" w:color="auto" w:fill="auto"/>
            <w:vAlign w:val="center"/>
          </w:tcPr>
          <w:p w14:paraId="28DB769E">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&lt;0.5</w:t>
            </w:r>
          </w:p>
        </w:tc>
        <w:tc>
          <w:tcPr>
            <w:tcW w:w="1043" w:type="dxa"/>
            <w:shd w:val="clear" w:color="auto" w:fill="auto"/>
            <w:vAlign w:val="center"/>
          </w:tcPr>
          <w:p w14:paraId="74357D15">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5.7</w:t>
            </w:r>
          </w:p>
        </w:tc>
        <w:tc>
          <w:tcPr>
            <w:tcW w:w="569" w:type="pct"/>
            <w:shd w:val="clear" w:color="auto" w:fill="auto"/>
            <w:vAlign w:val="center"/>
          </w:tcPr>
          <w:p w14:paraId="29573AC6">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0.5</w:t>
            </w:r>
          </w:p>
        </w:tc>
      </w:tr>
      <w:tr w14:paraId="088CC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396F7D0D">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8</w:t>
            </w:r>
          </w:p>
        </w:tc>
        <w:tc>
          <w:tcPr>
            <w:tcW w:w="1173" w:type="pct"/>
            <w:shd w:val="clear" w:color="auto" w:fill="auto"/>
            <w:vAlign w:val="center"/>
          </w:tcPr>
          <w:p w14:paraId="0F875EC8">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汞</w:t>
            </w:r>
          </w:p>
        </w:tc>
        <w:tc>
          <w:tcPr>
            <w:tcW w:w="717" w:type="pct"/>
            <w:shd w:val="clear" w:color="auto" w:fill="auto"/>
            <w:vAlign w:val="center"/>
          </w:tcPr>
          <w:p w14:paraId="2219127F">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Cs w:val="21"/>
                <w:highlight w:val="none"/>
                <w:lang w:val="en-US" w:eastAsia="zh-CN"/>
              </w:rPr>
              <w:t>mg/kg</w:t>
            </w:r>
          </w:p>
        </w:tc>
        <w:tc>
          <w:tcPr>
            <w:tcW w:w="1608" w:type="pct"/>
            <w:gridSpan w:val="3"/>
            <w:shd w:val="clear" w:color="auto" w:fill="auto"/>
            <w:vAlign w:val="center"/>
          </w:tcPr>
          <w:p w14:paraId="20101730">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szCs w:val="21"/>
                <w:highlight w:val="none"/>
                <w:lang w:val="en-US" w:eastAsia="zh-CN"/>
              </w:rPr>
              <w:t>0.0241</w:t>
            </w:r>
          </w:p>
        </w:tc>
        <w:tc>
          <w:tcPr>
            <w:tcW w:w="1043" w:type="dxa"/>
            <w:shd w:val="clear" w:color="auto" w:fill="auto"/>
            <w:vAlign w:val="center"/>
          </w:tcPr>
          <w:p w14:paraId="21C7EF87">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38</w:t>
            </w:r>
          </w:p>
        </w:tc>
        <w:tc>
          <w:tcPr>
            <w:tcW w:w="569" w:type="pct"/>
            <w:shd w:val="clear" w:color="auto" w:fill="auto"/>
            <w:vAlign w:val="center"/>
          </w:tcPr>
          <w:p w14:paraId="381F143F">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0.002</w:t>
            </w:r>
          </w:p>
        </w:tc>
      </w:tr>
      <w:tr w14:paraId="74668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271C3B6A">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9</w:t>
            </w:r>
          </w:p>
        </w:tc>
        <w:tc>
          <w:tcPr>
            <w:tcW w:w="1173" w:type="pct"/>
            <w:shd w:val="clear" w:color="auto" w:fill="auto"/>
            <w:vAlign w:val="center"/>
          </w:tcPr>
          <w:p w14:paraId="7021DF40">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砷</w:t>
            </w:r>
          </w:p>
        </w:tc>
        <w:tc>
          <w:tcPr>
            <w:tcW w:w="717" w:type="pct"/>
            <w:shd w:val="clear" w:color="auto" w:fill="auto"/>
            <w:vAlign w:val="center"/>
          </w:tcPr>
          <w:p w14:paraId="7B7AD29C">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Cs w:val="21"/>
                <w:highlight w:val="none"/>
                <w:lang w:val="en-US" w:eastAsia="zh-CN"/>
              </w:rPr>
              <w:t>mg/kg</w:t>
            </w:r>
          </w:p>
        </w:tc>
        <w:tc>
          <w:tcPr>
            <w:tcW w:w="1608" w:type="pct"/>
            <w:gridSpan w:val="3"/>
            <w:shd w:val="clear" w:color="auto" w:fill="auto"/>
            <w:vAlign w:val="center"/>
          </w:tcPr>
          <w:p w14:paraId="1A1795A9">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szCs w:val="21"/>
                <w:highlight w:val="none"/>
                <w:lang w:val="en-US" w:eastAsia="zh-CN"/>
              </w:rPr>
              <w:t>11.1</w:t>
            </w:r>
          </w:p>
        </w:tc>
        <w:tc>
          <w:tcPr>
            <w:tcW w:w="1043" w:type="dxa"/>
            <w:shd w:val="clear" w:color="auto" w:fill="auto"/>
            <w:vAlign w:val="center"/>
          </w:tcPr>
          <w:p w14:paraId="1EFCFF9D">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60</w:t>
            </w:r>
          </w:p>
        </w:tc>
        <w:tc>
          <w:tcPr>
            <w:tcW w:w="569" w:type="pct"/>
            <w:shd w:val="clear" w:color="auto" w:fill="auto"/>
            <w:vAlign w:val="center"/>
          </w:tcPr>
          <w:p w14:paraId="1BB81E7D">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0.01</w:t>
            </w:r>
          </w:p>
        </w:tc>
      </w:tr>
      <w:tr w14:paraId="5E62C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60" w:type="pct"/>
            <w:shd w:val="clear" w:color="auto" w:fill="auto"/>
            <w:vAlign w:val="center"/>
          </w:tcPr>
          <w:p w14:paraId="57A77B5E">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10</w:t>
            </w:r>
          </w:p>
        </w:tc>
        <w:tc>
          <w:tcPr>
            <w:tcW w:w="1173" w:type="pct"/>
            <w:shd w:val="clear" w:color="auto" w:fill="auto"/>
            <w:vAlign w:val="center"/>
          </w:tcPr>
          <w:p w14:paraId="52D83546">
            <w:pPr>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Cs w:val="21"/>
                <w:highlight w:val="none"/>
                <w:lang w:val="en-US" w:eastAsia="zh-CN"/>
              </w:rPr>
              <w:t>石油烃（C</w:t>
            </w:r>
            <w:r>
              <w:rPr>
                <w:rFonts w:hint="default" w:ascii="Times New Roman" w:hAnsi="Times New Roman" w:cs="Times New Roman"/>
                <w:color w:val="000000"/>
                <w:szCs w:val="21"/>
                <w:highlight w:val="none"/>
                <w:vertAlign w:val="subscript"/>
                <w:lang w:val="en-US" w:eastAsia="zh-CN"/>
              </w:rPr>
              <w:t>10</w:t>
            </w:r>
            <w:r>
              <w:rPr>
                <w:rFonts w:hint="default" w:ascii="Times New Roman" w:hAnsi="Times New Roman" w:cs="Times New Roman"/>
                <w:color w:val="000000"/>
                <w:szCs w:val="21"/>
                <w:highlight w:val="none"/>
                <w:lang w:val="en-US" w:eastAsia="zh-CN"/>
              </w:rPr>
              <w:t>-C</w:t>
            </w:r>
            <w:r>
              <w:rPr>
                <w:rFonts w:hint="default" w:ascii="Times New Roman" w:hAnsi="Times New Roman" w:cs="Times New Roman"/>
                <w:color w:val="000000"/>
                <w:szCs w:val="21"/>
                <w:highlight w:val="none"/>
                <w:vertAlign w:val="subscript"/>
                <w:lang w:val="en-US" w:eastAsia="zh-CN"/>
              </w:rPr>
              <w:t>40</w:t>
            </w:r>
            <w:r>
              <w:rPr>
                <w:rFonts w:hint="default" w:ascii="Times New Roman" w:hAnsi="Times New Roman" w:cs="Times New Roman"/>
                <w:color w:val="000000"/>
                <w:szCs w:val="21"/>
                <w:highlight w:val="none"/>
                <w:lang w:val="en-US" w:eastAsia="zh-CN"/>
              </w:rPr>
              <w:t>）</w:t>
            </w:r>
          </w:p>
        </w:tc>
        <w:tc>
          <w:tcPr>
            <w:tcW w:w="717" w:type="pct"/>
            <w:shd w:val="clear" w:color="auto" w:fill="auto"/>
            <w:vAlign w:val="center"/>
          </w:tcPr>
          <w:p w14:paraId="1982389D">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Cs w:val="21"/>
                <w:highlight w:val="none"/>
                <w:lang w:val="en-US" w:eastAsia="zh-CN"/>
              </w:rPr>
              <w:t>mg/kg</w:t>
            </w:r>
          </w:p>
        </w:tc>
        <w:tc>
          <w:tcPr>
            <w:tcW w:w="1608" w:type="pct"/>
            <w:gridSpan w:val="3"/>
            <w:shd w:val="clear" w:color="auto" w:fill="auto"/>
            <w:vAlign w:val="center"/>
          </w:tcPr>
          <w:p w14:paraId="4C35FA61">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＜6</w:t>
            </w:r>
          </w:p>
        </w:tc>
        <w:tc>
          <w:tcPr>
            <w:tcW w:w="1043" w:type="dxa"/>
            <w:shd w:val="clear" w:color="auto" w:fill="auto"/>
            <w:vAlign w:val="center"/>
          </w:tcPr>
          <w:p w14:paraId="6CB6C389">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4500</w:t>
            </w:r>
          </w:p>
        </w:tc>
        <w:tc>
          <w:tcPr>
            <w:tcW w:w="569" w:type="pct"/>
            <w:shd w:val="clear" w:color="auto" w:fill="auto"/>
            <w:vAlign w:val="center"/>
          </w:tcPr>
          <w:p w14:paraId="5169C8DD">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6</w:t>
            </w:r>
          </w:p>
        </w:tc>
      </w:tr>
      <w:tr w14:paraId="703DF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7DC68563">
            <w:pPr>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11</w:t>
            </w:r>
          </w:p>
        </w:tc>
        <w:tc>
          <w:tcPr>
            <w:tcW w:w="1173" w:type="pct"/>
            <w:shd w:val="clear" w:color="auto" w:fill="auto"/>
            <w:vAlign w:val="center"/>
          </w:tcPr>
          <w:p w14:paraId="57DA7F4D">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二噁英类</w:t>
            </w:r>
          </w:p>
        </w:tc>
        <w:tc>
          <w:tcPr>
            <w:tcW w:w="717" w:type="pct"/>
            <w:shd w:val="clear" w:color="auto" w:fill="auto"/>
            <w:vAlign w:val="center"/>
          </w:tcPr>
          <w:p w14:paraId="006031DB">
            <w:pPr>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eastAsia="宋体" w:cs="宋体"/>
                <w:spacing w:val="-1"/>
                <w:sz w:val="24"/>
                <w:szCs w:val="24"/>
              </w:rPr>
              <w:t>ngTEQ/kg</w:t>
            </w:r>
          </w:p>
        </w:tc>
        <w:tc>
          <w:tcPr>
            <w:tcW w:w="1608" w:type="pct"/>
            <w:gridSpan w:val="3"/>
            <w:shd w:val="clear" w:color="auto" w:fill="auto"/>
            <w:vAlign w:val="center"/>
          </w:tcPr>
          <w:p w14:paraId="3E3186EA">
            <w:pPr>
              <w:jc w:val="center"/>
              <w:rPr>
                <w:rFonts w:hint="default" w:ascii="Times New Roman" w:hAnsi="Times New Roman"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0.28</w:t>
            </w:r>
          </w:p>
        </w:tc>
        <w:tc>
          <w:tcPr>
            <w:tcW w:w="1043" w:type="dxa"/>
            <w:shd w:val="clear" w:color="auto" w:fill="auto"/>
            <w:vAlign w:val="center"/>
          </w:tcPr>
          <w:p w14:paraId="29CC3DBD">
            <w:pPr>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40</w:t>
            </w:r>
          </w:p>
        </w:tc>
        <w:tc>
          <w:tcPr>
            <w:tcW w:w="569" w:type="pct"/>
            <w:shd w:val="clear" w:color="auto" w:fill="auto"/>
            <w:vAlign w:val="center"/>
          </w:tcPr>
          <w:p w14:paraId="3D6A8F01">
            <w:pPr>
              <w:spacing w:line="300" w:lineRule="exact"/>
              <w:jc w:val="center"/>
              <w:rPr>
                <w:rFonts w:hint="default" w:ascii="Times New Roman" w:hAnsi="Times New Roman" w:cs="Times New Roman"/>
                <w:color w:val="000000"/>
                <w:sz w:val="21"/>
                <w:szCs w:val="21"/>
                <w:highlight w:val="none"/>
                <w:lang w:val="en-US" w:eastAsia="zh-CN"/>
              </w:rPr>
            </w:pPr>
            <w:r>
              <w:rPr>
                <w:rFonts w:hint="eastAsia" w:ascii="Times New Roman" w:hAnsi="Times New Roman" w:cs="Times New Roman"/>
                <w:color w:val="000000"/>
                <w:sz w:val="21"/>
                <w:szCs w:val="21"/>
                <w:highlight w:val="none"/>
                <w:lang w:val="en-US" w:eastAsia="zh-CN"/>
              </w:rPr>
              <w:t>-</w:t>
            </w:r>
          </w:p>
        </w:tc>
      </w:tr>
      <w:tr w14:paraId="1E32D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17FDD48B">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r>
              <w:rPr>
                <w:rFonts w:hint="eastAsia" w:ascii="Times New Roman" w:hAnsi="Times New Roman" w:cs="Times New Roman"/>
                <w:szCs w:val="21"/>
                <w:highlight w:val="none"/>
                <w:lang w:val="en-US" w:eastAsia="zh-CN"/>
              </w:rPr>
              <w:t>2</w:t>
            </w:r>
          </w:p>
        </w:tc>
        <w:tc>
          <w:tcPr>
            <w:tcW w:w="1173" w:type="pct"/>
            <w:shd w:val="clear" w:color="auto" w:fill="auto"/>
            <w:vAlign w:val="center"/>
          </w:tcPr>
          <w:p w14:paraId="4BC323B7">
            <w:pPr>
              <w:spacing w:line="300" w:lineRule="exact"/>
              <w:jc w:val="center"/>
              <w:rPr>
                <w:rFonts w:hint="default" w:ascii="Times New Roman" w:hAnsi="Times New Roman" w:cs="Times New Roman" w:eastAsiaTheme="minorEastAsia"/>
                <w:szCs w:val="21"/>
                <w:highlight w:val="none"/>
                <w:lang w:val="en-US" w:eastAsia="zh-CN"/>
              </w:rPr>
            </w:pPr>
          </w:p>
        </w:tc>
        <w:tc>
          <w:tcPr>
            <w:tcW w:w="717" w:type="pct"/>
            <w:shd w:val="clear" w:color="auto" w:fill="auto"/>
            <w:vAlign w:val="center"/>
          </w:tcPr>
          <w:p w14:paraId="54144FA3">
            <w:pPr>
              <w:spacing w:line="300" w:lineRule="exact"/>
              <w:jc w:val="center"/>
              <w:rPr>
                <w:rFonts w:hint="default" w:ascii="Times New Roman" w:hAnsi="Times New Roman" w:cs="Times New Roman" w:eastAsiaTheme="minorEastAsia"/>
                <w:szCs w:val="21"/>
                <w:highlight w:val="none"/>
                <w:lang w:val="en-US" w:eastAsia="zh-CN"/>
              </w:rPr>
            </w:pPr>
          </w:p>
        </w:tc>
        <w:tc>
          <w:tcPr>
            <w:tcW w:w="1608" w:type="pct"/>
            <w:gridSpan w:val="3"/>
            <w:shd w:val="clear" w:color="auto" w:fill="auto"/>
            <w:vAlign w:val="center"/>
          </w:tcPr>
          <w:p w14:paraId="1FDF08B2">
            <w:pPr>
              <w:spacing w:line="300" w:lineRule="exact"/>
              <w:jc w:val="center"/>
              <w:rPr>
                <w:rFonts w:hint="default" w:ascii="Times New Roman" w:hAnsi="Times New Roman" w:cs="Times New Roman" w:eastAsiaTheme="minorEastAsia"/>
                <w:szCs w:val="21"/>
                <w:highlight w:val="none"/>
                <w:lang w:val="en-US" w:eastAsia="zh-CN"/>
              </w:rPr>
            </w:pPr>
          </w:p>
        </w:tc>
        <w:tc>
          <w:tcPr>
            <w:tcW w:w="569" w:type="pct"/>
            <w:shd w:val="clear" w:color="auto" w:fill="auto"/>
            <w:vAlign w:val="center"/>
          </w:tcPr>
          <w:p w14:paraId="585240B5">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w:t>
            </w:r>
          </w:p>
        </w:tc>
        <w:tc>
          <w:tcPr>
            <w:tcW w:w="569" w:type="pct"/>
            <w:shd w:val="clear" w:color="auto" w:fill="auto"/>
            <w:vAlign w:val="center"/>
          </w:tcPr>
          <w:p w14:paraId="5C0259E7">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w:t>
            </w:r>
          </w:p>
        </w:tc>
      </w:tr>
      <w:tr w14:paraId="1E90D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160227B4">
            <w:pPr>
              <w:spacing w:line="300" w:lineRule="exact"/>
              <w:jc w:val="center"/>
              <w:rPr>
                <w:rFonts w:hint="default" w:ascii="Times New Roman" w:hAnsi="Times New Roman" w:cs="Times New Roman" w:eastAsiaTheme="minorEastAsia"/>
                <w:b/>
                <w:bCs/>
                <w:szCs w:val="21"/>
                <w:highlight w:val="none"/>
                <w:lang w:val="en-US" w:eastAsia="zh-CN"/>
              </w:rPr>
            </w:pPr>
            <w:r>
              <w:rPr>
                <w:rFonts w:hint="default" w:ascii="Times New Roman" w:hAnsi="Times New Roman" w:cs="Times New Roman" w:eastAsiaTheme="minorEastAsia"/>
                <w:b/>
                <w:bCs/>
                <w:szCs w:val="21"/>
                <w:highlight w:val="none"/>
                <w:lang w:val="en-US" w:eastAsia="zh-CN"/>
              </w:rPr>
              <w:t>序号</w:t>
            </w:r>
          </w:p>
        </w:tc>
        <w:tc>
          <w:tcPr>
            <w:tcW w:w="1173" w:type="pct"/>
            <w:shd w:val="clear" w:color="auto" w:fill="auto"/>
            <w:vAlign w:val="center"/>
          </w:tcPr>
          <w:p w14:paraId="3D2EFE79">
            <w:pPr>
              <w:spacing w:line="300" w:lineRule="exact"/>
              <w:jc w:val="center"/>
              <w:rPr>
                <w:rFonts w:hint="default" w:ascii="Times New Roman" w:hAnsi="Times New Roman" w:cs="Times New Roman" w:eastAsiaTheme="minorEastAsia"/>
                <w:b/>
                <w:bCs/>
                <w:szCs w:val="21"/>
                <w:highlight w:val="none"/>
                <w:lang w:val="en-US" w:eastAsia="zh-CN"/>
              </w:rPr>
            </w:pPr>
            <w:r>
              <w:rPr>
                <w:rFonts w:hint="default" w:ascii="Times New Roman" w:hAnsi="Times New Roman" w:cs="Times New Roman" w:eastAsiaTheme="minorEastAsia"/>
                <w:b/>
                <w:bCs/>
                <w:szCs w:val="21"/>
                <w:highlight w:val="none"/>
                <w:lang w:val="en-US" w:eastAsia="zh-CN"/>
              </w:rPr>
              <w:t>检 测 项 目</w:t>
            </w:r>
          </w:p>
        </w:tc>
        <w:tc>
          <w:tcPr>
            <w:tcW w:w="717" w:type="pct"/>
            <w:shd w:val="clear" w:color="auto" w:fill="auto"/>
            <w:vAlign w:val="center"/>
          </w:tcPr>
          <w:p w14:paraId="6452E491">
            <w:pPr>
              <w:spacing w:line="300" w:lineRule="exact"/>
              <w:jc w:val="center"/>
              <w:rPr>
                <w:rFonts w:hint="default" w:ascii="Times New Roman" w:hAnsi="Times New Roman" w:cs="Times New Roman" w:eastAsiaTheme="minorEastAsia"/>
                <w:b/>
                <w:bCs/>
                <w:szCs w:val="21"/>
                <w:highlight w:val="none"/>
                <w:lang w:val="en-US" w:eastAsia="zh-CN"/>
              </w:rPr>
            </w:pPr>
            <w:r>
              <w:rPr>
                <w:rFonts w:hint="default" w:ascii="Times New Roman" w:hAnsi="Times New Roman" w:cs="Times New Roman" w:eastAsiaTheme="minorEastAsia"/>
                <w:b/>
                <w:bCs/>
                <w:szCs w:val="21"/>
                <w:highlight w:val="none"/>
                <w:lang w:val="en-US" w:eastAsia="zh-CN"/>
              </w:rPr>
              <w:t>单位</w:t>
            </w:r>
          </w:p>
        </w:tc>
        <w:tc>
          <w:tcPr>
            <w:tcW w:w="1608" w:type="pct"/>
            <w:gridSpan w:val="3"/>
            <w:shd w:val="clear" w:color="auto" w:fill="auto"/>
            <w:vAlign w:val="center"/>
          </w:tcPr>
          <w:p w14:paraId="088A605D">
            <w:pPr>
              <w:spacing w:line="300" w:lineRule="exact"/>
              <w:jc w:val="center"/>
              <w:rPr>
                <w:rFonts w:hint="default" w:ascii="Times New Roman" w:hAnsi="Times New Roman" w:cs="Times New Roman" w:eastAsiaTheme="minorEastAsia"/>
                <w:b/>
                <w:bCs/>
                <w:szCs w:val="21"/>
                <w:highlight w:val="none"/>
                <w:lang w:val="en-US" w:eastAsia="zh-CN"/>
              </w:rPr>
            </w:pPr>
            <w:r>
              <w:rPr>
                <w:rFonts w:hint="default" w:ascii="Times New Roman" w:hAnsi="Times New Roman" w:cs="Times New Roman" w:eastAsiaTheme="minorEastAsia"/>
                <w:b/>
                <w:bCs/>
                <w:szCs w:val="21"/>
                <w:highlight w:val="none"/>
                <w:lang w:val="en-US" w:eastAsia="zh-CN"/>
              </w:rPr>
              <w:t>项目区占地范围外：</w:t>
            </w:r>
            <w:r>
              <w:rPr>
                <w:rFonts w:hint="eastAsia" w:ascii="Times New Roman" w:hAnsi="Times New Roman" w:cs="Times New Roman"/>
                <w:b/>
                <w:bCs/>
                <w:szCs w:val="21"/>
                <w:highlight w:val="none"/>
                <w:lang w:val="en-US" w:eastAsia="zh-CN"/>
              </w:rPr>
              <w:t>6</w:t>
            </w:r>
            <w:r>
              <w:rPr>
                <w:rFonts w:hint="default" w:ascii="Times New Roman" w:hAnsi="Times New Roman" w:cs="Times New Roman" w:eastAsiaTheme="minorEastAsia"/>
                <w:b/>
                <w:bCs/>
                <w:szCs w:val="21"/>
                <w:highlight w:val="none"/>
                <w:lang w:val="en-US" w:eastAsia="zh-CN"/>
              </w:rPr>
              <w:t>#表层样（20cm）</w:t>
            </w:r>
          </w:p>
        </w:tc>
        <w:tc>
          <w:tcPr>
            <w:tcW w:w="569" w:type="pct"/>
            <w:shd w:val="clear" w:color="auto" w:fill="auto"/>
            <w:vAlign w:val="center"/>
          </w:tcPr>
          <w:p w14:paraId="32494371">
            <w:pPr>
              <w:spacing w:line="300" w:lineRule="exact"/>
              <w:jc w:val="center"/>
              <w:rPr>
                <w:rFonts w:hint="default" w:ascii="Times New Roman" w:hAnsi="Times New Roman" w:cs="Times New Roman" w:eastAsiaTheme="minorEastAsia"/>
                <w:b/>
                <w:bCs/>
                <w:szCs w:val="21"/>
                <w:highlight w:val="none"/>
                <w:lang w:val="en-US" w:eastAsia="zh-CN"/>
              </w:rPr>
            </w:pPr>
            <w:r>
              <w:rPr>
                <w:rFonts w:hint="default" w:ascii="Times New Roman" w:hAnsi="Times New Roman" w:cs="Times New Roman" w:eastAsiaTheme="minorEastAsia"/>
                <w:b/>
                <w:bCs/>
                <w:szCs w:val="21"/>
                <w:highlight w:val="none"/>
                <w:lang w:val="en-US" w:eastAsia="zh-CN"/>
              </w:rPr>
              <w:t>限值</w:t>
            </w:r>
          </w:p>
        </w:tc>
        <w:tc>
          <w:tcPr>
            <w:tcW w:w="569" w:type="pct"/>
            <w:shd w:val="clear" w:color="auto" w:fill="auto"/>
            <w:vAlign w:val="center"/>
          </w:tcPr>
          <w:p w14:paraId="4C6B3CEB">
            <w:pPr>
              <w:spacing w:line="300" w:lineRule="exact"/>
              <w:jc w:val="center"/>
              <w:rPr>
                <w:rFonts w:hint="default" w:ascii="Times New Roman" w:hAnsi="Times New Roman" w:cs="Times New Roman" w:eastAsiaTheme="minorEastAsia"/>
                <w:b/>
                <w:bCs/>
                <w:szCs w:val="21"/>
                <w:highlight w:val="none"/>
                <w:lang w:val="en-US" w:eastAsia="zh-CN"/>
              </w:rPr>
            </w:pPr>
            <w:r>
              <w:rPr>
                <w:rFonts w:hint="default" w:ascii="Times New Roman" w:hAnsi="Times New Roman" w:cs="Times New Roman" w:eastAsiaTheme="minorEastAsia"/>
                <w:b/>
                <w:bCs/>
                <w:szCs w:val="21"/>
                <w:highlight w:val="none"/>
                <w:lang w:val="en-US" w:eastAsia="zh-CN"/>
              </w:rPr>
              <w:t>检出限</w:t>
            </w:r>
          </w:p>
        </w:tc>
      </w:tr>
      <w:tr w14:paraId="37016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43BCD5E2">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1173" w:type="pct"/>
            <w:shd w:val="clear" w:color="auto" w:fill="auto"/>
            <w:vAlign w:val="center"/>
          </w:tcPr>
          <w:p w14:paraId="348CF70E">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pH值</w:t>
            </w:r>
          </w:p>
        </w:tc>
        <w:tc>
          <w:tcPr>
            <w:tcW w:w="717" w:type="pct"/>
            <w:shd w:val="clear" w:color="auto" w:fill="auto"/>
            <w:vAlign w:val="center"/>
          </w:tcPr>
          <w:p w14:paraId="14BDABC4">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无量纲</w:t>
            </w:r>
          </w:p>
        </w:tc>
        <w:tc>
          <w:tcPr>
            <w:tcW w:w="1608" w:type="pct"/>
            <w:gridSpan w:val="3"/>
            <w:shd w:val="clear" w:color="auto" w:fill="auto"/>
            <w:vAlign w:val="center"/>
          </w:tcPr>
          <w:p w14:paraId="4ABDC24D">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8.18</w:t>
            </w:r>
          </w:p>
        </w:tc>
        <w:tc>
          <w:tcPr>
            <w:tcW w:w="569" w:type="pct"/>
            <w:shd w:val="clear" w:color="auto" w:fill="auto"/>
            <w:vAlign w:val="center"/>
          </w:tcPr>
          <w:p w14:paraId="284C4E7A">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w:t>
            </w:r>
          </w:p>
        </w:tc>
        <w:tc>
          <w:tcPr>
            <w:tcW w:w="569" w:type="pct"/>
            <w:shd w:val="clear" w:color="auto" w:fill="auto"/>
            <w:vAlign w:val="center"/>
          </w:tcPr>
          <w:p w14:paraId="2724BCB5">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w:t>
            </w:r>
          </w:p>
        </w:tc>
      </w:tr>
      <w:tr w14:paraId="6C2D9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212162C6">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2</w:t>
            </w:r>
          </w:p>
        </w:tc>
        <w:tc>
          <w:tcPr>
            <w:tcW w:w="1173" w:type="pct"/>
            <w:shd w:val="clear" w:color="auto" w:fill="auto"/>
            <w:vAlign w:val="center"/>
          </w:tcPr>
          <w:p w14:paraId="654D677B">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水分</w:t>
            </w:r>
          </w:p>
        </w:tc>
        <w:tc>
          <w:tcPr>
            <w:tcW w:w="717" w:type="pct"/>
            <w:shd w:val="clear" w:color="auto" w:fill="auto"/>
            <w:vAlign w:val="center"/>
          </w:tcPr>
          <w:p w14:paraId="5E818C4E">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1608" w:type="pct"/>
            <w:gridSpan w:val="3"/>
            <w:shd w:val="clear" w:color="auto" w:fill="auto"/>
            <w:vAlign w:val="center"/>
          </w:tcPr>
          <w:p w14:paraId="12C6D44E">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0.40</w:t>
            </w:r>
          </w:p>
        </w:tc>
        <w:tc>
          <w:tcPr>
            <w:tcW w:w="569" w:type="pct"/>
            <w:shd w:val="clear" w:color="auto" w:fill="auto"/>
            <w:vAlign w:val="center"/>
          </w:tcPr>
          <w:p w14:paraId="0F1017AB">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w:t>
            </w:r>
          </w:p>
        </w:tc>
        <w:tc>
          <w:tcPr>
            <w:tcW w:w="569" w:type="pct"/>
            <w:shd w:val="clear" w:color="auto" w:fill="auto"/>
            <w:vAlign w:val="center"/>
          </w:tcPr>
          <w:p w14:paraId="6CB97DDD">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w:t>
            </w:r>
          </w:p>
        </w:tc>
      </w:tr>
      <w:tr w14:paraId="4CCA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35E5417F">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3</w:t>
            </w:r>
          </w:p>
        </w:tc>
        <w:tc>
          <w:tcPr>
            <w:tcW w:w="1173" w:type="pct"/>
            <w:shd w:val="clear" w:color="auto" w:fill="auto"/>
            <w:vAlign w:val="center"/>
          </w:tcPr>
          <w:p w14:paraId="78E324FE">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镉</w:t>
            </w:r>
          </w:p>
        </w:tc>
        <w:tc>
          <w:tcPr>
            <w:tcW w:w="717" w:type="pct"/>
            <w:shd w:val="clear" w:color="auto" w:fill="auto"/>
            <w:vAlign w:val="center"/>
          </w:tcPr>
          <w:p w14:paraId="141617FA">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mg/kg</w:t>
            </w:r>
          </w:p>
        </w:tc>
        <w:tc>
          <w:tcPr>
            <w:tcW w:w="1608" w:type="pct"/>
            <w:gridSpan w:val="3"/>
            <w:shd w:val="clear" w:color="auto" w:fill="auto"/>
            <w:vAlign w:val="center"/>
          </w:tcPr>
          <w:p w14:paraId="59A53474">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&lt;0.09</w:t>
            </w:r>
          </w:p>
        </w:tc>
        <w:tc>
          <w:tcPr>
            <w:tcW w:w="569" w:type="pct"/>
            <w:shd w:val="clear" w:color="auto" w:fill="auto"/>
            <w:vAlign w:val="center"/>
          </w:tcPr>
          <w:p w14:paraId="18A0ECFC">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38</w:t>
            </w:r>
          </w:p>
        </w:tc>
        <w:tc>
          <w:tcPr>
            <w:tcW w:w="569" w:type="pct"/>
            <w:shd w:val="clear" w:color="auto" w:fill="auto"/>
            <w:vAlign w:val="center"/>
          </w:tcPr>
          <w:p w14:paraId="7E99B375">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0.002</w:t>
            </w:r>
          </w:p>
        </w:tc>
      </w:tr>
      <w:tr w14:paraId="16AF9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65EE796E">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4</w:t>
            </w:r>
          </w:p>
        </w:tc>
        <w:tc>
          <w:tcPr>
            <w:tcW w:w="1173" w:type="pct"/>
            <w:shd w:val="clear" w:color="auto" w:fill="auto"/>
            <w:vAlign w:val="center"/>
          </w:tcPr>
          <w:p w14:paraId="7A2555CA">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镍</w:t>
            </w:r>
          </w:p>
        </w:tc>
        <w:tc>
          <w:tcPr>
            <w:tcW w:w="717" w:type="pct"/>
            <w:shd w:val="clear" w:color="auto" w:fill="auto"/>
            <w:vAlign w:val="center"/>
          </w:tcPr>
          <w:p w14:paraId="21ED981C">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Cs w:val="21"/>
                <w:highlight w:val="none"/>
                <w:lang w:val="en-US" w:eastAsia="zh-CN"/>
              </w:rPr>
              <w:t>mg/kg</w:t>
            </w:r>
          </w:p>
        </w:tc>
        <w:tc>
          <w:tcPr>
            <w:tcW w:w="1608" w:type="pct"/>
            <w:gridSpan w:val="3"/>
            <w:shd w:val="clear" w:color="auto" w:fill="auto"/>
            <w:vAlign w:val="center"/>
          </w:tcPr>
          <w:p w14:paraId="4F1F21DB">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szCs w:val="21"/>
                <w:highlight w:val="none"/>
                <w:lang w:val="en-US" w:eastAsia="zh-CN"/>
              </w:rPr>
              <w:t>7</w:t>
            </w:r>
          </w:p>
        </w:tc>
        <w:tc>
          <w:tcPr>
            <w:tcW w:w="569" w:type="pct"/>
            <w:shd w:val="clear" w:color="auto" w:fill="auto"/>
            <w:vAlign w:val="center"/>
          </w:tcPr>
          <w:p w14:paraId="7A2900A6">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900</w:t>
            </w:r>
          </w:p>
        </w:tc>
        <w:tc>
          <w:tcPr>
            <w:tcW w:w="569" w:type="pct"/>
            <w:shd w:val="clear" w:color="auto" w:fill="auto"/>
            <w:vAlign w:val="center"/>
          </w:tcPr>
          <w:p w14:paraId="662A8751">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w:t>
            </w:r>
          </w:p>
        </w:tc>
      </w:tr>
      <w:tr w14:paraId="1548B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42D43C56">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w:t>
            </w:r>
          </w:p>
        </w:tc>
        <w:tc>
          <w:tcPr>
            <w:tcW w:w="1173" w:type="pct"/>
            <w:shd w:val="clear" w:color="auto" w:fill="auto"/>
            <w:vAlign w:val="center"/>
          </w:tcPr>
          <w:p w14:paraId="570E89F7">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color w:val="000000"/>
                <w:szCs w:val="21"/>
                <w:highlight w:val="none"/>
                <w:lang w:val="en-US" w:eastAsia="zh-CN"/>
              </w:rPr>
              <w:t>铜</w:t>
            </w:r>
          </w:p>
        </w:tc>
        <w:tc>
          <w:tcPr>
            <w:tcW w:w="717" w:type="pct"/>
            <w:shd w:val="clear" w:color="auto" w:fill="auto"/>
            <w:vAlign w:val="center"/>
          </w:tcPr>
          <w:p w14:paraId="1B27D915">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Cs w:val="21"/>
                <w:highlight w:val="none"/>
                <w:lang w:val="en-US" w:eastAsia="zh-CN"/>
              </w:rPr>
              <w:t>mg/kg</w:t>
            </w:r>
          </w:p>
        </w:tc>
        <w:tc>
          <w:tcPr>
            <w:tcW w:w="1608" w:type="pct"/>
            <w:gridSpan w:val="3"/>
            <w:shd w:val="clear" w:color="auto" w:fill="auto"/>
            <w:vAlign w:val="center"/>
          </w:tcPr>
          <w:p w14:paraId="4DCEBC4D">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&lt;0.6</w:t>
            </w:r>
          </w:p>
        </w:tc>
        <w:tc>
          <w:tcPr>
            <w:tcW w:w="569" w:type="pct"/>
            <w:shd w:val="clear" w:color="auto" w:fill="auto"/>
            <w:vAlign w:val="center"/>
          </w:tcPr>
          <w:p w14:paraId="1555994A">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18000</w:t>
            </w:r>
          </w:p>
        </w:tc>
        <w:tc>
          <w:tcPr>
            <w:tcW w:w="569" w:type="pct"/>
            <w:shd w:val="clear" w:color="auto" w:fill="auto"/>
            <w:vAlign w:val="center"/>
          </w:tcPr>
          <w:p w14:paraId="222B217A">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0.6</w:t>
            </w:r>
          </w:p>
        </w:tc>
      </w:tr>
      <w:tr w14:paraId="733A1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7858184D">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6</w:t>
            </w:r>
          </w:p>
        </w:tc>
        <w:tc>
          <w:tcPr>
            <w:tcW w:w="1173" w:type="pct"/>
            <w:shd w:val="clear" w:color="auto" w:fill="auto"/>
            <w:vAlign w:val="center"/>
          </w:tcPr>
          <w:p w14:paraId="1E6879F8">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铅</w:t>
            </w:r>
          </w:p>
        </w:tc>
        <w:tc>
          <w:tcPr>
            <w:tcW w:w="717" w:type="pct"/>
            <w:shd w:val="clear" w:color="auto" w:fill="auto"/>
            <w:vAlign w:val="center"/>
          </w:tcPr>
          <w:p w14:paraId="3AE420C8">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Cs w:val="21"/>
                <w:highlight w:val="none"/>
                <w:lang w:val="en-US" w:eastAsia="zh-CN"/>
              </w:rPr>
              <w:t>mg/kg</w:t>
            </w:r>
          </w:p>
        </w:tc>
        <w:tc>
          <w:tcPr>
            <w:tcW w:w="1608" w:type="pct"/>
            <w:gridSpan w:val="3"/>
            <w:shd w:val="clear" w:color="auto" w:fill="auto"/>
            <w:vAlign w:val="center"/>
          </w:tcPr>
          <w:p w14:paraId="72A5D3BD">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szCs w:val="21"/>
                <w:highlight w:val="none"/>
                <w:lang w:val="en-US" w:eastAsia="zh-CN"/>
              </w:rPr>
              <w:t>11</w:t>
            </w:r>
          </w:p>
        </w:tc>
        <w:tc>
          <w:tcPr>
            <w:tcW w:w="569" w:type="pct"/>
            <w:shd w:val="clear" w:color="auto" w:fill="auto"/>
            <w:vAlign w:val="center"/>
          </w:tcPr>
          <w:p w14:paraId="3B52C592">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800</w:t>
            </w:r>
          </w:p>
        </w:tc>
        <w:tc>
          <w:tcPr>
            <w:tcW w:w="569" w:type="pct"/>
            <w:shd w:val="clear" w:color="auto" w:fill="auto"/>
            <w:vAlign w:val="center"/>
          </w:tcPr>
          <w:p w14:paraId="4A02DB6E">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w:t>
            </w:r>
          </w:p>
        </w:tc>
      </w:tr>
      <w:tr w14:paraId="5E030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7E7C71BA">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7</w:t>
            </w:r>
          </w:p>
        </w:tc>
        <w:tc>
          <w:tcPr>
            <w:tcW w:w="1173" w:type="pct"/>
            <w:shd w:val="clear" w:color="auto" w:fill="auto"/>
            <w:vAlign w:val="center"/>
          </w:tcPr>
          <w:p w14:paraId="3C482DBE">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铬（六价）</w:t>
            </w:r>
          </w:p>
        </w:tc>
        <w:tc>
          <w:tcPr>
            <w:tcW w:w="717" w:type="pct"/>
            <w:shd w:val="clear" w:color="auto" w:fill="auto"/>
            <w:vAlign w:val="center"/>
          </w:tcPr>
          <w:p w14:paraId="5B34116A">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Cs w:val="21"/>
                <w:highlight w:val="none"/>
                <w:lang w:val="en-US" w:eastAsia="zh-CN"/>
              </w:rPr>
              <w:t>mg/kg</w:t>
            </w:r>
          </w:p>
        </w:tc>
        <w:tc>
          <w:tcPr>
            <w:tcW w:w="1608" w:type="pct"/>
            <w:gridSpan w:val="3"/>
            <w:shd w:val="clear" w:color="auto" w:fill="auto"/>
            <w:vAlign w:val="center"/>
          </w:tcPr>
          <w:p w14:paraId="511C1FDA">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&lt;0.5</w:t>
            </w:r>
          </w:p>
        </w:tc>
        <w:tc>
          <w:tcPr>
            <w:tcW w:w="569" w:type="pct"/>
            <w:shd w:val="clear" w:color="auto" w:fill="auto"/>
            <w:vAlign w:val="center"/>
          </w:tcPr>
          <w:p w14:paraId="3B48D10F">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5.7</w:t>
            </w:r>
          </w:p>
        </w:tc>
        <w:tc>
          <w:tcPr>
            <w:tcW w:w="569" w:type="pct"/>
            <w:shd w:val="clear" w:color="auto" w:fill="auto"/>
            <w:vAlign w:val="center"/>
          </w:tcPr>
          <w:p w14:paraId="0F4F53FA">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0.5</w:t>
            </w:r>
          </w:p>
        </w:tc>
      </w:tr>
      <w:tr w14:paraId="55D22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6939F4B2">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8</w:t>
            </w:r>
          </w:p>
        </w:tc>
        <w:tc>
          <w:tcPr>
            <w:tcW w:w="1173" w:type="pct"/>
            <w:shd w:val="clear" w:color="auto" w:fill="auto"/>
            <w:vAlign w:val="center"/>
          </w:tcPr>
          <w:p w14:paraId="45BD8E93">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汞</w:t>
            </w:r>
          </w:p>
        </w:tc>
        <w:tc>
          <w:tcPr>
            <w:tcW w:w="717" w:type="pct"/>
            <w:shd w:val="clear" w:color="auto" w:fill="auto"/>
            <w:vAlign w:val="center"/>
          </w:tcPr>
          <w:p w14:paraId="054313A4">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Cs w:val="21"/>
                <w:highlight w:val="none"/>
                <w:lang w:val="en-US" w:eastAsia="zh-CN"/>
              </w:rPr>
              <w:t>mg/kg</w:t>
            </w:r>
          </w:p>
        </w:tc>
        <w:tc>
          <w:tcPr>
            <w:tcW w:w="1608" w:type="pct"/>
            <w:gridSpan w:val="3"/>
            <w:shd w:val="clear" w:color="auto" w:fill="auto"/>
            <w:vAlign w:val="center"/>
          </w:tcPr>
          <w:p w14:paraId="452E191E">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szCs w:val="21"/>
                <w:highlight w:val="none"/>
                <w:lang w:val="en-US" w:eastAsia="zh-CN"/>
              </w:rPr>
              <w:t>0.0265</w:t>
            </w:r>
          </w:p>
        </w:tc>
        <w:tc>
          <w:tcPr>
            <w:tcW w:w="569" w:type="pct"/>
            <w:shd w:val="clear" w:color="auto" w:fill="auto"/>
            <w:vAlign w:val="center"/>
          </w:tcPr>
          <w:p w14:paraId="6FB2CD5A">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38</w:t>
            </w:r>
          </w:p>
        </w:tc>
        <w:tc>
          <w:tcPr>
            <w:tcW w:w="569" w:type="pct"/>
            <w:shd w:val="clear" w:color="auto" w:fill="auto"/>
            <w:vAlign w:val="center"/>
          </w:tcPr>
          <w:p w14:paraId="2096FC17">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0.002</w:t>
            </w:r>
          </w:p>
        </w:tc>
      </w:tr>
      <w:tr w14:paraId="198B1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2562EB42">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9</w:t>
            </w:r>
          </w:p>
        </w:tc>
        <w:tc>
          <w:tcPr>
            <w:tcW w:w="1173" w:type="pct"/>
            <w:shd w:val="clear" w:color="auto" w:fill="auto"/>
            <w:vAlign w:val="center"/>
          </w:tcPr>
          <w:p w14:paraId="16865B70">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砷</w:t>
            </w:r>
          </w:p>
        </w:tc>
        <w:tc>
          <w:tcPr>
            <w:tcW w:w="717" w:type="pct"/>
            <w:shd w:val="clear" w:color="auto" w:fill="auto"/>
            <w:vAlign w:val="center"/>
          </w:tcPr>
          <w:p w14:paraId="0D011CF6">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Cs w:val="21"/>
                <w:highlight w:val="none"/>
                <w:lang w:val="en-US" w:eastAsia="zh-CN"/>
              </w:rPr>
              <w:t>mg/kg</w:t>
            </w:r>
          </w:p>
        </w:tc>
        <w:tc>
          <w:tcPr>
            <w:tcW w:w="1608" w:type="pct"/>
            <w:gridSpan w:val="3"/>
            <w:shd w:val="clear" w:color="auto" w:fill="auto"/>
            <w:vAlign w:val="center"/>
          </w:tcPr>
          <w:p w14:paraId="1A8876BA">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eastAsia="宋体" w:cs="Times New Roman"/>
                <w:szCs w:val="21"/>
                <w:highlight w:val="none"/>
                <w:lang w:val="en-US" w:eastAsia="zh-CN"/>
              </w:rPr>
              <w:t>10.8</w:t>
            </w:r>
          </w:p>
        </w:tc>
        <w:tc>
          <w:tcPr>
            <w:tcW w:w="569" w:type="pct"/>
            <w:shd w:val="clear" w:color="auto" w:fill="auto"/>
            <w:vAlign w:val="center"/>
          </w:tcPr>
          <w:p w14:paraId="26BF064B">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60</w:t>
            </w:r>
          </w:p>
        </w:tc>
        <w:tc>
          <w:tcPr>
            <w:tcW w:w="569" w:type="pct"/>
            <w:shd w:val="clear" w:color="auto" w:fill="auto"/>
            <w:vAlign w:val="center"/>
          </w:tcPr>
          <w:p w14:paraId="6A9AD03A">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0.01</w:t>
            </w:r>
          </w:p>
        </w:tc>
      </w:tr>
      <w:tr w14:paraId="65BCE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55B2576D">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10</w:t>
            </w:r>
          </w:p>
        </w:tc>
        <w:tc>
          <w:tcPr>
            <w:tcW w:w="1173" w:type="pct"/>
            <w:shd w:val="clear" w:color="auto" w:fill="auto"/>
            <w:vAlign w:val="center"/>
          </w:tcPr>
          <w:p w14:paraId="1E962BFF">
            <w:pPr>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Cs w:val="21"/>
                <w:highlight w:val="none"/>
                <w:lang w:val="en-US" w:eastAsia="zh-CN"/>
              </w:rPr>
              <w:t>石油烃（C</w:t>
            </w:r>
            <w:r>
              <w:rPr>
                <w:rFonts w:hint="default" w:ascii="Times New Roman" w:hAnsi="Times New Roman" w:cs="Times New Roman"/>
                <w:color w:val="000000"/>
                <w:szCs w:val="21"/>
                <w:highlight w:val="none"/>
                <w:vertAlign w:val="subscript"/>
                <w:lang w:val="en-US" w:eastAsia="zh-CN"/>
              </w:rPr>
              <w:t>10</w:t>
            </w:r>
            <w:r>
              <w:rPr>
                <w:rFonts w:hint="default" w:ascii="Times New Roman" w:hAnsi="Times New Roman" w:cs="Times New Roman"/>
                <w:color w:val="000000"/>
                <w:szCs w:val="21"/>
                <w:highlight w:val="none"/>
                <w:lang w:val="en-US" w:eastAsia="zh-CN"/>
              </w:rPr>
              <w:t>-C</w:t>
            </w:r>
            <w:r>
              <w:rPr>
                <w:rFonts w:hint="default" w:ascii="Times New Roman" w:hAnsi="Times New Roman" w:cs="Times New Roman"/>
                <w:color w:val="000000"/>
                <w:szCs w:val="21"/>
                <w:highlight w:val="none"/>
                <w:vertAlign w:val="subscript"/>
                <w:lang w:val="en-US" w:eastAsia="zh-CN"/>
              </w:rPr>
              <w:t>40</w:t>
            </w:r>
            <w:r>
              <w:rPr>
                <w:rFonts w:hint="default" w:ascii="Times New Roman" w:hAnsi="Times New Roman" w:cs="Times New Roman"/>
                <w:color w:val="000000"/>
                <w:szCs w:val="21"/>
                <w:highlight w:val="none"/>
                <w:lang w:val="en-US" w:eastAsia="zh-CN"/>
              </w:rPr>
              <w:t>）</w:t>
            </w:r>
          </w:p>
        </w:tc>
        <w:tc>
          <w:tcPr>
            <w:tcW w:w="717" w:type="pct"/>
            <w:shd w:val="clear" w:color="auto" w:fill="auto"/>
            <w:vAlign w:val="center"/>
          </w:tcPr>
          <w:p w14:paraId="171ED38E">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Cs w:val="21"/>
                <w:highlight w:val="none"/>
                <w:lang w:val="en-US" w:eastAsia="zh-CN"/>
              </w:rPr>
              <w:t>mg/kg</w:t>
            </w:r>
          </w:p>
        </w:tc>
        <w:tc>
          <w:tcPr>
            <w:tcW w:w="1608" w:type="pct"/>
            <w:gridSpan w:val="3"/>
            <w:shd w:val="clear" w:color="auto" w:fill="auto"/>
            <w:vAlign w:val="center"/>
          </w:tcPr>
          <w:p w14:paraId="6F5DE216">
            <w:pPr>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color w:val="000000"/>
                <w:szCs w:val="21"/>
                <w:highlight w:val="none"/>
                <w:lang w:val="en-US" w:eastAsia="zh-CN"/>
              </w:rPr>
              <w:t>&lt;6</w:t>
            </w:r>
          </w:p>
        </w:tc>
        <w:tc>
          <w:tcPr>
            <w:tcW w:w="569" w:type="pct"/>
            <w:shd w:val="clear" w:color="auto" w:fill="auto"/>
            <w:vAlign w:val="center"/>
          </w:tcPr>
          <w:p w14:paraId="0E5EA6F2">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4500</w:t>
            </w:r>
          </w:p>
        </w:tc>
        <w:tc>
          <w:tcPr>
            <w:tcW w:w="569" w:type="pct"/>
            <w:shd w:val="clear" w:color="auto" w:fill="auto"/>
            <w:vAlign w:val="center"/>
          </w:tcPr>
          <w:p w14:paraId="261A03AA">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color w:val="000000"/>
                <w:sz w:val="21"/>
                <w:szCs w:val="21"/>
                <w:highlight w:val="none"/>
                <w:lang w:val="en-US" w:eastAsia="zh-CN"/>
              </w:rPr>
              <w:t>6</w:t>
            </w:r>
          </w:p>
        </w:tc>
      </w:tr>
      <w:tr w14:paraId="48B40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6D5A6FF7">
            <w:pPr>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11</w:t>
            </w:r>
          </w:p>
        </w:tc>
        <w:tc>
          <w:tcPr>
            <w:tcW w:w="1173" w:type="pct"/>
            <w:shd w:val="clear" w:color="auto" w:fill="auto"/>
            <w:vAlign w:val="center"/>
          </w:tcPr>
          <w:p w14:paraId="120A99B2">
            <w:pPr>
              <w:jc w:val="center"/>
              <w:rPr>
                <w:rFonts w:hint="default"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二噁英类</w:t>
            </w:r>
          </w:p>
        </w:tc>
        <w:tc>
          <w:tcPr>
            <w:tcW w:w="717" w:type="pct"/>
            <w:shd w:val="clear" w:color="auto" w:fill="auto"/>
            <w:vAlign w:val="center"/>
          </w:tcPr>
          <w:p w14:paraId="21046D03">
            <w:pPr>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eastAsia="宋体" w:cs="宋体"/>
                <w:spacing w:val="-1"/>
                <w:sz w:val="24"/>
                <w:szCs w:val="24"/>
              </w:rPr>
              <w:t>ngTEQ/kg</w:t>
            </w:r>
          </w:p>
        </w:tc>
        <w:tc>
          <w:tcPr>
            <w:tcW w:w="1608" w:type="pct"/>
            <w:gridSpan w:val="3"/>
            <w:shd w:val="clear" w:color="auto" w:fill="auto"/>
            <w:vAlign w:val="center"/>
          </w:tcPr>
          <w:p w14:paraId="23230A69">
            <w:pPr>
              <w:jc w:val="center"/>
              <w:rPr>
                <w:rFonts w:hint="default" w:ascii="Times New Roman" w:hAnsi="Times New Roman"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0.33</w:t>
            </w:r>
          </w:p>
        </w:tc>
        <w:tc>
          <w:tcPr>
            <w:tcW w:w="569" w:type="pct"/>
            <w:shd w:val="clear" w:color="auto" w:fill="auto"/>
            <w:vAlign w:val="center"/>
          </w:tcPr>
          <w:p w14:paraId="75CC073E">
            <w:pPr>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40</w:t>
            </w:r>
          </w:p>
        </w:tc>
        <w:tc>
          <w:tcPr>
            <w:tcW w:w="569" w:type="pct"/>
            <w:shd w:val="clear" w:color="auto" w:fill="auto"/>
            <w:vAlign w:val="center"/>
          </w:tcPr>
          <w:p w14:paraId="2D7585EF">
            <w:pPr>
              <w:spacing w:line="300" w:lineRule="exact"/>
              <w:jc w:val="center"/>
              <w:rPr>
                <w:rFonts w:hint="default" w:ascii="Times New Roman" w:hAnsi="Times New Roman" w:cs="Times New Roman"/>
                <w:color w:val="000000"/>
                <w:sz w:val="21"/>
                <w:szCs w:val="21"/>
                <w:highlight w:val="none"/>
                <w:lang w:val="en-US" w:eastAsia="zh-CN"/>
              </w:rPr>
            </w:pPr>
            <w:r>
              <w:rPr>
                <w:rFonts w:hint="eastAsia" w:ascii="Times New Roman" w:hAnsi="Times New Roman" w:cs="Times New Roman"/>
                <w:color w:val="000000"/>
                <w:sz w:val="21"/>
                <w:szCs w:val="21"/>
                <w:highlight w:val="none"/>
                <w:lang w:val="en-US" w:eastAsia="zh-CN"/>
              </w:rPr>
              <w:t>-</w:t>
            </w:r>
          </w:p>
        </w:tc>
      </w:tr>
      <w:tr w14:paraId="49E96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60" w:type="pct"/>
            <w:shd w:val="clear" w:color="auto" w:fill="auto"/>
            <w:vAlign w:val="center"/>
          </w:tcPr>
          <w:p w14:paraId="435A3FDB">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12</w:t>
            </w:r>
          </w:p>
        </w:tc>
        <w:tc>
          <w:tcPr>
            <w:tcW w:w="1173" w:type="pct"/>
            <w:shd w:val="clear" w:color="auto" w:fill="auto"/>
            <w:vAlign w:val="center"/>
          </w:tcPr>
          <w:p w14:paraId="2592E1E6">
            <w:pPr>
              <w:spacing w:line="300" w:lineRule="exact"/>
              <w:jc w:val="center"/>
              <w:rPr>
                <w:rFonts w:hint="default" w:ascii="Times New Roman" w:hAnsi="Times New Roman" w:cs="Times New Roman" w:eastAsiaTheme="minorEastAsia"/>
                <w:szCs w:val="21"/>
                <w:highlight w:val="none"/>
                <w:lang w:val="en-US" w:eastAsia="zh-CN"/>
              </w:rPr>
            </w:pPr>
          </w:p>
        </w:tc>
        <w:tc>
          <w:tcPr>
            <w:tcW w:w="717" w:type="pct"/>
            <w:shd w:val="clear" w:color="auto" w:fill="auto"/>
            <w:vAlign w:val="center"/>
          </w:tcPr>
          <w:p w14:paraId="2A5F2C72">
            <w:pPr>
              <w:spacing w:line="300" w:lineRule="exact"/>
              <w:jc w:val="center"/>
              <w:rPr>
                <w:rFonts w:hint="default" w:ascii="Times New Roman" w:hAnsi="Times New Roman" w:cs="Times New Roman" w:eastAsiaTheme="minorEastAsia"/>
                <w:szCs w:val="21"/>
                <w:highlight w:val="none"/>
                <w:lang w:val="en-US" w:eastAsia="zh-CN"/>
              </w:rPr>
            </w:pPr>
          </w:p>
        </w:tc>
        <w:tc>
          <w:tcPr>
            <w:tcW w:w="1608" w:type="pct"/>
            <w:gridSpan w:val="3"/>
            <w:shd w:val="clear" w:color="auto" w:fill="auto"/>
            <w:vAlign w:val="center"/>
          </w:tcPr>
          <w:p w14:paraId="6E189682">
            <w:pPr>
              <w:spacing w:line="300" w:lineRule="exact"/>
              <w:jc w:val="center"/>
              <w:rPr>
                <w:rFonts w:hint="default" w:ascii="Times New Roman" w:hAnsi="Times New Roman" w:cs="Times New Roman" w:eastAsiaTheme="minorEastAsia"/>
                <w:szCs w:val="21"/>
                <w:highlight w:val="none"/>
                <w:lang w:val="en-US" w:eastAsia="zh-CN"/>
              </w:rPr>
            </w:pPr>
          </w:p>
        </w:tc>
        <w:tc>
          <w:tcPr>
            <w:tcW w:w="569" w:type="pct"/>
            <w:shd w:val="clear" w:color="auto" w:fill="auto"/>
            <w:vAlign w:val="center"/>
          </w:tcPr>
          <w:p w14:paraId="29E3FEC6">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w:t>
            </w:r>
          </w:p>
        </w:tc>
        <w:tc>
          <w:tcPr>
            <w:tcW w:w="569" w:type="pct"/>
            <w:shd w:val="clear" w:color="auto" w:fill="auto"/>
            <w:vAlign w:val="center"/>
          </w:tcPr>
          <w:p w14:paraId="24CE11CF">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w:t>
            </w:r>
          </w:p>
        </w:tc>
      </w:tr>
    </w:tbl>
    <w:p w14:paraId="3E5F340D">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通过表4.</w:t>
      </w:r>
      <w:r>
        <w:rPr>
          <w:rFonts w:hint="eastAsia" w:ascii="Times New Roman" w:hAnsi="Times New Roman" w:cs="Times New Roman" w:eastAsiaTheme="minorEastAsia"/>
          <w:sz w:val="24"/>
          <w:lang w:val="en-US" w:eastAsia="zh-CN"/>
        </w:rPr>
        <w:t>3</w:t>
      </w:r>
      <w:r>
        <w:rPr>
          <w:rFonts w:hint="default" w:ascii="Times New Roman" w:hAnsi="Times New Roman" w:cs="Times New Roman" w:eastAsiaTheme="minorEastAsia"/>
          <w:sz w:val="24"/>
          <w:lang w:val="en-US" w:eastAsia="zh-CN"/>
        </w:rPr>
        <w:t>-6，项目区内外土壤环境质量现状良好。所监测的因子能够达到《土壤环境质量建设用地土壤污染风险管控标准（试行）》（GB36600-2018）中第二类用地土壤污染风险筛选值标准。</w:t>
      </w:r>
    </w:p>
    <w:p w14:paraId="25DD6573">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根据《环境影响评价技术导则 土壤环境（试行）》7.3.2.1内容，“根据土壤环境影响类型、建设项目特征与评价需要，有针对性地选择土壤理化特性调查内容，主要包括土体构型、土壤结构、土壤质地、阳离子交换量、氧化还原电位、饱和导水率、土壤容重、孔隙度等；土壤环境生态影响型建设项目还应调查植被、地下水位埋深、地下水溶解性总固体等，可参照表 C.1填写”。因此对项目区土壤进行了理化性质调查，具体见下表。</w:t>
      </w:r>
    </w:p>
    <w:p w14:paraId="5675CA72">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表4.</w:t>
      </w:r>
      <w:r>
        <w:rPr>
          <w:rFonts w:hint="eastAsia" w:ascii="Times New Roman" w:hAnsi="Times New Roman" w:cs="Times New Roman" w:eastAsiaTheme="minorEastAsia"/>
          <w:b/>
          <w:szCs w:val="21"/>
          <w:lang w:val="en-US" w:eastAsia="zh-CN"/>
        </w:rPr>
        <w:t>3</w:t>
      </w:r>
      <w:r>
        <w:rPr>
          <w:rFonts w:hint="default" w:ascii="Times New Roman" w:hAnsi="Times New Roman" w:cs="Times New Roman" w:eastAsiaTheme="minorEastAsia"/>
          <w:b/>
          <w:szCs w:val="21"/>
          <w:lang w:val="en-US" w:eastAsia="zh-CN"/>
        </w:rPr>
        <w:t>-7  土壤理化性质调查表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1"/>
        <w:gridCol w:w="2358"/>
        <w:gridCol w:w="1870"/>
        <w:gridCol w:w="1076"/>
        <w:gridCol w:w="2527"/>
      </w:tblGrid>
      <w:tr w14:paraId="4E898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9" w:type="dxa"/>
            <w:gridSpan w:val="2"/>
            <w:vAlign w:val="center"/>
          </w:tcPr>
          <w:p w14:paraId="775D43D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点位</w:t>
            </w:r>
          </w:p>
        </w:tc>
        <w:tc>
          <w:tcPr>
            <w:tcW w:w="1870" w:type="dxa"/>
            <w:vAlign w:val="center"/>
          </w:tcPr>
          <w:p w14:paraId="4EFD2B5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r>
              <w:rPr>
                <w:rFonts w:hint="eastAsia" w:ascii="Times New Roman" w:hAnsi="Times New Roman" w:cs="Times New Roman" w:eastAsiaTheme="minorEastAsia"/>
                <w:szCs w:val="21"/>
                <w:lang w:val="en-US" w:eastAsia="zh-CN"/>
              </w:rPr>
              <w:t>项目区内标准点</w:t>
            </w:r>
          </w:p>
        </w:tc>
        <w:tc>
          <w:tcPr>
            <w:tcW w:w="1076" w:type="dxa"/>
            <w:vAlign w:val="center"/>
          </w:tcPr>
          <w:p w14:paraId="42044E5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采样时间</w:t>
            </w:r>
          </w:p>
        </w:tc>
        <w:tc>
          <w:tcPr>
            <w:tcW w:w="2527" w:type="dxa"/>
            <w:vAlign w:val="center"/>
          </w:tcPr>
          <w:p w14:paraId="2A4ECD2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2026/3/18</w:t>
            </w:r>
          </w:p>
        </w:tc>
      </w:tr>
      <w:tr w14:paraId="0D048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49" w:type="dxa"/>
            <w:gridSpan w:val="2"/>
            <w:vAlign w:val="center"/>
          </w:tcPr>
          <w:p w14:paraId="4506193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870" w:type="dxa"/>
            <w:vAlign w:val="center"/>
          </w:tcPr>
          <w:p w14:paraId="4EEBA27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76" w:type="dxa"/>
            <w:vAlign w:val="center"/>
          </w:tcPr>
          <w:p w14:paraId="608D84B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527" w:type="dxa"/>
            <w:vAlign w:val="center"/>
          </w:tcPr>
          <w:p w14:paraId="4273E913">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6CDA7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dxa"/>
            <w:vMerge w:val="restart"/>
            <w:vAlign w:val="center"/>
          </w:tcPr>
          <w:p w14:paraId="1EE0424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现场记录</w:t>
            </w:r>
          </w:p>
        </w:tc>
        <w:tc>
          <w:tcPr>
            <w:tcW w:w="2358" w:type="dxa"/>
            <w:vAlign w:val="center"/>
          </w:tcPr>
          <w:p w14:paraId="06E7839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颜色</w:t>
            </w:r>
          </w:p>
        </w:tc>
        <w:tc>
          <w:tcPr>
            <w:tcW w:w="5473" w:type="dxa"/>
            <w:gridSpan w:val="3"/>
            <w:vAlign w:val="center"/>
          </w:tcPr>
          <w:p w14:paraId="35BAA2F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黄棕</w:t>
            </w:r>
          </w:p>
        </w:tc>
      </w:tr>
      <w:tr w14:paraId="4ED9D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dxa"/>
            <w:vMerge w:val="continue"/>
            <w:vAlign w:val="center"/>
          </w:tcPr>
          <w:p w14:paraId="7D031C6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358" w:type="dxa"/>
            <w:vAlign w:val="center"/>
          </w:tcPr>
          <w:p w14:paraId="153B479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结构</w:t>
            </w:r>
          </w:p>
        </w:tc>
        <w:tc>
          <w:tcPr>
            <w:tcW w:w="5473" w:type="dxa"/>
            <w:gridSpan w:val="3"/>
            <w:vAlign w:val="center"/>
          </w:tcPr>
          <w:p w14:paraId="15B0FD2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粒装</w:t>
            </w:r>
          </w:p>
        </w:tc>
      </w:tr>
      <w:tr w14:paraId="008AF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dxa"/>
            <w:vMerge w:val="continue"/>
            <w:vAlign w:val="center"/>
          </w:tcPr>
          <w:p w14:paraId="401D8A4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358" w:type="dxa"/>
            <w:vAlign w:val="center"/>
          </w:tcPr>
          <w:p w14:paraId="48C2001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质地</w:t>
            </w:r>
          </w:p>
        </w:tc>
        <w:tc>
          <w:tcPr>
            <w:tcW w:w="5473" w:type="dxa"/>
            <w:gridSpan w:val="3"/>
            <w:vAlign w:val="center"/>
          </w:tcPr>
          <w:p w14:paraId="359CDE1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砂土</w:t>
            </w:r>
          </w:p>
        </w:tc>
      </w:tr>
      <w:tr w14:paraId="2DDBC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dxa"/>
            <w:vMerge w:val="continue"/>
            <w:vAlign w:val="center"/>
          </w:tcPr>
          <w:p w14:paraId="1764CEC5">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358" w:type="dxa"/>
            <w:vAlign w:val="center"/>
          </w:tcPr>
          <w:p w14:paraId="363EA5A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砂砾含量</w:t>
            </w:r>
          </w:p>
        </w:tc>
        <w:tc>
          <w:tcPr>
            <w:tcW w:w="5473" w:type="dxa"/>
            <w:gridSpan w:val="3"/>
            <w:vAlign w:val="center"/>
          </w:tcPr>
          <w:p w14:paraId="29E64D77">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67</w:t>
            </w:r>
            <w:r>
              <w:rPr>
                <w:rFonts w:hint="eastAsia"/>
                <w:lang w:val="en-US" w:eastAsia="zh-CN"/>
              </w:rPr>
              <w:t>%</w:t>
            </w:r>
          </w:p>
        </w:tc>
      </w:tr>
      <w:tr w14:paraId="14A1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dxa"/>
            <w:vMerge w:val="continue"/>
            <w:vAlign w:val="center"/>
          </w:tcPr>
          <w:p w14:paraId="7DCEDC7C">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358" w:type="dxa"/>
            <w:vAlign w:val="center"/>
          </w:tcPr>
          <w:p w14:paraId="21574F2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其他异物</w:t>
            </w:r>
          </w:p>
        </w:tc>
        <w:tc>
          <w:tcPr>
            <w:tcW w:w="5473" w:type="dxa"/>
            <w:gridSpan w:val="3"/>
            <w:vAlign w:val="center"/>
          </w:tcPr>
          <w:p w14:paraId="1AD40AB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少量根系</w:t>
            </w:r>
          </w:p>
        </w:tc>
      </w:tr>
      <w:tr w14:paraId="2ABC8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dxa"/>
            <w:vMerge w:val="restart"/>
            <w:vAlign w:val="center"/>
          </w:tcPr>
          <w:p w14:paraId="3681397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实验室测定</w:t>
            </w:r>
          </w:p>
        </w:tc>
        <w:tc>
          <w:tcPr>
            <w:tcW w:w="2358" w:type="dxa"/>
            <w:vAlign w:val="center"/>
          </w:tcPr>
          <w:p w14:paraId="32E593D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PH（无量纲）</w:t>
            </w:r>
          </w:p>
        </w:tc>
        <w:tc>
          <w:tcPr>
            <w:tcW w:w="5473" w:type="dxa"/>
            <w:gridSpan w:val="3"/>
            <w:vAlign w:val="center"/>
          </w:tcPr>
          <w:p w14:paraId="375F9F8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8.24</w:t>
            </w:r>
          </w:p>
        </w:tc>
      </w:tr>
      <w:tr w14:paraId="05C4D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dxa"/>
            <w:vMerge w:val="continue"/>
            <w:vAlign w:val="center"/>
          </w:tcPr>
          <w:p w14:paraId="0A35AD6C">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358" w:type="dxa"/>
            <w:vAlign w:val="center"/>
          </w:tcPr>
          <w:p w14:paraId="0B08DE2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阳离子交换量（cmol/kg）</w:t>
            </w:r>
          </w:p>
        </w:tc>
        <w:tc>
          <w:tcPr>
            <w:tcW w:w="5473" w:type="dxa"/>
            <w:gridSpan w:val="3"/>
            <w:vAlign w:val="center"/>
          </w:tcPr>
          <w:p w14:paraId="0B17681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4.97</w:t>
            </w:r>
          </w:p>
        </w:tc>
      </w:tr>
      <w:tr w14:paraId="1A8EB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dxa"/>
            <w:vMerge w:val="continue"/>
            <w:vAlign w:val="center"/>
          </w:tcPr>
          <w:p w14:paraId="58D03BE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358" w:type="dxa"/>
            <w:vAlign w:val="center"/>
          </w:tcPr>
          <w:p w14:paraId="31F2B10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氧化环氧点位（mV）</w:t>
            </w:r>
          </w:p>
        </w:tc>
        <w:tc>
          <w:tcPr>
            <w:tcW w:w="5473" w:type="dxa"/>
            <w:gridSpan w:val="3"/>
            <w:vAlign w:val="center"/>
          </w:tcPr>
          <w:p w14:paraId="15E1783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456</w:t>
            </w:r>
          </w:p>
        </w:tc>
      </w:tr>
      <w:tr w14:paraId="1CFD8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691" w:type="dxa"/>
            <w:vMerge w:val="continue"/>
            <w:vAlign w:val="center"/>
          </w:tcPr>
          <w:p w14:paraId="33E7911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358" w:type="dxa"/>
            <w:vAlign w:val="center"/>
          </w:tcPr>
          <w:p w14:paraId="7174239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饱和导水率（cm/s）</w:t>
            </w:r>
          </w:p>
        </w:tc>
        <w:tc>
          <w:tcPr>
            <w:tcW w:w="5473" w:type="dxa"/>
            <w:gridSpan w:val="3"/>
            <w:vAlign w:val="center"/>
          </w:tcPr>
          <w:p w14:paraId="68361C3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3.09</w:t>
            </w:r>
          </w:p>
        </w:tc>
      </w:tr>
      <w:tr w14:paraId="7ABAE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dxa"/>
            <w:vMerge w:val="continue"/>
            <w:vAlign w:val="center"/>
          </w:tcPr>
          <w:p w14:paraId="1766E0C7">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358" w:type="dxa"/>
            <w:vAlign w:val="center"/>
          </w:tcPr>
          <w:p w14:paraId="182620A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土壤容重（kg/m3）</w:t>
            </w:r>
          </w:p>
        </w:tc>
        <w:tc>
          <w:tcPr>
            <w:tcW w:w="5473" w:type="dxa"/>
            <w:gridSpan w:val="3"/>
            <w:vAlign w:val="center"/>
          </w:tcPr>
          <w:p w14:paraId="106C56F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1.56</w:t>
            </w:r>
          </w:p>
        </w:tc>
      </w:tr>
      <w:tr w14:paraId="52C69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dxa"/>
            <w:vMerge w:val="continue"/>
            <w:vAlign w:val="center"/>
          </w:tcPr>
          <w:p w14:paraId="256B51F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358" w:type="dxa"/>
            <w:vAlign w:val="center"/>
          </w:tcPr>
          <w:p w14:paraId="1B07CD1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孔隙度（%）</w:t>
            </w:r>
          </w:p>
        </w:tc>
        <w:tc>
          <w:tcPr>
            <w:tcW w:w="5473" w:type="dxa"/>
            <w:gridSpan w:val="3"/>
            <w:vAlign w:val="center"/>
          </w:tcPr>
          <w:p w14:paraId="6230FEB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39.4</w:t>
            </w:r>
          </w:p>
        </w:tc>
      </w:tr>
    </w:tbl>
    <w:p w14:paraId="6BC3AE3E">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196" w:name="_Toc7046"/>
      <w:r>
        <w:rPr>
          <w:rFonts w:hint="default" w:ascii="Times New Roman" w:hAnsi="Times New Roman" w:cs="Times New Roman" w:eastAsiaTheme="minorEastAsia"/>
          <w:kern w:val="0"/>
          <w:sz w:val="24"/>
          <w:szCs w:val="24"/>
          <w:lang w:val="en-US" w:eastAsia="zh-CN"/>
        </w:rPr>
        <w:t>4.</w:t>
      </w:r>
      <w:r>
        <w:rPr>
          <w:rFonts w:hint="eastAsia" w:ascii="Times New Roman" w:hAnsi="Times New Roman" w:cs="Times New Roman" w:eastAsiaTheme="minorEastAsia"/>
          <w:kern w:val="0"/>
          <w:sz w:val="24"/>
          <w:szCs w:val="24"/>
          <w:lang w:val="en-US" w:eastAsia="zh-CN"/>
        </w:rPr>
        <w:t>3</w:t>
      </w:r>
      <w:r>
        <w:rPr>
          <w:rFonts w:hint="default" w:ascii="Times New Roman" w:hAnsi="Times New Roman" w:cs="Times New Roman" w:eastAsiaTheme="minorEastAsia"/>
          <w:kern w:val="0"/>
          <w:sz w:val="24"/>
          <w:szCs w:val="24"/>
          <w:lang w:val="en-US" w:eastAsia="zh-CN"/>
        </w:rPr>
        <w:t>.</w:t>
      </w:r>
      <w:r>
        <w:rPr>
          <w:rFonts w:hint="eastAsia" w:ascii="Times New Roman" w:hAnsi="Times New Roman" w:cs="Times New Roman" w:eastAsiaTheme="minorEastAsia"/>
          <w:kern w:val="0"/>
          <w:sz w:val="24"/>
          <w:szCs w:val="24"/>
          <w:lang w:val="en-US" w:eastAsia="zh-CN"/>
        </w:rPr>
        <w:t>5地下水</w:t>
      </w:r>
      <w:r>
        <w:rPr>
          <w:rFonts w:hint="default" w:ascii="Times New Roman" w:hAnsi="Times New Roman" w:cs="Times New Roman" w:eastAsiaTheme="minorEastAsia"/>
          <w:kern w:val="0"/>
          <w:sz w:val="24"/>
          <w:szCs w:val="24"/>
          <w:lang w:val="en-US" w:eastAsia="zh-CN"/>
        </w:rPr>
        <w:t>环境质量现状与评价</w:t>
      </w:r>
      <w:bookmarkEnd w:id="196"/>
    </w:p>
    <w:p w14:paraId="6D38EBE0">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地下水环境质量现状委托</w:t>
      </w:r>
      <w:r>
        <w:rPr>
          <w:rFonts w:hint="default" w:ascii="Times New Roman" w:hAnsi="Times New Roman" w:cs="Times New Roman" w:eastAsiaTheme="minorEastAsia"/>
          <w:sz w:val="24"/>
          <w:lang w:val="en-US" w:eastAsia="zh-CN"/>
        </w:rPr>
        <w:t>新疆</w:t>
      </w:r>
      <w:r>
        <w:rPr>
          <w:rFonts w:hint="eastAsia" w:ascii="Times New Roman" w:hAnsi="Times New Roman" w:cs="Times New Roman" w:eastAsiaTheme="minorEastAsia"/>
          <w:sz w:val="24"/>
          <w:lang w:val="en-US" w:eastAsia="zh-CN"/>
        </w:rPr>
        <w:t>腾龙环境监测有限公司进行监测。</w:t>
      </w:r>
    </w:p>
    <w:p w14:paraId="3C6D378A">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（1）监测方案</w:t>
      </w:r>
    </w:p>
    <w:p w14:paraId="1223BC5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监测点位：根据HJ610-2016及评价区地形地貌特征、水文地质条件及项目性质、评价等级等，共设置5个潜水含水层监测点，5个水质，5个水位，同时记录井口坐标、井口标高、井深、水深，供水功能等。监测点信息见表4.3-8。</w:t>
      </w:r>
    </w:p>
    <w:p w14:paraId="197EDCEB">
      <w:pPr>
        <w:adjustRightInd w:val="0"/>
        <w:snapToGrid w:val="0"/>
        <w:spacing w:before="250"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表4.3-8  地下水监测点一览表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9"/>
        <w:gridCol w:w="1400"/>
        <w:gridCol w:w="3217"/>
        <w:gridCol w:w="1403"/>
        <w:gridCol w:w="1693"/>
      </w:tblGrid>
      <w:tr w14:paraId="20479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809" w:type="dxa"/>
          </w:tcPr>
          <w:p w14:paraId="02A5EC6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序号</w:t>
            </w:r>
          </w:p>
        </w:tc>
        <w:tc>
          <w:tcPr>
            <w:tcW w:w="1400" w:type="dxa"/>
          </w:tcPr>
          <w:p w14:paraId="5B4C0A9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监测点位</w:t>
            </w:r>
          </w:p>
        </w:tc>
        <w:tc>
          <w:tcPr>
            <w:tcW w:w="3217" w:type="dxa"/>
          </w:tcPr>
          <w:p w14:paraId="7E1E5FD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坐标</w:t>
            </w:r>
          </w:p>
        </w:tc>
        <w:tc>
          <w:tcPr>
            <w:tcW w:w="1403" w:type="dxa"/>
          </w:tcPr>
          <w:p w14:paraId="1C7A220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水位</w:t>
            </w:r>
          </w:p>
        </w:tc>
        <w:tc>
          <w:tcPr>
            <w:tcW w:w="1693" w:type="dxa"/>
          </w:tcPr>
          <w:p w14:paraId="3F731C1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监测项目</w:t>
            </w:r>
          </w:p>
        </w:tc>
      </w:tr>
      <w:tr w14:paraId="78CF0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dxa"/>
          </w:tcPr>
          <w:p w14:paraId="5F96C6E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w:t>
            </w:r>
          </w:p>
        </w:tc>
        <w:tc>
          <w:tcPr>
            <w:tcW w:w="1400" w:type="dxa"/>
          </w:tcPr>
          <w:p w14:paraId="5936A36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w:t>
            </w:r>
          </w:p>
        </w:tc>
        <w:tc>
          <w:tcPr>
            <w:tcW w:w="3217" w:type="dxa"/>
          </w:tcPr>
          <w:p w14:paraId="4A8F9D6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403" w:type="dxa"/>
          </w:tcPr>
          <w:p w14:paraId="1811406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32m</w:t>
            </w:r>
          </w:p>
        </w:tc>
        <w:tc>
          <w:tcPr>
            <w:tcW w:w="1693" w:type="dxa"/>
          </w:tcPr>
          <w:p w14:paraId="1A631D4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水质、水位</w:t>
            </w:r>
          </w:p>
        </w:tc>
      </w:tr>
      <w:tr w14:paraId="60EA1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dxa"/>
          </w:tcPr>
          <w:p w14:paraId="70EF376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w:t>
            </w:r>
          </w:p>
        </w:tc>
        <w:tc>
          <w:tcPr>
            <w:tcW w:w="1400" w:type="dxa"/>
          </w:tcPr>
          <w:p w14:paraId="7608C14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w:t>
            </w:r>
          </w:p>
        </w:tc>
        <w:tc>
          <w:tcPr>
            <w:tcW w:w="3217" w:type="dxa"/>
          </w:tcPr>
          <w:p w14:paraId="701B72C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403" w:type="dxa"/>
          </w:tcPr>
          <w:p w14:paraId="637CF2A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31m</w:t>
            </w:r>
          </w:p>
        </w:tc>
        <w:tc>
          <w:tcPr>
            <w:tcW w:w="1693" w:type="dxa"/>
          </w:tcPr>
          <w:p w14:paraId="538E337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水质、水位</w:t>
            </w:r>
          </w:p>
        </w:tc>
      </w:tr>
      <w:tr w14:paraId="18CD4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dxa"/>
          </w:tcPr>
          <w:p w14:paraId="4725355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w:t>
            </w:r>
          </w:p>
        </w:tc>
        <w:tc>
          <w:tcPr>
            <w:tcW w:w="1400" w:type="dxa"/>
          </w:tcPr>
          <w:p w14:paraId="750F31E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w:t>
            </w:r>
          </w:p>
        </w:tc>
        <w:tc>
          <w:tcPr>
            <w:tcW w:w="3217" w:type="dxa"/>
          </w:tcPr>
          <w:p w14:paraId="039A9965">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403" w:type="dxa"/>
          </w:tcPr>
          <w:p w14:paraId="12A04E6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29m</w:t>
            </w:r>
          </w:p>
        </w:tc>
        <w:tc>
          <w:tcPr>
            <w:tcW w:w="1693" w:type="dxa"/>
          </w:tcPr>
          <w:p w14:paraId="01EE124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水质、水位</w:t>
            </w:r>
          </w:p>
        </w:tc>
      </w:tr>
      <w:tr w14:paraId="52CE1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dxa"/>
          </w:tcPr>
          <w:p w14:paraId="5410D16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w:t>
            </w:r>
          </w:p>
        </w:tc>
        <w:tc>
          <w:tcPr>
            <w:tcW w:w="1400" w:type="dxa"/>
          </w:tcPr>
          <w:p w14:paraId="20A83C8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w:t>
            </w:r>
          </w:p>
        </w:tc>
        <w:tc>
          <w:tcPr>
            <w:tcW w:w="3217" w:type="dxa"/>
          </w:tcPr>
          <w:p w14:paraId="13B5652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403" w:type="dxa"/>
          </w:tcPr>
          <w:p w14:paraId="42A702B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30m</w:t>
            </w:r>
          </w:p>
        </w:tc>
        <w:tc>
          <w:tcPr>
            <w:tcW w:w="1693" w:type="dxa"/>
          </w:tcPr>
          <w:p w14:paraId="5D749C5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水质、水位</w:t>
            </w:r>
          </w:p>
        </w:tc>
      </w:tr>
      <w:tr w14:paraId="77A09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dxa"/>
          </w:tcPr>
          <w:p w14:paraId="4BFED4F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w:t>
            </w:r>
          </w:p>
        </w:tc>
        <w:tc>
          <w:tcPr>
            <w:tcW w:w="1400" w:type="dxa"/>
          </w:tcPr>
          <w:p w14:paraId="3870B21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w:t>
            </w:r>
          </w:p>
        </w:tc>
        <w:tc>
          <w:tcPr>
            <w:tcW w:w="3217" w:type="dxa"/>
          </w:tcPr>
          <w:p w14:paraId="1431F2F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403" w:type="dxa"/>
          </w:tcPr>
          <w:p w14:paraId="7718156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30m</w:t>
            </w:r>
          </w:p>
        </w:tc>
        <w:tc>
          <w:tcPr>
            <w:tcW w:w="1693" w:type="dxa"/>
          </w:tcPr>
          <w:p w14:paraId="0103B26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水质、水位</w:t>
            </w:r>
          </w:p>
        </w:tc>
      </w:tr>
    </w:tbl>
    <w:p w14:paraId="3FAB2955">
      <w:pPr>
        <w:pStyle w:val="20"/>
        <w:snapToGrid w:val="0"/>
        <w:jc w:val="left"/>
        <w:rPr>
          <w:rFonts w:hint="eastAsia" w:ascii="Times New Roman" w:hAnsi="Times New Roman" w:cs="Times New Roman" w:eastAsiaTheme="minorEastAsia"/>
          <w:color w:val="auto"/>
          <w:highlight w:val="none"/>
          <w:lang w:val="en-US" w:eastAsia="zh-CN"/>
        </w:rPr>
      </w:pPr>
      <w:r>
        <w:rPr>
          <w:rFonts w:hint="eastAsia" w:ascii="Times New Roman" w:hAnsi="Times New Roman" w:cs="Times New Roman" w:eastAsiaTheme="minorEastAsia"/>
          <w:color w:val="auto"/>
          <w:highlight w:val="none"/>
          <w:lang w:val="en-US" w:eastAsia="zh-CN"/>
        </w:rPr>
        <w:t>监测因子：K</w:t>
      </w:r>
      <w:r>
        <w:rPr>
          <w:rFonts w:hint="eastAsia" w:ascii="Times New Roman" w:hAnsi="Times New Roman" w:cs="Times New Roman" w:eastAsiaTheme="minorEastAsia"/>
          <w:color w:val="auto"/>
          <w:highlight w:val="none"/>
          <w:vertAlign w:val="superscript"/>
          <w:lang w:val="en-US" w:eastAsia="zh-CN"/>
        </w:rPr>
        <w:t>+</w:t>
      </w:r>
      <w:r>
        <w:rPr>
          <w:rFonts w:hint="eastAsia" w:ascii="Times New Roman" w:hAnsi="Times New Roman" w:cs="Times New Roman" w:eastAsiaTheme="minorEastAsia"/>
          <w:color w:val="auto"/>
          <w:highlight w:val="none"/>
          <w:lang w:val="en-US" w:eastAsia="zh-CN"/>
        </w:rPr>
        <w:t>、N</w:t>
      </w:r>
      <w:r>
        <w:rPr>
          <w:rFonts w:hint="eastAsia" w:ascii="Times New Roman" w:hAnsi="Times New Roman" w:cs="Times New Roman" w:eastAsiaTheme="minorEastAsia"/>
          <w:color w:val="auto"/>
          <w:highlight w:val="none"/>
          <w:vertAlign w:val="baseline"/>
          <w:lang w:val="en-US" w:eastAsia="zh-CN"/>
        </w:rPr>
        <w:t>a</w:t>
      </w:r>
      <w:r>
        <w:rPr>
          <w:rFonts w:hint="eastAsia" w:ascii="Times New Roman" w:hAnsi="Times New Roman" w:cs="Times New Roman" w:eastAsiaTheme="minorEastAsia"/>
          <w:color w:val="auto"/>
          <w:highlight w:val="none"/>
          <w:vertAlign w:val="superscript"/>
          <w:lang w:val="en-US" w:eastAsia="zh-CN"/>
        </w:rPr>
        <w:t>+</w:t>
      </w:r>
      <w:r>
        <w:rPr>
          <w:rFonts w:hint="eastAsia" w:ascii="Times New Roman" w:hAnsi="Times New Roman" w:cs="Times New Roman" w:eastAsiaTheme="minorEastAsia"/>
          <w:color w:val="auto"/>
          <w:highlight w:val="none"/>
          <w:lang w:val="en-US" w:eastAsia="zh-CN"/>
        </w:rPr>
        <w:t>、Ca</w:t>
      </w:r>
      <w:r>
        <w:rPr>
          <w:rFonts w:hint="eastAsia" w:ascii="Times New Roman" w:hAnsi="Times New Roman" w:cs="Times New Roman" w:eastAsiaTheme="minorEastAsia"/>
          <w:color w:val="auto"/>
          <w:highlight w:val="none"/>
          <w:vertAlign w:val="superscript"/>
          <w:lang w:val="en-US" w:eastAsia="zh-CN"/>
        </w:rPr>
        <w:t>2+</w:t>
      </w:r>
      <w:r>
        <w:rPr>
          <w:rFonts w:hint="eastAsia" w:ascii="Times New Roman" w:hAnsi="Times New Roman" w:cs="Times New Roman" w:eastAsiaTheme="minorEastAsia"/>
          <w:color w:val="auto"/>
          <w:highlight w:val="none"/>
          <w:lang w:val="en-US" w:eastAsia="zh-CN"/>
        </w:rPr>
        <w:t>、Mg</w:t>
      </w:r>
      <w:r>
        <w:rPr>
          <w:rFonts w:hint="eastAsia" w:ascii="Times New Roman" w:hAnsi="Times New Roman" w:cs="Times New Roman" w:eastAsiaTheme="minorEastAsia"/>
          <w:color w:val="auto"/>
          <w:highlight w:val="none"/>
          <w:vertAlign w:val="superscript"/>
          <w:lang w:val="en-US" w:eastAsia="zh-CN"/>
        </w:rPr>
        <w:t>2+</w:t>
      </w:r>
      <w:r>
        <w:rPr>
          <w:rFonts w:hint="eastAsia" w:ascii="Times New Roman" w:hAnsi="Times New Roman" w:cs="Times New Roman" w:eastAsiaTheme="minorEastAsia"/>
          <w:color w:val="auto"/>
          <w:highlight w:val="none"/>
          <w:lang w:val="en-US" w:eastAsia="zh-CN"/>
        </w:rPr>
        <w:t>、CO</w:t>
      </w:r>
      <w:r>
        <w:rPr>
          <w:rFonts w:hint="eastAsia" w:ascii="Times New Roman" w:hAnsi="Times New Roman" w:cs="Times New Roman" w:eastAsiaTheme="minorEastAsia"/>
          <w:color w:val="auto"/>
          <w:highlight w:val="none"/>
          <w:vertAlign w:val="subscript"/>
          <w:lang w:val="en-US" w:eastAsia="zh-CN"/>
        </w:rPr>
        <w:t>3</w:t>
      </w:r>
      <w:r>
        <w:rPr>
          <w:rFonts w:hint="eastAsia" w:ascii="Times New Roman" w:hAnsi="Times New Roman" w:cs="Times New Roman" w:eastAsiaTheme="minorEastAsia"/>
          <w:color w:val="auto"/>
          <w:highlight w:val="none"/>
          <w:vertAlign w:val="superscript"/>
          <w:lang w:val="en-US" w:eastAsia="zh-CN"/>
        </w:rPr>
        <w:t>2-</w:t>
      </w:r>
      <w:r>
        <w:rPr>
          <w:rFonts w:hint="eastAsia" w:ascii="Times New Roman" w:hAnsi="Times New Roman" w:cs="Times New Roman" w:eastAsiaTheme="minorEastAsia"/>
          <w:color w:val="auto"/>
          <w:highlight w:val="none"/>
          <w:lang w:val="en-US" w:eastAsia="zh-CN"/>
        </w:rPr>
        <w:t>、HCO</w:t>
      </w:r>
      <w:r>
        <w:rPr>
          <w:rFonts w:hint="eastAsia" w:ascii="Times New Roman" w:hAnsi="Times New Roman" w:cs="Times New Roman" w:eastAsiaTheme="minorEastAsia"/>
          <w:color w:val="auto"/>
          <w:highlight w:val="none"/>
          <w:vertAlign w:val="subscript"/>
          <w:lang w:val="en-US" w:eastAsia="zh-CN"/>
        </w:rPr>
        <w:t>3</w:t>
      </w:r>
      <w:r>
        <w:rPr>
          <w:rFonts w:hint="eastAsia" w:ascii="Times New Roman" w:hAnsi="Times New Roman" w:cs="Times New Roman" w:eastAsiaTheme="minorEastAsia"/>
          <w:color w:val="auto"/>
          <w:highlight w:val="none"/>
          <w:vertAlign w:val="superscript"/>
          <w:lang w:val="en-US" w:eastAsia="zh-CN"/>
        </w:rPr>
        <w:t>-</w:t>
      </w:r>
      <w:r>
        <w:rPr>
          <w:rFonts w:hint="eastAsia" w:ascii="Times New Roman" w:hAnsi="Times New Roman" w:cs="Times New Roman" w:eastAsiaTheme="minorEastAsia"/>
          <w:color w:val="auto"/>
          <w:highlight w:val="none"/>
          <w:lang w:val="en-US" w:eastAsia="zh-CN"/>
        </w:rPr>
        <w:t>、Cl</w:t>
      </w:r>
      <w:r>
        <w:rPr>
          <w:rFonts w:hint="eastAsia" w:ascii="Times New Roman" w:hAnsi="Times New Roman" w:cs="Times New Roman" w:eastAsiaTheme="minorEastAsia"/>
          <w:color w:val="auto"/>
          <w:highlight w:val="none"/>
          <w:vertAlign w:val="superscript"/>
          <w:lang w:val="en-US" w:eastAsia="zh-CN"/>
        </w:rPr>
        <w:t>-</w:t>
      </w:r>
      <w:r>
        <w:rPr>
          <w:rFonts w:hint="eastAsia" w:ascii="Times New Roman" w:hAnsi="Times New Roman" w:cs="Times New Roman" w:eastAsiaTheme="minorEastAsia"/>
          <w:color w:val="auto"/>
          <w:highlight w:val="none"/>
          <w:lang w:val="en-US" w:eastAsia="zh-CN"/>
        </w:rPr>
        <w:t>、SO</w:t>
      </w:r>
      <w:r>
        <w:rPr>
          <w:rFonts w:hint="eastAsia" w:ascii="Times New Roman" w:hAnsi="Times New Roman" w:cs="Times New Roman" w:eastAsiaTheme="minorEastAsia"/>
          <w:color w:val="auto"/>
          <w:highlight w:val="none"/>
          <w:vertAlign w:val="subscript"/>
          <w:lang w:val="en-US" w:eastAsia="zh-CN"/>
        </w:rPr>
        <w:t>4</w:t>
      </w:r>
      <w:r>
        <w:rPr>
          <w:rFonts w:hint="eastAsia" w:ascii="Times New Roman" w:hAnsi="Times New Roman" w:cs="Times New Roman" w:eastAsiaTheme="minorEastAsia"/>
          <w:color w:val="auto"/>
          <w:highlight w:val="none"/>
          <w:vertAlign w:val="superscript"/>
          <w:lang w:val="en-US" w:eastAsia="zh-CN"/>
        </w:rPr>
        <w:t>2-</w:t>
      </w:r>
      <w:r>
        <w:rPr>
          <w:rFonts w:hint="eastAsia" w:ascii="Times New Roman" w:hAnsi="Times New Roman" w:cs="Times New Roman" w:eastAsiaTheme="minorEastAsia"/>
          <w:color w:val="auto"/>
          <w:highlight w:val="none"/>
          <w:lang w:val="en-US" w:eastAsia="zh-CN"/>
        </w:rPr>
        <w:t>、pH、氨氮、硝酸盐、亚硝酸盐、挥发性酚类、氯化物、氰化物、砷、汞、铬（六价）、总硬度、铅、氟化物、镉、铁、锰、溶解性总固体、硫酸盐、耗氧量、总大肠菌落、细菌总数、地下水水位。</w:t>
      </w:r>
    </w:p>
    <w:p w14:paraId="7CC0C825">
      <w:pPr>
        <w:pStyle w:val="20"/>
        <w:snapToGrid w:val="0"/>
        <w:jc w:val="left"/>
        <w:rPr>
          <w:rFonts w:hint="eastAsia" w:ascii="Times New Roman" w:hAnsi="Times New Roman" w:cs="Times New Roman" w:eastAsiaTheme="minorEastAsia"/>
          <w:color w:val="auto"/>
          <w:highlight w:val="none"/>
          <w:lang w:val="en-US" w:eastAsia="zh-CN"/>
        </w:rPr>
      </w:pPr>
      <w:r>
        <w:rPr>
          <w:rFonts w:hint="eastAsia" w:ascii="Times New Roman" w:hAnsi="Times New Roman" w:cs="Times New Roman" w:eastAsiaTheme="minorEastAsia"/>
          <w:color w:val="auto"/>
          <w:highlight w:val="none"/>
          <w:lang w:val="en-US" w:eastAsia="zh-CN"/>
        </w:rPr>
        <w:t>采样时间：2025年12月2日/4日。</w:t>
      </w:r>
    </w:p>
    <w:p w14:paraId="5930E847">
      <w:pPr>
        <w:pStyle w:val="20"/>
        <w:snapToGrid w:val="0"/>
        <w:jc w:val="left"/>
        <w:rPr>
          <w:rFonts w:hint="eastAsia" w:ascii="Times New Roman" w:hAnsi="Times New Roman" w:cs="Times New Roman" w:eastAsiaTheme="minorEastAsia"/>
          <w:color w:val="auto"/>
          <w:highlight w:val="none"/>
          <w:lang w:val="en-US" w:eastAsia="zh-CN"/>
        </w:rPr>
      </w:pPr>
      <w:bookmarkStart w:id="197" w:name="_Toc22342"/>
      <w:r>
        <w:rPr>
          <w:rFonts w:hint="eastAsia" w:ascii="Times New Roman" w:hAnsi="Times New Roman" w:cs="Times New Roman" w:eastAsiaTheme="minorEastAsia"/>
          <w:color w:val="auto"/>
          <w:highlight w:val="none"/>
          <w:lang w:val="en-US" w:eastAsia="zh-CN"/>
        </w:rPr>
        <w:t>（2）评价标准</w:t>
      </w:r>
    </w:p>
    <w:p w14:paraId="590EBB98">
      <w:pPr>
        <w:pStyle w:val="20"/>
        <w:snapToGrid w:val="0"/>
        <w:jc w:val="left"/>
        <w:rPr>
          <w:rFonts w:hint="eastAsia" w:ascii="Times New Roman" w:hAnsi="Times New Roman" w:cs="Times New Roman" w:eastAsiaTheme="minorEastAsia"/>
          <w:color w:val="auto"/>
          <w:highlight w:val="none"/>
          <w:lang w:val="en-US" w:eastAsia="zh-CN"/>
        </w:rPr>
      </w:pPr>
      <w:r>
        <w:rPr>
          <w:rFonts w:hint="eastAsia" w:ascii="Times New Roman" w:hAnsi="Times New Roman" w:cs="Times New Roman" w:eastAsiaTheme="minorEastAsia"/>
          <w:color w:val="auto"/>
          <w:highlight w:val="none"/>
          <w:lang w:val="en-US" w:eastAsia="zh-CN"/>
        </w:rPr>
        <w:t>地下水环境质量执行《地下水质量标准》（GB/T14848-2017）Ⅲ类标准。</w:t>
      </w:r>
    </w:p>
    <w:p w14:paraId="671CE591">
      <w:pPr>
        <w:pStyle w:val="20"/>
        <w:snapToGrid w:val="0"/>
        <w:jc w:val="left"/>
        <w:rPr>
          <w:rFonts w:hint="eastAsia" w:ascii="Times New Roman" w:hAnsi="Times New Roman" w:cs="Times New Roman" w:eastAsiaTheme="minorEastAsia"/>
          <w:color w:val="auto"/>
          <w:highlight w:val="none"/>
          <w:lang w:val="en-US" w:eastAsia="zh-CN"/>
        </w:rPr>
      </w:pPr>
      <w:r>
        <w:rPr>
          <w:rFonts w:hint="eastAsia" w:ascii="Times New Roman" w:hAnsi="Times New Roman" w:cs="Times New Roman" w:eastAsiaTheme="minorEastAsia"/>
          <w:color w:val="auto"/>
          <w:highlight w:val="none"/>
          <w:lang w:val="en-US" w:eastAsia="zh-CN"/>
        </w:rPr>
        <w:t>（4）监测结果及评价</w:t>
      </w:r>
    </w:p>
    <w:p w14:paraId="4043A6EE">
      <w:pPr>
        <w:pStyle w:val="20"/>
        <w:snapToGrid w:val="0"/>
        <w:jc w:val="left"/>
        <w:rPr>
          <w:rFonts w:hint="eastAsia" w:ascii="Times New Roman" w:hAnsi="Times New Roman" w:cs="Times New Roman" w:eastAsiaTheme="minorEastAsia"/>
          <w:color w:val="auto"/>
          <w:highlight w:val="none"/>
          <w:lang w:val="en-US" w:eastAsia="zh-CN"/>
        </w:rPr>
      </w:pPr>
      <w:bookmarkStart w:id="198" w:name="OLE_LINK599"/>
      <w:r>
        <w:rPr>
          <w:rFonts w:hint="eastAsia" w:ascii="Times New Roman" w:hAnsi="Times New Roman" w:cs="Times New Roman" w:eastAsiaTheme="minorEastAsia"/>
          <w:color w:val="auto"/>
          <w:highlight w:val="none"/>
          <w:lang w:val="en-US" w:eastAsia="zh-CN"/>
        </w:rPr>
        <w:t>地下水水化学成分检测结果见表4.3-9。</w:t>
      </w:r>
    </w:p>
    <w:p w14:paraId="407A091D">
      <w:pPr>
        <w:snapToGrid w:val="0"/>
        <w:spacing w:before="241" w:beforeLines="50"/>
        <w:jc w:val="center"/>
        <w:rPr>
          <w:rFonts w:hint="default"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表4.</w:t>
      </w:r>
      <w:r>
        <w:rPr>
          <w:rFonts w:hint="eastAsia" w:ascii="Times New Roman" w:hAnsi="Times New Roman" w:cs="Times New Roman"/>
          <w:b/>
          <w:szCs w:val="21"/>
          <w:lang w:val="en-US" w:eastAsia="zh-CN"/>
        </w:rPr>
        <w:t>3</w:t>
      </w:r>
      <w:r>
        <w:rPr>
          <w:rFonts w:hint="eastAsia" w:ascii="Times New Roman" w:hAnsi="Times New Roman" w:cs="Times New Roman" w:eastAsiaTheme="minorEastAsia"/>
          <w:b/>
          <w:szCs w:val="21"/>
          <w:lang w:val="en-US" w:eastAsia="zh-CN"/>
        </w:rPr>
        <w:t>-9  地下水化学成分检测结果一览表</w:t>
      </w:r>
    </w:p>
    <w:bookmarkEnd w:id="198"/>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1183"/>
        <w:gridCol w:w="1050"/>
        <w:gridCol w:w="1067"/>
        <w:gridCol w:w="1066"/>
        <w:gridCol w:w="1050"/>
        <w:gridCol w:w="1480"/>
      </w:tblGrid>
      <w:tr w14:paraId="0E98E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dxa"/>
            <w:vMerge w:val="restart"/>
            <w:vAlign w:val="center"/>
          </w:tcPr>
          <w:p w14:paraId="4F8A438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监测因子</w:t>
            </w:r>
          </w:p>
        </w:tc>
        <w:tc>
          <w:tcPr>
            <w:tcW w:w="5416" w:type="dxa"/>
            <w:gridSpan w:val="5"/>
            <w:vAlign w:val="center"/>
          </w:tcPr>
          <w:p w14:paraId="2D6E934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监测点位</w:t>
            </w:r>
          </w:p>
        </w:tc>
        <w:tc>
          <w:tcPr>
            <w:tcW w:w="1480" w:type="dxa"/>
            <w:vMerge w:val="restart"/>
            <w:vAlign w:val="center"/>
          </w:tcPr>
          <w:p w14:paraId="715A48E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限值</w:t>
            </w:r>
          </w:p>
        </w:tc>
      </w:tr>
      <w:tr w14:paraId="3056A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dxa"/>
            <w:vMerge w:val="continue"/>
            <w:shd w:val="clear" w:color="auto" w:fill="auto"/>
            <w:vAlign w:val="center"/>
          </w:tcPr>
          <w:p w14:paraId="18A034CA">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83" w:type="dxa"/>
            <w:vAlign w:val="center"/>
          </w:tcPr>
          <w:p w14:paraId="4673412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1#点位</w:t>
            </w:r>
          </w:p>
        </w:tc>
        <w:tc>
          <w:tcPr>
            <w:tcW w:w="1050" w:type="dxa"/>
            <w:vAlign w:val="center"/>
          </w:tcPr>
          <w:p w14:paraId="07A2338D">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2#点位</w:t>
            </w:r>
          </w:p>
        </w:tc>
        <w:tc>
          <w:tcPr>
            <w:tcW w:w="1067" w:type="dxa"/>
            <w:vAlign w:val="center"/>
          </w:tcPr>
          <w:p w14:paraId="1BE526B3">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3#点位</w:t>
            </w:r>
          </w:p>
        </w:tc>
        <w:tc>
          <w:tcPr>
            <w:tcW w:w="1066" w:type="dxa"/>
            <w:vAlign w:val="center"/>
          </w:tcPr>
          <w:p w14:paraId="329AD1CF">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4#点位</w:t>
            </w:r>
          </w:p>
        </w:tc>
        <w:tc>
          <w:tcPr>
            <w:tcW w:w="1050" w:type="dxa"/>
            <w:vAlign w:val="center"/>
          </w:tcPr>
          <w:p w14:paraId="5B38058D">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5#点位</w:t>
            </w:r>
          </w:p>
        </w:tc>
        <w:tc>
          <w:tcPr>
            <w:tcW w:w="1480" w:type="dxa"/>
            <w:vMerge w:val="continue"/>
            <w:vAlign w:val="center"/>
          </w:tcPr>
          <w:p w14:paraId="7C1CD277">
            <w:pPr>
              <w:autoSpaceDE w:val="0"/>
              <w:autoSpaceDN w:val="0"/>
              <w:spacing w:line="300" w:lineRule="exact"/>
              <w:jc w:val="center"/>
              <w:rPr>
                <w:rFonts w:hint="eastAsia" w:ascii="Times New Roman" w:hAnsi="Times New Roman" w:cs="Times New Roman" w:eastAsiaTheme="minorEastAsia"/>
                <w:szCs w:val="21"/>
                <w:lang w:val="en-US" w:eastAsia="zh-CN"/>
              </w:rPr>
            </w:pPr>
          </w:p>
        </w:tc>
      </w:tr>
      <w:tr w14:paraId="6E186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dxa"/>
            <w:shd w:val="clear" w:color="auto" w:fill="auto"/>
            <w:vAlign w:val="center"/>
          </w:tcPr>
          <w:p w14:paraId="5131ADDF">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pH</w:t>
            </w:r>
            <w:r>
              <w:rPr>
                <w:rFonts w:hint="eastAsia" w:ascii="Times New Roman" w:hAnsi="Times New Roman" w:cs="Times New Roman" w:eastAsiaTheme="minorEastAsia"/>
                <w:szCs w:val="21"/>
                <w:lang w:val="en-US" w:eastAsia="zh-CN"/>
              </w:rPr>
              <w:t>值</w:t>
            </w:r>
            <w:r>
              <w:rPr>
                <w:rFonts w:hint="default" w:ascii="Times New Roman" w:hAnsi="Times New Roman" w:cs="Times New Roman" w:eastAsiaTheme="minorEastAsia"/>
                <w:szCs w:val="21"/>
                <w:lang w:val="en-US" w:eastAsia="zh-CN"/>
              </w:rPr>
              <w:t>（无量纲）</w:t>
            </w:r>
          </w:p>
        </w:tc>
        <w:tc>
          <w:tcPr>
            <w:tcW w:w="1183" w:type="dxa"/>
            <w:shd w:val="clear" w:color="auto" w:fill="auto"/>
            <w:vAlign w:val="center"/>
          </w:tcPr>
          <w:p w14:paraId="0E545856">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7.46</w:t>
            </w:r>
          </w:p>
        </w:tc>
        <w:tc>
          <w:tcPr>
            <w:tcW w:w="1050" w:type="dxa"/>
            <w:shd w:val="clear" w:color="auto" w:fill="auto"/>
            <w:vAlign w:val="center"/>
          </w:tcPr>
          <w:p w14:paraId="066B019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7.44</w:t>
            </w:r>
          </w:p>
        </w:tc>
        <w:tc>
          <w:tcPr>
            <w:tcW w:w="1067" w:type="dxa"/>
            <w:shd w:val="clear" w:color="auto" w:fill="auto"/>
            <w:vAlign w:val="center"/>
          </w:tcPr>
          <w:p w14:paraId="66ECB7FB">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7.46</w:t>
            </w:r>
          </w:p>
        </w:tc>
        <w:tc>
          <w:tcPr>
            <w:tcW w:w="1066" w:type="dxa"/>
            <w:shd w:val="clear" w:color="auto" w:fill="auto"/>
            <w:vAlign w:val="center"/>
          </w:tcPr>
          <w:p w14:paraId="5FE1F7CF">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7.42</w:t>
            </w:r>
          </w:p>
        </w:tc>
        <w:tc>
          <w:tcPr>
            <w:tcW w:w="1050" w:type="dxa"/>
            <w:shd w:val="clear" w:color="auto" w:fill="auto"/>
            <w:vAlign w:val="center"/>
          </w:tcPr>
          <w:p w14:paraId="693C6A3A">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7.41</w:t>
            </w:r>
          </w:p>
        </w:tc>
        <w:tc>
          <w:tcPr>
            <w:tcW w:w="1480" w:type="dxa"/>
            <w:shd w:val="clear" w:color="auto" w:fill="auto"/>
            <w:vAlign w:val="center"/>
          </w:tcPr>
          <w:p w14:paraId="4FBCD2E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6.5≤</w:t>
            </w:r>
            <w:r>
              <w:rPr>
                <w:rFonts w:hint="default" w:ascii="Times New Roman" w:hAnsi="Times New Roman" w:cs="Times New Roman" w:eastAsiaTheme="minorEastAsia"/>
                <w:szCs w:val="21"/>
                <w:lang w:val="en-US" w:eastAsia="zh-CN"/>
              </w:rPr>
              <w:t>pH</w:t>
            </w:r>
            <w:r>
              <w:rPr>
                <w:rFonts w:hint="eastAsia" w:ascii="Times New Roman" w:hAnsi="Times New Roman" w:cs="Times New Roman" w:eastAsiaTheme="minorEastAsia"/>
                <w:szCs w:val="21"/>
                <w:lang w:val="en-US" w:eastAsia="zh-CN"/>
              </w:rPr>
              <w:t>≤8.5</w:t>
            </w:r>
          </w:p>
        </w:tc>
      </w:tr>
      <w:tr w14:paraId="0794E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dxa"/>
            <w:shd w:val="clear" w:color="auto" w:fill="auto"/>
            <w:vAlign w:val="center"/>
          </w:tcPr>
          <w:p w14:paraId="30F2C583">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总硬度（mg/L）</w:t>
            </w:r>
          </w:p>
        </w:tc>
        <w:tc>
          <w:tcPr>
            <w:tcW w:w="1183" w:type="dxa"/>
            <w:shd w:val="clear" w:color="auto" w:fill="auto"/>
            <w:vAlign w:val="center"/>
          </w:tcPr>
          <w:p w14:paraId="168D1AB6">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131</w:t>
            </w:r>
          </w:p>
        </w:tc>
        <w:tc>
          <w:tcPr>
            <w:tcW w:w="1050" w:type="dxa"/>
            <w:shd w:val="clear" w:color="auto" w:fill="auto"/>
            <w:vAlign w:val="center"/>
          </w:tcPr>
          <w:p w14:paraId="6D14ACCC">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142</w:t>
            </w:r>
          </w:p>
        </w:tc>
        <w:tc>
          <w:tcPr>
            <w:tcW w:w="1067" w:type="dxa"/>
            <w:shd w:val="clear" w:color="auto" w:fill="auto"/>
            <w:vAlign w:val="center"/>
          </w:tcPr>
          <w:p w14:paraId="5EC60FB6">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253</w:t>
            </w:r>
          </w:p>
        </w:tc>
        <w:tc>
          <w:tcPr>
            <w:tcW w:w="1066" w:type="dxa"/>
            <w:shd w:val="clear" w:color="auto" w:fill="auto"/>
            <w:vAlign w:val="center"/>
          </w:tcPr>
          <w:p w14:paraId="3CCC4B32">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152</w:t>
            </w:r>
          </w:p>
        </w:tc>
        <w:tc>
          <w:tcPr>
            <w:tcW w:w="1050" w:type="dxa"/>
            <w:shd w:val="clear" w:color="auto" w:fill="auto"/>
            <w:vAlign w:val="center"/>
          </w:tcPr>
          <w:p w14:paraId="1683A137">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232</w:t>
            </w:r>
          </w:p>
        </w:tc>
        <w:tc>
          <w:tcPr>
            <w:tcW w:w="1480" w:type="dxa"/>
            <w:shd w:val="clear" w:color="auto" w:fill="auto"/>
            <w:vAlign w:val="center"/>
          </w:tcPr>
          <w:p w14:paraId="53B1A4DC">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≤450</w:t>
            </w:r>
          </w:p>
        </w:tc>
      </w:tr>
      <w:tr w14:paraId="6D554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dxa"/>
            <w:shd w:val="clear" w:color="auto" w:fill="auto"/>
            <w:vAlign w:val="center"/>
          </w:tcPr>
          <w:p w14:paraId="49505CFC">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溶解性总固体（mg/L）</w:t>
            </w:r>
          </w:p>
        </w:tc>
        <w:tc>
          <w:tcPr>
            <w:tcW w:w="1183" w:type="dxa"/>
            <w:shd w:val="clear" w:color="auto" w:fill="auto"/>
            <w:vAlign w:val="center"/>
          </w:tcPr>
          <w:p w14:paraId="261BA262">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456</w:t>
            </w:r>
          </w:p>
        </w:tc>
        <w:tc>
          <w:tcPr>
            <w:tcW w:w="1050" w:type="dxa"/>
            <w:shd w:val="clear" w:color="auto" w:fill="auto"/>
            <w:vAlign w:val="center"/>
          </w:tcPr>
          <w:p w14:paraId="25F9DAE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461</w:t>
            </w:r>
          </w:p>
        </w:tc>
        <w:tc>
          <w:tcPr>
            <w:tcW w:w="1067" w:type="dxa"/>
            <w:shd w:val="clear" w:color="auto" w:fill="auto"/>
            <w:vAlign w:val="center"/>
          </w:tcPr>
          <w:p w14:paraId="4CBDF8A9">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707</w:t>
            </w:r>
          </w:p>
        </w:tc>
        <w:tc>
          <w:tcPr>
            <w:tcW w:w="1066" w:type="dxa"/>
            <w:shd w:val="clear" w:color="auto" w:fill="auto"/>
            <w:vAlign w:val="center"/>
          </w:tcPr>
          <w:p w14:paraId="06E59344">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480</w:t>
            </w:r>
          </w:p>
        </w:tc>
        <w:tc>
          <w:tcPr>
            <w:tcW w:w="1050" w:type="dxa"/>
            <w:shd w:val="clear" w:color="auto" w:fill="auto"/>
            <w:vAlign w:val="center"/>
          </w:tcPr>
          <w:p w14:paraId="4DA2A95E">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640</w:t>
            </w:r>
          </w:p>
        </w:tc>
        <w:tc>
          <w:tcPr>
            <w:tcW w:w="1480" w:type="dxa"/>
            <w:shd w:val="clear" w:color="auto" w:fill="auto"/>
            <w:vAlign w:val="center"/>
          </w:tcPr>
          <w:p w14:paraId="1F470140">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≤1000</w:t>
            </w:r>
          </w:p>
        </w:tc>
      </w:tr>
      <w:tr w14:paraId="3DE99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dxa"/>
            <w:shd w:val="clear" w:color="auto" w:fill="auto"/>
            <w:vAlign w:val="center"/>
          </w:tcPr>
          <w:p w14:paraId="26B6E982">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亚硝酸盐氮（mg/L）</w:t>
            </w:r>
          </w:p>
        </w:tc>
        <w:tc>
          <w:tcPr>
            <w:tcW w:w="1183" w:type="dxa"/>
            <w:shd w:val="clear" w:color="auto" w:fill="auto"/>
            <w:vAlign w:val="center"/>
          </w:tcPr>
          <w:p w14:paraId="65451D5D">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0.030</w:t>
            </w:r>
          </w:p>
        </w:tc>
        <w:tc>
          <w:tcPr>
            <w:tcW w:w="1050" w:type="dxa"/>
            <w:shd w:val="clear" w:color="auto" w:fill="auto"/>
            <w:vAlign w:val="center"/>
          </w:tcPr>
          <w:p w14:paraId="36D02D80">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0.018</w:t>
            </w:r>
          </w:p>
        </w:tc>
        <w:tc>
          <w:tcPr>
            <w:tcW w:w="1067" w:type="dxa"/>
            <w:shd w:val="clear" w:color="auto" w:fill="auto"/>
            <w:vAlign w:val="center"/>
          </w:tcPr>
          <w:p w14:paraId="19A97B36">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0.024</w:t>
            </w:r>
          </w:p>
        </w:tc>
        <w:tc>
          <w:tcPr>
            <w:tcW w:w="1066" w:type="dxa"/>
            <w:shd w:val="clear" w:color="auto" w:fill="auto"/>
            <w:vAlign w:val="center"/>
          </w:tcPr>
          <w:p w14:paraId="08E7B83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0.038</w:t>
            </w:r>
          </w:p>
        </w:tc>
        <w:tc>
          <w:tcPr>
            <w:tcW w:w="1050" w:type="dxa"/>
            <w:shd w:val="clear" w:color="auto" w:fill="auto"/>
            <w:vAlign w:val="center"/>
          </w:tcPr>
          <w:p w14:paraId="1B6B5EAD">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0.033</w:t>
            </w:r>
          </w:p>
        </w:tc>
        <w:tc>
          <w:tcPr>
            <w:tcW w:w="1480" w:type="dxa"/>
            <w:shd w:val="clear" w:color="auto" w:fill="auto"/>
            <w:vAlign w:val="center"/>
          </w:tcPr>
          <w:p w14:paraId="7E172942">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≤1.00</w:t>
            </w:r>
          </w:p>
        </w:tc>
      </w:tr>
      <w:tr w14:paraId="795FF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dxa"/>
            <w:shd w:val="clear" w:color="auto" w:fill="auto"/>
            <w:vAlign w:val="center"/>
          </w:tcPr>
          <w:p w14:paraId="5C272CDB">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高锰酸盐指数</w:t>
            </w:r>
            <w:r>
              <w:rPr>
                <w:rFonts w:hint="default" w:ascii="Times New Roman" w:hAnsi="Times New Roman" w:cs="Times New Roman" w:eastAsiaTheme="minorEastAsia"/>
                <w:szCs w:val="21"/>
                <w:lang w:val="en-US" w:eastAsia="zh-CN"/>
              </w:rPr>
              <w:t>（mg/L）</w:t>
            </w:r>
          </w:p>
        </w:tc>
        <w:tc>
          <w:tcPr>
            <w:tcW w:w="1183" w:type="dxa"/>
            <w:shd w:val="clear" w:color="auto" w:fill="auto"/>
            <w:vAlign w:val="center"/>
          </w:tcPr>
          <w:p w14:paraId="52B98E86">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0.7</w:t>
            </w:r>
          </w:p>
        </w:tc>
        <w:tc>
          <w:tcPr>
            <w:tcW w:w="1050" w:type="dxa"/>
            <w:shd w:val="clear" w:color="auto" w:fill="auto"/>
            <w:vAlign w:val="center"/>
          </w:tcPr>
          <w:p w14:paraId="24C81C71">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0.8</w:t>
            </w:r>
          </w:p>
        </w:tc>
        <w:tc>
          <w:tcPr>
            <w:tcW w:w="1067" w:type="dxa"/>
            <w:shd w:val="clear" w:color="auto" w:fill="auto"/>
            <w:vAlign w:val="center"/>
          </w:tcPr>
          <w:p w14:paraId="4D357A7F">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0.9</w:t>
            </w:r>
          </w:p>
        </w:tc>
        <w:tc>
          <w:tcPr>
            <w:tcW w:w="1066" w:type="dxa"/>
            <w:shd w:val="clear" w:color="auto" w:fill="auto"/>
            <w:vAlign w:val="center"/>
          </w:tcPr>
          <w:p w14:paraId="7251FF73">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0.6</w:t>
            </w:r>
          </w:p>
        </w:tc>
        <w:tc>
          <w:tcPr>
            <w:tcW w:w="1050" w:type="dxa"/>
            <w:shd w:val="clear" w:color="auto" w:fill="auto"/>
            <w:vAlign w:val="center"/>
          </w:tcPr>
          <w:p w14:paraId="11D614FB">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0.9</w:t>
            </w:r>
          </w:p>
        </w:tc>
        <w:tc>
          <w:tcPr>
            <w:tcW w:w="1480" w:type="dxa"/>
            <w:shd w:val="clear" w:color="auto" w:fill="auto"/>
            <w:vAlign w:val="center"/>
          </w:tcPr>
          <w:p w14:paraId="418B01AD">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≤3.0</w:t>
            </w:r>
          </w:p>
        </w:tc>
      </w:tr>
      <w:tr w14:paraId="04FD8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dxa"/>
            <w:shd w:val="clear" w:color="auto" w:fill="auto"/>
            <w:vAlign w:val="center"/>
          </w:tcPr>
          <w:p w14:paraId="7855CD65">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氨氮（mg/L）</w:t>
            </w:r>
          </w:p>
        </w:tc>
        <w:tc>
          <w:tcPr>
            <w:tcW w:w="1183" w:type="dxa"/>
            <w:shd w:val="clear" w:color="auto" w:fill="auto"/>
            <w:vAlign w:val="center"/>
          </w:tcPr>
          <w:p w14:paraId="60A0DE87">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0.077</w:t>
            </w:r>
          </w:p>
        </w:tc>
        <w:tc>
          <w:tcPr>
            <w:tcW w:w="1050" w:type="dxa"/>
            <w:shd w:val="clear" w:color="auto" w:fill="auto"/>
            <w:vAlign w:val="center"/>
          </w:tcPr>
          <w:p w14:paraId="4B1BE682">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0.098</w:t>
            </w:r>
          </w:p>
        </w:tc>
        <w:tc>
          <w:tcPr>
            <w:tcW w:w="1067" w:type="dxa"/>
            <w:shd w:val="clear" w:color="auto" w:fill="auto"/>
            <w:vAlign w:val="center"/>
          </w:tcPr>
          <w:p w14:paraId="6DC1FB3C">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0.070</w:t>
            </w:r>
          </w:p>
        </w:tc>
        <w:tc>
          <w:tcPr>
            <w:tcW w:w="1066" w:type="dxa"/>
            <w:shd w:val="clear" w:color="auto" w:fill="auto"/>
            <w:vAlign w:val="center"/>
          </w:tcPr>
          <w:p w14:paraId="6167C67A">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0.091</w:t>
            </w:r>
          </w:p>
        </w:tc>
        <w:tc>
          <w:tcPr>
            <w:tcW w:w="1050" w:type="dxa"/>
            <w:shd w:val="clear" w:color="auto" w:fill="auto"/>
            <w:vAlign w:val="center"/>
          </w:tcPr>
          <w:p w14:paraId="2CD7AB69">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0.056</w:t>
            </w:r>
          </w:p>
        </w:tc>
        <w:tc>
          <w:tcPr>
            <w:tcW w:w="1480" w:type="dxa"/>
            <w:shd w:val="clear" w:color="auto" w:fill="auto"/>
            <w:vAlign w:val="center"/>
          </w:tcPr>
          <w:p w14:paraId="4974FEEE">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≤0.50</w:t>
            </w:r>
          </w:p>
        </w:tc>
      </w:tr>
      <w:tr w14:paraId="2EBF6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dxa"/>
            <w:shd w:val="clear" w:color="auto" w:fill="auto"/>
            <w:vAlign w:val="center"/>
          </w:tcPr>
          <w:p w14:paraId="44B973D6">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氰化物</w:t>
            </w:r>
            <w:r>
              <w:rPr>
                <w:rFonts w:hint="default" w:ascii="Times New Roman" w:hAnsi="Times New Roman" w:cs="Times New Roman" w:eastAsiaTheme="minorEastAsia"/>
                <w:szCs w:val="21"/>
                <w:lang w:val="en-US" w:eastAsia="zh-CN"/>
              </w:rPr>
              <w:t>（mg/L）</w:t>
            </w:r>
          </w:p>
        </w:tc>
        <w:tc>
          <w:tcPr>
            <w:tcW w:w="1183" w:type="dxa"/>
            <w:shd w:val="clear" w:color="auto" w:fill="auto"/>
            <w:vAlign w:val="center"/>
          </w:tcPr>
          <w:p w14:paraId="74F73F1F">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0.001L</w:t>
            </w:r>
          </w:p>
        </w:tc>
        <w:tc>
          <w:tcPr>
            <w:tcW w:w="1050" w:type="dxa"/>
            <w:shd w:val="clear" w:color="auto" w:fill="auto"/>
            <w:vAlign w:val="center"/>
          </w:tcPr>
          <w:p w14:paraId="58090D23">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0.001L</w:t>
            </w:r>
          </w:p>
        </w:tc>
        <w:tc>
          <w:tcPr>
            <w:tcW w:w="1067" w:type="dxa"/>
            <w:shd w:val="clear" w:color="auto" w:fill="auto"/>
            <w:vAlign w:val="center"/>
          </w:tcPr>
          <w:p w14:paraId="1FC74247">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0.001L</w:t>
            </w:r>
          </w:p>
        </w:tc>
        <w:tc>
          <w:tcPr>
            <w:tcW w:w="1066" w:type="dxa"/>
            <w:shd w:val="clear" w:color="auto" w:fill="auto"/>
            <w:vAlign w:val="center"/>
          </w:tcPr>
          <w:p w14:paraId="60EDC39C">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0.001L</w:t>
            </w:r>
          </w:p>
        </w:tc>
        <w:tc>
          <w:tcPr>
            <w:tcW w:w="1050" w:type="dxa"/>
            <w:shd w:val="clear" w:color="auto" w:fill="auto"/>
            <w:vAlign w:val="center"/>
          </w:tcPr>
          <w:p w14:paraId="24E75C4A">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0.001L</w:t>
            </w:r>
          </w:p>
        </w:tc>
        <w:tc>
          <w:tcPr>
            <w:tcW w:w="1480" w:type="dxa"/>
            <w:shd w:val="clear" w:color="auto" w:fill="auto"/>
            <w:vAlign w:val="center"/>
          </w:tcPr>
          <w:p w14:paraId="233A3919">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≤0.05</w:t>
            </w:r>
          </w:p>
        </w:tc>
      </w:tr>
      <w:tr w14:paraId="227E6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dxa"/>
            <w:shd w:val="clear" w:color="auto" w:fill="auto"/>
            <w:vAlign w:val="center"/>
          </w:tcPr>
          <w:p w14:paraId="04515BA6">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氟化物（mg/L）</w:t>
            </w:r>
          </w:p>
        </w:tc>
        <w:tc>
          <w:tcPr>
            <w:tcW w:w="1183" w:type="dxa"/>
            <w:shd w:val="clear" w:color="auto" w:fill="auto"/>
            <w:vAlign w:val="center"/>
          </w:tcPr>
          <w:p w14:paraId="1BB52D71">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0.417</w:t>
            </w:r>
          </w:p>
        </w:tc>
        <w:tc>
          <w:tcPr>
            <w:tcW w:w="1050" w:type="dxa"/>
            <w:shd w:val="clear" w:color="auto" w:fill="auto"/>
            <w:vAlign w:val="center"/>
          </w:tcPr>
          <w:p w14:paraId="418BFB17">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0.417</w:t>
            </w:r>
          </w:p>
        </w:tc>
        <w:tc>
          <w:tcPr>
            <w:tcW w:w="1067" w:type="dxa"/>
            <w:shd w:val="clear" w:color="auto" w:fill="auto"/>
            <w:vAlign w:val="center"/>
          </w:tcPr>
          <w:p w14:paraId="7A17F360">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0.414</w:t>
            </w:r>
          </w:p>
        </w:tc>
        <w:tc>
          <w:tcPr>
            <w:tcW w:w="1066" w:type="dxa"/>
            <w:shd w:val="clear" w:color="auto" w:fill="auto"/>
            <w:vAlign w:val="center"/>
          </w:tcPr>
          <w:p w14:paraId="4A66B4B3">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0.447</w:t>
            </w:r>
          </w:p>
        </w:tc>
        <w:tc>
          <w:tcPr>
            <w:tcW w:w="1050" w:type="dxa"/>
            <w:shd w:val="clear" w:color="auto" w:fill="auto"/>
            <w:vAlign w:val="center"/>
          </w:tcPr>
          <w:p w14:paraId="4DC2754C">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0.326</w:t>
            </w:r>
          </w:p>
        </w:tc>
        <w:tc>
          <w:tcPr>
            <w:tcW w:w="1480" w:type="dxa"/>
            <w:shd w:val="clear" w:color="auto" w:fill="auto"/>
            <w:vAlign w:val="center"/>
          </w:tcPr>
          <w:p w14:paraId="3521530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w:t>
            </w:r>
          </w:p>
        </w:tc>
      </w:tr>
      <w:tr w14:paraId="19266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dxa"/>
            <w:shd w:val="clear" w:color="auto" w:fill="auto"/>
            <w:vAlign w:val="center"/>
          </w:tcPr>
          <w:p w14:paraId="1D93C17E">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氯化物（mg/L）</w:t>
            </w:r>
          </w:p>
        </w:tc>
        <w:tc>
          <w:tcPr>
            <w:tcW w:w="1183" w:type="dxa"/>
            <w:shd w:val="clear" w:color="auto" w:fill="auto"/>
            <w:vAlign w:val="center"/>
          </w:tcPr>
          <w:p w14:paraId="3BFC5E79">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50.4</w:t>
            </w:r>
          </w:p>
        </w:tc>
        <w:tc>
          <w:tcPr>
            <w:tcW w:w="1050" w:type="dxa"/>
            <w:shd w:val="clear" w:color="auto" w:fill="auto"/>
            <w:vAlign w:val="center"/>
          </w:tcPr>
          <w:p w14:paraId="5D173EC6">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42.0</w:t>
            </w:r>
          </w:p>
        </w:tc>
        <w:tc>
          <w:tcPr>
            <w:tcW w:w="1067" w:type="dxa"/>
            <w:shd w:val="clear" w:color="auto" w:fill="auto"/>
            <w:vAlign w:val="center"/>
          </w:tcPr>
          <w:p w14:paraId="44F69367">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65.3</w:t>
            </w:r>
          </w:p>
        </w:tc>
        <w:tc>
          <w:tcPr>
            <w:tcW w:w="1066" w:type="dxa"/>
            <w:shd w:val="clear" w:color="auto" w:fill="auto"/>
            <w:vAlign w:val="center"/>
          </w:tcPr>
          <w:p w14:paraId="6B819BEA">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51.4</w:t>
            </w:r>
          </w:p>
        </w:tc>
        <w:tc>
          <w:tcPr>
            <w:tcW w:w="1050" w:type="dxa"/>
            <w:shd w:val="clear" w:color="auto" w:fill="auto"/>
            <w:vAlign w:val="center"/>
          </w:tcPr>
          <w:p w14:paraId="43F92FDE">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71.0</w:t>
            </w:r>
          </w:p>
        </w:tc>
        <w:tc>
          <w:tcPr>
            <w:tcW w:w="1480" w:type="dxa"/>
            <w:shd w:val="clear" w:color="auto" w:fill="auto"/>
            <w:vAlign w:val="center"/>
          </w:tcPr>
          <w:p w14:paraId="241C8CDC">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≤250</w:t>
            </w:r>
          </w:p>
        </w:tc>
      </w:tr>
      <w:tr w14:paraId="34CF4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dxa"/>
            <w:shd w:val="clear" w:color="auto" w:fill="auto"/>
            <w:vAlign w:val="center"/>
          </w:tcPr>
          <w:p w14:paraId="73CB4C72">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硝酸盐氮（mg/L）</w:t>
            </w:r>
          </w:p>
        </w:tc>
        <w:tc>
          <w:tcPr>
            <w:tcW w:w="1183" w:type="dxa"/>
            <w:shd w:val="clear" w:color="auto" w:fill="auto"/>
            <w:vAlign w:val="center"/>
          </w:tcPr>
          <w:p w14:paraId="4E8DD13B">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1.64</w:t>
            </w:r>
          </w:p>
        </w:tc>
        <w:tc>
          <w:tcPr>
            <w:tcW w:w="1050" w:type="dxa"/>
            <w:shd w:val="clear" w:color="auto" w:fill="auto"/>
            <w:vAlign w:val="center"/>
          </w:tcPr>
          <w:p w14:paraId="65660C0B">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2.01</w:t>
            </w:r>
          </w:p>
        </w:tc>
        <w:tc>
          <w:tcPr>
            <w:tcW w:w="1067" w:type="dxa"/>
            <w:shd w:val="clear" w:color="auto" w:fill="auto"/>
            <w:vAlign w:val="center"/>
          </w:tcPr>
          <w:p w14:paraId="3B9C37D6">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3.99</w:t>
            </w:r>
          </w:p>
        </w:tc>
        <w:tc>
          <w:tcPr>
            <w:tcW w:w="1066" w:type="dxa"/>
            <w:shd w:val="clear" w:color="auto" w:fill="auto"/>
            <w:vAlign w:val="center"/>
          </w:tcPr>
          <w:p w14:paraId="736190A2">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1.65</w:t>
            </w:r>
          </w:p>
        </w:tc>
        <w:tc>
          <w:tcPr>
            <w:tcW w:w="1050" w:type="dxa"/>
            <w:shd w:val="clear" w:color="auto" w:fill="auto"/>
            <w:vAlign w:val="center"/>
          </w:tcPr>
          <w:p w14:paraId="441D5F7C">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5.85</w:t>
            </w:r>
          </w:p>
        </w:tc>
        <w:tc>
          <w:tcPr>
            <w:tcW w:w="1480" w:type="dxa"/>
            <w:shd w:val="clear" w:color="auto" w:fill="auto"/>
            <w:vAlign w:val="center"/>
          </w:tcPr>
          <w:p w14:paraId="2FD1C77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≤20</w:t>
            </w:r>
          </w:p>
        </w:tc>
      </w:tr>
      <w:tr w14:paraId="2F90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dxa"/>
            <w:shd w:val="clear" w:color="auto" w:fill="auto"/>
            <w:vAlign w:val="center"/>
          </w:tcPr>
          <w:p w14:paraId="5E57E32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硫酸盐（mg/L）</w:t>
            </w:r>
          </w:p>
        </w:tc>
        <w:tc>
          <w:tcPr>
            <w:tcW w:w="1183" w:type="dxa"/>
            <w:shd w:val="clear" w:color="auto" w:fill="auto"/>
            <w:vAlign w:val="center"/>
          </w:tcPr>
          <w:p w14:paraId="3EB88131">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124</w:t>
            </w:r>
          </w:p>
        </w:tc>
        <w:tc>
          <w:tcPr>
            <w:tcW w:w="1050" w:type="dxa"/>
            <w:shd w:val="clear" w:color="auto" w:fill="auto"/>
            <w:vAlign w:val="center"/>
          </w:tcPr>
          <w:p w14:paraId="3EE36D8E">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125</w:t>
            </w:r>
          </w:p>
        </w:tc>
        <w:tc>
          <w:tcPr>
            <w:tcW w:w="1067" w:type="dxa"/>
            <w:shd w:val="clear" w:color="auto" w:fill="auto"/>
            <w:vAlign w:val="center"/>
          </w:tcPr>
          <w:p w14:paraId="74B82CDD">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232</w:t>
            </w:r>
          </w:p>
        </w:tc>
        <w:tc>
          <w:tcPr>
            <w:tcW w:w="1066" w:type="dxa"/>
            <w:shd w:val="clear" w:color="auto" w:fill="auto"/>
            <w:vAlign w:val="center"/>
          </w:tcPr>
          <w:p w14:paraId="5175C5DD">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126</w:t>
            </w:r>
          </w:p>
        </w:tc>
        <w:tc>
          <w:tcPr>
            <w:tcW w:w="1050" w:type="dxa"/>
            <w:shd w:val="clear" w:color="auto" w:fill="auto"/>
            <w:vAlign w:val="center"/>
          </w:tcPr>
          <w:p w14:paraId="3974FF95">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187</w:t>
            </w:r>
          </w:p>
        </w:tc>
        <w:tc>
          <w:tcPr>
            <w:tcW w:w="1480" w:type="dxa"/>
            <w:shd w:val="clear" w:color="auto" w:fill="auto"/>
            <w:vAlign w:val="center"/>
          </w:tcPr>
          <w:p w14:paraId="68CFE3D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≤250</w:t>
            </w:r>
          </w:p>
        </w:tc>
      </w:tr>
      <w:tr w14:paraId="7C622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dxa"/>
            <w:shd w:val="clear" w:color="auto" w:fill="auto"/>
            <w:vAlign w:val="center"/>
          </w:tcPr>
          <w:p w14:paraId="38FAEAAB">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砷（mg/L）</w:t>
            </w:r>
          </w:p>
        </w:tc>
        <w:tc>
          <w:tcPr>
            <w:tcW w:w="1183" w:type="dxa"/>
            <w:shd w:val="clear" w:color="auto" w:fill="auto"/>
            <w:vAlign w:val="center"/>
          </w:tcPr>
          <w:p w14:paraId="1D74FD89">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0.0003L</w:t>
            </w:r>
          </w:p>
        </w:tc>
        <w:tc>
          <w:tcPr>
            <w:tcW w:w="1050" w:type="dxa"/>
            <w:shd w:val="clear" w:color="auto" w:fill="auto"/>
            <w:vAlign w:val="center"/>
          </w:tcPr>
          <w:p w14:paraId="50EE52F2">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0.0003L</w:t>
            </w:r>
          </w:p>
        </w:tc>
        <w:tc>
          <w:tcPr>
            <w:tcW w:w="1067" w:type="dxa"/>
            <w:shd w:val="clear" w:color="auto" w:fill="auto"/>
            <w:vAlign w:val="center"/>
          </w:tcPr>
          <w:p w14:paraId="312CCF0B">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0.0003L</w:t>
            </w:r>
          </w:p>
        </w:tc>
        <w:tc>
          <w:tcPr>
            <w:tcW w:w="1066" w:type="dxa"/>
            <w:shd w:val="clear" w:color="auto" w:fill="auto"/>
            <w:vAlign w:val="center"/>
          </w:tcPr>
          <w:p w14:paraId="1FDFEA3E">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0.0003L</w:t>
            </w:r>
          </w:p>
        </w:tc>
        <w:tc>
          <w:tcPr>
            <w:tcW w:w="1050" w:type="dxa"/>
            <w:shd w:val="clear" w:color="auto" w:fill="auto"/>
            <w:vAlign w:val="center"/>
          </w:tcPr>
          <w:p w14:paraId="502CE89E">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0.0003L</w:t>
            </w:r>
          </w:p>
        </w:tc>
        <w:tc>
          <w:tcPr>
            <w:tcW w:w="1480" w:type="dxa"/>
            <w:shd w:val="clear" w:color="auto" w:fill="auto"/>
            <w:vAlign w:val="center"/>
          </w:tcPr>
          <w:p w14:paraId="59B3A7D9">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≤0.01</w:t>
            </w:r>
          </w:p>
        </w:tc>
      </w:tr>
      <w:tr w14:paraId="6C2E3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dxa"/>
            <w:shd w:val="clear" w:color="auto" w:fill="auto"/>
            <w:vAlign w:val="center"/>
          </w:tcPr>
          <w:p w14:paraId="74A4BB6E">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汞</w:t>
            </w:r>
            <w:r>
              <w:rPr>
                <w:rFonts w:hint="default" w:ascii="Times New Roman" w:hAnsi="Times New Roman" w:cs="Times New Roman" w:eastAsiaTheme="minorEastAsia"/>
                <w:szCs w:val="21"/>
                <w:lang w:val="en-US" w:eastAsia="zh-CN"/>
              </w:rPr>
              <w:t>（mg/L）</w:t>
            </w:r>
          </w:p>
        </w:tc>
        <w:tc>
          <w:tcPr>
            <w:tcW w:w="1183" w:type="dxa"/>
            <w:shd w:val="clear" w:color="auto" w:fill="auto"/>
            <w:vAlign w:val="center"/>
          </w:tcPr>
          <w:p w14:paraId="2881927B">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0.00004L</w:t>
            </w:r>
          </w:p>
        </w:tc>
        <w:tc>
          <w:tcPr>
            <w:tcW w:w="1050" w:type="dxa"/>
            <w:shd w:val="clear" w:color="auto" w:fill="auto"/>
            <w:vAlign w:val="center"/>
          </w:tcPr>
          <w:p w14:paraId="7D8A167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0.00004L</w:t>
            </w:r>
          </w:p>
        </w:tc>
        <w:tc>
          <w:tcPr>
            <w:tcW w:w="1067" w:type="dxa"/>
            <w:shd w:val="clear" w:color="auto" w:fill="auto"/>
            <w:vAlign w:val="center"/>
          </w:tcPr>
          <w:p w14:paraId="37CF5051">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0.00004L</w:t>
            </w:r>
          </w:p>
        </w:tc>
        <w:tc>
          <w:tcPr>
            <w:tcW w:w="1066" w:type="dxa"/>
            <w:shd w:val="clear" w:color="auto" w:fill="auto"/>
            <w:vAlign w:val="center"/>
          </w:tcPr>
          <w:p w14:paraId="01D5BDBB">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0.00004L</w:t>
            </w:r>
          </w:p>
        </w:tc>
        <w:tc>
          <w:tcPr>
            <w:tcW w:w="1050" w:type="dxa"/>
            <w:shd w:val="clear" w:color="auto" w:fill="auto"/>
            <w:vAlign w:val="center"/>
          </w:tcPr>
          <w:p w14:paraId="4770139D">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0.00004L</w:t>
            </w:r>
          </w:p>
        </w:tc>
        <w:tc>
          <w:tcPr>
            <w:tcW w:w="1480" w:type="dxa"/>
            <w:shd w:val="clear" w:color="auto" w:fill="auto"/>
            <w:vAlign w:val="center"/>
          </w:tcPr>
          <w:p w14:paraId="570CD45B">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≤0.001</w:t>
            </w:r>
          </w:p>
        </w:tc>
      </w:tr>
      <w:tr w14:paraId="2BA1A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dxa"/>
            <w:shd w:val="clear" w:color="auto" w:fill="auto"/>
            <w:vAlign w:val="center"/>
          </w:tcPr>
          <w:p w14:paraId="08467B7D">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铬（六价）（mg/L）</w:t>
            </w:r>
          </w:p>
        </w:tc>
        <w:tc>
          <w:tcPr>
            <w:tcW w:w="1183" w:type="dxa"/>
            <w:shd w:val="clear" w:color="auto" w:fill="auto"/>
            <w:vAlign w:val="center"/>
          </w:tcPr>
          <w:p w14:paraId="63E8F896">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0.004L</w:t>
            </w:r>
          </w:p>
        </w:tc>
        <w:tc>
          <w:tcPr>
            <w:tcW w:w="1050" w:type="dxa"/>
            <w:shd w:val="clear" w:color="auto" w:fill="auto"/>
            <w:vAlign w:val="center"/>
          </w:tcPr>
          <w:p w14:paraId="5213B8BA">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0.004L</w:t>
            </w:r>
          </w:p>
        </w:tc>
        <w:tc>
          <w:tcPr>
            <w:tcW w:w="1067" w:type="dxa"/>
            <w:shd w:val="clear" w:color="auto" w:fill="auto"/>
            <w:vAlign w:val="center"/>
          </w:tcPr>
          <w:p w14:paraId="45FA5049">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0.004L</w:t>
            </w:r>
          </w:p>
        </w:tc>
        <w:tc>
          <w:tcPr>
            <w:tcW w:w="1066" w:type="dxa"/>
            <w:shd w:val="clear" w:color="auto" w:fill="auto"/>
            <w:vAlign w:val="center"/>
          </w:tcPr>
          <w:p w14:paraId="4C9C9A61">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0.004L</w:t>
            </w:r>
          </w:p>
        </w:tc>
        <w:tc>
          <w:tcPr>
            <w:tcW w:w="1050" w:type="dxa"/>
            <w:shd w:val="clear" w:color="auto" w:fill="auto"/>
            <w:vAlign w:val="center"/>
          </w:tcPr>
          <w:p w14:paraId="49DFF9BC">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0.004L</w:t>
            </w:r>
          </w:p>
        </w:tc>
        <w:tc>
          <w:tcPr>
            <w:tcW w:w="1480" w:type="dxa"/>
            <w:shd w:val="clear" w:color="auto" w:fill="auto"/>
            <w:vAlign w:val="center"/>
          </w:tcPr>
          <w:p w14:paraId="088331E1">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≤0.05</w:t>
            </w:r>
          </w:p>
        </w:tc>
      </w:tr>
      <w:tr w14:paraId="4BAED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dxa"/>
            <w:shd w:val="clear" w:color="auto" w:fill="auto"/>
            <w:vAlign w:val="center"/>
          </w:tcPr>
          <w:p w14:paraId="68C71B5D">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菌落总数（CFU/mL）</w:t>
            </w:r>
          </w:p>
        </w:tc>
        <w:tc>
          <w:tcPr>
            <w:tcW w:w="1183" w:type="dxa"/>
            <w:shd w:val="clear" w:color="auto" w:fill="auto"/>
            <w:vAlign w:val="center"/>
          </w:tcPr>
          <w:p w14:paraId="24D5B881">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40</w:t>
            </w:r>
          </w:p>
        </w:tc>
        <w:tc>
          <w:tcPr>
            <w:tcW w:w="1050" w:type="dxa"/>
            <w:shd w:val="clear" w:color="auto" w:fill="auto"/>
            <w:vAlign w:val="center"/>
          </w:tcPr>
          <w:p w14:paraId="5F7480EF">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30</w:t>
            </w:r>
          </w:p>
        </w:tc>
        <w:tc>
          <w:tcPr>
            <w:tcW w:w="1067" w:type="dxa"/>
            <w:shd w:val="clear" w:color="auto" w:fill="auto"/>
            <w:vAlign w:val="center"/>
          </w:tcPr>
          <w:p w14:paraId="423A4BFA">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30</w:t>
            </w:r>
          </w:p>
        </w:tc>
        <w:tc>
          <w:tcPr>
            <w:tcW w:w="1066" w:type="dxa"/>
            <w:shd w:val="clear" w:color="auto" w:fill="auto"/>
            <w:vAlign w:val="center"/>
          </w:tcPr>
          <w:p w14:paraId="05F45EAC">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20</w:t>
            </w:r>
          </w:p>
        </w:tc>
        <w:tc>
          <w:tcPr>
            <w:tcW w:w="1050" w:type="dxa"/>
            <w:shd w:val="clear" w:color="auto" w:fill="auto"/>
            <w:vAlign w:val="center"/>
          </w:tcPr>
          <w:p w14:paraId="2763EFE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20</w:t>
            </w:r>
          </w:p>
        </w:tc>
        <w:tc>
          <w:tcPr>
            <w:tcW w:w="1480" w:type="dxa"/>
            <w:shd w:val="clear" w:color="auto" w:fill="auto"/>
            <w:vAlign w:val="center"/>
          </w:tcPr>
          <w:p w14:paraId="0E003200">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≤100</w:t>
            </w:r>
          </w:p>
        </w:tc>
      </w:tr>
      <w:tr w14:paraId="3BED6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dxa"/>
            <w:shd w:val="clear" w:color="auto" w:fill="auto"/>
            <w:vAlign w:val="center"/>
          </w:tcPr>
          <w:p w14:paraId="33DD084F">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总大肠菌群（MPN/100mL）</w:t>
            </w:r>
          </w:p>
        </w:tc>
        <w:tc>
          <w:tcPr>
            <w:tcW w:w="1183" w:type="dxa"/>
            <w:shd w:val="clear" w:color="auto" w:fill="auto"/>
            <w:vAlign w:val="center"/>
          </w:tcPr>
          <w:p w14:paraId="54A55242">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2L</w:t>
            </w:r>
          </w:p>
        </w:tc>
        <w:tc>
          <w:tcPr>
            <w:tcW w:w="1050" w:type="dxa"/>
            <w:shd w:val="clear" w:color="auto" w:fill="auto"/>
            <w:vAlign w:val="center"/>
          </w:tcPr>
          <w:p w14:paraId="06F1131E">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2L</w:t>
            </w:r>
          </w:p>
        </w:tc>
        <w:tc>
          <w:tcPr>
            <w:tcW w:w="1067" w:type="dxa"/>
            <w:shd w:val="clear" w:color="auto" w:fill="auto"/>
            <w:vAlign w:val="center"/>
          </w:tcPr>
          <w:p w14:paraId="733F44B3">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2L</w:t>
            </w:r>
          </w:p>
        </w:tc>
        <w:tc>
          <w:tcPr>
            <w:tcW w:w="1066" w:type="dxa"/>
            <w:shd w:val="clear" w:color="auto" w:fill="auto"/>
            <w:vAlign w:val="center"/>
          </w:tcPr>
          <w:p w14:paraId="13CEEEC7">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2L</w:t>
            </w:r>
          </w:p>
        </w:tc>
        <w:tc>
          <w:tcPr>
            <w:tcW w:w="1050" w:type="dxa"/>
            <w:shd w:val="clear" w:color="auto" w:fill="auto"/>
            <w:vAlign w:val="center"/>
          </w:tcPr>
          <w:p w14:paraId="43F9D283">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2L</w:t>
            </w:r>
          </w:p>
        </w:tc>
        <w:tc>
          <w:tcPr>
            <w:tcW w:w="1480" w:type="dxa"/>
            <w:shd w:val="clear" w:color="auto" w:fill="auto"/>
            <w:vAlign w:val="center"/>
          </w:tcPr>
          <w:p w14:paraId="0DF29CF5">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≤3.0</w:t>
            </w:r>
          </w:p>
        </w:tc>
      </w:tr>
      <w:tr w14:paraId="53808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dxa"/>
            <w:shd w:val="clear" w:color="auto" w:fill="auto"/>
            <w:vAlign w:val="center"/>
          </w:tcPr>
          <w:p w14:paraId="73104A77">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挥发酚</w:t>
            </w:r>
            <w:r>
              <w:rPr>
                <w:rFonts w:hint="default" w:ascii="Times New Roman" w:hAnsi="Times New Roman" w:cs="Times New Roman" w:eastAsiaTheme="minorEastAsia"/>
                <w:szCs w:val="21"/>
                <w:lang w:val="en-US" w:eastAsia="zh-CN"/>
              </w:rPr>
              <w:t>（mg/L）</w:t>
            </w:r>
          </w:p>
        </w:tc>
        <w:tc>
          <w:tcPr>
            <w:tcW w:w="1183" w:type="dxa"/>
            <w:shd w:val="clear" w:color="auto" w:fill="auto"/>
            <w:vAlign w:val="center"/>
          </w:tcPr>
          <w:p w14:paraId="3F2250EC">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0.0003L</w:t>
            </w:r>
          </w:p>
        </w:tc>
        <w:tc>
          <w:tcPr>
            <w:tcW w:w="1050" w:type="dxa"/>
            <w:shd w:val="clear" w:color="auto" w:fill="auto"/>
            <w:vAlign w:val="center"/>
          </w:tcPr>
          <w:p w14:paraId="1E20CFBC">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0.0003L</w:t>
            </w:r>
          </w:p>
        </w:tc>
        <w:tc>
          <w:tcPr>
            <w:tcW w:w="1067" w:type="dxa"/>
            <w:shd w:val="clear" w:color="auto" w:fill="auto"/>
            <w:vAlign w:val="center"/>
          </w:tcPr>
          <w:p w14:paraId="50223BDC">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0.0003L</w:t>
            </w:r>
          </w:p>
        </w:tc>
        <w:tc>
          <w:tcPr>
            <w:tcW w:w="1066" w:type="dxa"/>
            <w:shd w:val="clear" w:color="auto" w:fill="auto"/>
            <w:vAlign w:val="center"/>
          </w:tcPr>
          <w:p w14:paraId="0C8C40FF">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0.0003L</w:t>
            </w:r>
          </w:p>
        </w:tc>
        <w:tc>
          <w:tcPr>
            <w:tcW w:w="1050" w:type="dxa"/>
            <w:shd w:val="clear" w:color="auto" w:fill="auto"/>
            <w:vAlign w:val="center"/>
          </w:tcPr>
          <w:p w14:paraId="69CD3953">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0.0003L</w:t>
            </w:r>
          </w:p>
        </w:tc>
        <w:tc>
          <w:tcPr>
            <w:tcW w:w="1480" w:type="dxa"/>
            <w:shd w:val="clear" w:color="auto" w:fill="auto"/>
            <w:vAlign w:val="center"/>
          </w:tcPr>
          <w:p w14:paraId="65395302">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≤0.002</w:t>
            </w:r>
          </w:p>
        </w:tc>
      </w:tr>
      <w:tr w14:paraId="08F99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dxa"/>
            <w:shd w:val="clear" w:color="auto" w:fill="auto"/>
            <w:vAlign w:val="center"/>
          </w:tcPr>
          <w:p w14:paraId="4DFE5FAF">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铅（mg/L）</w:t>
            </w:r>
          </w:p>
        </w:tc>
        <w:tc>
          <w:tcPr>
            <w:tcW w:w="1183" w:type="dxa"/>
            <w:shd w:val="clear" w:color="auto" w:fill="auto"/>
            <w:vAlign w:val="center"/>
          </w:tcPr>
          <w:p w14:paraId="241A8E15">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0.00009L</w:t>
            </w:r>
          </w:p>
        </w:tc>
        <w:tc>
          <w:tcPr>
            <w:tcW w:w="1050" w:type="dxa"/>
            <w:shd w:val="clear" w:color="auto" w:fill="auto"/>
            <w:vAlign w:val="center"/>
          </w:tcPr>
          <w:p w14:paraId="3C812D93">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0.00009L</w:t>
            </w:r>
          </w:p>
        </w:tc>
        <w:tc>
          <w:tcPr>
            <w:tcW w:w="1067" w:type="dxa"/>
            <w:shd w:val="clear" w:color="auto" w:fill="auto"/>
            <w:vAlign w:val="center"/>
          </w:tcPr>
          <w:p w14:paraId="1A82C6E2">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0.00009L</w:t>
            </w:r>
          </w:p>
        </w:tc>
        <w:tc>
          <w:tcPr>
            <w:tcW w:w="1066" w:type="dxa"/>
            <w:shd w:val="clear" w:color="auto" w:fill="auto"/>
            <w:vAlign w:val="center"/>
          </w:tcPr>
          <w:p w14:paraId="4C56EBD4">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0.00009L</w:t>
            </w:r>
          </w:p>
        </w:tc>
        <w:tc>
          <w:tcPr>
            <w:tcW w:w="1050" w:type="dxa"/>
            <w:shd w:val="clear" w:color="auto" w:fill="auto"/>
            <w:vAlign w:val="center"/>
          </w:tcPr>
          <w:p w14:paraId="3710B061">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0.00009L</w:t>
            </w:r>
          </w:p>
        </w:tc>
        <w:tc>
          <w:tcPr>
            <w:tcW w:w="1480" w:type="dxa"/>
            <w:shd w:val="clear" w:color="auto" w:fill="auto"/>
            <w:vAlign w:val="center"/>
          </w:tcPr>
          <w:p w14:paraId="58A5FBC2">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≤0.01</w:t>
            </w:r>
          </w:p>
        </w:tc>
      </w:tr>
      <w:tr w14:paraId="77B95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dxa"/>
            <w:shd w:val="clear" w:color="auto" w:fill="auto"/>
            <w:vAlign w:val="center"/>
          </w:tcPr>
          <w:p w14:paraId="011171B1">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镉（mg/L）</w:t>
            </w:r>
          </w:p>
        </w:tc>
        <w:tc>
          <w:tcPr>
            <w:tcW w:w="1183" w:type="dxa"/>
            <w:shd w:val="clear" w:color="auto" w:fill="auto"/>
            <w:vAlign w:val="center"/>
          </w:tcPr>
          <w:p w14:paraId="26ED2E2A">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0.00005L</w:t>
            </w:r>
          </w:p>
        </w:tc>
        <w:tc>
          <w:tcPr>
            <w:tcW w:w="1050" w:type="dxa"/>
            <w:shd w:val="clear" w:color="auto" w:fill="auto"/>
            <w:vAlign w:val="center"/>
          </w:tcPr>
          <w:p w14:paraId="1CC4A64B">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0.00005L</w:t>
            </w:r>
          </w:p>
        </w:tc>
        <w:tc>
          <w:tcPr>
            <w:tcW w:w="1067" w:type="dxa"/>
            <w:shd w:val="clear" w:color="auto" w:fill="auto"/>
            <w:vAlign w:val="center"/>
          </w:tcPr>
          <w:p w14:paraId="67B0D95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0.00005L</w:t>
            </w:r>
          </w:p>
        </w:tc>
        <w:tc>
          <w:tcPr>
            <w:tcW w:w="1066" w:type="dxa"/>
            <w:shd w:val="clear" w:color="auto" w:fill="auto"/>
            <w:vAlign w:val="center"/>
          </w:tcPr>
          <w:p w14:paraId="7204FA66">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0.00005L</w:t>
            </w:r>
          </w:p>
        </w:tc>
        <w:tc>
          <w:tcPr>
            <w:tcW w:w="1050" w:type="dxa"/>
            <w:shd w:val="clear" w:color="auto" w:fill="auto"/>
            <w:vAlign w:val="center"/>
          </w:tcPr>
          <w:p w14:paraId="633C1B22">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0.00005L</w:t>
            </w:r>
          </w:p>
        </w:tc>
        <w:tc>
          <w:tcPr>
            <w:tcW w:w="1480" w:type="dxa"/>
            <w:shd w:val="clear" w:color="auto" w:fill="auto"/>
            <w:vAlign w:val="center"/>
          </w:tcPr>
          <w:p w14:paraId="236B7267">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≤0.005</w:t>
            </w:r>
          </w:p>
        </w:tc>
      </w:tr>
      <w:tr w14:paraId="1626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dxa"/>
            <w:shd w:val="clear" w:color="auto" w:fill="auto"/>
            <w:vAlign w:val="center"/>
          </w:tcPr>
          <w:p w14:paraId="460B232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钠（mg/L）</w:t>
            </w:r>
          </w:p>
        </w:tc>
        <w:tc>
          <w:tcPr>
            <w:tcW w:w="1183" w:type="dxa"/>
            <w:shd w:val="clear" w:color="auto" w:fill="auto"/>
            <w:vAlign w:val="center"/>
          </w:tcPr>
          <w:p w14:paraId="73F3447A">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61.4</w:t>
            </w:r>
          </w:p>
        </w:tc>
        <w:tc>
          <w:tcPr>
            <w:tcW w:w="1050" w:type="dxa"/>
            <w:shd w:val="clear" w:color="auto" w:fill="auto"/>
            <w:vAlign w:val="center"/>
          </w:tcPr>
          <w:p w14:paraId="1A136167">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65.0</w:t>
            </w:r>
          </w:p>
        </w:tc>
        <w:tc>
          <w:tcPr>
            <w:tcW w:w="1067" w:type="dxa"/>
            <w:shd w:val="clear" w:color="auto" w:fill="auto"/>
            <w:vAlign w:val="center"/>
          </w:tcPr>
          <w:p w14:paraId="0E14FA02">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79.6</w:t>
            </w:r>
          </w:p>
        </w:tc>
        <w:tc>
          <w:tcPr>
            <w:tcW w:w="1066" w:type="dxa"/>
            <w:shd w:val="clear" w:color="auto" w:fill="auto"/>
            <w:vAlign w:val="center"/>
          </w:tcPr>
          <w:p w14:paraId="138FC8CF">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59.6</w:t>
            </w:r>
          </w:p>
        </w:tc>
        <w:tc>
          <w:tcPr>
            <w:tcW w:w="1050" w:type="dxa"/>
            <w:shd w:val="clear" w:color="auto" w:fill="auto"/>
            <w:vAlign w:val="center"/>
          </w:tcPr>
          <w:p w14:paraId="302B7039">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72.8</w:t>
            </w:r>
          </w:p>
        </w:tc>
        <w:tc>
          <w:tcPr>
            <w:tcW w:w="1480" w:type="dxa"/>
            <w:shd w:val="clear" w:color="auto" w:fill="auto"/>
            <w:vAlign w:val="center"/>
          </w:tcPr>
          <w:p w14:paraId="0667DA3E">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≤200</w:t>
            </w:r>
          </w:p>
        </w:tc>
      </w:tr>
      <w:tr w14:paraId="397DC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dxa"/>
            <w:shd w:val="clear" w:color="auto" w:fill="auto"/>
            <w:vAlign w:val="center"/>
          </w:tcPr>
          <w:p w14:paraId="67111B35">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钾</w:t>
            </w:r>
            <w:r>
              <w:rPr>
                <w:rFonts w:hint="default" w:ascii="Times New Roman" w:hAnsi="Times New Roman" w:cs="Times New Roman" w:eastAsiaTheme="minorEastAsia"/>
                <w:szCs w:val="21"/>
                <w:lang w:val="en-US" w:eastAsia="zh-CN"/>
              </w:rPr>
              <w:t>（mg/L）</w:t>
            </w:r>
          </w:p>
        </w:tc>
        <w:tc>
          <w:tcPr>
            <w:tcW w:w="1183" w:type="dxa"/>
            <w:shd w:val="clear" w:color="auto" w:fill="auto"/>
            <w:vAlign w:val="center"/>
          </w:tcPr>
          <w:p w14:paraId="24AC32D9">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5.85</w:t>
            </w:r>
          </w:p>
        </w:tc>
        <w:tc>
          <w:tcPr>
            <w:tcW w:w="1050" w:type="dxa"/>
            <w:shd w:val="clear" w:color="auto" w:fill="auto"/>
            <w:vAlign w:val="center"/>
          </w:tcPr>
          <w:p w14:paraId="5524E9E3">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5.87</w:t>
            </w:r>
          </w:p>
        </w:tc>
        <w:tc>
          <w:tcPr>
            <w:tcW w:w="1067" w:type="dxa"/>
            <w:shd w:val="clear" w:color="auto" w:fill="auto"/>
            <w:vAlign w:val="center"/>
          </w:tcPr>
          <w:p w14:paraId="0475AAC5">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8.51</w:t>
            </w:r>
          </w:p>
        </w:tc>
        <w:tc>
          <w:tcPr>
            <w:tcW w:w="1066" w:type="dxa"/>
            <w:shd w:val="clear" w:color="auto" w:fill="auto"/>
            <w:vAlign w:val="center"/>
          </w:tcPr>
          <w:p w14:paraId="06AC18A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5.74</w:t>
            </w:r>
          </w:p>
        </w:tc>
        <w:tc>
          <w:tcPr>
            <w:tcW w:w="1050" w:type="dxa"/>
            <w:shd w:val="clear" w:color="auto" w:fill="auto"/>
            <w:vAlign w:val="center"/>
          </w:tcPr>
          <w:p w14:paraId="6EA7D5C5">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8.04</w:t>
            </w:r>
          </w:p>
        </w:tc>
        <w:tc>
          <w:tcPr>
            <w:tcW w:w="1480" w:type="dxa"/>
            <w:shd w:val="clear" w:color="auto" w:fill="auto"/>
            <w:vAlign w:val="center"/>
          </w:tcPr>
          <w:p w14:paraId="73985E82">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r>
      <w:tr w14:paraId="2C84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dxa"/>
            <w:shd w:val="clear" w:color="auto" w:fill="auto"/>
            <w:vAlign w:val="center"/>
          </w:tcPr>
          <w:p w14:paraId="04FD96EE">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钙</w:t>
            </w:r>
            <w:r>
              <w:rPr>
                <w:rFonts w:hint="default" w:ascii="Times New Roman" w:hAnsi="Times New Roman" w:cs="Times New Roman" w:eastAsiaTheme="minorEastAsia"/>
                <w:szCs w:val="21"/>
                <w:lang w:val="en-US" w:eastAsia="zh-CN"/>
              </w:rPr>
              <w:t>（mg/L）</w:t>
            </w:r>
          </w:p>
        </w:tc>
        <w:tc>
          <w:tcPr>
            <w:tcW w:w="1183" w:type="dxa"/>
            <w:shd w:val="clear" w:color="auto" w:fill="auto"/>
            <w:vAlign w:val="center"/>
          </w:tcPr>
          <w:p w14:paraId="0AC71D35">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137</w:t>
            </w:r>
          </w:p>
        </w:tc>
        <w:tc>
          <w:tcPr>
            <w:tcW w:w="1050" w:type="dxa"/>
            <w:shd w:val="clear" w:color="auto" w:fill="auto"/>
            <w:vAlign w:val="center"/>
          </w:tcPr>
          <w:p w14:paraId="4DB3168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130</w:t>
            </w:r>
          </w:p>
        </w:tc>
        <w:tc>
          <w:tcPr>
            <w:tcW w:w="1067" w:type="dxa"/>
            <w:shd w:val="clear" w:color="auto" w:fill="auto"/>
            <w:vAlign w:val="center"/>
          </w:tcPr>
          <w:p w14:paraId="3E340DC1">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170</w:t>
            </w:r>
          </w:p>
        </w:tc>
        <w:tc>
          <w:tcPr>
            <w:tcW w:w="1066" w:type="dxa"/>
            <w:shd w:val="clear" w:color="auto" w:fill="auto"/>
            <w:vAlign w:val="center"/>
          </w:tcPr>
          <w:p w14:paraId="1507447A">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134</w:t>
            </w:r>
          </w:p>
        </w:tc>
        <w:tc>
          <w:tcPr>
            <w:tcW w:w="1050" w:type="dxa"/>
            <w:shd w:val="clear" w:color="auto" w:fill="auto"/>
            <w:vAlign w:val="center"/>
          </w:tcPr>
          <w:p w14:paraId="0B658F46">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165</w:t>
            </w:r>
          </w:p>
        </w:tc>
        <w:tc>
          <w:tcPr>
            <w:tcW w:w="1480" w:type="dxa"/>
            <w:shd w:val="clear" w:color="auto" w:fill="auto"/>
            <w:vAlign w:val="center"/>
          </w:tcPr>
          <w:p w14:paraId="141E1E81">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r>
      <w:tr w14:paraId="22BC4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dxa"/>
            <w:shd w:val="clear" w:color="auto" w:fill="auto"/>
            <w:vAlign w:val="center"/>
          </w:tcPr>
          <w:p w14:paraId="29F388F3">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镁</w:t>
            </w:r>
            <w:r>
              <w:rPr>
                <w:rFonts w:hint="default" w:ascii="Times New Roman" w:hAnsi="Times New Roman" w:cs="Times New Roman" w:eastAsiaTheme="minorEastAsia"/>
                <w:szCs w:val="21"/>
                <w:lang w:val="en-US" w:eastAsia="zh-CN"/>
              </w:rPr>
              <w:t>（mg/L）</w:t>
            </w:r>
          </w:p>
        </w:tc>
        <w:tc>
          <w:tcPr>
            <w:tcW w:w="1183" w:type="dxa"/>
            <w:shd w:val="clear" w:color="auto" w:fill="auto"/>
            <w:vAlign w:val="center"/>
          </w:tcPr>
          <w:p w14:paraId="2E477CB5">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38.6</w:t>
            </w:r>
          </w:p>
        </w:tc>
        <w:tc>
          <w:tcPr>
            <w:tcW w:w="1050" w:type="dxa"/>
            <w:shd w:val="clear" w:color="auto" w:fill="auto"/>
            <w:vAlign w:val="center"/>
          </w:tcPr>
          <w:p w14:paraId="5ADB6841">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32.1</w:t>
            </w:r>
          </w:p>
        </w:tc>
        <w:tc>
          <w:tcPr>
            <w:tcW w:w="1067" w:type="dxa"/>
            <w:shd w:val="clear" w:color="auto" w:fill="auto"/>
            <w:vAlign w:val="center"/>
          </w:tcPr>
          <w:p w14:paraId="5CB773A9">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41.6</w:t>
            </w:r>
          </w:p>
        </w:tc>
        <w:tc>
          <w:tcPr>
            <w:tcW w:w="1066" w:type="dxa"/>
            <w:shd w:val="clear" w:color="auto" w:fill="auto"/>
            <w:vAlign w:val="center"/>
          </w:tcPr>
          <w:p w14:paraId="3056F37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38.4</w:t>
            </w:r>
          </w:p>
        </w:tc>
        <w:tc>
          <w:tcPr>
            <w:tcW w:w="1050" w:type="dxa"/>
            <w:shd w:val="clear" w:color="auto" w:fill="auto"/>
            <w:vAlign w:val="center"/>
          </w:tcPr>
          <w:p w14:paraId="4365A7D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49.9</w:t>
            </w:r>
          </w:p>
        </w:tc>
        <w:tc>
          <w:tcPr>
            <w:tcW w:w="1480" w:type="dxa"/>
            <w:shd w:val="clear" w:color="auto" w:fill="auto"/>
            <w:vAlign w:val="center"/>
          </w:tcPr>
          <w:p w14:paraId="00C5B18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r>
      <w:tr w14:paraId="49BB5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dxa"/>
            <w:shd w:val="clear" w:color="auto" w:fill="auto"/>
            <w:vAlign w:val="center"/>
          </w:tcPr>
          <w:p w14:paraId="69D61B0B">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碳酸盐</w:t>
            </w:r>
            <w:r>
              <w:rPr>
                <w:rFonts w:hint="default" w:ascii="Times New Roman" w:hAnsi="Times New Roman" w:cs="Times New Roman" w:eastAsiaTheme="minorEastAsia"/>
                <w:szCs w:val="21"/>
                <w:lang w:val="en-US" w:eastAsia="zh-CN"/>
              </w:rPr>
              <w:t>（mg/L）</w:t>
            </w:r>
          </w:p>
        </w:tc>
        <w:tc>
          <w:tcPr>
            <w:tcW w:w="1183" w:type="dxa"/>
            <w:shd w:val="clear" w:color="auto" w:fill="auto"/>
            <w:vAlign w:val="center"/>
          </w:tcPr>
          <w:p w14:paraId="5A5DD554">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c>
          <w:tcPr>
            <w:tcW w:w="1050" w:type="dxa"/>
            <w:shd w:val="clear" w:color="auto" w:fill="auto"/>
            <w:vAlign w:val="center"/>
          </w:tcPr>
          <w:p w14:paraId="6320CD83">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c>
          <w:tcPr>
            <w:tcW w:w="1067" w:type="dxa"/>
            <w:shd w:val="clear" w:color="auto" w:fill="auto"/>
            <w:vAlign w:val="center"/>
          </w:tcPr>
          <w:p w14:paraId="7B9C9012">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c>
          <w:tcPr>
            <w:tcW w:w="1066" w:type="dxa"/>
            <w:shd w:val="clear" w:color="auto" w:fill="auto"/>
            <w:vAlign w:val="center"/>
          </w:tcPr>
          <w:p w14:paraId="182A264D">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c>
          <w:tcPr>
            <w:tcW w:w="1050" w:type="dxa"/>
            <w:shd w:val="clear" w:color="auto" w:fill="auto"/>
            <w:vAlign w:val="center"/>
          </w:tcPr>
          <w:p w14:paraId="77148AAD">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c>
          <w:tcPr>
            <w:tcW w:w="1480" w:type="dxa"/>
            <w:shd w:val="clear" w:color="auto" w:fill="auto"/>
            <w:vAlign w:val="center"/>
          </w:tcPr>
          <w:p w14:paraId="24815C05">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r>
      <w:tr w14:paraId="2E500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dxa"/>
            <w:shd w:val="clear" w:color="auto" w:fill="auto"/>
            <w:vAlign w:val="center"/>
          </w:tcPr>
          <w:p w14:paraId="0AEFF0D9">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重碳酸盐</w:t>
            </w:r>
            <w:r>
              <w:rPr>
                <w:rFonts w:hint="default" w:ascii="Times New Roman" w:hAnsi="Times New Roman" w:cs="Times New Roman" w:eastAsiaTheme="minorEastAsia"/>
                <w:szCs w:val="21"/>
                <w:lang w:val="en-US" w:eastAsia="zh-CN"/>
              </w:rPr>
              <w:t>（mg/L）</w:t>
            </w:r>
          </w:p>
        </w:tc>
        <w:tc>
          <w:tcPr>
            <w:tcW w:w="1183" w:type="dxa"/>
            <w:shd w:val="clear" w:color="auto" w:fill="auto"/>
            <w:vAlign w:val="center"/>
          </w:tcPr>
          <w:p w14:paraId="33DC0613">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502</w:t>
            </w:r>
          </w:p>
        </w:tc>
        <w:tc>
          <w:tcPr>
            <w:tcW w:w="1050" w:type="dxa"/>
            <w:shd w:val="clear" w:color="auto" w:fill="auto"/>
            <w:vAlign w:val="center"/>
          </w:tcPr>
          <w:p w14:paraId="4D6AC500">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499</w:t>
            </w:r>
          </w:p>
        </w:tc>
        <w:tc>
          <w:tcPr>
            <w:tcW w:w="1067" w:type="dxa"/>
            <w:shd w:val="clear" w:color="auto" w:fill="auto"/>
            <w:vAlign w:val="center"/>
          </w:tcPr>
          <w:p w14:paraId="4A339DD4">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550</w:t>
            </w:r>
          </w:p>
        </w:tc>
        <w:tc>
          <w:tcPr>
            <w:tcW w:w="1066" w:type="dxa"/>
            <w:shd w:val="clear" w:color="auto" w:fill="auto"/>
            <w:vAlign w:val="center"/>
          </w:tcPr>
          <w:p w14:paraId="499C5EFD">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521</w:t>
            </w:r>
          </w:p>
        </w:tc>
        <w:tc>
          <w:tcPr>
            <w:tcW w:w="1050" w:type="dxa"/>
            <w:shd w:val="clear" w:color="auto" w:fill="auto"/>
            <w:vAlign w:val="center"/>
          </w:tcPr>
          <w:p w14:paraId="58D90BE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600</w:t>
            </w:r>
          </w:p>
        </w:tc>
        <w:tc>
          <w:tcPr>
            <w:tcW w:w="1480" w:type="dxa"/>
            <w:shd w:val="clear" w:color="auto" w:fill="auto"/>
            <w:vAlign w:val="center"/>
          </w:tcPr>
          <w:p w14:paraId="2444631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r>
      <w:tr w14:paraId="3F3D2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dxa"/>
            <w:shd w:val="clear" w:color="auto" w:fill="auto"/>
            <w:vAlign w:val="center"/>
          </w:tcPr>
          <w:p w14:paraId="7400DC8F">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铁（mg/L）</w:t>
            </w:r>
          </w:p>
        </w:tc>
        <w:tc>
          <w:tcPr>
            <w:tcW w:w="1183" w:type="dxa"/>
            <w:shd w:val="clear" w:color="auto" w:fill="auto"/>
            <w:vAlign w:val="center"/>
          </w:tcPr>
          <w:p w14:paraId="19037C85">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0.00082L</w:t>
            </w:r>
          </w:p>
        </w:tc>
        <w:tc>
          <w:tcPr>
            <w:tcW w:w="1050" w:type="dxa"/>
            <w:shd w:val="clear" w:color="auto" w:fill="auto"/>
            <w:vAlign w:val="center"/>
          </w:tcPr>
          <w:p w14:paraId="1606AC19">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0.00082L</w:t>
            </w:r>
          </w:p>
        </w:tc>
        <w:tc>
          <w:tcPr>
            <w:tcW w:w="1067" w:type="dxa"/>
            <w:shd w:val="clear" w:color="auto" w:fill="auto"/>
            <w:vAlign w:val="center"/>
          </w:tcPr>
          <w:p w14:paraId="1679722C">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0.00082L</w:t>
            </w:r>
          </w:p>
        </w:tc>
        <w:tc>
          <w:tcPr>
            <w:tcW w:w="1066" w:type="dxa"/>
            <w:shd w:val="clear" w:color="auto" w:fill="auto"/>
            <w:vAlign w:val="center"/>
          </w:tcPr>
          <w:p w14:paraId="6A0C301F">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0.00082L</w:t>
            </w:r>
          </w:p>
        </w:tc>
        <w:tc>
          <w:tcPr>
            <w:tcW w:w="1050" w:type="dxa"/>
            <w:shd w:val="clear" w:color="auto" w:fill="auto"/>
            <w:vAlign w:val="center"/>
          </w:tcPr>
          <w:p w14:paraId="7E4599AC">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0.00082L</w:t>
            </w:r>
          </w:p>
        </w:tc>
        <w:tc>
          <w:tcPr>
            <w:tcW w:w="1480" w:type="dxa"/>
            <w:shd w:val="clear" w:color="auto" w:fill="auto"/>
            <w:vAlign w:val="center"/>
          </w:tcPr>
          <w:p w14:paraId="08593B94">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≤0.3</w:t>
            </w:r>
          </w:p>
        </w:tc>
      </w:tr>
      <w:tr w14:paraId="44942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dxa"/>
            <w:shd w:val="clear" w:color="auto" w:fill="auto"/>
            <w:vAlign w:val="center"/>
          </w:tcPr>
          <w:p w14:paraId="1C4259B2">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锰（mg/L）</w:t>
            </w:r>
          </w:p>
        </w:tc>
        <w:tc>
          <w:tcPr>
            <w:tcW w:w="1183" w:type="dxa"/>
            <w:shd w:val="clear" w:color="auto" w:fill="auto"/>
            <w:vAlign w:val="center"/>
          </w:tcPr>
          <w:p w14:paraId="21807EFB">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0.00012L</w:t>
            </w:r>
          </w:p>
        </w:tc>
        <w:tc>
          <w:tcPr>
            <w:tcW w:w="1050" w:type="dxa"/>
            <w:shd w:val="clear" w:color="auto" w:fill="auto"/>
            <w:vAlign w:val="center"/>
          </w:tcPr>
          <w:p w14:paraId="3A57F9B5">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0.00012L</w:t>
            </w:r>
          </w:p>
        </w:tc>
        <w:tc>
          <w:tcPr>
            <w:tcW w:w="1067" w:type="dxa"/>
            <w:shd w:val="clear" w:color="auto" w:fill="auto"/>
            <w:vAlign w:val="center"/>
          </w:tcPr>
          <w:p w14:paraId="545B3451">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0.00012L</w:t>
            </w:r>
          </w:p>
        </w:tc>
        <w:tc>
          <w:tcPr>
            <w:tcW w:w="1066" w:type="dxa"/>
            <w:shd w:val="clear" w:color="auto" w:fill="auto"/>
            <w:vAlign w:val="center"/>
          </w:tcPr>
          <w:p w14:paraId="4693DD4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0.00012L</w:t>
            </w:r>
          </w:p>
        </w:tc>
        <w:tc>
          <w:tcPr>
            <w:tcW w:w="1050" w:type="dxa"/>
            <w:shd w:val="clear" w:color="auto" w:fill="auto"/>
            <w:vAlign w:val="center"/>
          </w:tcPr>
          <w:p w14:paraId="12C27A0B">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0.00012L</w:t>
            </w:r>
          </w:p>
        </w:tc>
        <w:tc>
          <w:tcPr>
            <w:tcW w:w="1480" w:type="dxa"/>
            <w:shd w:val="clear" w:color="auto" w:fill="auto"/>
            <w:vAlign w:val="center"/>
          </w:tcPr>
          <w:p w14:paraId="7F95BE71">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≤0.10</w:t>
            </w:r>
          </w:p>
        </w:tc>
      </w:tr>
      <w:tr w14:paraId="359AD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6" w:type="dxa"/>
            <w:shd w:val="clear" w:color="auto" w:fill="auto"/>
            <w:vAlign w:val="center"/>
          </w:tcPr>
          <w:p w14:paraId="3DDB580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水位</w:t>
            </w:r>
          </w:p>
        </w:tc>
        <w:tc>
          <w:tcPr>
            <w:tcW w:w="1183" w:type="dxa"/>
            <w:vAlign w:val="center"/>
          </w:tcPr>
          <w:p w14:paraId="4F1C01F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32m</w:t>
            </w:r>
          </w:p>
        </w:tc>
        <w:tc>
          <w:tcPr>
            <w:tcW w:w="1050" w:type="dxa"/>
            <w:vAlign w:val="center"/>
          </w:tcPr>
          <w:p w14:paraId="5BD6F11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31m</w:t>
            </w:r>
          </w:p>
        </w:tc>
        <w:tc>
          <w:tcPr>
            <w:tcW w:w="1067" w:type="dxa"/>
            <w:vAlign w:val="center"/>
          </w:tcPr>
          <w:p w14:paraId="62902C7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29m</w:t>
            </w:r>
          </w:p>
        </w:tc>
        <w:tc>
          <w:tcPr>
            <w:tcW w:w="1066" w:type="dxa"/>
            <w:vAlign w:val="center"/>
          </w:tcPr>
          <w:p w14:paraId="252A096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30m</w:t>
            </w:r>
          </w:p>
        </w:tc>
        <w:tc>
          <w:tcPr>
            <w:tcW w:w="1050" w:type="dxa"/>
            <w:vAlign w:val="center"/>
          </w:tcPr>
          <w:p w14:paraId="170CE18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30m</w:t>
            </w:r>
          </w:p>
        </w:tc>
        <w:tc>
          <w:tcPr>
            <w:tcW w:w="1480" w:type="dxa"/>
            <w:vAlign w:val="center"/>
          </w:tcPr>
          <w:p w14:paraId="6FB4F72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r>
    </w:tbl>
    <w:p w14:paraId="14FB54C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default" w:ascii="Times New Roman" w:hAnsi="Times New Roman" w:cs="Times New Roman" w:eastAsiaTheme="minorEastAsia"/>
          <w:kern w:val="0"/>
          <w:sz w:val="24"/>
          <w:szCs w:val="24"/>
          <w:lang w:val="en-US" w:eastAsia="zh-CN"/>
        </w:rPr>
      </w:pPr>
      <w:r>
        <w:rPr>
          <w:rFonts w:hint="eastAsia" w:ascii="Times New Roman" w:hAnsi="Times New Roman" w:cs="Times New Roman" w:eastAsiaTheme="minorEastAsia"/>
          <w:sz w:val="24"/>
          <w:highlight w:val="none"/>
          <w:lang w:val="en-US" w:eastAsia="zh-CN"/>
        </w:rPr>
        <w:t>由表4.3-9可知，项目所在区域地下水均可</w:t>
      </w:r>
      <w:r>
        <w:rPr>
          <w:rFonts w:hint="eastAsia" w:ascii="Times New Roman" w:hAnsi="Times New Roman" w:cs="Times New Roman"/>
          <w:sz w:val="24"/>
          <w:highlight w:val="none"/>
          <w:lang w:val="en-US" w:eastAsia="zh-CN"/>
        </w:rPr>
        <w:t>满足</w:t>
      </w:r>
      <w:r>
        <w:rPr>
          <w:rFonts w:hint="eastAsia" w:ascii="Times New Roman" w:hAnsi="Times New Roman" w:cs="Times New Roman" w:eastAsiaTheme="minorEastAsia"/>
          <w:sz w:val="24"/>
          <w:highlight w:val="none"/>
          <w:lang w:val="en-US" w:eastAsia="zh-CN"/>
        </w:rPr>
        <w:t>《地下水质量标准》（</w:t>
      </w:r>
      <w:r>
        <w:rPr>
          <w:rFonts w:hint="default" w:ascii="Times New Roman" w:hAnsi="Times New Roman" w:cs="Times New Roman" w:eastAsiaTheme="minorEastAsia"/>
          <w:sz w:val="24"/>
          <w:highlight w:val="none"/>
          <w:lang w:val="en-US" w:eastAsia="zh-CN"/>
        </w:rPr>
        <w:t>GB/T14848-2017</w:t>
      </w:r>
      <w:r>
        <w:rPr>
          <w:rFonts w:hint="eastAsia" w:ascii="Times New Roman" w:hAnsi="Times New Roman" w:cs="Times New Roman" w:eastAsiaTheme="minorEastAsia"/>
          <w:sz w:val="24"/>
          <w:highlight w:val="none"/>
          <w:lang w:val="en-US" w:eastAsia="zh-CN"/>
        </w:rPr>
        <w:t>）中的</w:t>
      </w:r>
      <w:r>
        <w:rPr>
          <w:rFonts w:hint="default" w:ascii="Times New Roman" w:hAnsi="Times New Roman" w:cs="Times New Roman" w:eastAsiaTheme="minorEastAsia"/>
          <w:sz w:val="24"/>
          <w:highlight w:val="none"/>
          <w:lang w:val="en-US" w:eastAsia="zh-CN"/>
        </w:rPr>
        <w:t>Ⅲ</w:t>
      </w:r>
      <w:r>
        <w:rPr>
          <w:rFonts w:hint="eastAsia" w:ascii="Times New Roman" w:hAnsi="Times New Roman" w:cs="Times New Roman" w:eastAsiaTheme="minorEastAsia"/>
          <w:sz w:val="24"/>
          <w:highlight w:val="none"/>
          <w:lang w:val="en-US" w:eastAsia="zh-CN"/>
        </w:rPr>
        <w:t>类标准</w:t>
      </w:r>
      <w:r>
        <w:rPr>
          <w:rFonts w:hint="eastAsia" w:ascii="Times New Roman" w:hAnsi="Times New Roman" w:cs="Times New Roman"/>
          <w:sz w:val="24"/>
          <w:highlight w:val="none"/>
          <w:lang w:val="en-US" w:eastAsia="zh-CN"/>
        </w:rPr>
        <w:t>。</w:t>
      </w:r>
    </w:p>
    <w:p w14:paraId="20F6F623">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199" w:name="_Toc19994"/>
      <w:r>
        <w:rPr>
          <w:rFonts w:hint="default" w:ascii="Times New Roman" w:hAnsi="Times New Roman" w:cs="Times New Roman" w:eastAsiaTheme="minorEastAsia"/>
          <w:kern w:val="0"/>
          <w:sz w:val="24"/>
          <w:szCs w:val="24"/>
          <w:lang w:val="en-US" w:eastAsia="zh-CN"/>
        </w:rPr>
        <w:t>4.</w:t>
      </w:r>
      <w:r>
        <w:rPr>
          <w:rFonts w:hint="eastAsia" w:ascii="Times New Roman" w:hAnsi="Times New Roman" w:cs="Times New Roman"/>
          <w:kern w:val="0"/>
          <w:sz w:val="24"/>
          <w:szCs w:val="24"/>
          <w:lang w:val="en-US" w:eastAsia="zh-CN"/>
        </w:rPr>
        <w:t>3</w:t>
      </w:r>
      <w:r>
        <w:rPr>
          <w:rFonts w:hint="default" w:ascii="Times New Roman" w:hAnsi="Times New Roman" w:cs="Times New Roman" w:eastAsiaTheme="minorEastAsia"/>
          <w:kern w:val="0"/>
          <w:sz w:val="24"/>
          <w:szCs w:val="24"/>
          <w:lang w:val="en-US" w:eastAsia="zh-CN"/>
        </w:rPr>
        <w:t>.</w:t>
      </w:r>
      <w:r>
        <w:rPr>
          <w:rFonts w:hint="eastAsia" w:ascii="Times New Roman" w:hAnsi="Times New Roman" w:cs="Times New Roman"/>
          <w:kern w:val="0"/>
          <w:sz w:val="24"/>
          <w:szCs w:val="24"/>
          <w:lang w:val="en-US" w:eastAsia="zh-CN"/>
        </w:rPr>
        <w:t>6</w:t>
      </w:r>
      <w:r>
        <w:rPr>
          <w:rFonts w:hint="default" w:ascii="Times New Roman" w:hAnsi="Times New Roman" w:cs="Times New Roman" w:eastAsiaTheme="minorEastAsia"/>
          <w:kern w:val="0"/>
          <w:sz w:val="24"/>
          <w:szCs w:val="24"/>
          <w:lang w:val="en-US" w:eastAsia="zh-CN"/>
        </w:rPr>
        <w:t>生态环境质量现状调查分析</w:t>
      </w:r>
      <w:bookmarkEnd w:id="197"/>
      <w:bookmarkEnd w:id="199"/>
    </w:p>
    <w:p w14:paraId="5189DC57">
      <w:pPr>
        <w:adjustRightInd w:val="0"/>
        <w:snapToGrid w:val="0"/>
        <w:spacing w:line="500" w:lineRule="exact"/>
        <w:jc w:val="left"/>
        <w:rPr>
          <w:rFonts w:hint="default" w:ascii="Times New Roman" w:hAnsi="Times New Roman" w:cs="Times New Roman" w:eastAsiaTheme="minorEastAsia"/>
          <w:b/>
          <w:bCs/>
          <w:sz w:val="24"/>
          <w:lang w:val="en-US" w:eastAsia="zh-CN"/>
        </w:rPr>
      </w:pPr>
      <w:r>
        <w:rPr>
          <w:rFonts w:hint="default" w:ascii="Times New Roman" w:hAnsi="Times New Roman" w:cs="Times New Roman" w:eastAsiaTheme="minorEastAsia"/>
          <w:b/>
          <w:bCs/>
          <w:sz w:val="24"/>
          <w:lang w:val="en-US" w:eastAsia="zh-CN"/>
        </w:rPr>
        <w:t>4.</w:t>
      </w:r>
      <w:r>
        <w:rPr>
          <w:rFonts w:hint="eastAsia" w:ascii="Times New Roman" w:hAnsi="Times New Roman" w:cs="Times New Roman"/>
          <w:b/>
          <w:bCs/>
          <w:sz w:val="24"/>
          <w:lang w:val="en-US" w:eastAsia="zh-CN"/>
        </w:rPr>
        <w:t>3</w:t>
      </w:r>
      <w:r>
        <w:rPr>
          <w:rFonts w:hint="default" w:ascii="Times New Roman" w:hAnsi="Times New Roman" w:cs="Times New Roman" w:eastAsiaTheme="minorEastAsia"/>
          <w:b/>
          <w:bCs/>
          <w:sz w:val="24"/>
          <w:lang w:val="en-US" w:eastAsia="zh-CN"/>
        </w:rPr>
        <w:t>.</w:t>
      </w:r>
      <w:r>
        <w:rPr>
          <w:rFonts w:hint="eastAsia" w:ascii="Times New Roman" w:hAnsi="Times New Roman" w:cs="Times New Roman"/>
          <w:b/>
          <w:bCs/>
          <w:sz w:val="24"/>
          <w:lang w:val="en-US" w:eastAsia="zh-CN"/>
        </w:rPr>
        <w:t>6</w:t>
      </w:r>
      <w:r>
        <w:rPr>
          <w:rFonts w:hint="default" w:ascii="Times New Roman" w:hAnsi="Times New Roman" w:cs="Times New Roman" w:eastAsiaTheme="minorEastAsia"/>
          <w:b/>
          <w:bCs/>
          <w:sz w:val="24"/>
          <w:lang w:val="en-US" w:eastAsia="zh-CN"/>
        </w:rPr>
        <w:t>.1生态功能区划</w:t>
      </w:r>
    </w:p>
    <w:p w14:paraId="4809B263">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根据《新疆生态功能区划》，评价区属于</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Ⅳ塔里木盆地暖温荒漠及绿洲农业生态区</w:t>
      </w:r>
      <w:r>
        <w:rPr>
          <w:rFonts w:hint="default" w:ascii="Times New Roman" w:hAnsi="Times New Roman" w:cs="Times New Roman" w:eastAsiaTheme="minorEastAsia"/>
          <w:sz w:val="24"/>
          <w:highlight w:val="none"/>
          <w:lang w:val="en-US" w:eastAsia="zh-CN"/>
        </w:rPr>
        <w:t>，</w:t>
      </w:r>
      <w:r>
        <w:rPr>
          <w:rFonts w:hint="eastAsia" w:ascii="Times New Roman" w:hAnsi="Times New Roman" w:cs="Times New Roman" w:eastAsiaTheme="minorEastAsia"/>
          <w:sz w:val="24"/>
          <w:highlight w:val="none"/>
          <w:lang w:val="en-US" w:eastAsia="zh-CN"/>
        </w:rPr>
        <w:t>Ⅳ1塔里木盆地西部、北部荒漠及绿洲农业生态亚区</w:t>
      </w:r>
      <w:r>
        <w:rPr>
          <w:rFonts w:hint="default" w:ascii="Times New Roman" w:hAnsi="Times New Roman" w:cs="Times New Roman" w:eastAsiaTheme="minorEastAsia"/>
          <w:sz w:val="24"/>
          <w:highlight w:val="none"/>
          <w:lang w:val="en-US" w:eastAsia="zh-CN"/>
        </w:rPr>
        <w:t>，</w:t>
      </w:r>
      <w:r>
        <w:rPr>
          <w:rFonts w:hint="eastAsia" w:ascii="Times New Roman" w:hAnsi="Times New Roman" w:cs="Times New Roman" w:eastAsiaTheme="minorEastAsia"/>
          <w:sz w:val="24"/>
          <w:highlight w:val="none"/>
          <w:lang w:val="en-US" w:eastAsia="zh-CN"/>
        </w:rPr>
        <w:t>58.叶尔羌河平原绿洲农业及荒漠河岸林保护生态功能区</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该功能区主要的特征，见表</w:t>
      </w:r>
      <w:r>
        <w:rPr>
          <w:rFonts w:hint="eastAsia" w:ascii="Times New Roman" w:hAnsi="Times New Roman" w:cs="Times New Roman"/>
          <w:sz w:val="24"/>
          <w:highlight w:val="none"/>
          <w:lang w:val="en-US" w:eastAsia="zh-CN"/>
        </w:rPr>
        <w:t>4.3</w:t>
      </w:r>
      <w:r>
        <w:rPr>
          <w:rFonts w:hint="default" w:ascii="Times New Roman" w:hAnsi="Times New Roman" w:cs="Times New Roman" w:eastAsiaTheme="minorEastAsia"/>
          <w:sz w:val="24"/>
          <w:highlight w:val="none"/>
          <w:lang w:val="en-US" w:eastAsia="zh-CN"/>
        </w:rPr>
        <w:t>-1</w:t>
      </w:r>
      <w:r>
        <w:rPr>
          <w:rFonts w:hint="eastAsia" w:ascii="Times New Roman" w:hAnsi="Times New Roman" w:cs="Times New Roman"/>
          <w:sz w:val="24"/>
          <w:highlight w:val="none"/>
          <w:lang w:val="en-US" w:eastAsia="zh-CN"/>
        </w:rPr>
        <w:t>0</w:t>
      </w:r>
      <w:r>
        <w:rPr>
          <w:rFonts w:hint="default" w:ascii="Times New Roman" w:hAnsi="Times New Roman" w:cs="Times New Roman" w:eastAsiaTheme="minorEastAsia"/>
          <w:sz w:val="24"/>
          <w:highlight w:val="none"/>
          <w:lang w:val="en-US" w:eastAsia="zh-CN"/>
        </w:rPr>
        <w:t>。</w:t>
      </w:r>
    </w:p>
    <w:p w14:paraId="2BCB597D">
      <w:pPr>
        <w:adjustRightInd w:val="0"/>
        <w:snapToGrid w:val="0"/>
        <w:spacing w:before="250" w:beforeLines="50"/>
        <w:ind w:firstLine="422" w:firstLineChars="20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表</w:t>
      </w:r>
      <w:r>
        <w:rPr>
          <w:rFonts w:hint="eastAsia" w:ascii="Times New Roman" w:hAnsi="Times New Roman" w:cs="Times New Roman"/>
          <w:b/>
          <w:szCs w:val="21"/>
          <w:lang w:val="en-US" w:eastAsia="zh-CN"/>
        </w:rPr>
        <w:t>4.3-10</w:t>
      </w:r>
      <w:r>
        <w:rPr>
          <w:rFonts w:hint="default" w:ascii="Times New Roman" w:hAnsi="Times New Roman" w:cs="Times New Roman" w:eastAsiaTheme="minorEastAsia"/>
          <w:b/>
          <w:szCs w:val="21"/>
          <w:lang w:val="en-US" w:eastAsia="zh-CN"/>
        </w:rPr>
        <w:t xml:space="preserve">  生态功能区主要特征</w:t>
      </w:r>
    </w:p>
    <w:tbl>
      <w:tblPr>
        <w:tblStyle w:val="13"/>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
        <w:gridCol w:w="909"/>
        <w:gridCol w:w="914"/>
        <w:gridCol w:w="910"/>
        <w:gridCol w:w="775"/>
        <w:gridCol w:w="1044"/>
        <w:gridCol w:w="1018"/>
        <w:gridCol w:w="724"/>
        <w:gridCol w:w="1147"/>
        <w:gridCol w:w="812"/>
      </w:tblGrid>
      <w:tr w14:paraId="30714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7" w:type="pct"/>
            <w:gridSpan w:val="3"/>
            <w:vAlign w:val="center"/>
          </w:tcPr>
          <w:p w14:paraId="17B2828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生态功能分区单元</w:t>
            </w:r>
          </w:p>
        </w:tc>
        <w:tc>
          <w:tcPr>
            <w:tcW w:w="497" w:type="pct"/>
            <w:vMerge w:val="restart"/>
            <w:vAlign w:val="center"/>
          </w:tcPr>
          <w:p w14:paraId="6563EE0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隶属行政区</w:t>
            </w:r>
          </w:p>
        </w:tc>
        <w:tc>
          <w:tcPr>
            <w:tcW w:w="423" w:type="pct"/>
            <w:vMerge w:val="restart"/>
            <w:vAlign w:val="center"/>
          </w:tcPr>
          <w:p w14:paraId="7973EC4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主要生态服务区</w:t>
            </w:r>
          </w:p>
        </w:tc>
        <w:tc>
          <w:tcPr>
            <w:tcW w:w="570" w:type="pct"/>
            <w:vMerge w:val="restart"/>
            <w:vAlign w:val="center"/>
          </w:tcPr>
          <w:p w14:paraId="73F60D7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主要环境问题</w:t>
            </w:r>
          </w:p>
        </w:tc>
        <w:tc>
          <w:tcPr>
            <w:tcW w:w="556" w:type="pct"/>
            <w:vMerge w:val="restart"/>
            <w:vAlign w:val="center"/>
          </w:tcPr>
          <w:p w14:paraId="779456C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主要生态敏感因子敏感程度</w:t>
            </w:r>
          </w:p>
        </w:tc>
        <w:tc>
          <w:tcPr>
            <w:tcW w:w="395" w:type="pct"/>
            <w:vMerge w:val="restart"/>
            <w:vAlign w:val="center"/>
          </w:tcPr>
          <w:p w14:paraId="163C119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主要保护目标</w:t>
            </w:r>
          </w:p>
        </w:tc>
        <w:tc>
          <w:tcPr>
            <w:tcW w:w="626" w:type="pct"/>
            <w:vMerge w:val="restart"/>
            <w:vAlign w:val="center"/>
          </w:tcPr>
          <w:p w14:paraId="03FE701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保护措施</w:t>
            </w:r>
          </w:p>
        </w:tc>
        <w:tc>
          <w:tcPr>
            <w:tcW w:w="443" w:type="pct"/>
            <w:vMerge w:val="restart"/>
            <w:vAlign w:val="center"/>
          </w:tcPr>
          <w:p w14:paraId="6406D6A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发展方向</w:t>
            </w:r>
          </w:p>
        </w:tc>
      </w:tr>
      <w:tr w14:paraId="18253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 w:type="pct"/>
            <w:vAlign w:val="center"/>
          </w:tcPr>
          <w:p w14:paraId="0DEB0D1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生态区</w:t>
            </w:r>
          </w:p>
        </w:tc>
        <w:tc>
          <w:tcPr>
            <w:tcW w:w="496" w:type="pct"/>
            <w:vAlign w:val="center"/>
          </w:tcPr>
          <w:p w14:paraId="07E8318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生态亚区</w:t>
            </w:r>
          </w:p>
        </w:tc>
        <w:tc>
          <w:tcPr>
            <w:tcW w:w="498" w:type="pct"/>
            <w:vAlign w:val="center"/>
          </w:tcPr>
          <w:p w14:paraId="4301708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生态功能区</w:t>
            </w:r>
          </w:p>
        </w:tc>
        <w:tc>
          <w:tcPr>
            <w:tcW w:w="497" w:type="pct"/>
            <w:vMerge w:val="continue"/>
            <w:vAlign w:val="center"/>
          </w:tcPr>
          <w:p w14:paraId="39D5718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423" w:type="pct"/>
            <w:vMerge w:val="continue"/>
            <w:vAlign w:val="center"/>
          </w:tcPr>
          <w:p w14:paraId="3AB52AB3">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70" w:type="pct"/>
            <w:vMerge w:val="continue"/>
            <w:vAlign w:val="center"/>
          </w:tcPr>
          <w:p w14:paraId="00E4644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56" w:type="pct"/>
            <w:vMerge w:val="continue"/>
            <w:vAlign w:val="center"/>
          </w:tcPr>
          <w:p w14:paraId="1CB9479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95" w:type="pct"/>
            <w:vMerge w:val="continue"/>
            <w:vAlign w:val="center"/>
          </w:tcPr>
          <w:p w14:paraId="44A6C58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26" w:type="pct"/>
            <w:vMerge w:val="continue"/>
            <w:vAlign w:val="center"/>
          </w:tcPr>
          <w:p w14:paraId="3E11A40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443" w:type="pct"/>
            <w:vMerge w:val="continue"/>
            <w:vAlign w:val="center"/>
          </w:tcPr>
          <w:p w14:paraId="0C7854FA">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24893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 w:type="pct"/>
            <w:vAlign w:val="center"/>
          </w:tcPr>
          <w:p w14:paraId="1E05F2B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Ⅳ塔里木盆地暖温荒漠及绿洲农业生态区</w:t>
            </w:r>
          </w:p>
        </w:tc>
        <w:tc>
          <w:tcPr>
            <w:tcW w:w="496" w:type="pct"/>
            <w:vAlign w:val="center"/>
          </w:tcPr>
          <w:p w14:paraId="5BD8527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Ⅳ1塔里木盆地西部、北部荒漠及绿洲农业生态亚区</w:t>
            </w:r>
          </w:p>
        </w:tc>
        <w:tc>
          <w:tcPr>
            <w:tcW w:w="498" w:type="pct"/>
            <w:vAlign w:val="center"/>
          </w:tcPr>
          <w:p w14:paraId="3F22AF1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58.叶尔羌河平原绿洲农业及荒漠河岸林保护生态功能区</w:t>
            </w:r>
          </w:p>
        </w:tc>
        <w:tc>
          <w:tcPr>
            <w:tcW w:w="497" w:type="pct"/>
            <w:vAlign w:val="center"/>
          </w:tcPr>
          <w:p w14:paraId="512BB58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叶城县、泽普县、莎车县、麦盖提县、巴楚县、柯坪县、阿瓦提县</w:t>
            </w:r>
          </w:p>
        </w:tc>
        <w:tc>
          <w:tcPr>
            <w:tcW w:w="423" w:type="pct"/>
            <w:vAlign w:val="center"/>
          </w:tcPr>
          <w:p w14:paraId="4714F4C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农畜产品生产、荒漠化控制、油气资源开发、塔里木河水源补给</w:t>
            </w:r>
          </w:p>
        </w:tc>
        <w:tc>
          <w:tcPr>
            <w:tcW w:w="570" w:type="pct"/>
            <w:vAlign w:val="center"/>
          </w:tcPr>
          <w:p w14:paraId="6C70C95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土壤盐渍化、风沙危害、荒漠植被及胡杨林破坏、乱挖甘草、平原水库蒸发渗漏严重、油气开发污染环境、土壤环境质量下降</w:t>
            </w:r>
          </w:p>
        </w:tc>
        <w:tc>
          <w:tcPr>
            <w:tcW w:w="556" w:type="pct"/>
            <w:vAlign w:val="center"/>
          </w:tcPr>
          <w:p w14:paraId="7C7928C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生物多样性及其生境中度敏感，土地沙漠化中度敏感，土壤盐渍化轻度敏感</w:t>
            </w:r>
          </w:p>
        </w:tc>
        <w:tc>
          <w:tcPr>
            <w:tcW w:w="395" w:type="pct"/>
            <w:vAlign w:val="center"/>
          </w:tcPr>
          <w:p w14:paraId="5265C54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保护荒漠植被、保护荒漠河岸林、保护农田土壤环境质量</w:t>
            </w:r>
          </w:p>
        </w:tc>
        <w:tc>
          <w:tcPr>
            <w:tcW w:w="626" w:type="pct"/>
            <w:vAlign w:val="center"/>
          </w:tcPr>
          <w:p w14:paraId="2E9355B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过度开发</w:t>
            </w:r>
            <w:r>
              <w:rPr>
                <w:rFonts w:hint="eastAsia" w:ascii="Times New Roman" w:hAnsi="Times New Roman" w:cs="Times New Roman" w:eastAsiaTheme="minorEastAsia"/>
                <w:szCs w:val="21"/>
                <w:lang w:val="en-US" w:eastAsia="zh-CN"/>
              </w:rPr>
              <w:t>地下水、增加向塔河输水量、退耕还林还草、废除部分平原水库、节水灌溉、加强农田投入品的使用管理</w:t>
            </w:r>
          </w:p>
        </w:tc>
        <w:tc>
          <w:tcPr>
            <w:tcW w:w="443" w:type="pct"/>
            <w:vAlign w:val="center"/>
          </w:tcPr>
          <w:p w14:paraId="074EC5A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建成粮食、经济作物、林果业基地，发展农区畜牧业</w:t>
            </w:r>
          </w:p>
        </w:tc>
      </w:tr>
    </w:tbl>
    <w:p w14:paraId="1E9EA594">
      <w:pPr>
        <w:pStyle w:val="20"/>
        <w:snapToGrid w:val="0"/>
        <w:ind w:left="0" w:leftChars="0" w:firstLine="0" w:firstLineChars="0"/>
        <w:jc w:val="left"/>
        <w:rPr>
          <w:rFonts w:hint="default" w:ascii="Times New Roman" w:hAnsi="Times New Roman" w:cs="Times New Roman" w:eastAsiaTheme="minorEastAsia"/>
          <w:b/>
          <w:bCs/>
          <w:color w:val="auto"/>
          <w:highlight w:val="none"/>
          <w:lang w:val="de-DE" w:eastAsia="zh-CN"/>
        </w:rPr>
      </w:pPr>
      <w:r>
        <w:rPr>
          <w:rFonts w:hint="default" w:ascii="Times New Roman" w:hAnsi="Times New Roman" w:cs="Times New Roman" w:eastAsiaTheme="minorEastAsia"/>
          <w:b/>
          <w:bCs/>
          <w:color w:val="auto"/>
          <w:highlight w:val="none"/>
          <w:lang w:val="de-DE" w:eastAsia="zh-CN"/>
        </w:rPr>
        <w:t>4.</w:t>
      </w:r>
      <w:r>
        <w:rPr>
          <w:rFonts w:hint="eastAsia" w:ascii="Times New Roman" w:hAnsi="Times New Roman" w:cs="Times New Roman" w:eastAsiaTheme="minorEastAsia"/>
          <w:b/>
          <w:bCs/>
          <w:color w:val="auto"/>
          <w:highlight w:val="none"/>
          <w:lang w:val="en-US" w:eastAsia="zh-CN"/>
        </w:rPr>
        <w:t>3</w:t>
      </w:r>
      <w:r>
        <w:rPr>
          <w:rFonts w:hint="default" w:ascii="Times New Roman" w:hAnsi="Times New Roman" w:cs="Times New Roman" w:eastAsiaTheme="minorEastAsia"/>
          <w:b/>
          <w:bCs/>
          <w:color w:val="auto"/>
          <w:highlight w:val="none"/>
          <w:lang w:val="de-DE" w:eastAsia="zh-CN"/>
        </w:rPr>
        <w:t>.</w:t>
      </w:r>
      <w:r>
        <w:rPr>
          <w:rFonts w:hint="eastAsia" w:ascii="Times New Roman" w:hAnsi="Times New Roman" w:cs="Times New Roman" w:eastAsiaTheme="minorEastAsia"/>
          <w:b/>
          <w:bCs/>
          <w:color w:val="auto"/>
          <w:highlight w:val="none"/>
          <w:lang w:val="en-US" w:eastAsia="zh-CN"/>
        </w:rPr>
        <w:t>6</w:t>
      </w:r>
      <w:r>
        <w:rPr>
          <w:rFonts w:hint="default" w:ascii="Times New Roman" w:hAnsi="Times New Roman" w:cs="Times New Roman" w:eastAsiaTheme="minorEastAsia"/>
          <w:b/>
          <w:bCs/>
          <w:color w:val="auto"/>
          <w:highlight w:val="none"/>
          <w:lang w:val="de-DE" w:eastAsia="zh-CN"/>
        </w:rPr>
        <w:t>.2</w:t>
      </w:r>
      <w:r>
        <w:rPr>
          <w:rFonts w:hint="eastAsia" w:ascii="Times New Roman" w:hAnsi="Times New Roman" w:cs="Times New Roman" w:eastAsiaTheme="minorEastAsia"/>
          <w:b/>
          <w:bCs/>
          <w:color w:val="auto"/>
          <w:highlight w:val="none"/>
          <w:lang w:val="en-US" w:eastAsia="zh-CN"/>
        </w:rPr>
        <w:t>项目区及周边生态环境现状</w:t>
      </w:r>
      <w:r>
        <w:rPr>
          <w:rFonts w:hint="default" w:ascii="Times New Roman" w:hAnsi="Times New Roman" w:cs="Times New Roman" w:eastAsiaTheme="minorEastAsia"/>
          <w:b/>
          <w:bCs/>
          <w:color w:val="auto"/>
          <w:highlight w:val="none"/>
          <w:lang w:val="de-DE" w:eastAsia="zh-CN"/>
        </w:rPr>
        <w:t>调查</w:t>
      </w:r>
    </w:p>
    <w:p w14:paraId="41F438FC">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本项目为扩建项目，不涉及新增用地，项目占地范围无野生植被存在，项目周边人类活动频繁，无大型野生动物，也没有国家级保护的动物，项目用地属于工业用地。</w:t>
      </w:r>
    </w:p>
    <w:p w14:paraId="3954E86B">
      <w:pPr>
        <w:pStyle w:val="20"/>
        <w:snapToGrid w:val="0"/>
        <w:ind w:left="0" w:leftChars="0" w:firstLine="0" w:firstLineChars="0"/>
        <w:jc w:val="left"/>
        <w:rPr>
          <w:rFonts w:hint="default" w:ascii="Times New Roman" w:hAnsi="Times New Roman" w:cs="Times New Roman" w:eastAsiaTheme="minorEastAsia"/>
          <w:b/>
          <w:bCs/>
          <w:color w:val="auto"/>
          <w:lang w:val="en-US" w:eastAsia="zh-CN"/>
        </w:rPr>
      </w:pPr>
      <w:r>
        <w:rPr>
          <w:rFonts w:hint="default" w:ascii="Times New Roman" w:hAnsi="Times New Roman" w:cs="Times New Roman" w:eastAsiaTheme="minorEastAsia"/>
          <w:b/>
          <w:bCs/>
          <w:color w:val="auto"/>
          <w:lang w:val="en-US" w:eastAsia="zh-CN"/>
        </w:rPr>
        <w:t>4.</w:t>
      </w:r>
      <w:r>
        <w:rPr>
          <w:rFonts w:hint="eastAsia" w:ascii="Times New Roman" w:hAnsi="Times New Roman" w:cs="Times New Roman" w:eastAsiaTheme="minorEastAsia"/>
          <w:b/>
          <w:bCs/>
          <w:color w:val="auto"/>
          <w:lang w:val="en-US" w:eastAsia="zh-CN"/>
        </w:rPr>
        <w:t>3.6</w:t>
      </w:r>
      <w:r>
        <w:rPr>
          <w:rFonts w:hint="default" w:ascii="Times New Roman" w:hAnsi="Times New Roman" w:cs="Times New Roman" w:eastAsiaTheme="minorEastAsia"/>
          <w:b/>
          <w:bCs/>
          <w:color w:val="auto"/>
          <w:lang w:val="en-US" w:eastAsia="zh-CN"/>
        </w:rPr>
        <w:t>.</w:t>
      </w:r>
      <w:r>
        <w:rPr>
          <w:rFonts w:hint="eastAsia" w:ascii="Times New Roman" w:hAnsi="Times New Roman" w:cs="Times New Roman" w:eastAsiaTheme="minorEastAsia"/>
          <w:b/>
          <w:bCs/>
          <w:color w:val="auto"/>
          <w:lang w:val="en-US" w:eastAsia="zh-CN"/>
        </w:rPr>
        <w:t>3</w:t>
      </w:r>
      <w:r>
        <w:rPr>
          <w:rFonts w:hint="default" w:ascii="Times New Roman" w:hAnsi="Times New Roman" w:cs="Times New Roman" w:eastAsiaTheme="minorEastAsia"/>
          <w:b/>
          <w:bCs/>
          <w:color w:val="auto"/>
          <w:lang w:val="en-US" w:eastAsia="zh-CN"/>
        </w:rPr>
        <w:t>水土流失现状调查</w:t>
      </w:r>
    </w:p>
    <w:p w14:paraId="63C9A74F">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本项目位于新疆维吾尔自治区</w:t>
      </w:r>
      <w:r>
        <w:rPr>
          <w:rFonts w:hint="eastAsia" w:ascii="Times New Roman" w:hAnsi="Times New Roman" w:cs="Times New Roman" w:eastAsiaTheme="minorEastAsia"/>
          <w:sz w:val="24"/>
          <w:lang w:val="en-US" w:eastAsia="zh-CN"/>
        </w:rPr>
        <w:t>喀什地区莎车县</w:t>
      </w:r>
      <w:r>
        <w:rPr>
          <w:rFonts w:hint="default" w:ascii="Times New Roman" w:hAnsi="Times New Roman" w:cs="Times New Roman" w:eastAsiaTheme="minorEastAsia"/>
          <w:sz w:val="24"/>
          <w:lang w:val="en-US" w:eastAsia="zh-CN"/>
        </w:rPr>
        <w:t>，根据《全国水土保持规划国家级水土流失重点预防区和重点治理区复核划分成果》（办水保〔2013〕188号）及《新疆维吾尔自治区人民政府关于全疆水土流失重点预防保护区、重点监督区、重点治理区划分公告》的相关规定，本项目属于</w:t>
      </w:r>
      <w:r>
        <w:rPr>
          <w:rFonts w:hint="eastAsia" w:ascii="Times New Roman" w:hAnsi="Times New Roman" w:cs="Times New Roman" w:eastAsiaTheme="minorEastAsia"/>
          <w:sz w:val="24"/>
          <w:lang w:val="en-US" w:eastAsia="zh-CN"/>
        </w:rPr>
        <w:t>塔里木河国家级水土流失重点预防区、Ⅱ</w:t>
      </w:r>
      <w:r>
        <w:rPr>
          <w:rFonts w:hint="eastAsia" w:ascii="Times New Roman" w:hAnsi="Times New Roman" w:cs="Times New Roman" w:eastAsiaTheme="minorEastAsia"/>
          <w:sz w:val="24"/>
          <w:vertAlign w:val="subscript"/>
          <w:lang w:val="en-US" w:eastAsia="zh-CN"/>
        </w:rPr>
        <w:t>3</w:t>
      </w:r>
      <w:r>
        <w:rPr>
          <w:rFonts w:hint="eastAsia" w:ascii="Times New Roman" w:hAnsi="Times New Roman" w:cs="Times New Roman" w:eastAsiaTheme="minorEastAsia"/>
          <w:sz w:val="24"/>
          <w:lang w:val="en-US" w:eastAsia="zh-CN"/>
        </w:rPr>
        <w:t>塔里木河流域重点治理区。</w:t>
      </w:r>
    </w:p>
    <w:p w14:paraId="691F8CE3">
      <w:pPr>
        <w:pStyle w:val="20"/>
        <w:snapToGrid w:val="0"/>
        <w:ind w:left="0" w:leftChars="0" w:firstLine="0" w:firstLineChars="0"/>
        <w:jc w:val="left"/>
        <w:rPr>
          <w:rFonts w:hint="default" w:ascii="Times New Roman" w:hAnsi="Times New Roman" w:cs="Times New Roman" w:eastAsiaTheme="minorEastAsia"/>
          <w:b/>
          <w:bCs/>
          <w:color w:val="auto"/>
          <w:lang w:val="en-US" w:eastAsia="zh-CN"/>
        </w:rPr>
      </w:pPr>
      <w:r>
        <w:rPr>
          <w:rFonts w:hint="default" w:ascii="Times New Roman" w:hAnsi="Times New Roman" w:cs="Times New Roman" w:eastAsiaTheme="minorEastAsia"/>
          <w:b/>
          <w:bCs/>
          <w:color w:val="auto"/>
          <w:lang w:val="en-US" w:eastAsia="zh-CN"/>
        </w:rPr>
        <w:t>4.</w:t>
      </w:r>
      <w:r>
        <w:rPr>
          <w:rFonts w:hint="eastAsia" w:ascii="Times New Roman" w:hAnsi="Times New Roman" w:cs="Times New Roman" w:eastAsiaTheme="minorEastAsia"/>
          <w:b/>
          <w:bCs/>
          <w:color w:val="auto"/>
          <w:lang w:val="en-US" w:eastAsia="zh-CN"/>
        </w:rPr>
        <w:t>3</w:t>
      </w:r>
      <w:r>
        <w:rPr>
          <w:rFonts w:hint="default" w:ascii="Times New Roman" w:hAnsi="Times New Roman" w:cs="Times New Roman" w:eastAsiaTheme="minorEastAsia"/>
          <w:b/>
          <w:bCs/>
          <w:color w:val="auto"/>
          <w:lang w:val="en-US" w:eastAsia="zh-CN"/>
        </w:rPr>
        <w:t>.</w:t>
      </w:r>
      <w:r>
        <w:rPr>
          <w:rFonts w:hint="eastAsia" w:ascii="Times New Roman" w:hAnsi="Times New Roman" w:cs="Times New Roman" w:eastAsiaTheme="minorEastAsia"/>
          <w:b/>
          <w:bCs/>
          <w:color w:val="auto"/>
          <w:lang w:val="en-US" w:eastAsia="zh-CN"/>
        </w:rPr>
        <w:t>6</w:t>
      </w:r>
      <w:r>
        <w:rPr>
          <w:rFonts w:hint="default" w:ascii="Times New Roman" w:hAnsi="Times New Roman" w:cs="Times New Roman" w:eastAsiaTheme="minorEastAsia"/>
          <w:b/>
          <w:bCs/>
          <w:color w:val="auto"/>
          <w:lang w:val="en-US" w:eastAsia="zh-CN"/>
        </w:rPr>
        <w:t>.</w:t>
      </w:r>
      <w:r>
        <w:rPr>
          <w:rFonts w:hint="eastAsia" w:ascii="Times New Roman" w:hAnsi="Times New Roman" w:cs="Times New Roman" w:eastAsiaTheme="minorEastAsia"/>
          <w:b/>
          <w:bCs/>
          <w:color w:val="auto"/>
          <w:lang w:val="en-US" w:eastAsia="zh-CN"/>
        </w:rPr>
        <w:t>4</w:t>
      </w:r>
      <w:r>
        <w:rPr>
          <w:rFonts w:hint="default" w:ascii="Times New Roman" w:hAnsi="Times New Roman" w:cs="Times New Roman" w:eastAsiaTheme="minorEastAsia"/>
          <w:b/>
          <w:bCs/>
          <w:color w:val="auto"/>
          <w:lang w:val="en-US" w:eastAsia="zh-CN"/>
        </w:rPr>
        <w:t>沙漠化土地</w:t>
      </w:r>
    </w:p>
    <w:p w14:paraId="53B7CAE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南疆有世界流动性最强的沙漠—塔克拉玛干沙漠、全球海拔最高的沙漠—库姆库里沙漠、羽毛状沙丘最典型的沙漠—罗布泊库姆塔格沙漠、距离城市最近的沙漠—鄯善库木塔格沙漠等。南疆沙漠总面积383136平方千米。沙漠中的沙化土地面积3632.30万公顷，其中：流动沙地2812.29万公顷，半固定沙地552.04万公顷，固定沙地247.96万公顷，沙化耕地11.83万公顷，非生物治沙工程地8.18万公顷。本项目属于沙化土地，具体见附图4.</w:t>
      </w:r>
      <w:r>
        <w:rPr>
          <w:rFonts w:hint="eastAsia" w:ascii="Times New Roman" w:hAnsi="Times New Roman" w:cs="Times New Roman" w:eastAsiaTheme="minorEastAsia"/>
          <w:sz w:val="24"/>
          <w:lang w:val="en-US" w:eastAsia="zh-CN"/>
        </w:rPr>
        <w:t>3</w:t>
      </w:r>
      <w:r>
        <w:rPr>
          <w:rFonts w:hint="default" w:ascii="Times New Roman" w:hAnsi="Times New Roman" w:cs="Times New Roman" w:eastAsiaTheme="minorEastAsia"/>
          <w:sz w:val="24"/>
          <w:lang w:val="en-US" w:eastAsia="zh-CN"/>
        </w:rPr>
        <w:t>-5。</w:t>
      </w:r>
    </w:p>
    <w:p w14:paraId="3C4B9F0D">
      <w:pPr>
        <w:pStyle w:val="3"/>
        <w:spacing w:before="120" w:after="120" w:line="500" w:lineRule="exact"/>
        <w:ind w:left="375" w:hanging="375" w:firstLineChars="0"/>
        <w:contextualSpacing/>
        <w:rPr>
          <w:rFonts w:hint="default" w:ascii="Times New Roman" w:hAnsi="Times New Roman" w:cs="Times New Roman" w:eastAsiaTheme="minorEastAsia"/>
          <w:snapToGrid w:val="0"/>
          <w:kern w:val="0"/>
          <w:sz w:val="28"/>
          <w:szCs w:val="28"/>
          <w:lang w:val="en-US" w:eastAsia="zh-CN"/>
        </w:rPr>
      </w:pPr>
      <w:bookmarkStart w:id="200" w:name="_Toc32422"/>
      <w:bookmarkStart w:id="201" w:name="_Toc11314"/>
      <w:r>
        <w:rPr>
          <w:rFonts w:hint="default" w:ascii="Times New Roman" w:hAnsi="Times New Roman" w:cs="Times New Roman" w:eastAsiaTheme="minorEastAsia"/>
          <w:snapToGrid w:val="0"/>
          <w:kern w:val="0"/>
          <w:sz w:val="28"/>
          <w:szCs w:val="28"/>
          <w:lang w:val="en-US" w:eastAsia="zh-CN"/>
        </w:rPr>
        <w:t>4.</w:t>
      </w:r>
      <w:r>
        <w:rPr>
          <w:rFonts w:hint="eastAsia" w:ascii="Times New Roman" w:hAnsi="Times New Roman" w:cs="Times New Roman"/>
          <w:snapToGrid w:val="0"/>
          <w:kern w:val="0"/>
          <w:sz w:val="28"/>
          <w:szCs w:val="28"/>
          <w:lang w:val="en-US" w:eastAsia="zh-CN"/>
        </w:rPr>
        <w:t>4</w:t>
      </w:r>
      <w:r>
        <w:rPr>
          <w:rFonts w:hint="default" w:ascii="Times New Roman" w:hAnsi="Times New Roman" w:cs="Times New Roman" w:eastAsiaTheme="minorEastAsia"/>
          <w:snapToGrid w:val="0"/>
          <w:kern w:val="0"/>
          <w:sz w:val="28"/>
          <w:szCs w:val="28"/>
          <w:lang w:val="en-US" w:eastAsia="zh-CN"/>
        </w:rPr>
        <w:t>区域污染源调查</w:t>
      </w:r>
      <w:bookmarkEnd w:id="200"/>
      <w:bookmarkEnd w:id="201"/>
    </w:p>
    <w:p w14:paraId="78A2FD3F">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根据现场调查，</w:t>
      </w:r>
      <w:r>
        <w:rPr>
          <w:rFonts w:hint="eastAsia" w:ascii="Times New Roman" w:hAnsi="Times New Roman" w:cs="Times New Roman" w:eastAsiaTheme="minorEastAsia"/>
          <w:sz w:val="24"/>
          <w:lang w:val="en-US" w:eastAsia="zh-CN"/>
        </w:rPr>
        <w:t>评级范围内拟建、在建项目包括：新疆五胜新启废旧机动车拆解一体化项目、莎车县恒昌冶炼有限公司年产5</w:t>
      </w:r>
      <w:r>
        <w:rPr>
          <w:rFonts w:hint="default" w:ascii="Times New Roman" w:hAnsi="Times New Roman" w:cs="Times New Roman" w:eastAsiaTheme="minorEastAsia"/>
          <w:sz w:val="24"/>
          <w:lang w:val="en-US" w:eastAsia="zh-CN"/>
        </w:rPr>
        <w:t>.5</w:t>
      </w:r>
      <w:r>
        <w:rPr>
          <w:rFonts w:hint="eastAsia" w:ascii="Times New Roman" w:hAnsi="Times New Roman" w:cs="Times New Roman" w:eastAsiaTheme="minorEastAsia"/>
          <w:sz w:val="24"/>
          <w:lang w:val="en-US" w:eastAsia="zh-CN"/>
        </w:rPr>
        <w:t>万吨电铅富氧底吹熔炼技术升级改造项目、</w:t>
      </w:r>
      <w:r>
        <w:rPr>
          <w:rFonts w:hint="default" w:ascii="Times New Roman" w:hAnsi="Times New Roman" w:cs="Times New Roman" w:eastAsiaTheme="minorEastAsia"/>
          <w:sz w:val="24"/>
          <w:lang w:val="en-US" w:eastAsia="zh-CN"/>
        </w:rPr>
        <w:t>莎车县恒丰锌业有限公司年产10万吨锌资源综合利用</w:t>
      </w:r>
      <w:r>
        <w:rPr>
          <w:rFonts w:hint="eastAsia" w:ascii="Times New Roman" w:hAnsi="Times New Roman" w:cs="Times New Roman" w:eastAsiaTheme="minorEastAsia"/>
          <w:sz w:val="24"/>
          <w:lang w:val="en-US" w:eastAsia="zh-CN"/>
        </w:rPr>
        <w:t>项目、新疆万宇环保科技年处理16万吨含锌氧化矿石项目。拟建、在建项目点源污染源参数见表5.2-10</w:t>
      </w:r>
      <w:r>
        <w:rPr>
          <w:rFonts w:hint="default" w:ascii="Times New Roman" w:hAnsi="Times New Roman" w:cs="Times New Roman" w:eastAsiaTheme="minorEastAsia"/>
          <w:sz w:val="24"/>
          <w:lang w:val="en-US" w:eastAsia="zh-CN"/>
        </w:rPr>
        <w:t>。</w:t>
      </w:r>
    </w:p>
    <w:p w14:paraId="2A68E616">
      <w:pPr>
        <w:spacing w:line="360" w:lineRule="auto"/>
        <w:rPr>
          <w:rFonts w:hint="default" w:ascii="Times New Roman" w:hAnsi="Times New Roman" w:cs="Times New Roman" w:eastAsiaTheme="minorEastAsia"/>
          <w:b/>
          <w:bCs/>
          <w:kern w:val="0"/>
          <w:sz w:val="24"/>
          <w:szCs w:val="24"/>
          <w:lang w:val="en-US" w:eastAsia="zh-CN" w:bidi="ar-SA"/>
        </w:rPr>
      </w:pPr>
      <w:r>
        <w:rPr>
          <w:rFonts w:hint="default" w:ascii="Times New Roman" w:hAnsi="Times New Roman" w:cs="Times New Roman" w:eastAsiaTheme="minorEastAsia"/>
          <w:b/>
          <w:bCs/>
          <w:kern w:val="0"/>
          <w:sz w:val="24"/>
          <w:szCs w:val="24"/>
          <w:lang w:val="en-US" w:eastAsia="zh-CN" w:bidi="ar-SA"/>
        </w:rPr>
        <w:br w:type="page"/>
      </w:r>
    </w:p>
    <w:p w14:paraId="1A9570E3">
      <w:pPr>
        <w:pStyle w:val="2"/>
        <w:keepNext/>
        <w:keepLines/>
        <w:pageBreakBefore/>
        <w:spacing w:before="241" w:beforeLines="50" w:after="241" w:afterLines="50" w:line="560" w:lineRule="exact"/>
        <w:ind w:left="554" w:hanging="555" w:hangingChars="152"/>
        <w:jc w:val="both"/>
        <w:rPr>
          <w:rFonts w:hint="eastAsia" w:ascii="Times New Roman" w:hAnsi="Times New Roman" w:cs="Times New Roman" w:eastAsiaTheme="minorEastAsia"/>
          <w:snapToGrid w:val="0"/>
          <w:spacing w:val="2"/>
          <w:kern w:val="44"/>
          <w:sz w:val="36"/>
          <w:szCs w:val="44"/>
          <w:lang w:val="en-US" w:eastAsia="zh-CN"/>
        </w:rPr>
      </w:pPr>
      <w:bookmarkStart w:id="202" w:name="_Toc13473"/>
      <w:r>
        <w:rPr>
          <w:rFonts w:hint="eastAsia" w:ascii="Times New Roman" w:hAnsi="Times New Roman" w:cs="Times New Roman" w:eastAsiaTheme="minorEastAsia"/>
          <w:snapToGrid w:val="0"/>
          <w:spacing w:val="2"/>
          <w:kern w:val="44"/>
          <w:sz w:val="36"/>
          <w:szCs w:val="44"/>
          <w:lang w:val="en-US" w:eastAsia="zh-CN"/>
        </w:rPr>
        <w:t>5环境影响预测与评价</w:t>
      </w:r>
      <w:bookmarkEnd w:id="202"/>
    </w:p>
    <w:p w14:paraId="6B51E629">
      <w:pPr>
        <w:pStyle w:val="3"/>
        <w:spacing w:before="120" w:after="120" w:line="500" w:lineRule="exact"/>
        <w:ind w:left="375" w:hanging="375" w:firstLineChars="0"/>
        <w:contextualSpacing/>
        <w:rPr>
          <w:rFonts w:hint="eastAsia" w:ascii="Times New Roman" w:hAnsi="Times New Roman" w:cs="Times New Roman" w:eastAsiaTheme="minorEastAsia"/>
          <w:snapToGrid w:val="0"/>
          <w:kern w:val="0"/>
          <w:sz w:val="28"/>
          <w:szCs w:val="28"/>
          <w:lang w:val="en-US" w:eastAsia="zh-CN"/>
        </w:rPr>
      </w:pPr>
      <w:bookmarkStart w:id="203" w:name="_Toc26273"/>
      <w:r>
        <w:rPr>
          <w:rFonts w:hint="eastAsia" w:ascii="Times New Roman" w:hAnsi="Times New Roman" w:cs="Times New Roman" w:eastAsiaTheme="minorEastAsia"/>
          <w:snapToGrid w:val="0"/>
          <w:kern w:val="0"/>
          <w:sz w:val="28"/>
          <w:szCs w:val="28"/>
          <w:lang w:val="en-US" w:eastAsia="zh-CN"/>
        </w:rPr>
        <w:t>5.1施工期环境影响预测与评价</w:t>
      </w:r>
      <w:bookmarkEnd w:id="203"/>
    </w:p>
    <w:p w14:paraId="497889B9">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204" w:name="_Toc5224"/>
      <w:r>
        <w:rPr>
          <w:rFonts w:hint="eastAsia" w:ascii="Times New Roman" w:hAnsi="Times New Roman" w:cs="Times New Roman" w:eastAsiaTheme="minorEastAsia"/>
          <w:kern w:val="0"/>
          <w:sz w:val="24"/>
          <w:szCs w:val="24"/>
          <w:lang w:val="en-US" w:eastAsia="zh-CN"/>
        </w:rPr>
        <w:t>5.1.1大气环境影响分析</w:t>
      </w:r>
      <w:bookmarkEnd w:id="204"/>
    </w:p>
    <w:p w14:paraId="4CC52EDF">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本项目施工期的大气污染物主要有施工扬尘、机械尾气、焊接烟尘和装修废气。</w:t>
      </w:r>
    </w:p>
    <w:p w14:paraId="3386EDDB">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1、施工扬尘</w:t>
      </w:r>
    </w:p>
    <w:p w14:paraId="66164EAF">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本项目设备安装施工作业以及运输过程中会产生扬尘，主要特征污染物为</w:t>
      </w:r>
      <w:r>
        <w:rPr>
          <w:rFonts w:hint="default" w:ascii="Times New Roman" w:hAnsi="Times New Roman" w:cs="Times New Roman" w:eastAsiaTheme="minorEastAsia"/>
          <w:sz w:val="24"/>
          <w:lang w:val="en-US" w:eastAsia="zh-CN"/>
        </w:rPr>
        <w:t>TSP</w:t>
      </w:r>
      <w:r>
        <w:rPr>
          <w:rFonts w:hint="eastAsia" w:ascii="Times New Roman" w:hAnsi="Times New Roman" w:cs="Times New Roman" w:eastAsiaTheme="minorEastAsia"/>
          <w:sz w:val="24"/>
          <w:lang w:val="en-US" w:eastAsia="zh-CN"/>
        </w:rPr>
        <w:t>。本项目施工期没有场地和土石方施工，只有设备安装施工，因此施工扬尘的影响较小。</w:t>
      </w:r>
    </w:p>
    <w:p w14:paraId="0D9F465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本项目施工扬尘的控制必须严格按照《新疆维吾尔自治区大气污染防治条例》和《建筑工程施工现场扬尘污染防治标准》（</w:t>
      </w:r>
      <w:r>
        <w:rPr>
          <w:rFonts w:hint="default" w:ascii="Times New Roman" w:hAnsi="Times New Roman" w:cs="Times New Roman" w:eastAsiaTheme="minorEastAsia"/>
          <w:sz w:val="24"/>
          <w:lang w:val="en-US" w:eastAsia="zh-CN"/>
        </w:rPr>
        <w:t>XJJ119-2020</w:t>
      </w:r>
      <w:r>
        <w:rPr>
          <w:rFonts w:hint="eastAsia" w:ascii="Times New Roman" w:hAnsi="Times New Roman" w:cs="Times New Roman" w:eastAsiaTheme="minorEastAsia"/>
          <w:sz w:val="24"/>
          <w:lang w:val="en-US" w:eastAsia="zh-CN"/>
        </w:rPr>
        <w:t>）中对施工工地扬尘污染的相关整治措施要求，做好扬尘防护工作。</w:t>
      </w:r>
    </w:p>
    <w:p w14:paraId="51A3F765">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本项目拟采取如下施工扬尘的控制措施，以减少扬尘的产生量。</w:t>
      </w:r>
    </w:p>
    <w:p w14:paraId="4701D8A0">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1</w:t>
      </w:r>
      <w:r>
        <w:rPr>
          <w:rFonts w:hint="eastAsia" w:ascii="Times New Roman" w:hAnsi="Times New Roman" w:cs="Times New Roman" w:eastAsiaTheme="minorEastAsia"/>
          <w:sz w:val="24"/>
          <w:lang w:val="en-US" w:eastAsia="zh-CN"/>
        </w:rPr>
        <w:t>）施工现场的主要出入口外侧醒目位置应设置扬尘污染防治公示标牌，公示扬尘污染防治措施、负责人、扬尘监督主管部门、扬尘污染监督举报电话等有关信息，接受社会监督。</w:t>
      </w:r>
    </w:p>
    <w:p w14:paraId="45B2769B">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2</w:t>
      </w:r>
      <w:r>
        <w:rPr>
          <w:rFonts w:hint="eastAsia" w:ascii="Times New Roman" w:hAnsi="Times New Roman" w:cs="Times New Roman" w:eastAsiaTheme="minorEastAsia"/>
          <w:sz w:val="24"/>
          <w:lang w:val="en-US" w:eastAsia="zh-CN"/>
        </w:rPr>
        <w:t>）施工现场的物料应分类堆放、整齐有序，并设置标识标牌，严禁在现场围挡外堆放物料。</w:t>
      </w:r>
    </w:p>
    <w:p w14:paraId="077A1694">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3</w:t>
      </w:r>
      <w:r>
        <w:rPr>
          <w:rFonts w:hint="eastAsia" w:ascii="Times New Roman" w:hAnsi="Times New Roman" w:cs="Times New Roman" w:eastAsiaTheme="minorEastAsia"/>
          <w:sz w:val="24"/>
          <w:lang w:val="en-US" w:eastAsia="zh-CN"/>
        </w:rPr>
        <w:t>）施工现场装卸、搬运易扬尘材料应采取抑尘措施，不得凌空抛掷或抛撒，施工余料应及时回收保管。</w:t>
      </w:r>
    </w:p>
    <w:p w14:paraId="352DBF78">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4</w:t>
      </w:r>
      <w:r>
        <w:rPr>
          <w:rFonts w:hint="eastAsia" w:ascii="Times New Roman" w:hAnsi="Times New Roman" w:cs="Times New Roman" w:eastAsiaTheme="minorEastAsia"/>
          <w:sz w:val="24"/>
          <w:lang w:val="en-US" w:eastAsia="zh-CN"/>
        </w:rPr>
        <w:t>）施工工程中产生的建筑垃圾，应及时清运。若在工地内堆置超过一周的，则应采取覆盖防尘布、防尘网，定期喷水压尘等措施，防止风蚀起尘及水蚀迁移。</w:t>
      </w:r>
    </w:p>
    <w:p w14:paraId="26F908ED">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采取以上措施，本项目施工期的施工扬尘对周围环境的影响很小。</w:t>
      </w:r>
    </w:p>
    <w:p w14:paraId="2BABAA40">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2</w:t>
      </w:r>
      <w:r>
        <w:rPr>
          <w:rFonts w:hint="eastAsia" w:ascii="Times New Roman" w:hAnsi="Times New Roman" w:cs="Times New Roman" w:eastAsiaTheme="minorEastAsia"/>
          <w:sz w:val="24"/>
          <w:lang w:val="en-US" w:eastAsia="zh-CN"/>
        </w:rPr>
        <w:t>、机械尾气</w:t>
      </w:r>
    </w:p>
    <w:p w14:paraId="23DB31CA">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项目施工期各类燃油施工机械和运输车辆产生的废气，主要特征污染物为</w:t>
      </w:r>
      <w:r>
        <w:rPr>
          <w:rFonts w:hint="default" w:ascii="Times New Roman" w:hAnsi="Times New Roman" w:cs="Times New Roman" w:eastAsiaTheme="minorEastAsia"/>
          <w:sz w:val="24"/>
          <w:lang w:val="en-US" w:eastAsia="zh-CN"/>
        </w:rPr>
        <w:t>CO</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NOx</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THC</w:t>
      </w:r>
      <w:r>
        <w:rPr>
          <w:rFonts w:hint="eastAsia" w:ascii="Times New Roman" w:hAnsi="Times New Roman" w:cs="Times New Roman" w:eastAsiaTheme="minorEastAsia"/>
          <w:sz w:val="24"/>
          <w:lang w:val="en-US" w:eastAsia="zh-CN"/>
        </w:rPr>
        <w:t>（烃类）。</w:t>
      </w:r>
    </w:p>
    <w:p w14:paraId="77B7DACA">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治理措施：项目机械尾气排放形式属于无组织排放，本环评建议施工方采用性能可靠、尾气排放达标的工程机械和优质燃料，动力机械多选择使用电动工具，加强汽车运输的合理调配和维护等措施后，机械尾气对周围环境影响不大。</w:t>
      </w:r>
    </w:p>
    <w:p w14:paraId="4EC376C1">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3</w:t>
      </w:r>
      <w:r>
        <w:rPr>
          <w:rFonts w:hint="eastAsia" w:ascii="Times New Roman" w:hAnsi="Times New Roman" w:cs="Times New Roman" w:eastAsiaTheme="minorEastAsia"/>
          <w:sz w:val="24"/>
          <w:lang w:val="en-US" w:eastAsia="zh-CN"/>
        </w:rPr>
        <w:t>、焊接烟尘</w:t>
      </w:r>
    </w:p>
    <w:p w14:paraId="779D0624">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本项目施工过程中会使用焊机对设备排气管进行焊接，焊接电弧的温度高达</w:t>
      </w:r>
      <w:r>
        <w:rPr>
          <w:rFonts w:hint="default" w:ascii="Times New Roman" w:hAnsi="Times New Roman" w:cs="Times New Roman" w:eastAsiaTheme="minorEastAsia"/>
          <w:sz w:val="24"/>
          <w:lang w:val="en-US" w:eastAsia="zh-CN"/>
        </w:rPr>
        <w:t>3000</w:t>
      </w:r>
      <w:r>
        <w:rPr>
          <w:rFonts w:hint="eastAsia" w:ascii="Times New Roman" w:hAnsi="Times New Roman" w:cs="Times New Roman" w:eastAsiaTheme="minorEastAsia"/>
          <w:sz w:val="24"/>
          <w:lang w:val="en-US" w:eastAsia="zh-CN"/>
        </w:rPr>
        <w:t>℃以上，电弧中心的温度甚至高于</w:t>
      </w:r>
      <w:r>
        <w:rPr>
          <w:rFonts w:hint="default" w:ascii="Times New Roman" w:hAnsi="Times New Roman" w:cs="Times New Roman" w:eastAsiaTheme="minorEastAsia"/>
          <w:sz w:val="24"/>
          <w:lang w:val="en-US" w:eastAsia="zh-CN"/>
        </w:rPr>
        <w:t>6000</w:t>
      </w:r>
      <w:r>
        <w:rPr>
          <w:rFonts w:hint="eastAsia" w:ascii="Times New Roman" w:hAnsi="Times New Roman" w:cs="Times New Roman" w:eastAsiaTheme="minorEastAsia"/>
          <w:sz w:val="24"/>
          <w:lang w:val="en-US" w:eastAsia="zh-CN"/>
        </w:rPr>
        <w:t>℃，被焊接材料和焊接材料熔融时会产生大量的蒸汽，这些蒸汽在空气中迅速氧化和冷凝，从而形成金属及其化合物的颗粒，即焊接烟尘；焊接烟尘主要成分为</w:t>
      </w:r>
      <w:r>
        <w:rPr>
          <w:rFonts w:hint="default" w:ascii="Times New Roman" w:hAnsi="Times New Roman" w:cs="Times New Roman" w:eastAsiaTheme="minorEastAsia"/>
          <w:sz w:val="24"/>
          <w:lang w:val="en-US" w:eastAsia="zh-CN"/>
        </w:rPr>
        <w:t>Fe</w:t>
      </w:r>
      <w:r>
        <w:rPr>
          <w:rFonts w:hint="default" w:ascii="Times New Roman" w:hAnsi="Times New Roman" w:cs="Times New Roman" w:eastAsiaTheme="minorEastAsia"/>
          <w:sz w:val="24"/>
          <w:vertAlign w:val="subscript"/>
          <w:lang w:val="en-US" w:eastAsia="zh-CN"/>
        </w:rPr>
        <w:t>2</w:t>
      </w:r>
      <w:r>
        <w:rPr>
          <w:rFonts w:hint="eastAsia" w:ascii="Times New Roman" w:hAnsi="Times New Roman" w:cs="Times New Roman" w:eastAsiaTheme="minorEastAsia"/>
          <w:sz w:val="24"/>
          <w:lang w:val="en-US" w:eastAsia="zh-CN"/>
        </w:rPr>
        <w:t>O</w:t>
      </w:r>
      <w:r>
        <w:rPr>
          <w:rFonts w:hint="default" w:ascii="Times New Roman" w:hAnsi="Times New Roman" w:cs="Times New Roman" w:eastAsiaTheme="minorEastAsia"/>
          <w:sz w:val="24"/>
          <w:vertAlign w:val="subscript"/>
          <w:lang w:val="en-US" w:eastAsia="zh-CN"/>
        </w:rPr>
        <w:t>3</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SiO</w:t>
      </w:r>
      <w:r>
        <w:rPr>
          <w:rFonts w:hint="default" w:ascii="Times New Roman" w:hAnsi="Times New Roman" w:cs="Times New Roman" w:eastAsiaTheme="minorEastAsia"/>
          <w:sz w:val="24"/>
          <w:vertAlign w:val="subscript"/>
          <w:lang w:val="en-US" w:eastAsia="zh-CN"/>
        </w:rPr>
        <w:t>2</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MnO</w:t>
      </w:r>
      <w:r>
        <w:rPr>
          <w:rFonts w:hint="default" w:ascii="Times New Roman" w:hAnsi="Times New Roman" w:cs="Times New Roman" w:eastAsiaTheme="minorEastAsia"/>
          <w:sz w:val="24"/>
          <w:vertAlign w:val="subscript"/>
          <w:lang w:val="en-US" w:eastAsia="zh-CN"/>
        </w:rPr>
        <w:t>2</w:t>
      </w:r>
      <w:r>
        <w:rPr>
          <w:rFonts w:hint="eastAsia" w:ascii="Times New Roman" w:hAnsi="Times New Roman" w:cs="Times New Roman" w:eastAsiaTheme="minorEastAsia"/>
          <w:sz w:val="24"/>
          <w:lang w:val="en-US" w:eastAsia="zh-CN"/>
        </w:rPr>
        <w:t>，毒性较小，尘粒极细小（直径</w:t>
      </w:r>
      <w:r>
        <w:rPr>
          <w:rFonts w:hint="default" w:ascii="Times New Roman" w:hAnsi="Times New Roman" w:cs="Times New Roman" w:eastAsiaTheme="minorEastAsia"/>
          <w:sz w:val="24"/>
          <w:lang w:val="en-US" w:eastAsia="zh-CN"/>
        </w:rPr>
        <w:t>5um</w:t>
      </w:r>
      <w:r>
        <w:rPr>
          <w:rFonts w:hint="eastAsia" w:ascii="Times New Roman" w:hAnsi="Times New Roman" w:cs="Times New Roman" w:eastAsiaTheme="minorEastAsia"/>
          <w:sz w:val="24"/>
          <w:lang w:val="en-US" w:eastAsia="zh-CN"/>
        </w:rPr>
        <w:t>以下）。本项目施工过程中产生的焊接烟尘浓度及产生量均较小，经过自然扩散后对周边环境影响较小。</w:t>
      </w:r>
    </w:p>
    <w:p w14:paraId="28D65B70">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4</w:t>
      </w:r>
      <w:r>
        <w:rPr>
          <w:rFonts w:hint="eastAsia" w:ascii="Times New Roman" w:hAnsi="Times New Roman" w:cs="Times New Roman" w:eastAsiaTheme="minorEastAsia"/>
          <w:sz w:val="24"/>
          <w:lang w:val="en-US" w:eastAsia="zh-CN"/>
        </w:rPr>
        <w:t>、装修废气</w:t>
      </w:r>
    </w:p>
    <w:p w14:paraId="540D05FA">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装修废气主要产生于室内外装修阶段，其排放周期短，作业点分散，加强室内的通风换气，对周围环境的影响不大。</w:t>
      </w:r>
    </w:p>
    <w:p w14:paraId="48175A64">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治理措施：装修废气主要来源于施工中油漆、涂料中有机溶剂的挥发，项目拟采取以下控制措施：</w:t>
      </w:r>
    </w:p>
    <w:p w14:paraId="6CD5F284">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1</w:t>
      </w:r>
      <w:r>
        <w:rPr>
          <w:rFonts w:hint="eastAsia" w:ascii="Times New Roman" w:hAnsi="Times New Roman" w:cs="Times New Roman" w:eastAsiaTheme="minorEastAsia"/>
          <w:sz w:val="24"/>
          <w:lang w:val="en-US" w:eastAsia="zh-CN"/>
        </w:rPr>
        <w:t>）采用质量好，国家有关部门检验合格，有毒有害物质含量少的环保涂料产品。</w:t>
      </w:r>
    </w:p>
    <w:p w14:paraId="6E0FF6A8">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2</w:t>
      </w:r>
      <w:r>
        <w:rPr>
          <w:rFonts w:hint="eastAsia" w:ascii="Times New Roman" w:hAnsi="Times New Roman" w:cs="Times New Roman" w:eastAsiaTheme="minorEastAsia"/>
          <w:sz w:val="24"/>
          <w:lang w:val="en-US" w:eastAsia="zh-CN"/>
        </w:rPr>
        <w:t>）加强施工管理，最大限度地防止跑、冒、滴、漏现象发生，减少原料浪费带来的废气排放。</w:t>
      </w:r>
    </w:p>
    <w:p w14:paraId="3C38E32A">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3</w:t>
      </w:r>
      <w:r>
        <w:rPr>
          <w:rFonts w:hint="eastAsia" w:ascii="Times New Roman" w:hAnsi="Times New Roman" w:cs="Times New Roman" w:eastAsiaTheme="minorEastAsia"/>
          <w:sz w:val="24"/>
          <w:lang w:val="en-US" w:eastAsia="zh-CN"/>
        </w:rPr>
        <w:t>）施工作业空间加强通风，保证空气流通，降低废气污染物浓度；装修完毕后，建议保持室内通风，并空置一段时间后再开始投入使用。</w:t>
      </w:r>
    </w:p>
    <w:p w14:paraId="0E88FCFD">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综上所述，本项目施工期在严格落实本报告中提出大气污染防治措施后，施工期大气污染物可以实现达标排放，施工期对大气环境的影响甚微，其对环境影响也随着施工期的结束而结束。</w:t>
      </w:r>
    </w:p>
    <w:p w14:paraId="6247973D">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205" w:name="_Toc3758"/>
      <w:r>
        <w:rPr>
          <w:rFonts w:hint="eastAsia" w:ascii="Times New Roman" w:hAnsi="Times New Roman" w:cs="Times New Roman" w:eastAsiaTheme="minorEastAsia"/>
          <w:kern w:val="0"/>
          <w:sz w:val="24"/>
          <w:szCs w:val="24"/>
          <w:lang w:val="en-US" w:eastAsia="zh-CN"/>
        </w:rPr>
        <w:t>5.1.2水环境影响分析</w:t>
      </w:r>
      <w:bookmarkEnd w:id="205"/>
    </w:p>
    <w:p w14:paraId="68F263E1">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施工期废水</w:t>
      </w:r>
      <w:r>
        <w:rPr>
          <w:rFonts w:hint="eastAsia" w:ascii="Times New Roman" w:hAnsi="Times New Roman" w:cs="Times New Roman" w:eastAsiaTheme="minorEastAsia"/>
          <w:sz w:val="24"/>
          <w:lang w:val="en-US" w:eastAsia="zh-CN"/>
        </w:rPr>
        <w:t>主要</w:t>
      </w:r>
      <w:r>
        <w:rPr>
          <w:rFonts w:hint="default" w:ascii="Times New Roman" w:hAnsi="Times New Roman" w:cs="Times New Roman" w:eastAsiaTheme="minorEastAsia"/>
          <w:sz w:val="24"/>
          <w:lang w:val="en-US" w:eastAsia="zh-CN"/>
        </w:rPr>
        <w:t>来自施工废水及施工人员的生活污水。施工废水包括机械设备</w:t>
      </w:r>
      <w:r>
        <w:rPr>
          <w:rFonts w:hint="eastAsia" w:ascii="Times New Roman" w:hAnsi="Times New Roman" w:cs="Times New Roman" w:eastAsiaTheme="minorEastAsia"/>
          <w:sz w:val="24"/>
          <w:lang w:val="en-US" w:eastAsia="zh-CN"/>
        </w:rPr>
        <w:t>清洗废</w:t>
      </w:r>
      <w:r>
        <w:rPr>
          <w:rFonts w:hint="default" w:ascii="Times New Roman" w:hAnsi="Times New Roman" w:cs="Times New Roman" w:eastAsiaTheme="minorEastAsia"/>
          <w:sz w:val="24"/>
          <w:lang w:val="en-US" w:eastAsia="zh-CN"/>
        </w:rPr>
        <w:t>水；生活污水包括施工人员的</w:t>
      </w:r>
      <w:r>
        <w:rPr>
          <w:rFonts w:hint="eastAsia" w:ascii="Times New Roman" w:hAnsi="Times New Roman" w:cs="Times New Roman" w:eastAsiaTheme="minorEastAsia"/>
          <w:sz w:val="24"/>
          <w:lang w:val="en-US" w:eastAsia="zh-CN"/>
        </w:rPr>
        <w:t>生活污水</w:t>
      </w:r>
      <w:r>
        <w:rPr>
          <w:rFonts w:hint="default" w:ascii="Times New Roman" w:hAnsi="Times New Roman" w:cs="Times New Roman" w:eastAsiaTheme="minorEastAsia"/>
          <w:sz w:val="24"/>
          <w:lang w:val="en-US" w:eastAsia="zh-CN"/>
        </w:rPr>
        <w:t>等。</w:t>
      </w:r>
    </w:p>
    <w:p w14:paraId="32AC15C0">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w:t>
      </w:r>
      <w:r>
        <w:rPr>
          <w:rFonts w:hint="default" w:ascii="Times New Roman" w:hAnsi="Times New Roman" w:cs="Times New Roman" w:eastAsiaTheme="minorEastAsia"/>
          <w:sz w:val="24"/>
          <w:lang w:val="en-US" w:eastAsia="zh-CN"/>
        </w:rPr>
        <w:t xml:space="preserve"> 施工废水</w:t>
      </w:r>
    </w:p>
    <w:p w14:paraId="2381A41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施工期生产废水主要来自各种车辆冲洗水。且一般情况下，只有极少量的溢水外排。施工过程中加强对施工人员的管理和培养节水意识，施工期产生的少量施工废水排入临时沉淀池，沉淀后洒水降尘，则施工期施工废水对周围环境影响较小。</w:t>
      </w:r>
    </w:p>
    <w:p w14:paraId="194CC23F">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（2）</w:t>
      </w:r>
      <w:r>
        <w:rPr>
          <w:rFonts w:hint="default" w:ascii="Times New Roman" w:hAnsi="Times New Roman" w:cs="Times New Roman" w:eastAsiaTheme="minorEastAsia"/>
          <w:sz w:val="24"/>
          <w:lang w:val="en-US" w:eastAsia="zh-CN"/>
        </w:rPr>
        <w:t xml:space="preserve"> 生活污水</w:t>
      </w:r>
    </w:p>
    <w:p w14:paraId="07EDDFA6">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项目施工过程中产生的生活污水主要污染物为COD、BOD</w:t>
      </w:r>
      <w:r>
        <w:rPr>
          <w:rFonts w:hint="default" w:ascii="Times New Roman" w:hAnsi="Times New Roman" w:cs="Times New Roman" w:eastAsiaTheme="minorEastAsia"/>
          <w:sz w:val="24"/>
          <w:vertAlign w:val="subscript"/>
          <w:lang w:val="en-US" w:eastAsia="zh-CN"/>
        </w:rPr>
        <w:t>5</w:t>
      </w:r>
      <w:r>
        <w:rPr>
          <w:rFonts w:hint="default" w:ascii="Times New Roman" w:hAnsi="Times New Roman" w:cs="Times New Roman" w:eastAsiaTheme="minorEastAsia"/>
          <w:sz w:val="24"/>
          <w:lang w:val="en-US" w:eastAsia="zh-CN"/>
        </w:rPr>
        <w:t>、SS和氨氮等，由于本项目工程量不大，施工周期短，生活污水产生量很少，生活污水依托现有</w:t>
      </w:r>
      <w:r>
        <w:rPr>
          <w:rFonts w:hint="eastAsia" w:ascii="Times New Roman" w:hAnsi="Times New Roman" w:cs="Times New Roman" w:eastAsiaTheme="minorEastAsia"/>
          <w:sz w:val="24"/>
          <w:lang w:val="en-US" w:eastAsia="zh-CN"/>
        </w:rPr>
        <w:t>化粪池收集后，经园区下水管网排入园区污水处理厂处置</w:t>
      </w:r>
      <w:r>
        <w:rPr>
          <w:rFonts w:hint="default" w:ascii="Times New Roman" w:hAnsi="Times New Roman" w:cs="Times New Roman" w:eastAsiaTheme="minorEastAsia"/>
          <w:sz w:val="24"/>
          <w:lang w:val="en-US" w:eastAsia="zh-CN"/>
        </w:rPr>
        <w:t>，不会对周围地表水环境产生明显不利影响。</w:t>
      </w:r>
    </w:p>
    <w:p w14:paraId="7DCC48D5">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206" w:name="_Toc26684"/>
      <w:r>
        <w:rPr>
          <w:rFonts w:hint="eastAsia" w:ascii="Times New Roman" w:hAnsi="Times New Roman" w:cs="Times New Roman" w:eastAsiaTheme="minorEastAsia"/>
          <w:kern w:val="0"/>
          <w:sz w:val="24"/>
          <w:szCs w:val="24"/>
          <w:lang w:val="en-US" w:eastAsia="zh-CN"/>
        </w:rPr>
        <w:t>5.1.3声环境影响分析</w:t>
      </w:r>
      <w:bookmarkEnd w:id="206"/>
    </w:p>
    <w:p w14:paraId="7339E7C4">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噪声将是施工期的主要污染因子，施工过程中使用的运输车辆及施工机械设备如手工钻、角向磨光机、切割机、电焊机等都是噪声的产生源。现场施工机械设备噪声很高，而且实际施工过程中，往往是多种机械同时工作，各种噪声源辐射的相互叠加，噪声级将更高，辐射范围亦更大。各类施工机械的噪声源强见表</w:t>
      </w:r>
      <w:r>
        <w:rPr>
          <w:rFonts w:hint="default" w:ascii="Times New Roman" w:hAnsi="Times New Roman" w:cs="Times New Roman" w:eastAsiaTheme="minorEastAsia"/>
          <w:sz w:val="24"/>
          <w:lang w:val="en-US" w:eastAsia="zh-CN"/>
        </w:rPr>
        <w:t>5.1-</w:t>
      </w:r>
      <w:r>
        <w:rPr>
          <w:rFonts w:hint="eastAsia" w:ascii="Times New Roman" w:hAnsi="Times New Roman" w:cs="Times New Roman" w:eastAsiaTheme="minorEastAsia"/>
          <w:sz w:val="24"/>
          <w:lang w:val="en-US" w:eastAsia="zh-CN"/>
        </w:rPr>
        <w:t>1。</w:t>
      </w:r>
    </w:p>
    <w:p w14:paraId="6450C4E4">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表5.1-1  施工机械噪声值一览表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3"/>
        <w:gridCol w:w="3688"/>
        <w:gridCol w:w="2841"/>
      </w:tblGrid>
      <w:tr w14:paraId="38E6B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3" w:type="dxa"/>
            <w:vAlign w:val="center"/>
          </w:tcPr>
          <w:p w14:paraId="1C7D108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施工阶段</w:t>
            </w:r>
          </w:p>
        </w:tc>
        <w:tc>
          <w:tcPr>
            <w:tcW w:w="3688" w:type="dxa"/>
            <w:vAlign w:val="center"/>
          </w:tcPr>
          <w:p w14:paraId="6C0978A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噪声源</w:t>
            </w:r>
          </w:p>
        </w:tc>
        <w:tc>
          <w:tcPr>
            <w:tcW w:w="2841" w:type="dxa"/>
            <w:vAlign w:val="center"/>
          </w:tcPr>
          <w:p w14:paraId="5AD1882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噪声源强dB（A）</w:t>
            </w:r>
          </w:p>
        </w:tc>
      </w:tr>
      <w:tr w14:paraId="70B4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3" w:type="dxa"/>
            <w:vMerge w:val="restart"/>
            <w:vAlign w:val="center"/>
          </w:tcPr>
          <w:p w14:paraId="08564A7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安装阶段</w:t>
            </w:r>
          </w:p>
        </w:tc>
        <w:tc>
          <w:tcPr>
            <w:tcW w:w="3688" w:type="dxa"/>
            <w:vAlign w:val="center"/>
          </w:tcPr>
          <w:p w14:paraId="7ECA412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手工钻</w:t>
            </w:r>
          </w:p>
        </w:tc>
        <w:tc>
          <w:tcPr>
            <w:tcW w:w="2841" w:type="dxa"/>
            <w:vAlign w:val="center"/>
          </w:tcPr>
          <w:p w14:paraId="75C5DD2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80</w:t>
            </w:r>
          </w:p>
        </w:tc>
      </w:tr>
      <w:tr w14:paraId="12493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3" w:type="dxa"/>
            <w:vMerge w:val="continue"/>
            <w:vAlign w:val="center"/>
          </w:tcPr>
          <w:p w14:paraId="7CF93B9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688" w:type="dxa"/>
            <w:vAlign w:val="center"/>
          </w:tcPr>
          <w:p w14:paraId="4CA9371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角向磨光机</w:t>
            </w:r>
          </w:p>
        </w:tc>
        <w:tc>
          <w:tcPr>
            <w:tcW w:w="2841" w:type="dxa"/>
            <w:vAlign w:val="center"/>
          </w:tcPr>
          <w:p w14:paraId="43008FF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100</w:t>
            </w:r>
          </w:p>
        </w:tc>
      </w:tr>
      <w:tr w14:paraId="75BF4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3" w:type="dxa"/>
            <w:vMerge w:val="continue"/>
            <w:vAlign w:val="center"/>
          </w:tcPr>
          <w:p w14:paraId="090A05B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688" w:type="dxa"/>
            <w:vAlign w:val="center"/>
          </w:tcPr>
          <w:p w14:paraId="0F08561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切割机</w:t>
            </w:r>
          </w:p>
        </w:tc>
        <w:tc>
          <w:tcPr>
            <w:tcW w:w="2841" w:type="dxa"/>
            <w:vAlign w:val="center"/>
          </w:tcPr>
          <w:p w14:paraId="5B8477C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100</w:t>
            </w:r>
          </w:p>
        </w:tc>
      </w:tr>
      <w:tr w14:paraId="6233A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93" w:type="dxa"/>
            <w:vMerge w:val="continue"/>
            <w:vAlign w:val="center"/>
          </w:tcPr>
          <w:p w14:paraId="65A311D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688" w:type="dxa"/>
            <w:vAlign w:val="center"/>
          </w:tcPr>
          <w:p w14:paraId="6DBD2D0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电焊机</w:t>
            </w:r>
          </w:p>
        </w:tc>
        <w:tc>
          <w:tcPr>
            <w:tcW w:w="2841" w:type="dxa"/>
            <w:vAlign w:val="center"/>
          </w:tcPr>
          <w:p w14:paraId="538042D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70</w:t>
            </w:r>
          </w:p>
        </w:tc>
      </w:tr>
    </w:tbl>
    <w:p w14:paraId="19A408F4">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施工噪声对周围地区声环境的影响，采用《建筑施工噪声排放标准》</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GB 12523-2025</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〔昼间</w:t>
      </w:r>
      <w:r>
        <w:rPr>
          <w:rFonts w:hint="default" w:ascii="Times New Roman" w:hAnsi="Times New Roman" w:cs="Times New Roman" w:eastAsiaTheme="minorEastAsia"/>
          <w:sz w:val="24"/>
          <w:highlight w:val="none"/>
          <w:lang w:val="en-US" w:eastAsia="zh-CN"/>
        </w:rPr>
        <w:t>70dB</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A</w:t>
      </w:r>
      <w:r>
        <w:rPr>
          <w:rFonts w:hint="eastAsia" w:ascii="Times New Roman" w:hAnsi="Times New Roman" w:cs="Times New Roman" w:eastAsiaTheme="minorEastAsia"/>
          <w:sz w:val="24"/>
          <w:highlight w:val="none"/>
          <w:lang w:val="en-US" w:eastAsia="zh-CN"/>
        </w:rPr>
        <w:t>）、夜间</w:t>
      </w:r>
      <w:r>
        <w:rPr>
          <w:rFonts w:hint="default" w:ascii="Times New Roman" w:hAnsi="Times New Roman" w:cs="Times New Roman" w:eastAsiaTheme="minorEastAsia"/>
          <w:sz w:val="24"/>
          <w:highlight w:val="none"/>
          <w:lang w:val="en-US" w:eastAsia="zh-CN"/>
        </w:rPr>
        <w:t>55dB</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A</w:t>
      </w:r>
      <w:r>
        <w:rPr>
          <w:rFonts w:hint="eastAsia" w:ascii="Times New Roman" w:hAnsi="Times New Roman" w:cs="Times New Roman" w:eastAsiaTheme="minorEastAsia"/>
          <w:sz w:val="24"/>
          <w:highlight w:val="none"/>
          <w:lang w:val="en-US" w:eastAsia="zh-CN"/>
        </w:rPr>
        <w:t>）〕进行评价。</w:t>
      </w:r>
    </w:p>
    <w:p w14:paraId="32832B7D">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由于本项目非特殊工程，不需特殊的施工机械，施工过程中使用的施工机械所产生的噪声主要属于中低频噪声，因此在预测其影响时可只考虑其扩散衰减，预测模型选用：</w:t>
      </w:r>
    </w:p>
    <w:p w14:paraId="76A91765">
      <w:pPr>
        <w:adjustRightInd w:val="0"/>
        <w:snapToGrid w:val="0"/>
        <w:spacing w:line="500" w:lineRule="exact"/>
        <w:ind w:firstLine="480" w:firstLineChars="200"/>
        <w:jc w:val="center"/>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L</w:t>
      </w:r>
      <w:r>
        <w:rPr>
          <w:rFonts w:hint="default" w:ascii="Times New Roman" w:hAnsi="Times New Roman" w:cs="Times New Roman" w:eastAsiaTheme="minorEastAsia"/>
          <w:sz w:val="24"/>
          <w:highlight w:val="none"/>
          <w:vertAlign w:val="subscript"/>
          <w:lang w:val="en-US" w:eastAsia="zh-CN"/>
        </w:rPr>
        <w:t>2</w:t>
      </w:r>
      <w:r>
        <w:rPr>
          <w:rFonts w:hint="default" w:ascii="Times New Roman" w:hAnsi="Times New Roman" w:cs="Times New Roman" w:eastAsiaTheme="minorEastAsia"/>
          <w:sz w:val="24"/>
          <w:highlight w:val="none"/>
          <w:lang w:val="en-US" w:eastAsia="zh-CN"/>
        </w:rPr>
        <w:t>=L</w:t>
      </w:r>
      <w:r>
        <w:rPr>
          <w:rFonts w:hint="default" w:ascii="Times New Roman" w:hAnsi="Times New Roman" w:cs="Times New Roman" w:eastAsiaTheme="minorEastAsia"/>
          <w:sz w:val="24"/>
          <w:highlight w:val="none"/>
          <w:vertAlign w:val="subscript"/>
          <w:lang w:val="en-US" w:eastAsia="zh-CN"/>
        </w:rPr>
        <w:t>1</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20</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lgr</w:t>
      </w:r>
      <w:r>
        <w:rPr>
          <w:rFonts w:hint="default" w:ascii="Times New Roman" w:hAnsi="Times New Roman" w:cs="Times New Roman" w:eastAsiaTheme="minorEastAsia"/>
          <w:sz w:val="24"/>
          <w:highlight w:val="none"/>
          <w:vertAlign w:val="subscript"/>
          <w:lang w:val="en-US" w:eastAsia="zh-CN"/>
        </w:rPr>
        <w:t>2</w:t>
      </w:r>
      <w:r>
        <w:rPr>
          <w:rFonts w:hint="default" w:ascii="Times New Roman" w:hAnsi="Times New Roman" w:cs="Times New Roman" w:eastAsiaTheme="minorEastAsia"/>
          <w:sz w:val="24"/>
          <w:highlight w:val="none"/>
          <w:lang w:val="en-US" w:eastAsia="zh-CN"/>
        </w:rPr>
        <w:t>/r</w:t>
      </w:r>
      <w:r>
        <w:rPr>
          <w:rFonts w:hint="default" w:ascii="Times New Roman" w:hAnsi="Times New Roman" w:cs="Times New Roman" w:eastAsiaTheme="minorEastAsia"/>
          <w:sz w:val="24"/>
          <w:highlight w:val="none"/>
          <w:vertAlign w:val="subscript"/>
          <w:lang w:val="en-US" w:eastAsia="zh-CN"/>
        </w:rPr>
        <w:t>1</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r</w:t>
      </w:r>
      <w:r>
        <w:rPr>
          <w:rFonts w:hint="default" w:ascii="Times New Roman" w:hAnsi="Times New Roman" w:cs="Times New Roman" w:eastAsiaTheme="minorEastAsia"/>
          <w:sz w:val="24"/>
          <w:highlight w:val="none"/>
          <w:vertAlign w:val="subscript"/>
          <w:lang w:val="en-US" w:eastAsia="zh-CN"/>
        </w:rPr>
        <w:t>2</w:t>
      </w:r>
      <w:r>
        <w:rPr>
          <w:rFonts w:hint="default" w:ascii="Times New Roman" w:hAnsi="Times New Roman" w:cs="Times New Roman" w:eastAsiaTheme="minorEastAsia"/>
          <w:sz w:val="24"/>
          <w:highlight w:val="none"/>
          <w:lang w:val="en-US" w:eastAsia="zh-CN"/>
        </w:rPr>
        <w:t>&gt;r</w:t>
      </w:r>
      <w:r>
        <w:rPr>
          <w:rFonts w:hint="default" w:ascii="Times New Roman" w:hAnsi="Times New Roman" w:cs="Times New Roman" w:eastAsiaTheme="minorEastAsia"/>
          <w:sz w:val="24"/>
          <w:highlight w:val="none"/>
          <w:vertAlign w:val="subscript"/>
          <w:lang w:val="en-US" w:eastAsia="zh-CN"/>
        </w:rPr>
        <w:t>1</w:t>
      </w:r>
      <w:r>
        <w:rPr>
          <w:rFonts w:hint="eastAsia" w:ascii="Times New Roman" w:hAnsi="Times New Roman" w:cs="Times New Roman" w:eastAsiaTheme="minorEastAsia"/>
          <w:sz w:val="24"/>
          <w:highlight w:val="none"/>
          <w:lang w:val="en-US" w:eastAsia="zh-CN"/>
        </w:rPr>
        <w:t>）</w:t>
      </w:r>
    </w:p>
    <w:p w14:paraId="739D46C1">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式中：</w:t>
      </w:r>
      <w:r>
        <w:rPr>
          <w:rFonts w:hint="default" w:ascii="Times New Roman" w:hAnsi="Times New Roman" w:cs="Times New Roman" w:eastAsiaTheme="minorEastAsia"/>
          <w:sz w:val="24"/>
          <w:highlight w:val="none"/>
          <w:lang w:val="en-US" w:eastAsia="zh-CN"/>
        </w:rPr>
        <w:t>L</w:t>
      </w:r>
      <w:r>
        <w:rPr>
          <w:rFonts w:hint="default" w:ascii="Times New Roman" w:hAnsi="Times New Roman" w:cs="Times New Roman" w:eastAsiaTheme="minorEastAsia"/>
          <w:sz w:val="24"/>
          <w:highlight w:val="none"/>
          <w:vertAlign w:val="subscript"/>
          <w:lang w:val="en-US" w:eastAsia="zh-CN"/>
        </w:rPr>
        <w:t>1</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L</w:t>
      </w:r>
      <w:r>
        <w:rPr>
          <w:rFonts w:hint="default" w:ascii="Times New Roman" w:hAnsi="Times New Roman" w:cs="Times New Roman" w:eastAsiaTheme="minorEastAsia"/>
          <w:sz w:val="24"/>
          <w:highlight w:val="none"/>
          <w:vertAlign w:val="subscript"/>
          <w:lang w:val="en-US" w:eastAsia="zh-CN"/>
        </w:rPr>
        <w:t>2</w:t>
      </w:r>
      <w:r>
        <w:rPr>
          <w:rFonts w:hint="eastAsia" w:ascii="Times New Roman" w:hAnsi="Times New Roman" w:cs="Times New Roman" w:eastAsiaTheme="minorEastAsia"/>
          <w:sz w:val="24"/>
          <w:highlight w:val="none"/>
          <w:lang w:val="en-US" w:eastAsia="zh-CN"/>
        </w:rPr>
        <w:t>分别为距声源</w:t>
      </w:r>
      <w:r>
        <w:rPr>
          <w:rFonts w:hint="default" w:ascii="Times New Roman" w:hAnsi="Times New Roman" w:cs="Times New Roman" w:eastAsiaTheme="minorEastAsia"/>
          <w:sz w:val="24"/>
          <w:highlight w:val="none"/>
          <w:lang w:val="en-US" w:eastAsia="zh-CN"/>
        </w:rPr>
        <w:t>r</w:t>
      </w:r>
      <w:r>
        <w:rPr>
          <w:rFonts w:hint="default" w:ascii="Times New Roman" w:hAnsi="Times New Roman" w:cs="Times New Roman" w:eastAsiaTheme="minorEastAsia"/>
          <w:sz w:val="24"/>
          <w:highlight w:val="none"/>
          <w:vertAlign w:val="subscript"/>
          <w:lang w:val="en-US" w:eastAsia="zh-CN"/>
        </w:rPr>
        <w:t>1</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r</w:t>
      </w:r>
      <w:r>
        <w:rPr>
          <w:rFonts w:hint="default" w:ascii="Times New Roman" w:hAnsi="Times New Roman" w:cs="Times New Roman" w:eastAsiaTheme="minorEastAsia"/>
          <w:sz w:val="24"/>
          <w:highlight w:val="none"/>
          <w:vertAlign w:val="subscript"/>
          <w:lang w:val="en-US" w:eastAsia="zh-CN"/>
        </w:rPr>
        <w:t>2</w:t>
      </w:r>
      <w:r>
        <w:rPr>
          <w:rFonts w:hint="eastAsia" w:ascii="Times New Roman" w:hAnsi="Times New Roman" w:cs="Times New Roman" w:eastAsiaTheme="minorEastAsia"/>
          <w:sz w:val="24"/>
          <w:highlight w:val="none"/>
          <w:lang w:val="en-US" w:eastAsia="zh-CN"/>
        </w:rPr>
        <w:t>处的等效</w:t>
      </w:r>
      <w:r>
        <w:rPr>
          <w:rFonts w:hint="default" w:ascii="Times New Roman" w:hAnsi="Times New Roman" w:cs="Times New Roman" w:eastAsiaTheme="minorEastAsia"/>
          <w:sz w:val="24"/>
          <w:highlight w:val="none"/>
          <w:lang w:val="en-US" w:eastAsia="zh-CN"/>
        </w:rPr>
        <w:t xml:space="preserve">A </w:t>
      </w:r>
      <w:r>
        <w:rPr>
          <w:rFonts w:hint="eastAsia" w:ascii="Times New Roman" w:hAnsi="Times New Roman" w:cs="Times New Roman" w:eastAsiaTheme="minorEastAsia"/>
          <w:sz w:val="24"/>
          <w:highlight w:val="none"/>
          <w:lang w:val="en-US" w:eastAsia="zh-CN"/>
        </w:rPr>
        <w:t>声级〔</w:t>
      </w:r>
      <w:r>
        <w:rPr>
          <w:rFonts w:hint="default" w:ascii="Times New Roman" w:hAnsi="Times New Roman" w:cs="Times New Roman" w:eastAsiaTheme="minorEastAsia"/>
          <w:sz w:val="24"/>
          <w:highlight w:val="none"/>
          <w:lang w:val="en-US" w:eastAsia="zh-CN"/>
        </w:rPr>
        <w:t>dB</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A</w:t>
      </w:r>
      <w:r>
        <w:rPr>
          <w:rFonts w:hint="eastAsia" w:ascii="Times New Roman" w:hAnsi="Times New Roman" w:cs="Times New Roman" w:eastAsiaTheme="minorEastAsia"/>
          <w:sz w:val="24"/>
          <w:highlight w:val="none"/>
          <w:lang w:val="en-US" w:eastAsia="zh-CN"/>
        </w:rPr>
        <w:t>）〕；</w:t>
      </w:r>
    </w:p>
    <w:p w14:paraId="534C976E">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r</w:t>
      </w:r>
      <w:r>
        <w:rPr>
          <w:rFonts w:hint="default" w:ascii="Times New Roman" w:hAnsi="Times New Roman" w:cs="Times New Roman" w:eastAsiaTheme="minorEastAsia"/>
          <w:sz w:val="24"/>
          <w:highlight w:val="none"/>
          <w:vertAlign w:val="subscript"/>
          <w:lang w:val="en-US" w:eastAsia="zh-CN"/>
        </w:rPr>
        <w:t>1</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r</w:t>
      </w:r>
      <w:r>
        <w:rPr>
          <w:rFonts w:hint="default" w:ascii="Times New Roman" w:hAnsi="Times New Roman" w:cs="Times New Roman" w:eastAsiaTheme="minorEastAsia"/>
          <w:sz w:val="24"/>
          <w:highlight w:val="none"/>
          <w:vertAlign w:val="subscript"/>
          <w:lang w:val="en-US" w:eastAsia="zh-CN"/>
        </w:rPr>
        <w:t>2</w:t>
      </w:r>
      <w:r>
        <w:rPr>
          <w:rFonts w:hint="eastAsia" w:ascii="Times New Roman" w:hAnsi="Times New Roman" w:cs="Times New Roman" w:eastAsiaTheme="minorEastAsia"/>
          <w:sz w:val="24"/>
          <w:highlight w:val="none"/>
          <w:lang w:val="en-US" w:eastAsia="zh-CN"/>
        </w:rPr>
        <w:t>为</w:t>
      </w:r>
      <w:r>
        <w:rPr>
          <w:rFonts w:hint="eastAsia" w:ascii="Times New Roman" w:hAnsi="Times New Roman" w:cs="Times New Roman"/>
          <w:sz w:val="24"/>
          <w:highlight w:val="none"/>
          <w:lang w:val="en-US" w:eastAsia="zh-CN"/>
        </w:rPr>
        <w:t>接收点</w:t>
      </w:r>
      <w:r>
        <w:rPr>
          <w:rFonts w:hint="eastAsia" w:ascii="Times New Roman" w:hAnsi="Times New Roman" w:cs="Times New Roman" w:eastAsiaTheme="minorEastAsia"/>
          <w:sz w:val="24"/>
          <w:highlight w:val="none"/>
          <w:lang w:val="en-US" w:eastAsia="zh-CN"/>
        </w:rPr>
        <w:t>距声源的距离（</w:t>
      </w:r>
      <w:r>
        <w:rPr>
          <w:rFonts w:hint="default" w:ascii="Times New Roman" w:hAnsi="Times New Roman" w:cs="Times New Roman" w:eastAsiaTheme="minorEastAsia"/>
          <w:sz w:val="24"/>
          <w:highlight w:val="none"/>
          <w:lang w:val="en-US" w:eastAsia="zh-CN"/>
        </w:rPr>
        <w:t>m</w:t>
      </w:r>
      <w:r>
        <w:rPr>
          <w:rFonts w:hint="eastAsia" w:ascii="Times New Roman" w:hAnsi="Times New Roman" w:cs="Times New Roman" w:eastAsiaTheme="minorEastAsia"/>
          <w:sz w:val="24"/>
          <w:highlight w:val="none"/>
          <w:lang w:val="en-US" w:eastAsia="zh-CN"/>
        </w:rPr>
        <w:t>）。</w:t>
      </w:r>
    </w:p>
    <w:p w14:paraId="71248386">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当本项目单台机械施工时噪声随距离衰减后的情况如表</w:t>
      </w:r>
      <w:r>
        <w:rPr>
          <w:rFonts w:hint="default" w:ascii="Times New Roman" w:hAnsi="Times New Roman" w:cs="Times New Roman" w:eastAsiaTheme="minorEastAsia"/>
          <w:sz w:val="24"/>
          <w:highlight w:val="none"/>
          <w:lang w:val="en-US" w:eastAsia="zh-CN"/>
        </w:rPr>
        <w:t>5.1-</w:t>
      </w:r>
      <w:r>
        <w:rPr>
          <w:rFonts w:hint="eastAsia" w:ascii="Times New Roman" w:hAnsi="Times New Roman" w:cs="Times New Roman"/>
          <w:sz w:val="24"/>
          <w:highlight w:val="none"/>
          <w:lang w:val="en-US" w:eastAsia="zh-CN"/>
        </w:rPr>
        <w:t>2</w:t>
      </w:r>
      <w:r>
        <w:rPr>
          <w:rFonts w:hint="eastAsia" w:ascii="Times New Roman" w:hAnsi="Times New Roman" w:cs="Times New Roman" w:eastAsiaTheme="minorEastAsia"/>
          <w:sz w:val="24"/>
          <w:highlight w:val="none"/>
          <w:lang w:val="en-US" w:eastAsia="zh-CN"/>
        </w:rPr>
        <w:t>所示；</w:t>
      </w:r>
    </w:p>
    <w:p w14:paraId="2EC28FA4">
      <w:pPr>
        <w:snapToGrid w:val="0"/>
        <w:spacing w:before="241" w:beforeLines="50"/>
        <w:jc w:val="center"/>
        <w:rPr>
          <w:rFonts w:hint="default"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表5.1-</w:t>
      </w:r>
      <w:r>
        <w:rPr>
          <w:rFonts w:hint="eastAsia" w:ascii="Times New Roman" w:hAnsi="Times New Roman" w:cs="Times New Roman"/>
          <w:b/>
          <w:szCs w:val="21"/>
          <w:lang w:val="en-US" w:eastAsia="zh-CN"/>
        </w:rPr>
        <w:t>2</w:t>
      </w:r>
      <w:r>
        <w:rPr>
          <w:rFonts w:hint="eastAsia" w:ascii="Times New Roman" w:hAnsi="Times New Roman" w:cs="Times New Roman" w:eastAsiaTheme="minorEastAsia"/>
          <w:b/>
          <w:szCs w:val="21"/>
          <w:lang w:val="en-US" w:eastAsia="zh-CN"/>
        </w:rPr>
        <w:t xml:space="preserve">  单台施工机械</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1385"/>
        <w:gridCol w:w="945"/>
        <w:gridCol w:w="840"/>
        <w:gridCol w:w="975"/>
        <w:gridCol w:w="975"/>
        <w:gridCol w:w="975"/>
        <w:gridCol w:w="855"/>
        <w:gridCol w:w="807"/>
      </w:tblGrid>
      <w:tr w14:paraId="2CBCA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Merge w:val="restart"/>
            <w:vAlign w:val="center"/>
          </w:tcPr>
          <w:p w14:paraId="1883CBE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序号</w:t>
            </w:r>
          </w:p>
        </w:tc>
        <w:tc>
          <w:tcPr>
            <w:tcW w:w="1385" w:type="dxa"/>
            <w:vMerge w:val="restart"/>
            <w:vAlign w:val="center"/>
          </w:tcPr>
          <w:p w14:paraId="641F9A2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施工机械</w:t>
            </w:r>
          </w:p>
        </w:tc>
        <w:tc>
          <w:tcPr>
            <w:tcW w:w="6372" w:type="dxa"/>
            <w:gridSpan w:val="7"/>
            <w:vAlign w:val="center"/>
          </w:tcPr>
          <w:p w14:paraId="742AA72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声级dB（A）</w:t>
            </w:r>
          </w:p>
        </w:tc>
      </w:tr>
      <w:tr w14:paraId="66A5C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Merge w:val="continue"/>
            <w:vAlign w:val="center"/>
          </w:tcPr>
          <w:p w14:paraId="1B6AE2C4">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385" w:type="dxa"/>
            <w:vMerge w:val="continue"/>
            <w:vAlign w:val="center"/>
          </w:tcPr>
          <w:p w14:paraId="411B4F18">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945" w:type="dxa"/>
            <w:vAlign w:val="center"/>
          </w:tcPr>
          <w:p w14:paraId="76E85C6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20m</w:t>
            </w:r>
          </w:p>
        </w:tc>
        <w:tc>
          <w:tcPr>
            <w:tcW w:w="840" w:type="dxa"/>
            <w:vAlign w:val="center"/>
          </w:tcPr>
          <w:p w14:paraId="397FDA7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40m</w:t>
            </w:r>
          </w:p>
        </w:tc>
        <w:tc>
          <w:tcPr>
            <w:tcW w:w="975" w:type="dxa"/>
            <w:vAlign w:val="center"/>
          </w:tcPr>
          <w:p w14:paraId="28F8C55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60m</w:t>
            </w:r>
          </w:p>
        </w:tc>
        <w:tc>
          <w:tcPr>
            <w:tcW w:w="975" w:type="dxa"/>
            <w:vAlign w:val="center"/>
          </w:tcPr>
          <w:p w14:paraId="0B16F46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80m</w:t>
            </w:r>
          </w:p>
        </w:tc>
        <w:tc>
          <w:tcPr>
            <w:tcW w:w="975" w:type="dxa"/>
            <w:vAlign w:val="center"/>
          </w:tcPr>
          <w:p w14:paraId="1481141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100m</w:t>
            </w:r>
          </w:p>
        </w:tc>
        <w:tc>
          <w:tcPr>
            <w:tcW w:w="855" w:type="dxa"/>
            <w:vAlign w:val="center"/>
          </w:tcPr>
          <w:p w14:paraId="4C9F4AB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150m</w:t>
            </w:r>
          </w:p>
        </w:tc>
        <w:tc>
          <w:tcPr>
            <w:tcW w:w="807" w:type="dxa"/>
            <w:vAlign w:val="center"/>
          </w:tcPr>
          <w:p w14:paraId="08A8372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200m</w:t>
            </w:r>
          </w:p>
        </w:tc>
      </w:tr>
      <w:tr w14:paraId="7172B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14:paraId="2F39A68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w:t>
            </w:r>
          </w:p>
        </w:tc>
        <w:tc>
          <w:tcPr>
            <w:tcW w:w="1385" w:type="dxa"/>
            <w:vAlign w:val="center"/>
          </w:tcPr>
          <w:p w14:paraId="2908ED1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手工钻</w:t>
            </w:r>
          </w:p>
        </w:tc>
        <w:tc>
          <w:tcPr>
            <w:tcW w:w="945" w:type="dxa"/>
            <w:vAlign w:val="center"/>
          </w:tcPr>
          <w:p w14:paraId="564DF9D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54.0</w:t>
            </w:r>
          </w:p>
        </w:tc>
        <w:tc>
          <w:tcPr>
            <w:tcW w:w="840" w:type="dxa"/>
            <w:vAlign w:val="center"/>
          </w:tcPr>
          <w:p w14:paraId="7B31D85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48.0</w:t>
            </w:r>
          </w:p>
        </w:tc>
        <w:tc>
          <w:tcPr>
            <w:tcW w:w="975" w:type="dxa"/>
            <w:vAlign w:val="center"/>
          </w:tcPr>
          <w:p w14:paraId="5D60E31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44.4</w:t>
            </w:r>
          </w:p>
        </w:tc>
        <w:tc>
          <w:tcPr>
            <w:tcW w:w="975" w:type="dxa"/>
            <w:vAlign w:val="center"/>
          </w:tcPr>
          <w:p w14:paraId="25F82ED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41.9</w:t>
            </w:r>
          </w:p>
        </w:tc>
        <w:tc>
          <w:tcPr>
            <w:tcW w:w="975" w:type="dxa"/>
            <w:vAlign w:val="center"/>
          </w:tcPr>
          <w:p w14:paraId="515B114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40.0</w:t>
            </w:r>
          </w:p>
        </w:tc>
        <w:tc>
          <w:tcPr>
            <w:tcW w:w="855" w:type="dxa"/>
            <w:vAlign w:val="center"/>
          </w:tcPr>
          <w:p w14:paraId="7C07C0E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36.5</w:t>
            </w:r>
          </w:p>
        </w:tc>
        <w:tc>
          <w:tcPr>
            <w:tcW w:w="807" w:type="dxa"/>
            <w:vAlign w:val="center"/>
          </w:tcPr>
          <w:p w14:paraId="671E5D9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34.0</w:t>
            </w:r>
          </w:p>
        </w:tc>
      </w:tr>
      <w:tr w14:paraId="04369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14:paraId="269866B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w:t>
            </w:r>
          </w:p>
        </w:tc>
        <w:tc>
          <w:tcPr>
            <w:tcW w:w="1385" w:type="dxa"/>
            <w:vAlign w:val="center"/>
          </w:tcPr>
          <w:p w14:paraId="6AB8D9D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角向磨光机</w:t>
            </w:r>
          </w:p>
        </w:tc>
        <w:tc>
          <w:tcPr>
            <w:tcW w:w="945" w:type="dxa"/>
            <w:vAlign w:val="center"/>
          </w:tcPr>
          <w:p w14:paraId="66EECCA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74.0</w:t>
            </w:r>
          </w:p>
        </w:tc>
        <w:tc>
          <w:tcPr>
            <w:tcW w:w="840" w:type="dxa"/>
            <w:vAlign w:val="center"/>
          </w:tcPr>
          <w:p w14:paraId="1832910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68.0</w:t>
            </w:r>
          </w:p>
        </w:tc>
        <w:tc>
          <w:tcPr>
            <w:tcW w:w="975" w:type="dxa"/>
            <w:vAlign w:val="center"/>
          </w:tcPr>
          <w:p w14:paraId="0457A8F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64.4</w:t>
            </w:r>
          </w:p>
        </w:tc>
        <w:tc>
          <w:tcPr>
            <w:tcW w:w="975" w:type="dxa"/>
            <w:vAlign w:val="center"/>
          </w:tcPr>
          <w:p w14:paraId="45180A2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61.9</w:t>
            </w:r>
          </w:p>
        </w:tc>
        <w:tc>
          <w:tcPr>
            <w:tcW w:w="975" w:type="dxa"/>
            <w:vAlign w:val="center"/>
          </w:tcPr>
          <w:p w14:paraId="75EB465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60.0</w:t>
            </w:r>
          </w:p>
        </w:tc>
        <w:tc>
          <w:tcPr>
            <w:tcW w:w="855" w:type="dxa"/>
            <w:vAlign w:val="center"/>
          </w:tcPr>
          <w:p w14:paraId="714F82D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56.6</w:t>
            </w:r>
          </w:p>
        </w:tc>
        <w:tc>
          <w:tcPr>
            <w:tcW w:w="807" w:type="dxa"/>
            <w:vAlign w:val="center"/>
          </w:tcPr>
          <w:p w14:paraId="6991160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54.0</w:t>
            </w:r>
          </w:p>
        </w:tc>
      </w:tr>
      <w:tr w14:paraId="6EF88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14:paraId="38402A6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w:t>
            </w:r>
          </w:p>
        </w:tc>
        <w:tc>
          <w:tcPr>
            <w:tcW w:w="1385" w:type="dxa"/>
            <w:vAlign w:val="center"/>
          </w:tcPr>
          <w:p w14:paraId="1093B75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切割机</w:t>
            </w:r>
          </w:p>
        </w:tc>
        <w:tc>
          <w:tcPr>
            <w:tcW w:w="945" w:type="dxa"/>
            <w:vAlign w:val="center"/>
          </w:tcPr>
          <w:p w14:paraId="146CBA0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74.0</w:t>
            </w:r>
          </w:p>
        </w:tc>
        <w:tc>
          <w:tcPr>
            <w:tcW w:w="840" w:type="dxa"/>
            <w:vAlign w:val="center"/>
          </w:tcPr>
          <w:p w14:paraId="5365577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68.0</w:t>
            </w:r>
          </w:p>
        </w:tc>
        <w:tc>
          <w:tcPr>
            <w:tcW w:w="975" w:type="dxa"/>
            <w:vAlign w:val="center"/>
          </w:tcPr>
          <w:p w14:paraId="3DF028F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64.44</w:t>
            </w:r>
          </w:p>
        </w:tc>
        <w:tc>
          <w:tcPr>
            <w:tcW w:w="975" w:type="dxa"/>
            <w:vAlign w:val="center"/>
          </w:tcPr>
          <w:p w14:paraId="48C9E2F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61.9</w:t>
            </w:r>
          </w:p>
        </w:tc>
        <w:tc>
          <w:tcPr>
            <w:tcW w:w="975" w:type="dxa"/>
            <w:vAlign w:val="center"/>
          </w:tcPr>
          <w:p w14:paraId="747188D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60.0</w:t>
            </w:r>
          </w:p>
        </w:tc>
        <w:tc>
          <w:tcPr>
            <w:tcW w:w="855" w:type="dxa"/>
            <w:vAlign w:val="center"/>
          </w:tcPr>
          <w:p w14:paraId="7F6E65F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56.6</w:t>
            </w:r>
          </w:p>
        </w:tc>
        <w:tc>
          <w:tcPr>
            <w:tcW w:w="807" w:type="dxa"/>
            <w:vAlign w:val="center"/>
          </w:tcPr>
          <w:p w14:paraId="2008DE6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54.0</w:t>
            </w:r>
          </w:p>
        </w:tc>
      </w:tr>
      <w:tr w14:paraId="6F7A2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14:paraId="79FAF4F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w:t>
            </w:r>
          </w:p>
        </w:tc>
        <w:tc>
          <w:tcPr>
            <w:tcW w:w="1385" w:type="dxa"/>
            <w:vAlign w:val="center"/>
          </w:tcPr>
          <w:p w14:paraId="7CBC3EB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电焊机</w:t>
            </w:r>
          </w:p>
        </w:tc>
        <w:tc>
          <w:tcPr>
            <w:tcW w:w="945" w:type="dxa"/>
            <w:vAlign w:val="center"/>
          </w:tcPr>
          <w:p w14:paraId="74E9D56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44.0</w:t>
            </w:r>
          </w:p>
        </w:tc>
        <w:tc>
          <w:tcPr>
            <w:tcW w:w="840" w:type="dxa"/>
            <w:vAlign w:val="center"/>
          </w:tcPr>
          <w:p w14:paraId="5AFFAE3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38.0</w:t>
            </w:r>
          </w:p>
        </w:tc>
        <w:tc>
          <w:tcPr>
            <w:tcW w:w="975" w:type="dxa"/>
            <w:vAlign w:val="center"/>
          </w:tcPr>
          <w:p w14:paraId="79A31C7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34.4</w:t>
            </w:r>
          </w:p>
        </w:tc>
        <w:tc>
          <w:tcPr>
            <w:tcW w:w="975" w:type="dxa"/>
            <w:vAlign w:val="center"/>
          </w:tcPr>
          <w:p w14:paraId="3A39AAE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31.9</w:t>
            </w:r>
          </w:p>
        </w:tc>
        <w:tc>
          <w:tcPr>
            <w:tcW w:w="975" w:type="dxa"/>
            <w:vAlign w:val="center"/>
          </w:tcPr>
          <w:p w14:paraId="611EB99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30.0</w:t>
            </w:r>
          </w:p>
        </w:tc>
        <w:tc>
          <w:tcPr>
            <w:tcW w:w="855" w:type="dxa"/>
            <w:vAlign w:val="center"/>
          </w:tcPr>
          <w:p w14:paraId="1270EAA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c>
          <w:tcPr>
            <w:tcW w:w="807" w:type="dxa"/>
            <w:vAlign w:val="center"/>
          </w:tcPr>
          <w:p w14:paraId="7674267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r>
    </w:tbl>
    <w:p w14:paraId="51220B5F">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由上表</w:t>
      </w:r>
      <w:r>
        <w:rPr>
          <w:rFonts w:hint="default" w:ascii="Times New Roman" w:hAnsi="Times New Roman" w:cs="Times New Roman" w:eastAsiaTheme="minorEastAsia"/>
          <w:sz w:val="24"/>
          <w:lang w:val="en-US" w:eastAsia="zh-CN"/>
        </w:rPr>
        <w:t>5.1-4</w:t>
      </w:r>
      <w:r>
        <w:rPr>
          <w:rFonts w:hint="eastAsia" w:ascii="Times New Roman" w:hAnsi="Times New Roman" w:cs="Times New Roman" w:eastAsiaTheme="minorEastAsia"/>
          <w:sz w:val="24"/>
          <w:lang w:val="en-US" w:eastAsia="zh-CN"/>
        </w:rPr>
        <w:t>可知，单台机械施工时，昼间在距离噪声源</w:t>
      </w:r>
      <w:r>
        <w:rPr>
          <w:rFonts w:hint="default" w:ascii="Times New Roman" w:hAnsi="Times New Roman" w:cs="Times New Roman" w:eastAsiaTheme="minorEastAsia"/>
          <w:sz w:val="24"/>
          <w:lang w:val="en-US" w:eastAsia="zh-CN"/>
        </w:rPr>
        <w:t>32m</w:t>
      </w:r>
      <w:r>
        <w:rPr>
          <w:rFonts w:hint="eastAsia" w:ascii="Times New Roman" w:hAnsi="Times New Roman" w:cs="Times New Roman" w:eastAsiaTheme="minorEastAsia"/>
          <w:sz w:val="24"/>
          <w:lang w:val="en-US" w:eastAsia="zh-CN"/>
        </w:rPr>
        <w:t>范围以外，夜间在距离噪声源</w:t>
      </w:r>
      <w:r>
        <w:rPr>
          <w:rFonts w:hint="default" w:ascii="Times New Roman" w:hAnsi="Times New Roman" w:cs="Times New Roman" w:eastAsiaTheme="minorEastAsia"/>
          <w:sz w:val="24"/>
          <w:lang w:val="en-US" w:eastAsia="zh-CN"/>
        </w:rPr>
        <w:t>180m</w:t>
      </w:r>
      <w:r>
        <w:rPr>
          <w:rFonts w:hint="eastAsia" w:ascii="Times New Roman" w:hAnsi="Times New Roman" w:cs="Times New Roman" w:eastAsiaTheme="minorEastAsia"/>
          <w:sz w:val="24"/>
          <w:lang w:val="en-US" w:eastAsia="zh-CN"/>
        </w:rPr>
        <w:t>以外可以满足《建筑施工噪声排放标准》（</w:t>
      </w:r>
      <w:r>
        <w:rPr>
          <w:rFonts w:hint="default" w:ascii="Times New Roman" w:hAnsi="Times New Roman" w:cs="Times New Roman" w:eastAsiaTheme="minorEastAsia"/>
          <w:sz w:val="24"/>
          <w:lang w:val="en-US" w:eastAsia="zh-CN"/>
        </w:rPr>
        <w:t>GB 12523-2025</w:t>
      </w:r>
      <w:r>
        <w:rPr>
          <w:rFonts w:hint="eastAsia" w:ascii="Times New Roman" w:hAnsi="Times New Roman" w:cs="Times New Roman" w:eastAsiaTheme="minorEastAsia"/>
          <w:sz w:val="24"/>
          <w:lang w:val="en-US" w:eastAsia="zh-CN"/>
        </w:rPr>
        <w:t>）中〔昼间</w:t>
      </w:r>
      <w:r>
        <w:rPr>
          <w:rFonts w:hint="default" w:ascii="Times New Roman" w:hAnsi="Times New Roman" w:cs="Times New Roman" w:eastAsiaTheme="minorEastAsia"/>
          <w:sz w:val="24"/>
          <w:lang w:val="en-US" w:eastAsia="zh-CN"/>
        </w:rPr>
        <w:t>70dB</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A</w:t>
      </w:r>
      <w:r>
        <w:rPr>
          <w:rFonts w:hint="eastAsia" w:ascii="Times New Roman" w:hAnsi="Times New Roman" w:cs="Times New Roman" w:eastAsiaTheme="minorEastAsia"/>
          <w:sz w:val="24"/>
          <w:lang w:val="en-US" w:eastAsia="zh-CN"/>
        </w:rPr>
        <w:t>）、夜间</w:t>
      </w:r>
      <w:r>
        <w:rPr>
          <w:rFonts w:hint="default" w:ascii="Times New Roman" w:hAnsi="Times New Roman" w:cs="Times New Roman" w:eastAsiaTheme="minorEastAsia"/>
          <w:sz w:val="24"/>
          <w:lang w:val="en-US" w:eastAsia="zh-CN"/>
        </w:rPr>
        <w:t>55dB</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A</w:t>
      </w:r>
      <w:r>
        <w:rPr>
          <w:rFonts w:hint="eastAsia" w:ascii="Times New Roman" w:hAnsi="Times New Roman" w:cs="Times New Roman" w:eastAsiaTheme="minorEastAsia"/>
          <w:sz w:val="24"/>
          <w:lang w:val="en-US" w:eastAsia="zh-CN"/>
        </w:rPr>
        <w:t>）〕要求；</w:t>
      </w:r>
    </w:p>
    <w:p w14:paraId="027BD4DE">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此外，施工过程中各种车辆的运行，将会引起公路沿线噪声增加。施工单位应合理安排施工时间，施工时应尽量避免在中午（</w:t>
      </w:r>
      <w:r>
        <w:rPr>
          <w:rFonts w:hint="default" w:ascii="Times New Roman" w:hAnsi="Times New Roman" w:cs="Times New Roman" w:eastAsiaTheme="minorEastAsia"/>
          <w:sz w:val="24"/>
          <w:lang w:val="en-US" w:eastAsia="zh-CN"/>
        </w:rPr>
        <w:t>14</w:t>
      </w:r>
      <w:r>
        <w:rPr>
          <w:rFonts w:hint="eastAsia" w:ascii="Times New Roman" w:hAnsi="Times New Roman" w:cs="Times New Roman" w:eastAsiaTheme="minorEastAsia"/>
          <w:sz w:val="24"/>
          <w:lang w:val="en-US" w:eastAsia="zh-CN"/>
        </w:rPr>
        <w:t>时至</w:t>
      </w:r>
      <w:r>
        <w:rPr>
          <w:rFonts w:hint="default" w:ascii="Times New Roman" w:hAnsi="Times New Roman" w:cs="Times New Roman" w:eastAsiaTheme="minorEastAsia"/>
          <w:sz w:val="24"/>
          <w:lang w:val="en-US" w:eastAsia="zh-CN"/>
        </w:rPr>
        <w:t>16</w:t>
      </w:r>
      <w:r>
        <w:rPr>
          <w:rFonts w:hint="eastAsia" w:ascii="Times New Roman" w:hAnsi="Times New Roman" w:cs="Times New Roman" w:eastAsiaTheme="minorEastAsia"/>
          <w:sz w:val="24"/>
          <w:lang w:val="en-US" w:eastAsia="zh-CN"/>
        </w:rPr>
        <w:t>时）和晚上（</w:t>
      </w:r>
      <w:r>
        <w:rPr>
          <w:rFonts w:hint="default" w:ascii="Times New Roman" w:hAnsi="Times New Roman" w:cs="Times New Roman" w:eastAsiaTheme="minorEastAsia"/>
          <w:sz w:val="24"/>
          <w:lang w:val="en-US" w:eastAsia="zh-CN"/>
        </w:rPr>
        <w:t>24</w:t>
      </w:r>
      <w:r>
        <w:rPr>
          <w:rFonts w:hint="eastAsia" w:ascii="Times New Roman" w:hAnsi="Times New Roman" w:cs="Times New Roman" w:eastAsiaTheme="minorEastAsia"/>
          <w:sz w:val="24"/>
          <w:lang w:val="en-US" w:eastAsia="zh-CN"/>
        </w:rPr>
        <w:t>时至次日</w:t>
      </w:r>
      <w:r>
        <w:rPr>
          <w:rFonts w:hint="default" w:ascii="Times New Roman" w:hAnsi="Times New Roman" w:cs="Times New Roman" w:eastAsiaTheme="minorEastAsia"/>
          <w:sz w:val="24"/>
          <w:lang w:val="en-US" w:eastAsia="zh-CN"/>
        </w:rPr>
        <w:t>8</w:t>
      </w:r>
      <w:r>
        <w:rPr>
          <w:rFonts w:hint="eastAsia" w:ascii="Times New Roman" w:hAnsi="Times New Roman" w:cs="Times New Roman" w:eastAsiaTheme="minorEastAsia"/>
          <w:sz w:val="24"/>
          <w:lang w:val="en-US" w:eastAsia="zh-CN"/>
        </w:rPr>
        <w:t>时）休息时间进行高噪声施工作业。采取合理的施工方式，优先选用低噪声的施工设备，减少高噪声设备机械的同时运行。</w:t>
      </w:r>
    </w:p>
    <w:p w14:paraId="36983225">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在采取合理措施后，可尽量减轻项目施工噪声对周边居民正常生活的影响。加之施工是短时期的，因此施工过程中对区域声环境的影响是暂时的，将随着施工的结束而消失。</w:t>
      </w:r>
    </w:p>
    <w:p w14:paraId="6CCC637D">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207" w:name="_Toc19362"/>
      <w:r>
        <w:rPr>
          <w:rFonts w:hint="eastAsia" w:ascii="Times New Roman" w:hAnsi="Times New Roman" w:cs="Times New Roman" w:eastAsiaTheme="minorEastAsia"/>
          <w:kern w:val="0"/>
          <w:sz w:val="24"/>
          <w:szCs w:val="24"/>
          <w:lang w:val="en-US" w:eastAsia="zh-CN"/>
        </w:rPr>
        <w:t>5.1.4生态环境影响分析</w:t>
      </w:r>
      <w:bookmarkEnd w:id="207"/>
    </w:p>
    <w:p w14:paraId="2F5D839C">
      <w:pPr>
        <w:adjustRightInd w:val="0"/>
        <w:snapToGrid w:val="0"/>
        <w:spacing w:line="500" w:lineRule="exact"/>
        <w:jc w:val="left"/>
        <w:rPr>
          <w:rFonts w:hint="eastAsia" w:ascii="Times New Roman" w:hAnsi="Times New Roman" w:cs="Times New Roman" w:eastAsiaTheme="minorEastAsia"/>
          <w:b/>
          <w:bCs/>
          <w:sz w:val="24"/>
          <w:highlight w:val="none"/>
          <w:lang w:val="en-US" w:eastAsia="zh-CN"/>
        </w:rPr>
      </w:pPr>
      <w:r>
        <w:rPr>
          <w:rFonts w:hint="eastAsia" w:ascii="Times New Roman" w:hAnsi="Times New Roman" w:cs="Times New Roman" w:eastAsiaTheme="minorEastAsia"/>
          <w:b/>
          <w:bCs/>
          <w:sz w:val="24"/>
          <w:highlight w:val="none"/>
          <w:lang w:val="en-US" w:eastAsia="zh-CN"/>
        </w:rPr>
        <w:t>5.1.4.1土地利用格局变化</w:t>
      </w:r>
    </w:p>
    <w:p w14:paraId="6341B059">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本项目建设区域位于建设单位现有厂区内，用地性质属工业用地，项目用地原为建设单位的处置车间场地，本项目建设对土地利用格局不会产生明显不利影响。</w:t>
      </w:r>
    </w:p>
    <w:p w14:paraId="5D2DFBCD">
      <w:pPr>
        <w:adjustRightInd w:val="0"/>
        <w:snapToGrid w:val="0"/>
        <w:spacing w:line="500" w:lineRule="exact"/>
        <w:jc w:val="left"/>
        <w:rPr>
          <w:rFonts w:hint="eastAsia" w:ascii="Times New Roman" w:hAnsi="Times New Roman" w:cs="Times New Roman" w:eastAsiaTheme="minorEastAsia"/>
          <w:b/>
          <w:bCs/>
          <w:sz w:val="24"/>
          <w:highlight w:val="none"/>
          <w:lang w:val="en-US" w:eastAsia="zh-CN"/>
        </w:rPr>
      </w:pPr>
      <w:r>
        <w:rPr>
          <w:rFonts w:hint="default" w:ascii="Times New Roman" w:hAnsi="Times New Roman" w:cs="Times New Roman" w:eastAsiaTheme="minorEastAsia"/>
          <w:b/>
          <w:bCs/>
          <w:sz w:val="24"/>
          <w:highlight w:val="none"/>
          <w:lang w:val="en-US" w:eastAsia="zh-CN"/>
        </w:rPr>
        <w:t xml:space="preserve">5.1.4.2 </w:t>
      </w:r>
      <w:r>
        <w:rPr>
          <w:rFonts w:hint="eastAsia" w:ascii="Times New Roman" w:hAnsi="Times New Roman" w:cs="Times New Roman" w:eastAsiaTheme="minorEastAsia"/>
          <w:b/>
          <w:bCs/>
          <w:sz w:val="24"/>
          <w:highlight w:val="none"/>
          <w:lang w:val="en-US" w:eastAsia="zh-CN"/>
        </w:rPr>
        <w:t>植被及生态系统多样性影响分析</w:t>
      </w:r>
    </w:p>
    <w:p w14:paraId="77A3D0F0">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项目的建设将不可避免地破坏、扰动原地形地貌和植被；建设占地对区域植被的破坏是永久性的，这部分植被将永远失去生产能力，从而降低该区域植被覆盖率和生物多样性，造成植被生物量的减少。</w:t>
      </w:r>
    </w:p>
    <w:p w14:paraId="402B9401">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本项目建设区域位于建设单位现有厂区内，不涉及新增用地，不会对地形地貌和植被造成影响。</w:t>
      </w:r>
    </w:p>
    <w:p w14:paraId="04D94152">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208" w:name="_Toc20278"/>
      <w:r>
        <w:rPr>
          <w:rFonts w:hint="default" w:ascii="Times New Roman" w:hAnsi="Times New Roman" w:cs="Times New Roman" w:eastAsiaTheme="minorEastAsia"/>
          <w:kern w:val="0"/>
          <w:sz w:val="24"/>
          <w:szCs w:val="24"/>
          <w:lang w:val="en-US" w:eastAsia="zh-CN"/>
        </w:rPr>
        <w:t>5.1.5</w:t>
      </w:r>
      <w:r>
        <w:rPr>
          <w:rFonts w:hint="eastAsia" w:ascii="Times New Roman" w:hAnsi="Times New Roman" w:cs="Times New Roman" w:eastAsiaTheme="minorEastAsia"/>
          <w:kern w:val="0"/>
          <w:sz w:val="24"/>
          <w:szCs w:val="24"/>
          <w:lang w:val="en-US" w:eastAsia="zh-CN"/>
        </w:rPr>
        <w:t>水土流失影响分析</w:t>
      </w:r>
      <w:bookmarkEnd w:id="208"/>
      <w:r>
        <w:rPr>
          <w:rFonts w:hint="eastAsia" w:ascii="Times New Roman" w:hAnsi="Times New Roman" w:cs="Times New Roman" w:eastAsiaTheme="minorEastAsia"/>
          <w:kern w:val="0"/>
          <w:sz w:val="24"/>
          <w:szCs w:val="24"/>
          <w:lang w:val="en-US" w:eastAsia="zh-CN"/>
        </w:rPr>
        <w:t xml:space="preserve"> </w:t>
      </w:r>
    </w:p>
    <w:p w14:paraId="6DF2ACD4">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本项目施工期没有场地和土石方开挖施工，只有设备安装施工，因此施工期不会产生水土流失的影响。</w:t>
      </w:r>
    </w:p>
    <w:p w14:paraId="1CB93733">
      <w:pPr>
        <w:pStyle w:val="3"/>
        <w:spacing w:before="120" w:after="120" w:line="500" w:lineRule="exact"/>
        <w:ind w:left="375" w:hanging="375" w:firstLineChars="0"/>
        <w:contextualSpacing/>
        <w:rPr>
          <w:rFonts w:hint="default" w:ascii="Times New Roman" w:hAnsi="Times New Roman" w:cs="Times New Roman" w:eastAsiaTheme="minorEastAsia"/>
          <w:snapToGrid w:val="0"/>
          <w:kern w:val="0"/>
          <w:sz w:val="28"/>
          <w:szCs w:val="28"/>
          <w:lang w:val="en-US" w:eastAsia="zh-CN"/>
        </w:rPr>
      </w:pPr>
      <w:bookmarkStart w:id="209" w:name="_Toc29501"/>
      <w:r>
        <w:rPr>
          <w:rFonts w:hint="default" w:ascii="Times New Roman" w:hAnsi="Times New Roman" w:cs="Times New Roman" w:eastAsiaTheme="minorEastAsia"/>
          <w:snapToGrid w:val="0"/>
          <w:kern w:val="0"/>
          <w:sz w:val="28"/>
          <w:szCs w:val="28"/>
          <w:lang w:val="en-US" w:eastAsia="zh-CN"/>
        </w:rPr>
        <w:t xml:space="preserve">5.2 </w:t>
      </w:r>
      <w:r>
        <w:rPr>
          <w:rFonts w:hint="eastAsia" w:ascii="Times New Roman" w:hAnsi="Times New Roman" w:cs="Times New Roman" w:eastAsiaTheme="minorEastAsia"/>
          <w:snapToGrid w:val="0"/>
          <w:kern w:val="0"/>
          <w:sz w:val="28"/>
          <w:szCs w:val="28"/>
          <w:lang w:val="en-US" w:eastAsia="zh-CN"/>
        </w:rPr>
        <w:t>营运期大气环境影响预测与评价</w:t>
      </w:r>
      <w:bookmarkEnd w:id="209"/>
    </w:p>
    <w:p w14:paraId="74362114">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210" w:name="_Toc17486"/>
      <w:r>
        <w:rPr>
          <w:rFonts w:hint="default" w:ascii="Times New Roman" w:hAnsi="Times New Roman" w:cs="Times New Roman" w:eastAsiaTheme="minorEastAsia"/>
          <w:kern w:val="0"/>
          <w:sz w:val="24"/>
          <w:szCs w:val="24"/>
          <w:lang w:val="en-US" w:eastAsia="zh-CN"/>
        </w:rPr>
        <w:t xml:space="preserve">5.2.1 </w:t>
      </w:r>
      <w:r>
        <w:rPr>
          <w:rFonts w:hint="eastAsia" w:ascii="Times New Roman" w:hAnsi="Times New Roman" w:cs="Times New Roman" w:eastAsiaTheme="minorEastAsia"/>
          <w:kern w:val="0"/>
          <w:sz w:val="24"/>
          <w:szCs w:val="24"/>
          <w:lang w:val="en-US" w:eastAsia="zh-CN"/>
        </w:rPr>
        <w:t>大气环境影响预测条件</w:t>
      </w:r>
      <w:bookmarkEnd w:id="210"/>
      <w:r>
        <w:rPr>
          <w:rFonts w:hint="eastAsia" w:ascii="Times New Roman" w:hAnsi="Times New Roman" w:cs="Times New Roman" w:eastAsiaTheme="minorEastAsia"/>
          <w:kern w:val="0"/>
          <w:sz w:val="24"/>
          <w:szCs w:val="24"/>
          <w:lang w:val="en-US" w:eastAsia="zh-CN"/>
        </w:rPr>
        <w:t xml:space="preserve"> </w:t>
      </w:r>
    </w:p>
    <w:p w14:paraId="4B3E71F2">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5.2.1.1气象特征</w:t>
      </w:r>
    </w:p>
    <w:p w14:paraId="5E0DF561">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（1）温度</w:t>
      </w:r>
    </w:p>
    <w:p w14:paraId="08B6618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1）月平均气温和极端气温</w:t>
      </w:r>
    </w:p>
    <w:p w14:paraId="171DB355">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莎车县</w:t>
      </w:r>
      <w:r>
        <w:rPr>
          <w:rFonts w:hint="default" w:ascii="Times New Roman" w:hAnsi="Times New Roman" w:cs="Times New Roman" w:eastAsiaTheme="minorEastAsia"/>
          <w:sz w:val="24"/>
          <w:lang w:val="en-US" w:eastAsia="zh-CN"/>
        </w:rPr>
        <w:t>气象站7月气温最高（</w:t>
      </w:r>
      <w:r>
        <w:rPr>
          <w:rFonts w:hint="eastAsia" w:ascii="Times New Roman" w:hAnsi="Times New Roman" w:cs="Times New Roman" w:eastAsiaTheme="minorEastAsia"/>
          <w:sz w:val="24"/>
          <w:lang w:val="en-US" w:eastAsia="zh-CN"/>
        </w:rPr>
        <w:t>26.3</w:t>
      </w:r>
      <w:r>
        <w:rPr>
          <w:rFonts w:hint="default" w:ascii="Times New Roman" w:hAnsi="Times New Roman" w:cs="Times New Roman" w:eastAsiaTheme="minorEastAsia"/>
          <w:sz w:val="24"/>
          <w:lang w:val="en-US" w:eastAsia="zh-CN"/>
        </w:rPr>
        <w:t>℃），1月气温最低（-</w:t>
      </w:r>
      <w:r>
        <w:rPr>
          <w:rFonts w:hint="eastAsia" w:ascii="Times New Roman" w:hAnsi="Times New Roman" w:cs="Times New Roman" w:eastAsiaTheme="minorEastAsia"/>
          <w:sz w:val="24"/>
          <w:lang w:val="en-US" w:eastAsia="zh-CN"/>
        </w:rPr>
        <w:t>5.3</w:t>
      </w:r>
      <w:r>
        <w:rPr>
          <w:rFonts w:hint="default" w:ascii="Times New Roman" w:hAnsi="Times New Roman" w:cs="Times New Roman" w:eastAsiaTheme="minorEastAsia"/>
          <w:sz w:val="24"/>
          <w:lang w:val="en-US" w:eastAsia="zh-CN"/>
        </w:rPr>
        <w:t>℃），近20年极端最高气温出现在20</w:t>
      </w:r>
      <w:r>
        <w:rPr>
          <w:rFonts w:hint="eastAsia" w:ascii="Times New Roman" w:hAnsi="Times New Roman" w:cs="Times New Roman" w:eastAsiaTheme="minorEastAsia"/>
          <w:sz w:val="24"/>
          <w:lang w:val="en-US" w:eastAsia="zh-CN"/>
        </w:rPr>
        <w:t>22</w:t>
      </w:r>
      <w:r>
        <w:rPr>
          <w:rFonts w:hint="default" w:ascii="Times New Roman" w:hAnsi="Times New Roman" w:cs="Times New Roman" w:eastAsiaTheme="minorEastAsia"/>
          <w:sz w:val="24"/>
          <w:lang w:val="en-US" w:eastAsia="zh-CN"/>
        </w:rPr>
        <w:t>年7月2日（</w:t>
      </w:r>
      <w:r>
        <w:rPr>
          <w:rFonts w:hint="eastAsia" w:ascii="Times New Roman" w:hAnsi="Times New Roman" w:cs="Times New Roman" w:eastAsiaTheme="minorEastAsia"/>
          <w:sz w:val="24"/>
          <w:lang w:val="en-US" w:eastAsia="zh-CN"/>
        </w:rPr>
        <w:t>40.7</w:t>
      </w:r>
      <w:r>
        <w:rPr>
          <w:rFonts w:hint="default" w:ascii="Times New Roman" w:hAnsi="Times New Roman" w:cs="Times New Roman" w:eastAsiaTheme="minorEastAsia"/>
          <w:sz w:val="24"/>
          <w:lang w:val="en-US" w:eastAsia="zh-CN"/>
        </w:rPr>
        <w:t>℃），极端最低气温出现在20</w:t>
      </w:r>
      <w:r>
        <w:rPr>
          <w:rFonts w:hint="eastAsia" w:ascii="Times New Roman" w:hAnsi="Times New Roman" w:cs="Times New Roman" w:eastAsiaTheme="minorEastAsia"/>
          <w:sz w:val="24"/>
          <w:lang w:val="en-US" w:eastAsia="zh-CN"/>
        </w:rPr>
        <w:t>08</w:t>
      </w:r>
      <w:r>
        <w:rPr>
          <w:rFonts w:hint="default" w:ascii="Times New Roman" w:hAnsi="Times New Roman" w:cs="Times New Roman" w:eastAsiaTheme="minorEastAsia"/>
          <w:sz w:val="24"/>
          <w:lang w:val="en-US" w:eastAsia="zh-CN"/>
        </w:rPr>
        <w:t>年</w:t>
      </w:r>
      <w:r>
        <w:rPr>
          <w:rFonts w:hint="eastAsia" w:ascii="Times New Roman" w:hAnsi="Times New Roman" w:cs="Times New Roman" w:eastAsiaTheme="minorEastAsia"/>
          <w:sz w:val="24"/>
          <w:lang w:val="en-US" w:eastAsia="zh-CN"/>
        </w:rPr>
        <w:t>2</w:t>
      </w:r>
      <w:r>
        <w:rPr>
          <w:rFonts w:hint="default" w:ascii="Times New Roman" w:hAnsi="Times New Roman" w:cs="Times New Roman" w:eastAsiaTheme="minorEastAsia"/>
          <w:sz w:val="24"/>
          <w:lang w:val="en-US" w:eastAsia="zh-CN"/>
        </w:rPr>
        <w:t>月1日（-</w:t>
      </w:r>
      <w:r>
        <w:rPr>
          <w:rFonts w:hint="eastAsia" w:ascii="Times New Roman" w:hAnsi="Times New Roman" w:cs="Times New Roman" w:eastAsiaTheme="minorEastAsia"/>
          <w:sz w:val="24"/>
          <w:lang w:val="en-US" w:eastAsia="zh-CN"/>
        </w:rPr>
        <w:t>24.1</w:t>
      </w:r>
      <w:r>
        <w:rPr>
          <w:rFonts w:hint="default" w:ascii="Times New Roman" w:hAnsi="Times New Roman" w:cs="Times New Roman" w:eastAsiaTheme="minorEastAsia"/>
          <w:sz w:val="24"/>
          <w:lang w:val="en-US" w:eastAsia="zh-CN"/>
        </w:rPr>
        <w:t>℃）。</w:t>
      </w:r>
    </w:p>
    <w:p w14:paraId="2DF05F77">
      <w:pPr>
        <w:spacing w:line="360" w:lineRule="auto"/>
        <w:rPr>
          <w:rFonts w:hint="default" w:ascii="Times New Roman" w:hAnsi="Times New Roman" w:cs="Times New Roman" w:eastAsiaTheme="minorEastAsia"/>
        </w:rPr>
      </w:pPr>
    </w:p>
    <w:p w14:paraId="2048A0FA">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 xml:space="preserve">图5.2-1  </w:t>
      </w:r>
      <w:r>
        <w:rPr>
          <w:rFonts w:hint="eastAsia" w:ascii="Times New Roman" w:hAnsi="Times New Roman" w:cs="Times New Roman" w:eastAsiaTheme="minorEastAsia"/>
          <w:b/>
          <w:szCs w:val="21"/>
          <w:lang w:val="en-US" w:eastAsia="zh-CN"/>
        </w:rPr>
        <w:t>莎车县</w:t>
      </w:r>
      <w:r>
        <w:rPr>
          <w:rFonts w:hint="default" w:ascii="Times New Roman" w:hAnsi="Times New Roman" w:cs="Times New Roman" w:eastAsiaTheme="minorEastAsia"/>
          <w:b/>
          <w:szCs w:val="21"/>
          <w:lang w:val="en-US" w:eastAsia="zh-CN"/>
        </w:rPr>
        <w:t>月平均气温（单位：℃）</w:t>
      </w:r>
    </w:p>
    <w:p w14:paraId="0DCE00D4">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2）温度年际变化趋势</w:t>
      </w:r>
    </w:p>
    <w:p w14:paraId="227799D0">
      <w:pPr>
        <w:pStyle w:val="20"/>
        <w:snapToGrid w:val="0"/>
        <w:jc w:val="left"/>
        <w:rPr>
          <w:rFonts w:hint="default" w:ascii="Times New Roman" w:hAnsi="Times New Roman" w:cs="Times New Roman" w:eastAsiaTheme="minorEastAsia"/>
          <w:color w:val="auto"/>
          <w:lang w:val="en-US" w:eastAsia="zh-CN"/>
        </w:rPr>
      </w:pPr>
      <w:r>
        <w:rPr>
          <w:rFonts w:hint="eastAsia" w:ascii="Times New Roman" w:hAnsi="Times New Roman" w:cs="Times New Roman" w:eastAsiaTheme="minorEastAsia"/>
          <w:snapToGrid/>
          <w:color w:val="auto"/>
          <w:kern w:val="2"/>
          <w:sz w:val="24"/>
          <w:szCs w:val="24"/>
          <w:lang w:val="en-US" w:eastAsia="zh-CN" w:bidi="ar-SA"/>
        </w:rPr>
        <w:t>莎车县</w:t>
      </w:r>
      <w:r>
        <w:rPr>
          <w:rFonts w:hint="default" w:ascii="Times New Roman" w:hAnsi="Times New Roman" w:cs="Times New Roman" w:eastAsiaTheme="minorEastAsia"/>
          <w:snapToGrid/>
          <w:color w:val="auto"/>
          <w:kern w:val="2"/>
          <w:sz w:val="24"/>
          <w:szCs w:val="24"/>
          <w:lang w:val="en-US" w:eastAsia="zh-CN" w:bidi="ar-SA"/>
        </w:rPr>
        <w:t>气象站近20年平均气温</w:t>
      </w:r>
      <w:r>
        <w:rPr>
          <w:rFonts w:hint="eastAsia" w:ascii="Times New Roman" w:hAnsi="Times New Roman" w:cs="Times New Roman" w:eastAsiaTheme="minorEastAsia"/>
          <w:snapToGrid/>
          <w:color w:val="auto"/>
          <w:kern w:val="2"/>
          <w:sz w:val="24"/>
          <w:szCs w:val="24"/>
          <w:lang w:val="en-US" w:eastAsia="zh-CN" w:bidi="ar-SA"/>
        </w:rPr>
        <w:t>明显升高</w:t>
      </w:r>
      <w:r>
        <w:rPr>
          <w:rFonts w:hint="default" w:ascii="Times New Roman" w:hAnsi="Times New Roman" w:cs="Times New Roman" w:eastAsiaTheme="minorEastAsia"/>
          <w:snapToGrid/>
          <w:color w:val="auto"/>
          <w:kern w:val="2"/>
          <w:sz w:val="24"/>
          <w:szCs w:val="24"/>
          <w:lang w:val="en-US" w:eastAsia="zh-CN" w:bidi="ar-SA"/>
        </w:rPr>
        <w:t>，20</w:t>
      </w:r>
      <w:r>
        <w:rPr>
          <w:rFonts w:hint="eastAsia" w:ascii="Times New Roman" w:hAnsi="Times New Roman" w:cs="Times New Roman" w:eastAsiaTheme="minorEastAsia"/>
          <w:snapToGrid/>
          <w:color w:val="auto"/>
          <w:kern w:val="2"/>
          <w:sz w:val="24"/>
          <w:szCs w:val="24"/>
          <w:lang w:val="en-US" w:eastAsia="zh-CN" w:bidi="ar-SA"/>
        </w:rPr>
        <w:t>25</w:t>
      </w:r>
      <w:r>
        <w:rPr>
          <w:rFonts w:hint="default" w:ascii="Times New Roman" w:hAnsi="Times New Roman" w:cs="Times New Roman" w:eastAsiaTheme="minorEastAsia"/>
          <w:snapToGrid/>
          <w:color w:val="auto"/>
          <w:kern w:val="2"/>
          <w:sz w:val="24"/>
          <w:szCs w:val="24"/>
          <w:lang w:val="en-US" w:eastAsia="zh-CN" w:bidi="ar-SA"/>
        </w:rPr>
        <w:t>年平均气温最高（</w:t>
      </w:r>
      <w:r>
        <w:rPr>
          <w:rFonts w:hint="eastAsia" w:ascii="Times New Roman" w:hAnsi="Times New Roman" w:cs="Times New Roman" w:eastAsiaTheme="minorEastAsia"/>
          <w:snapToGrid/>
          <w:color w:val="auto"/>
          <w:kern w:val="2"/>
          <w:sz w:val="24"/>
          <w:szCs w:val="24"/>
          <w:lang w:val="en-US" w:eastAsia="zh-CN" w:bidi="ar-SA"/>
        </w:rPr>
        <w:t>13.7</w:t>
      </w:r>
      <w:r>
        <w:rPr>
          <w:rFonts w:hint="default" w:ascii="Times New Roman" w:hAnsi="Times New Roman" w:cs="Times New Roman" w:eastAsiaTheme="minorEastAsia"/>
          <w:snapToGrid/>
          <w:color w:val="auto"/>
          <w:kern w:val="2"/>
          <w:sz w:val="24"/>
          <w:szCs w:val="24"/>
          <w:lang w:val="en-US" w:eastAsia="zh-CN" w:bidi="ar-SA"/>
        </w:rPr>
        <w:t>℃），20</w:t>
      </w:r>
      <w:r>
        <w:rPr>
          <w:rFonts w:hint="eastAsia" w:ascii="Times New Roman" w:hAnsi="Times New Roman" w:cs="Times New Roman" w:eastAsiaTheme="minorEastAsia"/>
          <w:snapToGrid/>
          <w:color w:val="auto"/>
          <w:kern w:val="2"/>
          <w:sz w:val="24"/>
          <w:szCs w:val="24"/>
          <w:lang w:val="en-US" w:eastAsia="zh-CN" w:bidi="ar-SA"/>
        </w:rPr>
        <w:t>12</w:t>
      </w:r>
      <w:r>
        <w:rPr>
          <w:rFonts w:hint="default" w:ascii="Times New Roman" w:hAnsi="Times New Roman" w:cs="Times New Roman" w:eastAsiaTheme="minorEastAsia"/>
          <w:snapToGrid/>
          <w:color w:val="auto"/>
          <w:kern w:val="2"/>
          <w:sz w:val="24"/>
          <w:szCs w:val="24"/>
          <w:lang w:val="en-US" w:eastAsia="zh-CN" w:bidi="ar-SA"/>
        </w:rPr>
        <w:t>年年平均气温最低（</w:t>
      </w:r>
      <w:r>
        <w:rPr>
          <w:rFonts w:hint="eastAsia" w:ascii="Times New Roman" w:hAnsi="Times New Roman" w:cs="Times New Roman" w:eastAsiaTheme="minorEastAsia"/>
          <w:snapToGrid/>
          <w:color w:val="auto"/>
          <w:kern w:val="2"/>
          <w:sz w:val="24"/>
          <w:szCs w:val="24"/>
          <w:lang w:val="en-US" w:eastAsia="zh-CN" w:bidi="ar-SA"/>
        </w:rPr>
        <w:t>11.6</w:t>
      </w:r>
      <w:r>
        <w:rPr>
          <w:rFonts w:hint="default" w:ascii="Times New Roman" w:hAnsi="Times New Roman" w:cs="Times New Roman" w:eastAsiaTheme="minorEastAsia"/>
          <w:snapToGrid/>
          <w:color w:val="auto"/>
          <w:kern w:val="2"/>
          <w:sz w:val="24"/>
          <w:szCs w:val="24"/>
          <w:lang w:val="en-US" w:eastAsia="zh-CN" w:bidi="ar-SA"/>
        </w:rPr>
        <w:t>℃）</w:t>
      </w:r>
      <w:r>
        <w:rPr>
          <w:rFonts w:hint="default" w:ascii="Times New Roman" w:hAnsi="Times New Roman" w:cs="Times New Roman" w:eastAsiaTheme="minorEastAsia"/>
          <w:color w:val="auto"/>
          <w:lang w:val="en-US" w:eastAsia="zh-CN"/>
        </w:rPr>
        <w:t>。</w:t>
      </w:r>
    </w:p>
    <w:p w14:paraId="564F574E">
      <w:pPr>
        <w:spacing w:line="360" w:lineRule="auto"/>
        <w:jc w:val="center"/>
        <w:rPr>
          <w:rFonts w:hint="default" w:ascii="Times New Roman" w:hAnsi="Times New Roman" w:cs="Times New Roman" w:eastAsiaTheme="minorEastAsia"/>
        </w:rPr>
      </w:pPr>
    </w:p>
    <w:p w14:paraId="09BD1AB8">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 xml:space="preserve">图5.2-2  </w:t>
      </w:r>
      <w:r>
        <w:rPr>
          <w:rFonts w:hint="eastAsia" w:ascii="Times New Roman" w:hAnsi="Times New Roman" w:cs="Times New Roman" w:eastAsiaTheme="minorEastAsia"/>
          <w:b/>
          <w:szCs w:val="21"/>
          <w:lang w:val="en-US" w:eastAsia="zh-CN"/>
        </w:rPr>
        <w:t>莎车县</w:t>
      </w:r>
      <w:r>
        <w:rPr>
          <w:rFonts w:hint="default" w:ascii="Times New Roman" w:hAnsi="Times New Roman" w:cs="Times New Roman" w:eastAsiaTheme="minorEastAsia"/>
          <w:b/>
          <w:szCs w:val="21"/>
          <w:lang w:val="en-US" w:eastAsia="zh-CN"/>
        </w:rPr>
        <w:t>近20年平均气温（单位：℃，虚线为趋势线）</w:t>
      </w:r>
    </w:p>
    <w:p w14:paraId="777AA53D">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（2）风速、风向</w:t>
      </w:r>
    </w:p>
    <w:p w14:paraId="0B45E4DC">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1）月平均风速</w:t>
      </w:r>
    </w:p>
    <w:p w14:paraId="25C553DB">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莎车县</w:t>
      </w:r>
      <w:r>
        <w:rPr>
          <w:rFonts w:hint="default" w:ascii="Times New Roman" w:hAnsi="Times New Roman" w:cs="Times New Roman" w:eastAsiaTheme="minorEastAsia"/>
          <w:sz w:val="24"/>
          <w:lang w:val="en-US" w:eastAsia="zh-CN"/>
        </w:rPr>
        <w:t>气象站</w:t>
      </w:r>
      <w:r>
        <w:rPr>
          <w:rFonts w:hint="eastAsia" w:ascii="Times New Roman" w:hAnsi="Times New Roman" w:cs="Times New Roman" w:eastAsiaTheme="minorEastAsia"/>
          <w:sz w:val="24"/>
          <w:lang w:val="en-US" w:eastAsia="zh-CN"/>
        </w:rPr>
        <w:t>6</w:t>
      </w:r>
      <w:r>
        <w:rPr>
          <w:rFonts w:hint="default" w:ascii="Times New Roman" w:hAnsi="Times New Roman" w:cs="Times New Roman" w:eastAsiaTheme="minorEastAsia"/>
          <w:sz w:val="24"/>
          <w:lang w:val="en-US" w:eastAsia="zh-CN"/>
        </w:rPr>
        <w:t>月平均风速最大（</w:t>
      </w:r>
      <w:r>
        <w:rPr>
          <w:rFonts w:hint="eastAsia" w:ascii="Times New Roman" w:hAnsi="Times New Roman" w:cs="Times New Roman" w:eastAsiaTheme="minorEastAsia"/>
          <w:sz w:val="24"/>
          <w:lang w:val="en-US" w:eastAsia="zh-CN"/>
        </w:rPr>
        <w:t>1.9</w:t>
      </w:r>
      <w:r>
        <w:rPr>
          <w:rFonts w:hint="default" w:ascii="Times New Roman" w:hAnsi="Times New Roman" w:cs="Times New Roman" w:eastAsiaTheme="minorEastAsia"/>
          <w:sz w:val="24"/>
          <w:lang w:val="en-US" w:eastAsia="zh-CN"/>
        </w:rPr>
        <w:t>m/s），1</w:t>
      </w:r>
      <w:r>
        <w:rPr>
          <w:rFonts w:hint="eastAsia" w:ascii="Times New Roman" w:hAnsi="Times New Roman" w:cs="Times New Roman" w:eastAsiaTheme="minorEastAsia"/>
          <w:sz w:val="24"/>
          <w:lang w:val="en-US" w:eastAsia="zh-CN"/>
        </w:rPr>
        <w:t>月、11月、12</w:t>
      </w:r>
      <w:r>
        <w:rPr>
          <w:rFonts w:hint="default" w:ascii="Times New Roman" w:hAnsi="Times New Roman" w:cs="Times New Roman" w:eastAsiaTheme="minorEastAsia"/>
          <w:sz w:val="24"/>
          <w:lang w:val="en-US" w:eastAsia="zh-CN"/>
        </w:rPr>
        <w:t>月平均风速最小（</w:t>
      </w:r>
      <w:r>
        <w:rPr>
          <w:rFonts w:hint="eastAsia" w:ascii="Times New Roman" w:hAnsi="Times New Roman" w:cs="Times New Roman" w:eastAsiaTheme="minorEastAsia"/>
          <w:sz w:val="24"/>
          <w:lang w:val="en-US" w:eastAsia="zh-CN"/>
        </w:rPr>
        <w:t>0.9</w:t>
      </w:r>
      <w:r>
        <w:rPr>
          <w:rFonts w:hint="default" w:ascii="Times New Roman" w:hAnsi="Times New Roman" w:cs="Times New Roman" w:eastAsiaTheme="minorEastAsia"/>
          <w:sz w:val="24"/>
          <w:lang w:val="en-US" w:eastAsia="zh-CN"/>
        </w:rPr>
        <w:t>m/s），</w:t>
      </w:r>
      <w:r>
        <w:rPr>
          <w:rFonts w:hint="eastAsia" w:ascii="Times New Roman" w:hAnsi="Times New Roman" w:cs="Times New Roman" w:eastAsiaTheme="minorEastAsia"/>
          <w:sz w:val="24"/>
          <w:lang w:val="en-US" w:eastAsia="zh-CN"/>
        </w:rPr>
        <w:t>莎车县</w:t>
      </w:r>
      <w:r>
        <w:rPr>
          <w:rFonts w:hint="default" w:ascii="Times New Roman" w:hAnsi="Times New Roman" w:cs="Times New Roman" w:eastAsiaTheme="minorEastAsia"/>
          <w:sz w:val="24"/>
          <w:lang w:val="en-US" w:eastAsia="zh-CN"/>
        </w:rPr>
        <w:t>月平均风速变化见下图5.2-3。</w:t>
      </w:r>
    </w:p>
    <w:p w14:paraId="654E5273">
      <w:pPr>
        <w:pStyle w:val="20"/>
        <w:snapToGrid w:val="0"/>
        <w:ind w:left="0" w:leftChars="0" w:firstLine="0" w:firstLineChars="0"/>
        <w:jc w:val="left"/>
        <w:rPr>
          <w:rFonts w:hint="default" w:ascii="Times New Roman" w:hAnsi="Times New Roman" w:cs="Times New Roman" w:eastAsiaTheme="minorEastAsia"/>
          <w:color w:val="auto"/>
          <w:lang w:val="en-US" w:eastAsia="zh-CN"/>
        </w:rPr>
      </w:pPr>
    </w:p>
    <w:p w14:paraId="1F6C8D1C">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 xml:space="preserve">图5.2-3  </w:t>
      </w:r>
      <w:r>
        <w:rPr>
          <w:rFonts w:hint="eastAsia" w:ascii="Times New Roman" w:hAnsi="Times New Roman" w:cs="Times New Roman" w:eastAsiaTheme="minorEastAsia"/>
          <w:b/>
          <w:szCs w:val="21"/>
          <w:lang w:val="en-US" w:eastAsia="zh-CN"/>
        </w:rPr>
        <w:t>莎车县</w:t>
      </w:r>
      <w:r>
        <w:rPr>
          <w:rFonts w:hint="default" w:ascii="Times New Roman" w:hAnsi="Times New Roman" w:cs="Times New Roman" w:eastAsiaTheme="minorEastAsia"/>
          <w:b/>
          <w:szCs w:val="21"/>
          <w:lang w:val="en-US" w:eastAsia="zh-CN"/>
        </w:rPr>
        <w:t>月平均风速（单位：m/s）</w:t>
      </w:r>
    </w:p>
    <w:p w14:paraId="688AC8D3">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2）风向特征</w:t>
      </w:r>
    </w:p>
    <w:p w14:paraId="494B793D">
      <w:pPr>
        <w:adjustRightInd w:val="0"/>
        <w:snapToGrid w:val="0"/>
        <w:spacing w:before="250" w:beforeLines="50"/>
        <w:jc w:val="center"/>
      </w:pPr>
    </w:p>
    <w:p w14:paraId="44A127D5">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 xml:space="preserve">图5.2-4  </w:t>
      </w:r>
      <w:r>
        <w:rPr>
          <w:rFonts w:hint="eastAsia" w:ascii="Times New Roman" w:hAnsi="Times New Roman" w:cs="Times New Roman"/>
          <w:b/>
          <w:szCs w:val="21"/>
          <w:lang w:val="en-US" w:eastAsia="zh-CN"/>
        </w:rPr>
        <w:t>莎车县</w:t>
      </w:r>
      <w:r>
        <w:rPr>
          <w:rFonts w:hint="default" w:ascii="Times New Roman" w:hAnsi="Times New Roman" w:cs="Times New Roman" w:eastAsiaTheme="minorEastAsia"/>
          <w:b/>
          <w:szCs w:val="21"/>
          <w:lang w:val="en-US" w:eastAsia="zh-CN"/>
        </w:rPr>
        <w:t>风向玫瑰图</w:t>
      </w:r>
    </w:p>
    <w:p w14:paraId="1E9BA3E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en-US"/>
        </w:rPr>
      </w:pPr>
      <w:r>
        <w:rPr>
          <w:rFonts w:hint="default" w:ascii="Times New Roman" w:hAnsi="Times New Roman" w:cs="Times New Roman" w:eastAsiaTheme="minorEastAsia"/>
          <w:sz w:val="24"/>
          <w:lang w:val="en-US" w:eastAsia="zh-CN"/>
        </w:rPr>
        <w:t>3）</w:t>
      </w:r>
      <w:r>
        <w:rPr>
          <w:rFonts w:hint="default" w:ascii="Times New Roman" w:hAnsi="Times New Roman" w:cs="Times New Roman" w:eastAsiaTheme="minorEastAsia"/>
          <w:sz w:val="24"/>
          <w:lang w:val="en-US" w:eastAsia="en-US"/>
        </w:rPr>
        <w:t>风速年际变化特征</w:t>
      </w:r>
    </w:p>
    <w:p w14:paraId="0A53221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en-US"/>
        </w:rPr>
      </w:pPr>
      <w:r>
        <w:rPr>
          <w:rFonts w:hint="default" w:ascii="Times New Roman" w:hAnsi="Times New Roman" w:cs="Times New Roman" w:eastAsiaTheme="minorEastAsia"/>
          <w:sz w:val="24"/>
          <w:lang w:val="en-US" w:eastAsia="en-US"/>
        </w:rPr>
        <w:t>根据近20年资料分析，</w:t>
      </w:r>
      <w:r>
        <w:rPr>
          <w:rFonts w:hint="eastAsia" w:ascii="Times New Roman" w:hAnsi="Times New Roman" w:cs="Times New Roman" w:eastAsiaTheme="minorEastAsia"/>
          <w:sz w:val="24"/>
          <w:lang w:val="en-US" w:eastAsia="zh-CN"/>
        </w:rPr>
        <w:t>莎车县</w:t>
      </w:r>
      <w:r>
        <w:rPr>
          <w:rFonts w:hint="default" w:ascii="Times New Roman" w:hAnsi="Times New Roman" w:cs="Times New Roman" w:eastAsiaTheme="minorEastAsia"/>
          <w:sz w:val="24"/>
          <w:lang w:val="en-US" w:eastAsia="en-US"/>
        </w:rPr>
        <w:t>气象站风速</w:t>
      </w:r>
      <w:r>
        <w:rPr>
          <w:rFonts w:hint="eastAsia" w:ascii="Times New Roman" w:hAnsi="Times New Roman" w:cs="Times New Roman" w:eastAsiaTheme="minorEastAsia"/>
          <w:sz w:val="24"/>
          <w:lang w:val="en-US" w:eastAsia="zh-CN"/>
        </w:rPr>
        <w:t>无明显变化</w:t>
      </w:r>
      <w:r>
        <w:rPr>
          <w:rFonts w:hint="default" w:ascii="Times New Roman" w:hAnsi="Times New Roman" w:cs="Times New Roman" w:eastAsiaTheme="minorEastAsia"/>
          <w:sz w:val="24"/>
          <w:lang w:val="en-US" w:eastAsia="en-US"/>
        </w:rPr>
        <w:t>趋势</w:t>
      </w:r>
      <w:r>
        <w:rPr>
          <w:rFonts w:hint="default"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en-US"/>
        </w:rPr>
        <w:t>20</w:t>
      </w:r>
      <w:r>
        <w:rPr>
          <w:rFonts w:hint="eastAsia" w:ascii="Times New Roman" w:hAnsi="Times New Roman" w:cs="Times New Roman" w:eastAsiaTheme="minorEastAsia"/>
          <w:sz w:val="24"/>
          <w:lang w:val="en-US" w:eastAsia="zh-CN"/>
        </w:rPr>
        <w:t>14</w:t>
      </w:r>
      <w:r>
        <w:rPr>
          <w:rFonts w:hint="default" w:ascii="Times New Roman" w:hAnsi="Times New Roman" w:cs="Times New Roman" w:eastAsiaTheme="minorEastAsia"/>
          <w:sz w:val="24"/>
          <w:lang w:val="en-US" w:eastAsia="en-US"/>
        </w:rPr>
        <w:t>年年平均风速最大（</w:t>
      </w:r>
      <w:r>
        <w:rPr>
          <w:rFonts w:hint="eastAsia" w:ascii="Times New Roman" w:hAnsi="Times New Roman" w:cs="Times New Roman" w:eastAsiaTheme="minorEastAsia"/>
          <w:sz w:val="24"/>
          <w:lang w:val="en-US" w:eastAsia="zh-CN"/>
        </w:rPr>
        <w:t>1.6</w:t>
      </w:r>
      <w:r>
        <w:rPr>
          <w:rFonts w:hint="default" w:ascii="Times New Roman" w:hAnsi="Times New Roman" w:cs="Times New Roman" w:eastAsiaTheme="minorEastAsia"/>
          <w:sz w:val="24"/>
          <w:lang w:val="en-US" w:eastAsia="zh-CN"/>
        </w:rPr>
        <w:t>m/s</w:t>
      </w:r>
      <w:r>
        <w:rPr>
          <w:rFonts w:hint="default" w:ascii="Times New Roman" w:hAnsi="Times New Roman" w:cs="Times New Roman" w:eastAsiaTheme="minorEastAsia"/>
          <w:sz w:val="24"/>
          <w:lang w:val="en-US" w:eastAsia="en-US"/>
        </w:rPr>
        <w:t>），</w:t>
      </w:r>
      <w:r>
        <w:rPr>
          <w:rFonts w:hint="eastAsia" w:ascii="Times New Roman" w:hAnsi="Times New Roman" w:cs="Times New Roman"/>
          <w:sz w:val="24"/>
          <w:lang w:val="en-US" w:eastAsia="zh-CN"/>
        </w:rPr>
        <w:t>2013年</w:t>
      </w:r>
      <w:r>
        <w:rPr>
          <w:rFonts w:hint="default" w:ascii="Times New Roman" w:hAnsi="Times New Roman" w:cs="Times New Roman" w:eastAsiaTheme="minorEastAsia"/>
          <w:sz w:val="24"/>
          <w:lang w:val="en-US" w:eastAsia="en-US"/>
        </w:rPr>
        <w:t>年平均风速最小（</w:t>
      </w:r>
      <w:r>
        <w:rPr>
          <w:rFonts w:hint="eastAsia" w:ascii="Times New Roman" w:hAnsi="Times New Roman" w:cs="Times New Roman" w:eastAsiaTheme="minorEastAsia"/>
          <w:sz w:val="24"/>
          <w:lang w:val="en-US" w:eastAsia="zh-CN"/>
        </w:rPr>
        <w:t>1.</w:t>
      </w:r>
      <w:r>
        <w:rPr>
          <w:rFonts w:hint="eastAsia" w:ascii="Times New Roman" w:hAnsi="Times New Roman" w:cs="Times New Roman"/>
          <w:sz w:val="24"/>
          <w:lang w:val="en-US" w:eastAsia="zh-CN"/>
        </w:rPr>
        <w:t>2</w:t>
      </w:r>
      <w:r>
        <w:rPr>
          <w:rFonts w:hint="default" w:ascii="Times New Roman" w:hAnsi="Times New Roman" w:cs="Times New Roman" w:eastAsiaTheme="minorEastAsia"/>
          <w:sz w:val="24"/>
          <w:lang w:val="en-US" w:eastAsia="en-US"/>
        </w:rPr>
        <w:t>米/秒）。</w:t>
      </w:r>
    </w:p>
    <w:p w14:paraId="53AEF6CC">
      <w:pPr>
        <w:adjustRightInd w:val="0"/>
        <w:snapToGrid w:val="0"/>
        <w:spacing w:before="250" w:beforeLines="50"/>
        <w:ind w:firstLine="422" w:firstLineChars="20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 xml:space="preserve">图5.2-5 </w:t>
      </w:r>
      <w:r>
        <w:rPr>
          <w:rFonts w:hint="eastAsia" w:ascii="Times New Roman" w:hAnsi="Times New Roman" w:cs="Times New Roman" w:eastAsiaTheme="minorEastAsia"/>
          <w:b/>
          <w:szCs w:val="21"/>
          <w:lang w:val="en-US" w:eastAsia="zh-CN"/>
        </w:rPr>
        <w:t xml:space="preserve"> 莎车县</w:t>
      </w:r>
      <w:r>
        <w:rPr>
          <w:rFonts w:hint="default" w:ascii="Times New Roman" w:hAnsi="Times New Roman" w:cs="Times New Roman" w:eastAsiaTheme="minorEastAsia"/>
          <w:b/>
          <w:szCs w:val="21"/>
          <w:lang w:val="en-US" w:eastAsia="zh-CN"/>
        </w:rPr>
        <w:t>（200</w:t>
      </w:r>
      <w:r>
        <w:rPr>
          <w:rFonts w:hint="eastAsia" w:ascii="Times New Roman" w:hAnsi="Times New Roman" w:cs="Times New Roman" w:eastAsiaTheme="minorEastAsia"/>
          <w:b/>
          <w:szCs w:val="21"/>
          <w:lang w:val="en-US" w:eastAsia="zh-CN"/>
        </w:rPr>
        <w:t>6</w:t>
      </w:r>
      <w:r>
        <w:rPr>
          <w:rFonts w:hint="default" w:ascii="Times New Roman" w:hAnsi="Times New Roman" w:cs="Times New Roman" w:eastAsiaTheme="minorEastAsia"/>
          <w:b/>
          <w:szCs w:val="21"/>
          <w:lang w:val="en-US" w:eastAsia="zh-CN"/>
        </w:rPr>
        <w:t>-202</w:t>
      </w:r>
      <w:r>
        <w:rPr>
          <w:rFonts w:hint="eastAsia" w:ascii="Times New Roman" w:hAnsi="Times New Roman" w:cs="Times New Roman" w:eastAsiaTheme="minorEastAsia"/>
          <w:b/>
          <w:szCs w:val="21"/>
          <w:lang w:val="en-US" w:eastAsia="zh-CN"/>
        </w:rPr>
        <w:t>5</w:t>
      </w:r>
      <w:r>
        <w:rPr>
          <w:rFonts w:hint="default" w:ascii="Times New Roman" w:hAnsi="Times New Roman" w:cs="Times New Roman" w:eastAsiaTheme="minorEastAsia"/>
          <w:b/>
          <w:szCs w:val="21"/>
          <w:lang w:val="en-US" w:eastAsia="zh-CN"/>
        </w:rPr>
        <w:t>）年平均风速（单位：m/s，虚线为趋势线）</w:t>
      </w:r>
    </w:p>
    <w:p w14:paraId="2F4B60EB">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3</w:t>
      </w:r>
      <w:r>
        <w:rPr>
          <w:rFonts w:hint="default" w:ascii="Times New Roman" w:hAnsi="Times New Roman" w:cs="Times New Roman" w:eastAsiaTheme="minorEastAsia"/>
          <w:sz w:val="24"/>
          <w:lang w:val="en-US" w:eastAsia="zh-CN"/>
        </w:rPr>
        <w:t>）相对湿度</w:t>
      </w:r>
    </w:p>
    <w:p w14:paraId="75661A21">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1）月相对湿度分析</w:t>
      </w:r>
    </w:p>
    <w:p w14:paraId="60BDA5C0">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en-US"/>
        </w:rPr>
      </w:pPr>
      <w:r>
        <w:rPr>
          <w:rFonts w:hint="eastAsia" w:ascii="Times New Roman" w:hAnsi="Times New Roman" w:cs="Times New Roman" w:eastAsiaTheme="minorEastAsia"/>
          <w:sz w:val="24"/>
          <w:lang w:val="en-US" w:eastAsia="zh-CN"/>
        </w:rPr>
        <w:t>莎车县</w:t>
      </w:r>
      <w:r>
        <w:rPr>
          <w:rFonts w:hint="default" w:ascii="Times New Roman" w:hAnsi="Times New Roman" w:cs="Times New Roman" w:eastAsiaTheme="minorEastAsia"/>
          <w:sz w:val="24"/>
          <w:lang w:val="en-US" w:eastAsia="en-US"/>
        </w:rPr>
        <w:t>气象站</w:t>
      </w:r>
      <w:r>
        <w:rPr>
          <w:rFonts w:hint="eastAsia" w:ascii="Times New Roman" w:hAnsi="Times New Roman" w:cs="Times New Roman" w:eastAsiaTheme="minorEastAsia"/>
          <w:sz w:val="24"/>
          <w:lang w:val="en-US" w:eastAsia="zh-CN"/>
        </w:rPr>
        <w:t>1</w:t>
      </w:r>
      <w:r>
        <w:rPr>
          <w:rFonts w:hint="default" w:ascii="Times New Roman" w:hAnsi="Times New Roman" w:cs="Times New Roman" w:eastAsiaTheme="minorEastAsia"/>
          <w:sz w:val="24"/>
          <w:lang w:val="en-US" w:eastAsia="zh-CN"/>
        </w:rPr>
        <w:t>2</w:t>
      </w:r>
      <w:r>
        <w:rPr>
          <w:rFonts w:hint="default" w:ascii="Times New Roman" w:hAnsi="Times New Roman" w:cs="Times New Roman" w:eastAsiaTheme="minorEastAsia"/>
          <w:sz w:val="24"/>
          <w:lang w:val="en-US" w:eastAsia="en-US"/>
        </w:rPr>
        <w:t>月平均相对湿度最大（</w:t>
      </w:r>
      <w:r>
        <w:rPr>
          <w:rFonts w:hint="eastAsia" w:ascii="Times New Roman" w:hAnsi="Times New Roman" w:cs="Times New Roman" w:eastAsiaTheme="minorEastAsia"/>
          <w:sz w:val="24"/>
          <w:lang w:val="en-US" w:eastAsia="zh-CN"/>
        </w:rPr>
        <w:t>60.7</w:t>
      </w:r>
      <w:r>
        <w:rPr>
          <w:rFonts w:hint="default" w:ascii="Times New Roman" w:hAnsi="Times New Roman" w:cs="Times New Roman" w:eastAsiaTheme="minorEastAsia"/>
          <w:sz w:val="24"/>
          <w:lang w:val="en-US" w:eastAsia="en-US"/>
        </w:rPr>
        <w:t>%），</w:t>
      </w:r>
      <w:r>
        <w:rPr>
          <w:rFonts w:hint="eastAsia" w:ascii="Times New Roman" w:hAnsi="Times New Roman" w:cs="Times New Roman" w:eastAsiaTheme="minorEastAsia"/>
          <w:sz w:val="24"/>
          <w:lang w:val="en-US" w:eastAsia="zh-CN"/>
        </w:rPr>
        <w:t>4</w:t>
      </w:r>
      <w:r>
        <w:rPr>
          <w:rFonts w:hint="default" w:ascii="Times New Roman" w:hAnsi="Times New Roman" w:cs="Times New Roman" w:eastAsiaTheme="minorEastAsia"/>
          <w:sz w:val="24"/>
          <w:lang w:val="en-US" w:eastAsia="en-US"/>
        </w:rPr>
        <w:t>月平均相对湿度最小（</w:t>
      </w:r>
      <w:r>
        <w:rPr>
          <w:rFonts w:hint="eastAsia" w:ascii="Times New Roman" w:hAnsi="Times New Roman" w:cs="Times New Roman" w:eastAsiaTheme="minorEastAsia"/>
          <w:sz w:val="24"/>
          <w:lang w:val="en-US" w:eastAsia="zh-CN"/>
        </w:rPr>
        <w:t>32.3</w:t>
      </w:r>
      <w:r>
        <w:rPr>
          <w:rFonts w:hint="default" w:ascii="Times New Roman" w:hAnsi="Times New Roman" w:cs="Times New Roman" w:eastAsiaTheme="minorEastAsia"/>
          <w:sz w:val="24"/>
          <w:lang w:val="en-US" w:eastAsia="en-US"/>
        </w:rPr>
        <w:t>%）。</w:t>
      </w:r>
    </w:p>
    <w:p w14:paraId="6F8C19FE">
      <w:pPr>
        <w:adjustRightInd w:val="0"/>
        <w:snapToGrid w:val="0"/>
        <w:spacing w:before="250" w:beforeLines="50"/>
        <w:ind w:firstLine="420" w:firstLineChars="200"/>
        <w:jc w:val="center"/>
      </w:pPr>
    </w:p>
    <w:p w14:paraId="471DC286">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图5.2-</w:t>
      </w:r>
      <w:r>
        <w:rPr>
          <w:rFonts w:hint="eastAsia" w:ascii="Times New Roman" w:hAnsi="Times New Roman" w:cs="Times New Roman" w:eastAsiaTheme="minorEastAsia"/>
          <w:b/>
          <w:szCs w:val="21"/>
          <w:lang w:val="en-US" w:eastAsia="zh-CN"/>
        </w:rPr>
        <w:t>6</w:t>
      </w:r>
      <w:r>
        <w:rPr>
          <w:rFonts w:hint="default" w:ascii="Times New Roman" w:hAnsi="Times New Roman" w:cs="Times New Roman" w:eastAsiaTheme="minorEastAsia"/>
          <w:b/>
          <w:szCs w:val="21"/>
          <w:lang w:val="en-US" w:eastAsia="zh-CN"/>
        </w:rPr>
        <w:t xml:space="preserve">  </w:t>
      </w:r>
      <w:r>
        <w:rPr>
          <w:rFonts w:hint="eastAsia" w:ascii="Times New Roman" w:hAnsi="Times New Roman" w:cs="Times New Roman" w:eastAsiaTheme="minorEastAsia"/>
          <w:b/>
          <w:szCs w:val="21"/>
          <w:lang w:val="en-US" w:eastAsia="zh-CN"/>
        </w:rPr>
        <w:t>莎车县</w:t>
      </w:r>
      <w:r>
        <w:rPr>
          <w:rFonts w:hint="default" w:ascii="Times New Roman" w:hAnsi="Times New Roman" w:cs="Times New Roman" w:eastAsiaTheme="minorEastAsia"/>
          <w:b/>
          <w:szCs w:val="21"/>
          <w:lang w:val="en-US" w:eastAsia="zh-CN"/>
        </w:rPr>
        <w:t>月平均相对湿度（纵轴为百分比）</w:t>
      </w:r>
    </w:p>
    <w:p w14:paraId="0EA8DF73">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2）相对湿度年际变化趋势</w:t>
      </w:r>
    </w:p>
    <w:p w14:paraId="1A9B67AD">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莎车县</w:t>
      </w:r>
      <w:r>
        <w:rPr>
          <w:rFonts w:hint="default" w:ascii="Times New Roman" w:hAnsi="Times New Roman" w:cs="Times New Roman" w:eastAsiaTheme="minorEastAsia"/>
          <w:sz w:val="24"/>
          <w:lang w:val="en-US" w:eastAsia="zh-CN"/>
        </w:rPr>
        <w:t>气象站近20年年平均相对湿度无明显变化，20</w:t>
      </w:r>
      <w:r>
        <w:rPr>
          <w:rFonts w:hint="eastAsia" w:ascii="Times New Roman" w:hAnsi="Times New Roman" w:cs="Times New Roman" w:eastAsiaTheme="minorEastAsia"/>
          <w:sz w:val="24"/>
          <w:lang w:val="en-US" w:eastAsia="zh-CN"/>
        </w:rPr>
        <w:t>06</w:t>
      </w:r>
      <w:r>
        <w:rPr>
          <w:rFonts w:hint="default" w:ascii="Times New Roman" w:hAnsi="Times New Roman" w:cs="Times New Roman" w:eastAsiaTheme="minorEastAsia"/>
          <w:sz w:val="24"/>
          <w:lang w:val="en-US" w:eastAsia="zh-CN"/>
        </w:rPr>
        <w:t>年年平均相对湿度最大（</w:t>
      </w:r>
      <w:r>
        <w:rPr>
          <w:rFonts w:hint="eastAsia" w:ascii="Times New Roman" w:hAnsi="Times New Roman" w:cs="Times New Roman" w:eastAsiaTheme="minorEastAsia"/>
          <w:sz w:val="24"/>
          <w:lang w:val="en-US" w:eastAsia="zh-CN"/>
        </w:rPr>
        <w:t>52</w:t>
      </w:r>
      <w:r>
        <w:rPr>
          <w:rFonts w:hint="default" w:ascii="Times New Roman" w:hAnsi="Times New Roman" w:cs="Times New Roman" w:eastAsiaTheme="minorEastAsia"/>
          <w:sz w:val="24"/>
          <w:lang w:val="en-US" w:eastAsia="zh-CN"/>
        </w:rPr>
        <w:t>%），20</w:t>
      </w:r>
      <w:r>
        <w:rPr>
          <w:rFonts w:hint="eastAsia" w:ascii="Times New Roman" w:hAnsi="Times New Roman" w:cs="Times New Roman" w:eastAsiaTheme="minorEastAsia"/>
          <w:sz w:val="24"/>
          <w:lang w:val="en-US" w:eastAsia="zh-CN"/>
        </w:rPr>
        <w:t>25</w:t>
      </w:r>
      <w:r>
        <w:rPr>
          <w:rFonts w:hint="default" w:ascii="Times New Roman" w:hAnsi="Times New Roman" w:cs="Times New Roman" w:eastAsiaTheme="minorEastAsia"/>
          <w:sz w:val="24"/>
          <w:lang w:val="en-US" w:eastAsia="zh-CN"/>
        </w:rPr>
        <w:t>年年平均相对湿度最小（</w:t>
      </w:r>
      <w:r>
        <w:rPr>
          <w:rFonts w:hint="eastAsia" w:ascii="Times New Roman" w:hAnsi="Times New Roman" w:cs="Times New Roman" w:eastAsiaTheme="minorEastAsia"/>
          <w:sz w:val="24"/>
          <w:lang w:val="en-US" w:eastAsia="zh-CN"/>
        </w:rPr>
        <w:t>40</w:t>
      </w:r>
      <w:r>
        <w:rPr>
          <w:rFonts w:hint="default" w:ascii="Times New Roman" w:hAnsi="Times New Roman" w:cs="Times New Roman" w:eastAsiaTheme="minorEastAsia"/>
          <w:sz w:val="24"/>
          <w:lang w:val="en-US" w:eastAsia="zh-CN"/>
        </w:rPr>
        <w:t>%）。</w:t>
      </w:r>
    </w:p>
    <w:p w14:paraId="7227E64D">
      <w:pPr>
        <w:pStyle w:val="20"/>
        <w:snapToGrid w:val="0"/>
        <w:spacing w:line="360" w:lineRule="auto"/>
        <w:jc w:val="left"/>
        <w:rPr>
          <w:rFonts w:hint="default" w:ascii="Times New Roman" w:hAnsi="Times New Roman" w:cs="Times New Roman" w:eastAsiaTheme="minorEastAsia"/>
          <w:b/>
          <w:bCs/>
          <w:color w:val="auto"/>
          <w:lang w:val="en-US" w:eastAsia="zh-CN"/>
        </w:rPr>
      </w:pPr>
    </w:p>
    <w:p w14:paraId="10F32285">
      <w:pPr>
        <w:pStyle w:val="20"/>
        <w:snapToGrid w:val="0"/>
        <w:spacing w:line="360" w:lineRule="auto"/>
        <w:jc w:val="left"/>
        <w:rPr>
          <w:rFonts w:hint="default" w:ascii="Times New Roman" w:hAnsi="Times New Roman" w:cs="Times New Roman" w:eastAsiaTheme="minorEastAsia"/>
          <w:b/>
          <w:bCs/>
          <w:color w:val="auto"/>
          <w:lang w:val="en-US" w:eastAsia="zh-CN"/>
        </w:rPr>
      </w:pPr>
    </w:p>
    <w:p w14:paraId="54724882">
      <w:pPr>
        <w:pStyle w:val="20"/>
        <w:snapToGrid w:val="0"/>
        <w:spacing w:line="360" w:lineRule="auto"/>
        <w:jc w:val="left"/>
        <w:rPr>
          <w:rFonts w:hint="default" w:ascii="Times New Roman" w:hAnsi="Times New Roman" w:cs="Times New Roman" w:eastAsiaTheme="minorEastAsia"/>
          <w:b/>
          <w:bCs/>
          <w:color w:val="auto"/>
          <w:lang w:val="en-US" w:eastAsia="zh-CN"/>
        </w:rPr>
      </w:pPr>
    </w:p>
    <w:p w14:paraId="7B486EBC">
      <w:pPr>
        <w:adjustRightInd w:val="0"/>
        <w:snapToGrid w:val="0"/>
        <w:spacing w:before="250" w:beforeLines="50"/>
        <w:ind w:firstLine="420" w:firstLineChars="200"/>
        <w:jc w:val="center"/>
      </w:pPr>
    </w:p>
    <w:p w14:paraId="16047C47">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图5.2-</w:t>
      </w:r>
      <w:r>
        <w:rPr>
          <w:rFonts w:hint="eastAsia" w:ascii="Times New Roman" w:hAnsi="Times New Roman" w:cs="Times New Roman" w:eastAsiaTheme="minorEastAsia"/>
          <w:b/>
          <w:szCs w:val="21"/>
          <w:lang w:val="en-US" w:eastAsia="zh-CN"/>
        </w:rPr>
        <w:t>7</w:t>
      </w:r>
      <w:r>
        <w:rPr>
          <w:rFonts w:hint="default" w:ascii="Times New Roman" w:hAnsi="Times New Roman" w:cs="Times New Roman" w:eastAsiaTheme="minorEastAsia"/>
          <w:b/>
          <w:szCs w:val="21"/>
          <w:lang w:val="en-US" w:eastAsia="zh-CN"/>
        </w:rPr>
        <w:t xml:space="preserve"> </w:t>
      </w:r>
      <w:r>
        <w:rPr>
          <w:rFonts w:hint="eastAsia" w:ascii="Times New Roman" w:hAnsi="Times New Roman" w:cs="Times New Roman" w:eastAsiaTheme="minorEastAsia"/>
          <w:b/>
          <w:szCs w:val="21"/>
          <w:lang w:val="en-US" w:eastAsia="zh-CN"/>
        </w:rPr>
        <w:t xml:space="preserve"> 莎车县</w:t>
      </w:r>
      <w:r>
        <w:rPr>
          <w:rFonts w:hint="default" w:ascii="Times New Roman" w:hAnsi="Times New Roman" w:cs="Times New Roman" w:eastAsiaTheme="minorEastAsia"/>
          <w:b/>
          <w:szCs w:val="21"/>
          <w:lang w:val="en-US" w:eastAsia="zh-CN"/>
        </w:rPr>
        <w:t>（200</w:t>
      </w:r>
      <w:r>
        <w:rPr>
          <w:rFonts w:hint="eastAsia" w:ascii="Times New Roman" w:hAnsi="Times New Roman" w:cs="Times New Roman" w:eastAsiaTheme="minorEastAsia"/>
          <w:b/>
          <w:szCs w:val="21"/>
          <w:lang w:val="en-US" w:eastAsia="zh-CN"/>
        </w:rPr>
        <w:t>6</w:t>
      </w:r>
      <w:r>
        <w:rPr>
          <w:rFonts w:hint="default" w:ascii="Times New Roman" w:hAnsi="Times New Roman" w:cs="Times New Roman" w:eastAsiaTheme="minorEastAsia"/>
          <w:b/>
          <w:szCs w:val="21"/>
          <w:lang w:val="en-US" w:eastAsia="zh-CN"/>
        </w:rPr>
        <w:t>-202</w:t>
      </w:r>
      <w:r>
        <w:rPr>
          <w:rFonts w:hint="eastAsia" w:ascii="Times New Roman" w:hAnsi="Times New Roman" w:cs="Times New Roman" w:eastAsiaTheme="minorEastAsia"/>
          <w:b/>
          <w:szCs w:val="21"/>
          <w:lang w:val="en-US" w:eastAsia="zh-CN"/>
        </w:rPr>
        <w:t>5</w:t>
      </w:r>
      <w:r>
        <w:rPr>
          <w:rFonts w:hint="default" w:ascii="Times New Roman" w:hAnsi="Times New Roman" w:cs="Times New Roman" w:eastAsiaTheme="minorEastAsia"/>
          <w:b/>
          <w:szCs w:val="21"/>
          <w:lang w:val="en-US" w:eastAsia="zh-CN"/>
        </w:rPr>
        <w:t>）年平均相对湿度（纵轴为百分比，虚线为趋势线）</w:t>
      </w:r>
    </w:p>
    <w:p w14:paraId="58DEDFFB">
      <w:pPr>
        <w:pStyle w:val="20"/>
        <w:snapToGrid w:val="0"/>
        <w:ind w:left="0" w:leftChars="0" w:firstLine="0" w:firstLineChars="0"/>
        <w:jc w:val="left"/>
        <w:rPr>
          <w:rFonts w:hint="default" w:ascii="Times New Roman" w:hAnsi="Times New Roman" w:cs="Times New Roman" w:eastAsiaTheme="minorEastAsia"/>
          <w:b/>
          <w:bCs/>
          <w:color w:val="auto"/>
          <w:lang w:val="en-US" w:eastAsia="zh-CN"/>
        </w:rPr>
      </w:pPr>
      <w:r>
        <w:rPr>
          <w:rFonts w:hint="default" w:ascii="Times New Roman" w:hAnsi="Times New Roman" w:cs="Times New Roman" w:eastAsiaTheme="minorEastAsia"/>
          <w:b/>
          <w:bCs/>
          <w:color w:val="auto"/>
          <w:lang w:val="en-US" w:eastAsia="zh-CN"/>
        </w:rPr>
        <w:t>5.2.1.2</w:t>
      </w:r>
      <w:r>
        <w:rPr>
          <w:rFonts w:hint="default" w:ascii="Times New Roman" w:hAnsi="Times New Roman" w:cs="Times New Roman" w:eastAsiaTheme="minorEastAsia"/>
          <w:b/>
          <w:bCs/>
          <w:color w:val="auto"/>
          <w:lang w:val="en-US" w:eastAsia="en-US"/>
        </w:rPr>
        <w:t>评价因子与等级的确定</w:t>
      </w:r>
    </w:p>
    <w:p w14:paraId="4061D454">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en-US"/>
        </w:rPr>
      </w:pPr>
      <w:bookmarkStart w:id="211" w:name="_Toc28488"/>
      <w:bookmarkStart w:id="212" w:name="_Toc20642"/>
      <w:bookmarkStart w:id="213" w:name="_Toc9093"/>
      <w:r>
        <w:rPr>
          <w:rFonts w:hint="default" w:ascii="Times New Roman" w:hAnsi="Times New Roman" w:cs="Times New Roman" w:eastAsiaTheme="minorEastAsia"/>
          <w:sz w:val="24"/>
          <w:lang w:val="en-US" w:eastAsia="en-US"/>
        </w:rPr>
        <w:t>根据</w:t>
      </w:r>
      <w:r>
        <w:rPr>
          <w:rFonts w:hint="default" w:ascii="Times New Roman" w:hAnsi="Times New Roman" w:cs="Times New Roman" w:eastAsiaTheme="minorEastAsia"/>
          <w:sz w:val="24"/>
          <w:lang w:val="en-US" w:eastAsia="zh-CN"/>
        </w:rPr>
        <w:t>2.4.1章节分析，本项目评价等级为一级。</w:t>
      </w:r>
    </w:p>
    <w:p w14:paraId="1C3397C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en-US"/>
        </w:rPr>
      </w:pPr>
      <w:r>
        <w:rPr>
          <w:rFonts w:hint="default" w:ascii="Times New Roman" w:hAnsi="Times New Roman" w:cs="Times New Roman" w:eastAsiaTheme="minorEastAsia"/>
          <w:sz w:val="24"/>
          <w:lang w:val="en-US" w:eastAsia="en-US"/>
        </w:rPr>
        <w:t>根据本项目废气排放特点，评价因子为</w:t>
      </w:r>
      <w:r>
        <w:rPr>
          <w:rFonts w:hint="default" w:ascii="Times New Roman" w:hAnsi="Times New Roman" w:cs="Times New Roman" w:eastAsiaTheme="minorEastAsia"/>
          <w:sz w:val="24"/>
          <w:lang w:val="en-US" w:eastAsia="zh-CN"/>
        </w:rPr>
        <w:t>SO</w:t>
      </w:r>
      <w:r>
        <w:rPr>
          <w:rFonts w:hint="eastAsia" w:ascii="Times New Roman" w:hAnsi="Times New Roman" w:cs="Times New Roman" w:eastAsiaTheme="minorEastAsia"/>
          <w:sz w:val="24"/>
          <w:vertAlign w:val="subscript"/>
          <w:lang w:val="en-US" w:eastAsia="zh-CN"/>
        </w:rPr>
        <w:t>2</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NO</w:t>
      </w:r>
      <w:r>
        <w:rPr>
          <w:rFonts w:hint="eastAsia" w:ascii="Times New Roman" w:hAnsi="Times New Roman" w:cs="Times New Roman" w:eastAsiaTheme="minorEastAsia"/>
          <w:sz w:val="24"/>
          <w:vertAlign w:val="subscript"/>
          <w:lang w:val="en-US" w:eastAsia="zh-CN"/>
        </w:rPr>
        <w:t>2</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PM</w:t>
      </w:r>
      <w:r>
        <w:rPr>
          <w:rFonts w:hint="eastAsia" w:ascii="Times New Roman" w:hAnsi="Times New Roman" w:cs="Times New Roman" w:eastAsiaTheme="minorEastAsia"/>
          <w:sz w:val="24"/>
          <w:vertAlign w:val="subscript"/>
          <w:lang w:val="en-US" w:eastAsia="zh-CN"/>
        </w:rPr>
        <w:t>10</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PM</w:t>
      </w:r>
      <w:r>
        <w:rPr>
          <w:rFonts w:hint="eastAsia" w:ascii="Times New Roman" w:hAnsi="Times New Roman" w:cs="Times New Roman" w:eastAsiaTheme="minorEastAsia"/>
          <w:sz w:val="24"/>
          <w:vertAlign w:val="subscript"/>
          <w:lang w:val="en-US" w:eastAsia="zh-CN"/>
        </w:rPr>
        <w:t>2.5</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CO</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HCl</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Hg</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Pb</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A</w:t>
      </w:r>
      <w:r>
        <w:rPr>
          <w:rFonts w:hint="eastAsia" w:ascii="Times New Roman" w:hAnsi="Times New Roman" w:cs="Times New Roman" w:eastAsiaTheme="minorEastAsia"/>
          <w:sz w:val="24"/>
          <w:lang w:val="en-US" w:eastAsia="zh-CN"/>
        </w:rPr>
        <w:t>s、</w:t>
      </w:r>
      <w:r>
        <w:rPr>
          <w:rFonts w:hint="default" w:ascii="Times New Roman" w:hAnsi="Times New Roman" w:cs="Times New Roman" w:eastAsiaTheme="minorEastAsia"/>
          <w:sz w:val="24"/>
          <w:lang w:val="en-US" w:eastAsia="zh-CN"/>
        </w:rPr>
        <w:t>Cd</w:t>
      </w:r>
      <w:r>
        <w:rPr>
          <w:rFonts w:hint="eastAsia" w:ascii="Times New Roman" w:hAnsi="Times New Roman" w:cs="Times New Roman" w:eastAsiaTheme="minorEastAsia"/>
          <w:sz w:val="24"/>
          <w:lang w:val="en-US" w:eastAsia="zh-CN"/>
        </w:rPr>
        <w:t>、二噁英、</w:t>
      </w:r>
      <w:r>
        <w:rPr>
          <w:rFonts w:hint="default" w:ascii="Times New Roman" w:hAnsi="Times New Roman" w:cs="Times New Roman" w:eastAsiaTheme="minorEastAsia"/>
          <w:sz w:val="24"/>
          <w:lang w:val="en-US" w:eastAsia="zh-CN"/>
        </w:rPr>
        <w:t>NH</w:t>
      </w:r>
      <w:r>
        <w:rPr>
          <w:rFonts w:hint="eastAsia" w:ascii="Times New Roman" w:hAnsi="Times New Roman" w:cs="Times New Roman" w:eastAsiaTheme="minorEastAsia"/>
          <w:sz w:val="24"/>
          <w:vertAlign w:val="subscript"/>
          <w:lang w:val="en-US" w:eastAsia="zh-CN"/>
        </w:rPr>
        <w:t>3</w:t>
      </w:r>
      <w:r>
        <w:rPr>
          <w:rFonts w:hint="eastAsia" w:ascii="Times New Roman" w:hAnsi="Times New Roman" w:cs="Times New Roman" w:eastAsiaTheme="minorEastAsia"/>
          <w:sz w:val="24"/>
          <w:lang w:val="en-US" w:eastAsia="zh-CN"/>
        </w:rPr>
        <w:t>、氟化物</w:t>
      </w:r>
      <w:r>
        <w:rPr>
          <w:rFonts w:hint="default" w:ascii="Times New Roman" w:hAnsi="Times New Roman" w:cs="Times New Roman" w:eastAsiaTheme="minorEastAsia"/>
          <w:sz w:val="24"/>
          <w:lang w:val="en-US" w:eastAsia="en-US"/>
        </w:rPr>
        <w:t>等</w:t>
      </w:r>
      <w:r>
        <w:rPr>
          <w:rFonts w:hint="default"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en-US"/>
        </w:rPr>
        <w:t>由于本项目SO</w:t>
      </w:r>
      <w:r>
        <w:rPr>
          <w:rFonts w:hint="default" w:ascii="Times New Roman" w:hAnsi="Times New Roman" w:cs="Times New Roman" w:eastAsiaTheme="minorEastAsia"/>
          <w:sz w:val="24"/>
          <w:vertAlign w:val="subscript"/>
          <w:lang w:val="en-US" w:eastAsia="en-US"/>
        </w:rPr>
        <w:t>2</w:t>
      </w:r>
      <w:r>
        <w:rPr>
          <w:rFonts w:hint="default" w:ascii="Times New Roman" w:hAnsi="Times New Roman" w:cs="Times New Roman" w:eastAsiaTheme="minorEastAsia"/>
          <w:sz w:val="24"/>
          <w:lang w:val="en-US" w:eastAsia="en-US"/>
        </w:rPr>
        <w:t>+NO</w:t>
      </w:r>
      <w:r>
        <w:rPr>
          <w:rFonts w:hint="eastAsia" w:ascii="Times New Roman" w:hAnsi="Times New Roman" w:cs="Times New Roman"/>
          <w:sz w:val="24"/>
          <w:lang w:val="en-US" w:eastAsia="zh-CN"/>
        </w:rPr>
        <w:t>x</w:t>
      </w:r>
      <w:r>
        <w:rPr>
          <w:rFonts w:hint="default" w:ascii="Times New Roman" w:hAnsi="Times New Roman" w:cs="Times New Roman" w:eastAsiaTheme="minorEastAsia"/>
          <w:sz w:val="24"/>
          <w:lang w:val="en-US" w:eastAsia="en-US"/>
        </w:rPr>
        <w:t>年排放量＜500t/a，评价因子不考虑PM</w:t>
      </w:r>
      <w:r>
        <w:rPr>
          <w:rFonts w:hint="default" w:ascii="Times New Roman" w:hAnsi="Times New Roman" w:cs="Times New Roman" w:eastAsiaTheme="minorEastAsia"/>
          <w:sz w:val="24"/>
          <w:vertAlign w:val="subscript"/>
          <w:lang w:val="en-US" w:eastAsia="en-US"/>
        </w:rPr>
        <w:t>2.5</w:t>
      </w:r>
      <w:r>
        <w:rPr>
          <w:rFonts w:hint="default"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en-US"/>
        </w:rPr>
        <w:t>二次</w:t>
      </w:r>
      <w:r>
        <w:rPr>
          <w:rFonts w:hint="default"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en-US"/>
        </w:rPr>
        <w:t>。</w:t>
      </w:r>
    </w:p>
    <w:bookmarkEnd w:id="211"/>
    <w:bookmarkEnd w:id="212"/>
    <w:bookmarkEnd w:id="213"/>
    <w:p w14:paraId="29766BA9">
      <w:pPr>
        <w:pStyle w:val="20"/>
        <w:snapToGrid w:val="0"/>
        <w:ind w:left="0" w:leftChars="0" w:firstLine="0" w:firstLineChars="0"/>
        <w:jc w:val="left"/>
        <w:rPr>
          <w:rFonts w:hint="default" w:ascii="Times New Roman" w:hAnsi="Times New Roman" w:cs="Times New Roman" w:eastAsiaTheme="minorEastAsia"/>
          <w:b/>
          <w:bCs/>
          <w:color w:val="auto"/>
          <w:lang w:val="en-US" w:eastAsia="en-US"/>
        </w:rPr>
      </w:pPr>
      <w:r>
        <w:rPr>
          <w:rFonts w:hint="default" w:ascii="Times New Roman" w:hAnsi="Times New Roman" w:cs="Times New Roman" w:eastAsiaTheme="minorEastAsia"/>
          <w:b/>
          <w:bCs/>
          <w:color w:val="auto"/>
          <w:lang w:val="en-US" w:eastAsia="zh-CN"/>
        </w:rPr>
        <w:t>5.2.1.3</w:t>
      </w:r>
      <w:r>
        <w:rPr>
          <w:rFonts w:hint="default" w:ascii="Times New Roman" w:hAnsi="Times New Roman" w:cs="Times New Roman" w:eastAsiaTheme="minorEastAsia"/>
          <w:b/>
          <w:bCs/>
          <w:color w:val="auto"/>
          <w:lang w:val="en-US" w:eastAsia="en-US"/>
        </w:rPr>
        <w:t>预测模式及参数</w:t>
      </w:r>
    </w:p>
    <w:p w14:paraId="12FAFA68">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（1）预测模式</w:t>
      </w:r>
    </w:p>
    <w:p w14:paraId="458A570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en-US"/>
        </w:rPr>
      </w:pPr>
      <w:r>
        <w:rPr>
          <w:rFonts w:hint="default" w:ascii="Times New Roman" w:hAnsi="Times New Roman" w:cs="Times New Roman" w:eastAsiaTheme="minorEastAsia"/>
          <w:sz w:val="24"/>
          <w:lang w:val="en-US" w:eastAsia="en-US"/>
        </w:rPr>
        <w:t>本项目大气环境影响评价等级为一级，需采用进一步预测模型开展大气环境影响预测与评价。根据《环境影响评价技术导则</w:t>
      </w:r>
      <w:r>
        <w:rPr>
          <w:rFonts w:hint="default" w:ascii="Times New Roman" w:hAnsi="Times New Roman" w:cs="Times New Roman" w:eastAsiaTheme="minorEastAsia"/>
          <w:sz w:val="24"/>
          <w:lang w:val="en-US" w:eastAsia="zh-CN"/>
        </w:rPr>
        <w:t xml:space="preserve"> </w:t>
      </w:r>
      <w:r>
        <w:rPr>
          <w:rFonts w:hint="default" w:ascii="Times New Roman" w:hAnsi="Times New Roman" w:cs="Times New Roman" w:eastAsiaTheme="minorEastAsia"/>
          <w:sz w:val="24"/>
          <w:lang w:val="en-US" w:eastAsia="en-US"/>
        </w:rPr>
        <w:t>大气环境》</w:t>
      </w:r>
      <w:r>
        <w:rPr>
          <w:rFonts w:hint="default"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en-US"/>
        </w:rPr>
        <w:t>HJ2.2-2018</w:t>
      </w:r>
      <w:r>
        <w:rPr>
          <w:rFonts w:hint="default"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en-US"/>
        </w:rPr>
        <w:t>表3“推荐模型适用范围”，满足进一步预测的模型有AERMOD、ADMS、CALPUFF。根据</w:t>
      </w:r>
      <w:r>
        <w:rPr>
          <w:rFonts w:hint="eastAsia" w:ascii="Times New Roman" w:hAnsi="Times New Roman" w:cs="Times New Roman" w:eastAsiaTheme="minorEastAsia"/>
          <w:sz w:val="24"/>
          <w:lang w:val="en-US" w:eastAsia="zh-CN"/>
        </w:rPr>
        <w:t>莎车县</w:t>
      </w:r>
      <w:r>
        <w:rPr>
          <w:rFonts w:hint="default" w:ascii="Times New Roman" w:hAnsi="Times New Roman" w:cs="Times New Roman" w:eastAsiaTheme="minorEastAsia"/>
          <w:sz w:val="24"/>
          <w:lang w:val="en-US" w:eastAsia="en-US"/>
        </w:rPr>
        <w:t>气象站</w:t>
      </w:r>
      <w:r>
        <w:rPr>
          <w:rFonts w:hint="default" w:ascii="Times New Roman" w:hAnsi="Times New Roman" w:cs="Times New Roman" w:eastAsiaTheme="minorEastAsia"/>
          <w:sz w:val="24"/>
          <w:lang w:val="en-US" w:eastAsia="zh-CN"/>
        </w:rPr>
        <w:t>202</w:t>
      </w:r>
      <w:r>
        <w:rPr>
          <w:rFonts w:hint="eastAsia" w:ascii="Times New Roman" w:hAnsi="Times New Roman" w:cs="Times New Roman" w:eastAsiaTheme="minorEastAsia"/>
          <w:sz w:val="24"/>
          <w:lang w:val="en-US" w:eastAsia="zh-CN"/>
        </w:rPr>
        <w:t>5</w:t>
      </w:r>
      <w:r>
        <w:rPr>
          <w:rFonts w:hint="default" w:ascii="Times New Roman" w:hAnsi="Times New Roman" w:cs="Times New Roman" w:eastAsiaTheme="minorEastAsia"/>
          <w:sz w:val="24"/>
          <w:lang w:val="en-US" w:eastAsia="en-US"/>
        </w:rPr>
        <w:t>年的气象统计结果，该地区不存在风速≤0.5m/s的最大持续时间</w:t>
      </w:r>
      <w:r>
        <w:rPr>
          <w:rFonts w:hint="default" w:ascii="Times New Roman" w:hAnsi="Times New Roman" w:cs="Times New Roman" w:eastAsiaTheme="minorEastAsia"/>
          <w:sz w:val="24"/>
          <w:lang w:val="en-US" w:eastAsia="zh-CN"/>
        </w:rPr>
        <w:t>超过</w:t>
      </w:r>
      <w:r>
        <w:rPr>
          <w:rFonts w:hint="default" w:ascii="Times New Roman" w:hAnsi="Times New Roman" w:cs="Times New Roman" w:eastAsiaTheme="minorEastAsia"/>
          <w:sz w:val="24"/>
          <w:lang w:val="en-US" w:eastAsia="en-US"/>
        </w:rPr>
        <w:t>72小时和近20年统计的全年静风</w:t>
      </w:r>
      <w:r>
        <w:rPr>
          <w:rFonts w:hint="default"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en-US"/>
        </w:rPr>
        <w:t>风速≤0.2m/s</w:t>
      </w:r>
      <w:r>
        <w:rPr>
          <w:rFonts w:hint="default"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en-US"/>
        </w:rPr>
        <w:t>频率超过35%的情况。</w:t>
      </w:r>
    </w:p>
    <w:p w14:paraId="798863F4">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en-US"/>
        </w:rPr>
      </w:pPr>
      <w:r>
        <w:rPr>
          <w:rFonts w:hint="default" w:ascii="Times New Roman" w:hAnsi="Times New Roman" w:cs="Times New Roman" w:eastAsiaTheme="minorEastAsia"/>
          <w:sz w:val="24"/>
          <w:lang w:val="en-US" w:eastAsia="en-US"/>
        </w:rPr>
        <w:t>根据现场调查，本项目3km内无大型水体</w:t>
      </w:r>
      <w:r>
        <w:rPr>
          <w:rFonts w:hint="default"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en-US"/>
        </w:rPr>
        <w:t>海或湖</w:t>
      </w:r>
      <w:r>
        <w:rPr>
          <w:rFonts w:hint="default"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en-US"/>
        </w:rPr>
        <w:t>，不会发生岸边熏烟现象。</w:t>
      </w:r>
    </w:p>
    <w:p w14:paraId="7C4EB06D">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en-US"/>
        </w:rPr>
      </w:pPr>
      <w:r>
        <w:rPr>
          <w:rFonts w:hint="default" w:ascii="Times New Roman" w:hAnsi="Times New Roman" w:cs="Times New Roman" w:eastAsiaTheme="minorEastAsia"/>
          <w:sz w:val="24"/>
          <w:lang w:val="en-US" w:eastAsia="en-US"/>
        </w:rPr>
        <w:t>本次大气环境影响预测模式采用附录A推荐的AERMOD模式对本项目大气环境影响做进一步预测，模式系统包括AERMOD、AERMET和AERMAP，满足《环境影响评价技术导则大气环境》</w:t>
      </w:r>
      <w:r>
        <w:rPr>
          <w:rFonts w:hint="default"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en-US"/>
        </w:rPr>
        <w:t>HJ2.2-2018</w:t>
      </w:r>
      <w:r>
        <w:rPr>
          <w:rFonts w:hint="default"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en-US"/>
        </w:rPr>
        <w:t>中相关要求。</w:t>
      </w:r>
    </w:p>
    <w:p w14:paraId="355F403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（2）高空气象数据</w:t>
      </w:r>
    </w:p>
    <w:p w14:paraId="466C985B">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en-US"/>
        </w:rPr>
      </w:pPr>
      <w:r>
        <w:rPr>
          <w:rFonts w:hint="default" w:ascii="Times New Roman" w:hAnsi="Times New Roman" w:cs="Times New Roman" w:eastAsiaTheme="minorEastAsia"/>
          <w:sz w:val="24"/>
          <w:lang w:val="en-US" w:eastAsia="en-US"/>
        </w:rPr>
        <w:t>本项目高空气象数据由国家气象信息中心</w:t>
      </w:r>
      <w:r>
        <w:rPr>
          <w:rFonts w:hint="default" w:ascii="Times New Roman" w:hAnsi="Times New Roman" w:cs="Times New Roman" w:eastAsiaTheme="minorEastAsia"/>
          <w:sz w:val="24"/>
          <w:lang w:val="en-US" w:eastAsia="zh-CN"/>
        </w:rPr>
        <w:t>采用</w:t>
      </w:r>
      <w:r>
        <w:rPr>
          <w:rFonts w:hint="default" w:ascii="Times New Roman" w:hAnsi="Times New Roman" w:cs="Times New Roman" w:eastAsiaTheme="minorEastAsia"/>
          <w:sz w:val="24"/>
          <w:lang w:val="en-US" w:eastAsia="en-US"/>
        </w:rPr>
        <w:t>国际上前沿的模式与同化方案（GFS/GSI），建成全球大气再分析系统（CRAS），通过多层次循环同化试验，不断强化中国特有观测资料的同化应用，研制出10年以上长度的“中国全球大气再分析中间产品（CRA-Interim，201</w:t>
      </w:r>
      <w:r>
        <w:rPr>
          <w:rFonts w:hint="default" w:ascii="Times New Roman" w:hAnsi="Times New Roman" w:cs="Times New Roman" w:eastAsiaTheme="minorEastAsia"/>
          <w:sz w:val="24"/>
          <w:lang w:val="en-US" w:eastAsia="zh-CN"/>
        </w:rPr>
        <w:t>4—</w:t>
      </w:r>
      <w:r>
        <w:rPr>
          <w:rFonts w:hint="default" w:ascii="Times New Roman" w:hAnsi="Times New Roman" w:cs="Times New Roman" w:eastAsiaTheme="minorEastAsia"/>
          <w:sz w:val="24"/>
          <w:lang w:val="en-US" w:eastAsia="en-US"/>
        </w:rPr>
        <w:t>202</w:t>
      </w:r>
      <w:r>
        <w:rPr>
          <w:rFonts w:hint="default" w:ascii="Times New Roman" w:hAnsi="Times New Roman" w:cs="Times New Roman" w:eastAsiaTheme="minorEastAsia"/>
          <w:sz w:val="24"/>
          <w:lang w:val="en-US" w:eastAsia="zh-CN"/>
        </w:rPr>
        <w:t>4</w:t>
      </w:r>
      <w:r>
        <w:rPr>
          <w:rFonts w:hint="default" w:ascii="Times New Roman" w:hAnsi="Times New Roman" w:cs="Times New Roman" w:eastAsiaTheme="minorEastAsia"/>
          <w:sz w:val="24"/>
          <w:lang w:val="en-US" w:eastAsia="en-US"/>
        </w:rPr>
        <w:t>年）”，时间分辨率为6h，水平分辨率为34km，垂直层次64层。提取37个层次的高空模拟气象数据，层次为1000～100hPa每间隔25hPa为一个层次。高空气象因子包括气压、离地高度、干球温度、露点温度、风向和风速。</w:t>
      </w:r>
    </w:p>
    <w:p w14:paraId="4DDDE755">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en-US"/>
        </w:rPr>
      </w:pPr>
      <w:r>
        <w:rPr>
          <w:rFonts w:hint="default" w:ascii="Times New Roman" w:hAnsi="Times New Roman" w:cs="Times New Roman" w:eastAsiaTheme="minorEastAsia"/>
          <w:sz w:val="24"/>
          <w:lang w:val="en-US" w:eastAsia="en-US"/>
        </w:rPr>
        <w:t>项目模拟气象数据信息见表</w:t>
      </w:r>
      <w:r>
        <w:rPr>
          <w:rFonts w:hint="default" w:ascii="Times New Roman" w:hAnsi="Times New Roman" w:cs="Times New Roman" w:eastAsiaTheme="minorEastAsia"/>
          <w:sz w:val="24"/>
          <w:lang w:val="en-US" w:eastAsia="zh-CN"/>
        </w:rPr>
        <w:t>5.2-1</w:t>
      </w:r>
      <w:r>
        <w:rPr>
          <w:rFonts w:hint="default" w:ascii="Times New Roman" w:hAnsi="Times New Roman" w:cs="Times New Roman" w:eastAsiaTheme="minorEastAsia"/>
          <w:sz w:val="24"/>
          <w:lang w:val="en-US" w:eastAsia="en-US"/>
        </w:rPr>
        <w:t>。</w:t>
      </w:r>
    </w:p>
    <w:p w14:paraId="3BAA55DE">
      <w:pPr>
        <w:adjustRightInd w:val="0"/>
        <w:snapToGrid w:val="0"/>
        <w:spacing w:before="250" w:beforeLines="50"/>
        <w:ind w:firstLine="422" w:firstLineChars="20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表5.2-1  观测气象数据信息表</w:t>
      </w:r>
    </w:p>
    <w:tbl>
      <w:tblPr>
        <w:tblStyle w:val="12"/>
        <w:tblW w:w="501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226"/>
        <w:gridCol w:w="1226"/>
        <w:gridCol w:w="1228"/>
        <w:gridCol w:w="982"/>
        <w:gridCol w:w="3343"/>
        <w:gridCol w:w="981"/>
      </w:tblGrid>
      <w:tr w14:paraId="09853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1364" w:type="pct"/>
            <w:gridSpan w:val="2"/>
            <w:tcBorders>
              <w:tl2br w:val="nil"/>
              <w:tr2bl w:val="nil"/>
            </w:tcBorders>
            <w:shd w:val="clear" w:color="auto" w:fill="auto"/>
            <w:vAlign w:val="center"/>
          </w:tcPr>
          <w:p w14:paraId="5CEE6117">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模拟坐标</w:t>
            </w:r>
          </w:p>
        </w:tc>
        <w:tc>
          <w:tcPr>
            <w:tcW w:w="683" w:type="pct"/>
            <w:vMerge w:val="restart"/>
            <w:tcBorders>
              <w:tl2br w:val="nil"/>
              <w:tr2bl w:val="nil"/>
            </w:tcBorders>
            <w:shd w:val="clear" w:color="auto" w:fill="auto"/>
            <w:vAlign w:val="center"/>
          </w:tcPr>
          <w:p w14:paraId="47C94BB7">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相对距离/</w:t>
            </w:r>
            <w:r>
              <w:rPr>
                <w:rFonts w:hint="eastAsia" w:ascii="Times New Roman" w:hAnsi="Times New Roman" w:cs="Times New Roman"/>
                <w:szCs w:val="21"/>
                <w:lang w:val="en-US" w:eastAsia="zh-CN"/>
              </w:rPr>
              <w:t>k</w:t>
            </w:r>
            <w:r>
              <w:rPr>
                <w:rFonts w:hint="default" w:ascii="Times New Roman" w:hAnsi="Times New Roman" w:cs="Times New Roman" w:eastAsiaTheme="minorEastAsia"/>
                <w:szCs w:val="21"/>
                <w:lang w:val="en-US" w:eastAsia="zh-CN"/>
              </w:rPr>
              <w:t>m</w:t>
            </w:r>
          </w:p>
        </w:tc>
        <w:tc>
          <w:tcPr>
            <w:tcW w:w="546" w:type="pct"/>
            <w:vMerge w:val="restart"/>
            <w:tcBorders>
              <w:tl2br w:val="nil"/>
              <w:tr2bl w:val="nil"/>
            </w:tcBorders>
            <w:shd w:val="clear" w:color="auto" w:fill="auto"/>
            <w:vAlign w:val="center"/>
          </w:tcPr>
          <w:p w14:paraId="2B036C53">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数据年份</w:t>
            </w:r>
          </w:p>
        </w:tc>
        <w:tc>
          <w:tcPr>
            <w:tcW w:w="1859" w:type="pct"/>
            <w:vMerge w:val="restart"/>
            <w:tcBorders>
              <w:tl2br w:val="nil"/>
              <w:tr2bl w:val="nil"/>
            </w:tcBorders>
            <w:shd w:val="clear" w:color="auto" w:fill="auto"/>
            <w:vAlign w:val="center"/>
          </w:tcPr>
          <w:p w14:paraId="7BF008E3">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模拟气象要素</w:t>
            </w:r>
          </w:p>
        </w:tc>
        <w:tc>
          <w:tcPr>
            <w:tcW w:w="545" w:type="pct"/>
            <w:vMerge w:val="restart"/>
            <w:tcBorders>
              <w:tl2br w:val="nil"/>
              <w:tr2bl w:val="nil"/>
            </w:tcBorders>
            <w:shd w:val="clear" w:color="auto" w:fill="auto"/>
            <w:vAlign w:val="center"/>
          </w:tcPr>
          <w:p w14:paraId="73A79E40">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模拟方式</w:t>
            </w:r>
          </w:p>
        </w:tc>
      </w:tr>
      <w:tr w14:paraId="4B37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82" w:type="pct"/>
            <w:tcBorders>
              <w:tl2br w:val="nil"/>
              <w:tr2bl w:val="nil"/>
            </w:tcBorders>
            <w:shd w:val="clear" w:color="auto" w:fill="auto"/>
            <w:vAlign w:val="center"/>
          </w:tcPr>
          <w:p w14:paraId="463A4871">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经度</w:t>
            </w:r>
          </w:p>
        </w:tc>
        <w:tc>
          <w:tcPr>
            <w:tcW w:w="682" w:type="pct"/>
            <w:tcBorders>
              <w:tl2br w:val="nil"/>
              <w:tr2bl w:val="nil"/>
            </w:tcBorders>
            <w:shd w:val="clear" w:color="auto" w:fill="auto"/>
            <w:vAlign w:val="center"/>
          </w:tcPr>
          <w:p w14:paraId="2BCCE757">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纬度</w:t>
            </w:r>
          </w:p>
        </w:tc>
        <w:tc>
          <w:tcPr>
            <w:tcW w:w="683" w:type="pct"/>
            <w:vMerge w:val="continue"/>
            <w:tcBorders>
              <w:tl2br w:val="nil"/>
              <w:tr2bl w:val="nil"/>
            </w:tcBorders>
            <w:shd w:val="clear" w:color="auto" w:fill="auto"/>
            <w:vAlign w:val="center"/>
          </w:tcPr>
          <w:p w14:paraId="1D140E08">
            <w:pPr>
              <w:spacing w:line="300" w:lineRule="exact"/>
              <w:jc w:val="center"/>
              <w:rPr>
                <w:rFonts w:hint="default" w:ascii="Times New Roman" w:hAnsi="Times New Roman" w:cs="Times New Roman" w:eastAsiaTheme="minorEastAsia"/>
                <w:szCs w:val="21"/>
                <w:lang w:val="en-US" w:eastAsia="zh-CN"/>
              </w:rPr>
            </w:pPr>
          </w:p>
        </w:tc>
        <w:tc>
          <w:tcPr>
            <w:tcW w:w="546" w:type="pct"/>
            <w:vMerge w:val="continue"/>
            <w:tcBorders>
              <w:tl2br w:val="nil"/>
              <w:tr2bl w:val="nil"/>
            </w:tcBorders>
            <w:shd w:val="clear" w:color="auto" w:fill="auto"/>
            <w:vAlign w:val="center"/>
          </w:tcPr>
          <w:p w14:paraId="23B90551">
            <w:pPr>
              <w:spacing w:line="300" w:lineRule="exact"/>
              <w:jc w:val="center"/>
              <w:rPr>
                <w:rFonts w:hint="default" w:ascii="Times New Roman" w:hAnsi="Times New Roman" w:cs="Times New Roman" w:eastAsiaTheme="minorEastAsia"/>
                <w:szCs w:val="21"/>
                <w:lang w:val="en-US" w:eastAsia="zh-CN"/>
              </w:rPr>
            </w:pPr>
          </w:p>
        </w:tc>
        <w:tc>
          <w:tcPr>
            <w:tcW w:w="1859" w:type="pct"/>
            <w:vMerge w:val="continue"/>
            <w:tcBorders>
              <w:tl2br w:val="nil"/>
              <w:tr2bl w:val="nil"/>
            </w:tcBorders>
            <w:shd w:val="clear" w:color="auto" w:fill="auto"/>
            <w:vAlign w:val="center"/>
          </w:tcPr>
          <w:p w14:paraId="4ED5A454">
            <w:pPr>
              <w:spacing w:line="300" w:lineRule="exact"/>
              <w:jc w:val="center"/>
              <w:rPr>
                <w:rFonts w:hint="default" w:ascii="Times New Roman" w:hAnsi="Times New Roman" w:cs="Times New Roman" w:eastAsiaTheme="minorEastAsia"/>
                <w:szCs w:val="21"/>
                <w:lang w:val="en-US" w:eastAsia="zh-CN"/>
              </w:rPr>
            </w:pPr>
          </w:p>
        </w:tc>
        <w:tc>
          <w:tcPr>
            <w:tcW w:w="545" w:type="pct"/>
            <w:vMerge w:val="continue"/>
            <w:tcBorders>
              <w:tl2br w:val="nil"/>
              <w:tr2bl w:val="nil"/>
            </w:tcBorders>
            <w:shd w:val="clear" w:color="auto" w:fill="auto"/>
            <w:vAlign w:val="center"/>
          </w:tcPr>
          <w:p w14:paraId="2E5FCFA1">
            <w:pPr>
              <w:spacing w:line="300" w:lineRule="exact"/>
              <w:jc w:val="center"/>
              <w:rPr>
                <w:rFonts w:hint="default" w:ascii="Times New Roman" w:hAnsi="Times New Roman" w:cs="Times New Roman" w:eastAsiaTheme="minorEastAsia"/>
                <w:szCs w:val="21"/>
                <w:lang w:val="en-US" w:eastAsia="zh-CN"/>
              </w:rPr>
            </w:pPr>
          </w:p>
        </w:tc>
      </w:tr>
      <w:tr w14:paraId="5AA49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82" w:type="pct"/>
            <w:tcBorders>
              <w:tl2br w:val="nil"/>
              <w:tr2bl w:val="nil"/>
            </w:tcBorders>
            <w:shd w:val="clear" w:color="auto" w:fill="auto"/>
            <w:vAlign w:val="center"/>
          </w:tcPr>
          <w:p w14:paraId="09D7FA26">
            <w:pPr>
              <w:spacing w:line="300" w:lineRule="exact"/>
              <w:jc w:val="center"/>
              <w:rPr>
                <w:rFonts w:hint="default" w:ascii="Times New Roman" w:hAnsi="Times New Roman" w:cs="Times New Roman" w:eastAsiaTheme="minorEastAsia"/>
                <w:szCs w:val="21"/>
                <w:highlight w:val="yellow"/>
                <w:lang w:val="en-US" w:eastAsia="zh-CN"/>
              </w:rPr>
            </w:pPr>
          </w:p>
        </w:tc>
        <w:tc>
          <w:tcPr>
            <w:tcW w:w="682" w:type="pct"/>
            <w:tcBorders>
              <w:tl2br w:val="nil"/>
              <w:tr2bl w:val="nil"/>
            </w:tcBorders>
            <w:shd w:val="clear" w:color="auto" w:fill="auto"/>
            <w:vAlign w:val="center"/>
          </w:tcPr>
          <w:p w14:paraId="063E1B9E">
            <w:pPr>
              <w:spacing w:line="300" w:lineRule="exact"/>
              <w:jc w:val="center"/>
              <w:rPr>
                <w:rFonts w:hint="default" w:ascii="Times New Roman" w:hAnsi="Times New Roman" w:cs="Times New Roman" w:eastAsiaTheme="minorEastAsia"/>
                <w:szCs w:val="21"/>
                <w:highlight w:val="none"/>
                <w:lang w:val="en-US" w:eastAsia="zh-CN"/>
              </w:rPr>
            </w:pPr>
          </w:p>
        </w:tc>
        <w:tc>
          <w:tcPr>
            <w:tcW w:w="683" w:type="pct"/>
            <w:tcBorders>
              <w:tl2br w:val="nil"/>
              <w:tr2bl w:val="nil"/>
            </w:tcBorders>
            <w:shd w:val="clear" w:color="auto" w:fill="auto"/>
            <w:vAlign w:val="center"/>
          </w:tcPr>
          <w:p w14:paraId="16410CC2">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26.7</w:t>
            </w:r>
          </w:p>
        </w:tc>
        <w:tc>
          <w:tcPr>
            <w:tcW w:w="546" w:type="pct"/>
            <w:tcBorders>
              <w:tl2br w:val="nil"/>
              <w:tr2bl w:val="nil"/>
            </w:tcBorders>
            <w:shd w:val="clear" w:color="auto" w:fill="auto"/>
            <w:vAlign w:val="center"/>
          </w:tcPr>
          <w:p w14:paraId="10C3D908">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202</w:t>
            </w:r>
            <w:r>
              <w:rPr>
                <w:rFonts w:hint="eastAsia" w:ascii="Times New Roman" w:hAnsi="Times New Roman" w:cs="Times New Roman"/>
                <w:szCs w:val="21"/>
                <w:highlight w:val="none"/>
                <w:lang w:val="en-US" w:eastAsia="zh-CN"/>
              </w:rPr>
              <w:t>5</w:t>
            </w:r>
            <w:r>
              <w:rPr>
                <w:rFonts w:hint="default" w:ascii="Times New Roman" w:hAnsi="Times New Roman" w:cs="Times New Roman" w:eastAsiaTheme="minorEastAsia"/>
                <w:szCs w:val="21"/>
                <w:highlight w:val="none"/>
                <w:lang w:val="en-US" w:eastAsia="zh-CN"/>
              </w:rPr>
              <w:t>年</w:t>
            </w:r>
          </w:p>
        </w:tc>
        <w:tc>
          <w:tcPr>
            <w:tcW w:w="1859" w:type="pct"/>
            <w:tcBorders>
              <w:tl2br w:val="nil"/>
              <w:tr2bl w:val="nil"/>
            </w:tcBorders>
            <w:shd w:val="clear" w:color="auto" w:fill="auto"/>
            <w:vAlign w:val="center"/>
          </w:tcPr>
          <w:p w14:paraId="131B6922">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气压、离地高度、干球温度、露点温度、风向和风速</w:t>
            </w:r>
          </w:p>
        </w:tc>
        <w:tc>
          <w:tcPr>
            <w:tcW w:w="545" w:type="pct"/>
            <w:tcBorders>
              <w:tl2br w:val="nil"/>
              <w:tr2bl w:val="nil"/>
            </w:tcBorders>
            <w:shd w:val="clear" w:color="auto" w:fill="auto"/>
            <w:vAlign w:val="center"/>
          </w:tcPr>
          <w:p w14:paraId="7D4A5054">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GFS/GSI</w:t>
            </w:r>
          </w:p>
        </w:tc>
      </w:tr>
    </w:tbl>
    <w:p w14:paraId="507505F6">
      <w:pPr>
        <w:pStyle w:val="20"/>
        <w:snapToGrid w:val="0"/>
        <w:jc w:val="left"/>
        <w:rPr>
          <w:rFonts w:hint="default" w:ascii="Times New Roman" w:hAnsi="Times New Roman" w:cs="Times New Roman" w:eastAsiaTheme="minorEastAsia"/>
          <w:color w:val="auto"/>
          <w:lang w:val="en-US" w:eastAsia="en-US"/>
        </w:rPr>
      </w:pPr>
      <w:r>
        <w:rPr>
          <w:rFonts w:hint="default" w:ascii="Times New Roman" w:hAnsi="Times New Roman" w:cs="Times New Roman" w:eastAsiaTheme="minorEastAsia"/>
          <w:color w:val="auto"/>
          <w:lang w:val="en-US" w:eastAsia="zh-CN"/>
        </w:rPr>
        <w:t>（3）</w:t>
      </w:r>
      <w:r>
        <w:rPr>
          <w:rFonts w:hint="default" w:ascii="Times New Roman" w:hAnsi="Times New Roman" w:cs="Times New Roman" w:eastAsiaTheme="minorEastAsia"/>
          <w:color w:val="auto"/>
          <w:lang w:val="en-US" w:eastAsia="en-US"/>
        </w:rPr>
        <w:t>预测网格设置</w:t>
      </w:r>
    </w:p>
    <w:p w14:paraId="5B8FB05B">
      <w:pPr>
        <w:pStyle w:val="20"/>
        <w:snapToGrid w:val="0"/>
        <w:jc w:val="left"/>
        <w:rPr>
          <w:rFonts w:hint="default" w:ascii="Times New Roman" w:hAnsi="Times New Roman" w:cs="Times New Roman" w:eastAsiaTheme="minorEastAsia"/>
          <w:color w:val="auto"/>
          <w:lang w:val="en-US" w:eastAsia="en-US"/>
        </w:rPr>
      </w:pPr>
      <w:r>
        <w:rPr>
          <w:rFonts w:hint="default" w:ascii="Times New Roman" w:hAnsi="Times New Roman" w:cs="Times New Roman" w:eastAsiaTheme="minorEastAsia"/>
          <w:color w:val="auto"/>
          <w:lang w:val="en-US" w:eastAsia="en-US"/>
        </w:rPr>
        <w:t>以污染源为中心区域、排气筒为中心，边长5km×5km的正方形范围，网格见间距采用紧密远疏设置，距离源中心5km的网格间距为100m，网格点间距设置，见表</w:t>
      </w:r>
      <w:r>
        <w:rPr>
          <w:rFonts w:hint="default" w:ascii="Times New Roman" w:hAnsi="Times New Roman" w:cs="Times New Roman" w:eastAsiaTheme="minorEastAsia"/>
          <w:color w:val="auto"/>
          <w:lang w:val="en-US" w:eastAsia="zh-CN"/>
        </w:rPr>
        <w:t>5.2-2</w:t>
      </w:r>
      <w:r>
        <w:rPr>
          <w:rFonts w:hint="default" w:ascii="Times New Roman" w:hAnsi="Times New Roman" w:cs="Times New Roman" w:eastAsiaTheme="minorEastAsia"/>
          <w:color w:val="auto"/>
          <w:lang w:val="en-US" w:eastAsia="en-US"/>
        </w:rPr>
        <w:t>。</w:t>
      </w:r>
    </w:p>
    <w:p w14:paraId="4F111BCC">
      <w:pPr>
        <w:adjustRightInd w:val="0"/>
        <w:snapToGrid w:val="0"/>
        <w:spacing w:before="250" w:beforeLines="50"/>
        <w:ind w:firstLine="422" w:firstLineChars="200"/>
        <w:jc w:val="center"/>
        <w:rPr>
          <w:rFonts w:hint="default" w:ascii="Times New Roman" w:hAnsi="Times New Roman" w:cs="Times New Roman" w:eastAsiaTheme="minorEastAsia"/>
          <w:snapToGrid w:val="0"/>
          <w:color w:val="000000" w:themeColor="text1"/>
          <w:spacing w:val="0"/>
          <w:kern w:val="0"/>
          <w:position w:val="0"/>
          <w:sz w:val="21"/>
          <w:szCs w:val="21"/>
          <w:lang w:val="en-US" w:eastAsia="en-US" w:bidi="ar-SA"/>
          <w14:textFill>
            <w14:solidFill>
              <w14:schemeClr w14:val="tx1"/>
            </w14:solidFill>
          </w14:textFill>
        </w:rPr>
      </w:pPr>
      <w:r>
        <w:rPr>
          <w:rFonts w:hint="default" w:ascii="Times New Roman" w:hAnsi="Times New Roman" w:cs="Times New Roman" w:eastAsiaTheme="minorEastAsia"/>
          <w:b/>
          <w:szCs w:val="21"/>
          <w:lang w:val="en-US" w:eastAsia="en-US"/>
        </w:rPr>
        <w:t>表5</w:t>
      </w:r>
      <w:r>
        <w:rPr>
          <w:rFonts w:hint="eastAsia" w:ascii="Times New Roman" w:hAnsi="Times New Roman" w:cs="Times New Roman"/>
          <w:b/>
          <w:szCs w:val="21"/>
          <w:lang w:val="en-US" w:eastAsia="zh-CN"/>
        </w:rPr>
        <w:t>.</w:t>
      </w:r>
      <w:r>
        <w:rPr>
          <w:rFonts w:hint="default" w:ascii="Times New Roman" w:hAnsi="Times New Roman" w:cs="Times New Roman" w:eastAsiaTheme="minorEastAsia"/>
          <w:b/>
          <w:szCs w:val="21"/>
          <w:lang w:val="en-US" w:eastAsia="en-US"/>
        </w:rPr>
        <w:t>2-</w:t>
      </w:r>
      <w:r>
        <w:rPr>
          <w:rFonts w:hint="default" w:ascii="Times New Roman" w:hAnsi="Times New Roman" w:cs="Times New Roman" w:eastAsiaTheme="minorEastAsia"/>
          <w:b/>
          <w:szCs w:val="21"/>
          <w:lang w:val="en-US" w:eastAsia="zh-CN"/>
        </w:rPr>
        <w:t>2</w:t>
      </w:r>
      <w:r>
        <w:rPr>
          <w:rFonts w:hint="default" w:ascii="Times New Roman" w:hAnsi="Times New Roman" w:cs="Times New Roman" w:eastAsiaTheme="minorEastAsia"/>
          <w:b/>
          <w:szCs w:val="21"/>
          <w:lang w:val="en-US" w:eastAsia="en-US"/>
        </w:rPr>
        <w:t xml:space="preserve">  预测网格设置</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Layout w:type="autofit"/>
        <w:tblCellMar>
          <w:top w:w="0" w:type="dxa"/>
          <w:left w:w="0" w:type="dxa"/>
          <w:bottom w:w="0" w:type="dxa"/>
          <w:right w:w="0" w:type="dxa"/>
        </w:tblCellMar>
      </w:tblPr>
      <w:tblGrid>
        <w:gridCol w:w="1975"/>
        <w:gridCol w:w="3985"/>
        <w:gridCol w:w="2999"/>
      </w:tblGrid>
      <w:tr w14:paraId="6291D339">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000" w:type="pct"/>
            <w:gridSpan w:val="3"/>
            <w:tcBorders>
              <w:bottom w:val="single" w:color="000000" w:sz="4" w:space="0"/>
            </w:tcBorders>
            <w:vAlign w:val="center"/>
          </w:tcPr>
          <w:p w14:paraId="2BE14A65">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近密远疏的直角标网格方法</w:t>
            </w:r>
          </w:p>
        </w:tc>
      </w:tr>
      <w:tr w14:paraId="07C297EA">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102" w:type="pct"/>
            <w:vMerge w:val="restart"/>
            <w:tcBorders>
              <w:top w:val="single" w:color="000000" w:sz="4" w:space="0"/>
              <w:bottom w:val="single" w:color="000000" w:sz="4" w:space="0"/>
              <w:right w:val="single" w:color="000000" w:sz="4" w:space="0"/>
            </w:tcBorders>
            <w:vAlign w:val="center"/>
          </w:tcPr>
          <w:p w14:paraId="56B5B30C">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预测网格点距离</w:t>
            </w:r>
          </w:p>
        </w:tc>
        <w:tc>
          <w:tcPr>
            <w:tcW w:w="2224" w:type="pct"/>
            <w:tcBorders>
              <w:top w:val="single" w:color="000000" w:sz="4" w:space="0"/>
              <w:left w:val="single" w:color="000000" w:sz="4" w:space="0"/>
              <w:bottom w:val="single" w:color="000000" w:sz="4" w:space="0"/>
              <w:right w:val="single" w:color="000000" w:sz="4" w:space="0"/>
            </w:tcBorders>
            <w:vAlign w:val="center"/>
          </w:tcPr>
          <w:p w14:paraId="40C3CE7B">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距离排气筒中心位置</w:t>
            </w:r>
            <w:r>
              <w:rPr>
                <w:rFonts w:hint="default"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en-US"/>
              </w:rPr>
              <w:t>a</w:t>
            </w:r>
            <w:r>
              <w:rPr>
                <w:rFonts w:hint="default" w:ascii="Times New Roman" w:hAnsi="Times New Roman" w:cs="Times New Roman" w:eastAsiaTheme="minorEastAsia"/>
                <w:szCs w:val="21"/>
                <w:lang w:val="en-US" w:eastAsia="zh-CN"/>
              </w:rPr>
              <w:t>）</w:t>
            </w:r>
          </w:p>
        </w:tc>
        <w:tc>
          <w:tcPr>
            <w:tcW w:w="1673" w:type="pct"/>
            <w:tcBorders>
              <w:top w:val="single" w:color="000000" w:sz="4" w:space="0"/>
              <w:left w:val="single" w:color="000000" w:sz="4" w:space="0"/>
              <w:bottom w:val="single" w:color="000000" w:sz="4" w:space="0"/>
            </w:tcBorders>
            <w:vAlign w:val="center"/>
          </w:tcPr>
          <w:p w14:paraId="4ACD172C">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网格距离</w:t>
            </w:r>
            <w:r>
              <w:rPr>
                <w:rFonts w:hint="default"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en-US"/>
              </w:rPr>
              <w:t>m</w:t>
            </w:r>
            <w:r>
              <w:rPr>
                <w:rFonts w:hint="default" w:ascii="Times New Roman" w:hAnsi="Times New Roman" w:cs="Times New Roman" w:eastAsiaTheme="minorEastAsia"/>
                <w:szCs w:val="21"/>
                <w:lang w:val="en-US" w:eastAsia="zh-CN"/>
              </w:rPr>
              <w:t>）</w:t>
            </w:r>
          </w:p>
        </w:tc>
      </w:tr>
      <w:tr w14:paraId="22EF2956">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102" w:type="pct"/>
            <w:vMerge w:val="continue"/>
            <w:tcBorders>
              <w:top w:val="single" w:color="000000" w:sz="4" w:space="0"/>
              <w:bottom w:val="single" w:color="000000" w:sz="4" w:space="0"/>
              <w:right w:val="single" w:color="000000" w:sz="4" w:space="0"/>
            </w:tcBorders>
            <w:vAlign w:val="center"/>
          </w:tcPr>
          <w:p w14:paraId="22202AA7">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2224" w:type="pct"/>
            <w:tcBorders>
              <w:top w:val="single" w:color="000000" w:sz="4" w:space="0"/>
              <w:left w:val="single" w:color="000000" w:sz="4" w:space="0"/>
              <w:bottom w:val="single" w:color="000000" w:sz="4" w:space="0"/>
              <w:right w:val="single" w:color="000000" w:sz="4" w:space="0"/>
            </w:tcBorders>
            <w:vAlign w:val="center"/>
          </w:tcPr>
          <w:p w14:paraId="6063BEFB">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a</w:t>
            </w:r>
            <w:r>
              <w:rPr>
                <w:rFonts w:hint="default" w:ascii="Times New Roman" w:hAnsi="Times New Roman" w:cs="Times New Roman" w:eastAsiaTheme="minorEastAsia"/>
                <w:szCs w:val="21"/>
                <w:lang w:val="en-US" w:eastAsia="zh-CN"/>
              </w:rPr>
              <w:t>&lt;</w:t>
            </w:r>
            <w:r>
              <w:rPr>
                <w:rFonts w:hint="default" w:ascii="Times New Roman" w:hAnsi="Times New Roman" w:cs="Times New Roman" w:eastAsiaTheme="minorEastAsia"/>
                <w:szCs w:val="21"/>
                <w:lang w:val="en-US" w:eastAsia="en-US"/>
              </w:rPr>
              <w:t>1000</w:t>
            </w:r>
          </w:p>
        </w:tc>
        <w:tc>
          <w:tcPr>
            <w:tcW w:w="1673" w:type="pct"/>
            <w:tcBorders>
              <w:top w:val="single" w:color="000000" w:sz="4" w:space="0"/>
              <w:left w:val="single" w:color="000000" w:sz="4" w:space="0"/>
              <w:bottom w:val="single" w:color="000000" w:sz="4" w:space="0"/>
            </w:tcBorders>
            <w:vAlign w:val="center"/>
          </w:tcPr>
          <w:p w14:paraId="69ACFBED">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50</w:t>
            </w:r>
          </w:p>
        </w:tc>
      </w:tr>
      <w:tr w14:paraId="6CD482F9">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102" w:type="pct"/>
            <w:vMerge w:val="continue"/>
            <w:tcBorders>
              <w:top w:val="single" w:color="000000" w:sz="4" w:space="0"/>
              <w:right w:val="single" w:color="000000" w:sz="4" w:space="0"/>
            </w:tcBorders>
            <w:vAlign w:val="center"/>
          </w:tcPr>
          <w:p w14:paraId="024E1345">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2224" w:type="pct"/>
            <w:tcBorders>
              <w:top w:val="single" w:color="000000" w:sz="4" w:space="0"/>
              <w:left w:val="single" w:color="000000" w:sz="4" w:space="0"/>
              <w:right w:val="single" w:color="000000" w:sz="4" w:space="0"/>
            </w:tcBorders>
            <w:vAlign w:val="center"/>
          </w:tcPr>
          <w:p w14:paraId="5E153DD9">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5000≤a≤1000</w:t>
            </w:r>
          </w:p>
        </w:tc>
        <w:tc>
          <w:tcPr>
            <w:tcW w:w="1673" w:type="pct"/>
            <w:tcBorders>
              <w:top w:val="single" w:color="000000" w:sz="4" w:space="0"/>
              <w:left w:val="single" w:color="000000" w:sz="4" w:space="0"/>
            </w:tcBorders>
            <w:vAlign w:val="center"/>
          </w:tcPr>
          <w:p w14:paraId="24328FBA">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100</w:t>
            </w:r>
          </w:p>
        </w:tc>
      </w:tr>
    </w:tbl>
    <w:p w14:paraId="4A1245A7">
      <w:pPr>
        <w:pStyle w:val="20"/>
        <w:snapToGrid w:val="0"/>
        <w:jc w:val="left"/>
        <w:rPr>
          <w:rFonts w:hint="default" w:ascii="Times New Roman" w:hAnsi="Times New Roman" w:cs="Times New Roman" w:eastAsiaTheme="minorEastAsia"/>
          <w:color w:val="auto"/>
          <w:lang w:val="en-US" w:eastAsia="en-US"/>
        </w:rPr>
      </w:pPr>
      <w:r>
        <w:rPr>
          <w:rFonts w:hint="default" w:ascii="Times New Roman" w:hAnsi="Times New Roman" w:cs="Times New Roman" w:eastAsiaTheme="minorEastAsia"/>
          <w:color w:val="auto"/>
          <w:lang w:val="en-US" w:eastAsia="zh-CN"/>
        </w:rPr>
        <w:t>（4）</w:t>
      </w:r>
      <w:r>
        <w:rPr>
          <w:rFonts w:hint="default" w:ascii="Times New Roman" w:hAnsi="Times New Roman" w:cs="Times New Roman" w:eastAsiaTheme="minorEastAsia"/>
          <w:color w:val="auto"/>
          <w:lang w:val="en-US" w:eastAsia="en-US"/>
        </w:rPr>
        <w:t>地表参数</w:t>
      </w:r>
    </w:p>
    <w:p w14:paraId="0D391F46">
      <w:pPr>
        <w:pStyle w:val="20"/>
        <w:snapToGrid w:val="0"/>
        <w:jc w:val="left"/>
        <w:rPr>
          <w:rFonts w:hint="default" w:ascii="Times New Roman" w:hAnsi="Times New Roman" w:cs="Times New Roman" w:eastAsiaTheme="minorEastAsia"/>
          <w:color w:val="auto"/>
          <w:highlight w:val="none"/>
          <w:lang w:val="en-US" w:eastAsia="en-US"/>
        </w:rPr>
      </w:pPr>
      <w:r>
        <w:rPr>
          <w:rFonts w:hint="default" w:ascii="Times New Roman" w:hAnsi="Times New Roman" w:cs="Times New Roman" w:eastAsiaTheme="minorEastAsia"/>
          <w:color w:val="auto"/>
          <w:highlight w:val="none"/>
          <w:lang w:val="en-US" w:eastAsia="en-US"/>
        </w:rPr>
        <w:t>根据本项目周边的土地利用类型，评价区域地表特征为城市，</w:t>
      </w:r>
      <w:r>
        <w:rPr>
          <w:rFonts w:hint="eastAsia" w:ascii="Times New Roman" w:hAnsi="Times New Roman" w:cs="Times New Roman" w:eastAsiaTheme="minorEastAsia"/>
          <w:color w:val="auto"/>
          <w:highlight w:val="none"/>
          <w:lang w:val="en-US" w:eastAsia="zh-CN"/>
        </w:rPr>
        <w:t>干燥</w:t>
      </w:r>
      <w:r>
        <w:rPr>
          <w:rFonts w:hint="default" w:ascii="Times New Roman" w:hAnsi="Times New Roman" w:cs="Times New Roman" w:eastAsiaTheme="minorEastAsia"/>
          <w:color w:val="auto"/>
          <w:highlight w:val="none"/>
          <w:lang w:val="en-US" w:eastAsia="en-US"/>
        </w:rPr>
        <w:t>气候，采用1个扇区，模式计算选用的地表参数，见表5</w:t>
      </w:r>
      <w:r>
        <w:rPr>
          <w:rFonts w:hint="eastAsia" w:ascii="Times New Roman" w:hAnsi="Times New Roman" w:cs="Times New Roman" w:eastAsiaTheme="minorEastAsia"/>
          <w:color w:val="auto"/>
          <w:highlight w:val="none"/>
          <w:lang w:val="en-US" w:eastAsia="zh-CN"/>
        </w:rPr>
        <w:t>.</w:t>
      </w:r>
      <w:r>
        <w:rPr>
          <w:rFonts w:hint="default" w:ascii="Times New Roman" w:hAnsi="Times New Roman" w:cs="Times New Roman" w:eastAsiaTheme="minorEastAsia"/>
          <w:color w:val="auto"/>
          <w:highlight w:val="none"/>
          <w:lang w:val="en-US" w:eastAsia="en-US"/>
        </w:rPr>
        <w:t>2-</w:t>
      </w:r>
      <w:r>
        <w:rPr>
          <w:rFonts w:hint="default" w:ascii="Times New Roman" w:hAnsi="Times New Roman" w:cs="Times New Roman" w:eastAsiaTheme="minorEastAsia"/>
          <w:color w:val="auto"/>
          <w:highlight w:val="none"/>
          <w:lang w:val="en-US" w:eastAsia="zh-CN"/>
        </w:rPr>
        <w:t>3</w:t>
      </w:r>
      <w:r>
        <w:rPr>
          <w:rFonts w:hint="default" w:ascii="Times New Roman" w:hAnsi="Times New Roman" w:cs="Times New Roman" w:eastAsiaTheme="minorEastAsia"/>
          <w:color w:val="auto"/>
          <w:highlight w:val="none"/>
          <w:lang w:val="en-US" w:eastAsia="en-US"/>
        </w:rPr>
        <w:t>。</w:t>
      </w:r>
    </w:p>
    <w:p w14:paraId="67B83A83">
      <w:pPr>
        <w:adjustRightInd w:val="0"/>
        <w:snapToGrid w:val="0"/>
        <w:spacing w:before="250" w:beforeLines="50"/>
        <w:ind w:firstLine="422" w:firstLineChars="200"/>
        <w:jc w:val="center"/>
        <w:rPr>
          <w:rFonts w:hint="default" w:ascii="Times New Roman" w:hAnsi="Times New Roman" w:cs="Times New Roman" w:eastAsiaTheme="minorEastAsia"/>
          <w:b/>
          <w:szCs w:val="21"/>
          <w:lang w:val="en-US" w:eastAsia="en-US"/>
        </w:rPr>
      </w:pPr>
      <w:r>
        <w:rPr>
          <w:rFonts w:hint="default" w:ascii="Times New Roman" w:hAnsi="Times New Roman" w:cs="Times New Roman" w:eastAsiaTheme="minorEastAsia"/>
          <w:b/>
          <w:szCs w:val="21"/>
          <w:lang w:val="en-US" w:eastAsia="en-US"/>
        </w:rPr>
        <w:t>表5</w:t>
      </w:r>
      <w:r>
        <w:rPr>
          <w:rFonts w:hint="eastAsia" w:ascii="Times New Roman" w:hAnsi="Times New Roman" w:cs="Times New Roman"/>
          <w:b/>
          <w:szCs w:val="21"/>
          <w:lang w:val="en-US" w:eastAsia="zh-CN"/>
        </w:rPr>
        <w:t>.</w:t>
      </w:r>
      <w:r>
        <w:rPr>
          <w:rFonts w:hint="default" w:ascii="Times New Roman" w:hAnsi="Times New Roman" w:cs="Times New Roman" w:eastAsiaTheme="minorEastAsia"/>
          <w:b/>
          <w:szCs w:val="21"/>
          <w:lang w:val="en-US" w:eastAsia="en-US"/>
        </w:rPr>
        <w:t>2-</w:t>
      </w:r>
      <w:r>
        <w:rPr>
          <w:rFonts w:hint="default" w:ascii="Times New Roman" w:hAnsi="Times New Roman" w:cs="Times New Roman" w:eastAsiaTheme="minorEastAsia"/>
          <w:b/>
          <w:szCs w:val="21"/>
          <w:lang w:val="en-US" w:eastAsia="zh-CN"/>
        </w:rPr>
        <w:t xml:space="preserve">3  </w:t>
      </w:r>
      <w:r>
        <w:rPr>
          <w:rFonts w:hint="default" w:ascii="Times New Roman" w:hAnsi="Times New Roman" w:cs="Times New Roman" w:eastAsiaTheme="minorEastAsia"/>
          <w:b/>
          <w:szCs w:val="21"/>
          <w:lang w:val="en-US" w:eastAsia="en-US"/>
        </w:rPr>
        <w:t>模式计算选用的参数表</w:t>
      </w:r>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autofit"/>
        <w:tblCellMar>
          <w:top w:w="0" w:type="dxa"/>
          <w:left w:w="0" w:type="dxa"/>
          <w:bottom w:w="0" w:type="dxa"/>
          <w:right w:w="0" w:type="dxa"/>
        </w:tblCellMar>
      </w:tblPr>
      <w:tblGrid>
        <w:gridCol w:w="810"/>
        <w:gridCol w:w="1532"/>
        <w:gridCol w:w="2582"/>
        <w:gridCol w:w="1554"/>
        <w:gridCol w:w="1274"/>
        <w:gridCol w:w="1203"/>
      </w:tblGrid>
      <w:tr w14:paraId="46F9A55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52" w:type="pct"/>
            <w:tcBorders>
              <w:tl2br w:val="nil"/>
              <w:tr2bl w:val="nil"/>
            </w:tcBorders>
            <w:vAlign w:val="center"/>
          </w:tcPr>
          <w:p w14:paraId="62BBB6F1">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序号</w:t>
            </w:r>
          </w:p>
        </w:tc>
        <w:tc>
          <w:tcPr>
            <w:tcW w:w="855" w:type="pct"/>
            <w:tcBorders>
              <w:tl2br w:val="nil"/>
              <w:tr2bl w:val="nil"/>
            </w:tcBorders>
            <w:vAlign w:val="center"/>
          </w:tcPr>
          <w:p w14:paraId="782DA54C">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地表类型</w:t>
            </w:r>
          </w:p>
        </w:tc>
        <w:tc>
          <w:tcPr>
            <w:tcW w:w="1441" w:type="pct"/>
            <w:tcBorders>
              <w:tl2br w:val="nil"/>
              <w:tr2bl w:val="nil"/>
            </w:tcBorders>
            <w:vAlign w:val="center"/>
          </w:tcPr>
          <w:p w14:paraId="02503155">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时段</w:t>
            </w:r>
          </w:p>
        </w:tc>
        <w:tc>
          <w:tcPr>
            <w:tcW w:w="867" w:type="pct"/>
            <w:tcBorders>
              <w:tl2br w:val="nil"/>
              <w:tr2bl w:val="nil"/>
            </w:tcBorders>
            <w:vAlign w:val="center"/>
          </w:tcPr>
          <w:p w14:paraId="0773FCF6">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正午反照率</w:t>
            </w:r>
          </w:p>
        </w:tc>
        <w:tc>
          <w:tcPr>
            <w:tcW w:w="711" w:type="pct"/>
            <w:tcBorders>
              <w:tl2br w:val="nil"/>
              <w:tr2bl w:val="nil"/>
            </w:tcBorders>
            <w:vAlign w:val="center"/>
          </w:tcPr>
          <w:p w14:paraId="0706F6B7">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BOWEN</w:t>
            </w:r>
          </w:p>
        </w:tc>
        <w:tc>
          <w:tcPr>
            <w:tcW w:w="671" w:type="pct"/>
            <w:tcBorders>
              <w:tl2br w:val="nil"/>
              <w:tr2bl w:val="nil"/>
            </w:tcBorders>
            <w:vAlign w:val="center"/>
          </w:tcPr>
          <w:p w14:paraId="420FDB7B">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粗糙度</w:t>
            </w:r>
          </w:p>
        </w:tc>
      </w:tr>
      <w:tr w14:paraId="65C32C7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52" w:type="pct"/>
            <w:tcBorders>
              <w:tl2br w:val="nil"/>
              <w:tr2bl w:val="nil"/>
            </w:tcBorders>
            <w:vAlign w:val="center"/>
          </w:tcPr>
          <w:p w14:paraId="0110458A">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1</w:t>
            </w:r>
          </w:p>
        </w:tc>
        <w:tc>
          <w:tcPr>
            <w:tcW w:w="855" w:type="pct"/>
            <w:vMerge w:val="restart"/>
            <w:tcBorders>
              <w:tl2br w:val="nil"/>
              <w:tr2bl w:val="nil"/>
            </w:tcBorders>
            <w:vAlign w:val="center"/>
          </w:tcPr>
          <w:p w14:paraId="0B2FEAC6">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城市</w:t>
            </w:r>
          </w:p>
        </w:tc>
        <w:tc>
          <w:tcPr>
            <w:tcW w:w="1441" w:type="pct"/>
            <w:tcBorders>
              <w:tl2br w:val="nil"/>
              <w:tr2bl w:val="nil"/>
            </w:tcBorders>
            <w:vAlign w:val="center"/>
          </w:tcPr>
          <w:p w14:paraId="637DF97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冬季</w:t>
            </w:r>
            <w:r>
              <w:rPr>
                <w:rFonts w:hint="default" w:ascii="Times New Roman" w:hAnsi="Times New Roman" w:cs="Times New Roman" w:eastAsiaTheme="minorEastAsia"/>
                <w:szCs w:val="21"/>
                <w:highlight w:val="none"/>
                <w:lang w:val="en-US" w:eastAsia="zh-CN"/>
              </w:rPr>
              <w:t>（</w:t>
            </w:r>
            <w:r>
              <w:rPr>
                <w:rFonts w:hint="default" w:ascii="Times New Roman" w:hAnsi="Times New Roman" w:cs="Times New Roman" w:eastAsiaTheme="minorEastAsia"/>
                <w:szCs w:val="21"/>
                <w:highlight w:val="none"/>
                <w:lang w:val="en-US" w:eastAsia="en-US"/>
              </w:rPr>
              <w:t>12，1，2月</w:t>
            </w:r>
            <w:r>
              <w:rPr>
                <w:rFonts w:hint="default" w:ascii="Times New Roman" w:hAnsi="Times New Roman" w:cs="Times New Roman" w:eastAsiaTheme="minorEastAsia"/>
                <w:szCs w:val="21"/>
                <w:highlight w:val="none"/>
                <w:lang w:val="en-US" w:eastAsia="zh-CN"/>
              </w:rPr>
              <w:t>）</w:t>
            </w:r>
          </w:p>
        </w:tc>
        <w:tc>
          <w:tcPr>
            <w:tcW w:w="867" w:type="pct"/>
            <w:tcBorders>
              <w:tl2br w:val="nil"/>
              <w:tr2bl w:val="nil"/>
            </w:tcBorders>
            <w:vAlign w:val="center"/>
          </w:tcPr>
          <w:p w14:paraId="2B6F1C2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0.35</w:t>
            </w:r>
          </w:p>
        </w:tc>
        <w:tc>
          <w:tcPr>
            <w:tcW w:w="711" w:type="pct"/>
            <w:tcBorders>
              <w:tl2br w:val="nil"/>
              <w:tr2bl w:val="nil"/>
            </w:tcBorders>
            <w:vAlign w:val="center"/>
          </w:tcPr>
          <w:p w14:paraId="5FF624B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w:t>
            </w:r>
          </w:p>
        </w:tc>
        <w:tc>
          <w:tcPr>
            <w:tcW w:w="671" w:type="pct"/>
            <w:tcBorders>
              <w:tl2br w:val="nil"/>
              <w:tr2bl w:val="nil"/>
            </w:tcBorders>
            <w:vAlign w:val="center"/>
          </w:tcPr>
          <w:p w14:paraId="1185D9F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w:t>
            </w:r>
          </w:p>
        </w:tc>
      </w:tr>
      <w:tr w14:paraId="0729C4A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52" w:type="pct"/>
            <w:tcBorders>
              <w:tl2br w:val="nil"/>
              <w:tr2bl w:val="nil"/>
            </w:tcBorders>
            <w:vAlign w:val="center"/>
          </w:tcPr>
          <w:p w14:paraId="23F7BA78">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2</w:t>
            </w:r>
          </w:p>
        </w:tc>
        <w:tc>
          <w:tcPr>
            <w:tcW w:w="855" w:type="pct"/>
            <w:vMerge w:val="continue"/>
            <w:tcBorders>
              <w:tl2br w:val="nil"/>
              <w:tr2bl w:val="nil"/>
            </w:tcBorders>
            <w:vAlign w:val="center"/>
          </w:tcPr>
          <w:p w14:paraId="07915BC8">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441" w:type="pct"/>
            <w:tcBorders>
              <w:tl2br w:val="nil"/>
              <w:tr2bl w:val="nil"/>
            </w:tcBorders>
            <w:vAlign w:val="center"/>
          </w:tcPr>
          <w:p w14:paraId="6EED8DE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春季</w:t>
            </w:r>
            <w:r>
              <w:rPr>
                <w:rFonts w:hint="default" w:ascii="Times New Roman" w:hAnsi="Times New Roman" w:cs="Times New Roman" w:eastAsiaTheme="minorEastAsia"/>
                <w:szCs w:val="21"/>
                <w:highlight w:val="none"/>
                <w:lang w:val="en-US" w:eastAsia="zh-CN"/>
              </w:rPr>
              <w:t>（</w:t>
            </w:r>
            <w:r>
              <w:rPr>
                <w:rFonts w:hint="default" w:ascii="Times New Roman" w:hAnsi="Times New Roman" w:cs="Times New Roman" w:eastAsiaTheme="minorEastAsia"/>
                <w:szCs w:val="21"/>
                <w:highlight w:val="none"/>
                <w:lang w:val="en-US" w:eastAsia="en-US"/>
              </w:rPr>
              <w:t>3，4</w:t>
            </w:r>
            <w:r>
              <w:rPr>
                <w:rFonts w:hint="default" w:ascii="Times New Roman" w:hAnsi="Times New Roman" w:cs="Times New Roman" w:eastAsiaTheme="minorEastAsia"/>
                <w:szCs w:val="21"/>
                <w:highlight w:val="none"/>
                <w:lang w:val="en-US" w:eastAsia="zh-CN"/>
              </w:rPr>
              <w:t>，</w:t>
            </w:r>
            <w:r>
              <w:rPr>
                <w:rFonts w:hint="default" w:ascii="Times New Roman" w:hAnsi="Times New Roman" w:cs="Times New Roman" w:eastAsiaTheme="minorEastAsia"/>
                <w:szCs w:val="21"/>
                <w:highlight w:val="none"/>
                <w:lang w:val="en-US" w:eastAsia="en-US"/>
              </w:rPr>
              <w:t>5月</w:t>
            </w:r>
            <w:r>
              <w:rPr>
                <w:rFonts w:hint="default" w:ascii="Times New Roman" w:hAnsi="Times New Roman" w:cs="Times New Roman" w:eastAsiaTheme="minorEastAsia"/>
                <w:szCs w:val="21"/>
                <w:highlight w:val="none"/>
                <w:lang w:val="en-US" w:eastAsia="zh-CN"/>
              </w:rPr>
              <w:t>）</w:t>
            </w:r>
          </w:p>
        </w:tc>
        <w:tc>
          <w:tcPr>
            <w:tcW w:w="867" w:type="pct"/>
            <w:tcBorders>
              <w:tl2br w:val="nil"/>
              <w:tr2bl w:val="nil"/>
            </w:tcBorders>
            <w:vAlign w:val="center"/>
          </w:tcPr>
          <w:p w14:paraId="455DB56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0.14</w:t>
            </w:r>
          </w:p>
        </w:tc>
        <w:tc>
          <w:tcPr>
            <w:tcW w:w="711" w:type="pct"/>
            <w:tcBorders>
              <w:tl2br w:val="nil"/>
              <w:tr2bl w:val="nil"/>
            </w:tcBorders>
            <w:vAlign w:val="center"/>
          </w:tcPr>
          <w:p w14:paraId="44E88F2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w:t>
            </w:r>
          </w:p>
        </w:tc>
        <w:tc>
          <w:tcPr>
            <w:tcW w:w="671" w:type="pct"/>
            <w:tcBorders>
              <w:tl2br w:val="nil"/>
              <w:tr2bl w:val="nil"/>
            </w:tcBorders>
            <w:vAlign w:val="center"/>
          </w:tcPr>
          <w:p w14:paraId="5FFFC1D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w:t>
            </w:r>
          </w:p>
        </w:tc>
      </w:tr>
      <w:tr w14:paraId="476F15A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52" w:type="pct"/>
            <w:tcBorders>
              <w:tl2br w:val="nil"/>
              <w:tr2bl w:val="nil"/>
            </w:tcBorders>
            <w:vAlign w:val="center"/>
          </w:tcPr>
          <w:p w14:paraId="3DC08D33">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3</w:t>
            </w:r>
          </w:p>
        </w:tc>
        <w:tc>
          <w:tcPr>
            <w:tcW w:w="855" w:type="pct"/>
            <w:vMerge w:val="continue"/>
            <w:tcBorders>
              <w:tl2br w:val="nil"/>
              <w:tr2bl w:val="nil"/>
            </w:tcBorders>
            <w:vAlign w:val="center"/>
          </w:tcPr>
          <w:p w14:paraId="7A8D5656">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441" w:type="pct"/>
            <w:tcBorders>
              <w:tl2br w:val="nil"/>
              <w:tr2bl w:val="nil"/>
            </w:tcBorders>
            <w:vAlign w:val="center"/>
          </w:tcPr>
          <w:p w14:paraId="1635F2AA">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夏季</w:t>
            </w:r>
            <w:r>
              <w:rPr>
                <w:rFonts w:hint="default" w:ascii="Times New Roman" w:hAnsi="Times New Roman" w:cs="Times New Roman" w:eastAsiaTheme="minorEastAsia"/>
                <w:szCs w:val="21"/>
                <w:highlight w:val="none"/>
                <w:lang w:val="en-US" w:eastAsia="zh-CN"/>
              </w:rPr>
              <w:t>（</w:t>
            </w:r>
            <w:r>
              <w:rPr>
                <w:rFonts w:hint="default" w:ascii="Times New Roman" w:hAnsi="Times New Roman" w:cs="Times New Roman" w:eastAsiaTheme="minorEastAsia"/>
                <w:szCs w:val="21"/>
                <w:highlight w:val="none"/>
                <w:lang w:val="en-US" w:eastAsia="en-US"/>
              </w:rPr>
              <w:t>6，7，8月</w:t>
            </w:r>
            <w:r>
              <w:rPr>
                <w:rFonts w:hint="default" w:ascii="Times New Roman" w:hAnsi="Times New Roman" w:cs="Times New Roman" w:eastAsiaTheme="minorEastAsia"/>
                <w:szCs w:val="21"/>
                <w:highlight w:val="none"/>
                <w:lang w:val="en-US" w:eastAsia="zh-CN"/>
              </w:rPr>
              <w:t>）</w:t>
            </w:r>
          </w:p>
        </w:tc>
        <w:tc>
          <w:tcPr>
            <w:tcW w:w="867" w:type="pct"/>
            <w:tcBorders>
              <w:tl2br w:val="nil"/>
              <w:tr2bl w:val="nil"/>
            </w:tcBorders>
            <w:vAlign w:val="center"/>
          </w:tcPr>
          <w:p w14:paraId="416FE0F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0.16</w:t>
            </w:r>
          </w:p>
        </w:tc>
        <w:tc>
          <w:tcPr>
            <w:tcW w:w="711" w:type="pct"/>
            <w:tcBorders>
              <w:tl2br w:val="nil"/>
              <w:tr2bl w:val="nil"/>
            </w:tcBorders>
            <w:vAlign w:val="center"/>
          </w:tcPr>
          <w:p w14:paraId="44A970E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4</w:t>
            </w:r>
          </w:p>
        </w:tc>
        <w:tc>
          <w:tcPr>
            <w:tcW w:w="671" w:type="pct"/>
            <w:tcBorders>
              <w:tl2br w:val="nil"/>
              <w:tr2bl w:val="nil"/>
            </w:tcBorders>
            <w:vAlign w:val="center"/>
          </w:tcPr>
          <w:p w14:paraId="1D1EE52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w:t>
            </w:r>
          </w:p>
        </w:tc>
      </w:tr>
      <w:tr w14:paraId="33FAA55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52" w:type="pct"/>
            <w:tcBorders>
              <w:tl2br w:val="nil"/>
              <w:tr2bl w:val="nil"/>
            </w:tcBorders>
            <w:vAlign w:val="center"/>
          </w:tcPr>
          <w:p w14:paraId="0745F50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4</w:t>
            </w:r>
          </w:p>
        </w:tc>
        <w:tc>
          <w:tcPr>
            <w:tcW w:w="855" w:type="pct"/>
            <w:vMerge w:val="continue"/>
            <w:tcBorders>
              <w:tl2br w:val="nil"/>
              <w:tr2bl w:val="nil"/>
            </w:tcBorders>
            <w:vAlign w:val="center"/>
          </w:tcPr>
          <w:p w14:paraId="18EB9406">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441" w:type="pct"/>
            <w:tcBorders>
              <w:tl2br w:val="nil"/>
              <w:tr2bl w:val="nil"/>
            </w:tcBorders>
            <w:vAlign w:val="center"/>
          </w:tcPr>
          <w:p w14:paraId="6A7CCBB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秋季</w:t>
            </w:r>
            <w:r>
              <w:rPr>
                <w:rFonts w:hint="default" w:ascii="Times New Roman" w:hAnsi="Times New Roman" w:cs="Times New Roman" w:eastAsiaTheme="minorEastAsia"/>
                <w:szCs w:val="21"/>
                <w:highlight w:val="none"/>
                <w:lang w:val="en-US" w:eastAsia="zh-CN"/>
              </w:rPr>
              <w:t>（</w:t>
            </w:r>
            <w:r>
              <w:rPr>
                <w:rFonts w:hint="default" w:ascii="Times New Roman" w:hAnsi="Times New Roman" w:cs="Times New Roman" w:eastAsiaTheme="minorEastAsia"/>
                <w:szCs w:val="21"/>
                <w:highlight w:val="none"/>
                <w:lang w:val="en-US" w:eastAsia="en-US"/>
              </w:rPr>
              <w:t>9，10，11月</w:t>
            </w:r>
            <w:r>
              <w:rPr>
                <w:rFonts w:hint="default" w:ascii="Times New Roman" w:hAnsi="Times New Roman" w:cs="Times New Roman" w:eastAsiaTheme="minorEastAsia"/>
                <w:szCs w:val="21"/>
                <w:highlight w:val="none"/>
                <w:lang w:val="en-US" w:eastAsia="zh-CN"/>
              </w:rPr>
              <w:t>）</w:t>
            </w:r>
          </w:p>
        </w:tc>
        <w:tc>
          <w:tcPr>
            <w:tcW w:w="867" w:type="pct"/>
            <w:tcBorders>
              <w:tl2br w:val="nil"/>
              <w:tr2bl w:val="nil"/>
            </w:tcBorders>
            <w:vAlign w:val="center"/>
          </w:tcPr>
          <w:p w14:paraId="523B9C1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0.18</w:t>
            </w:r>
          </w:p>
        </w:tc>
        <w:tc>
          <w:tcPr>
            <w:tcW w:w="711" w:type="pct"/>
            <w:tcBorders>
              <w:tl2br w:val="nil"/>
              <w:tr2bl w:val="nil"/>
            </w:tcBorders>
            <w:vAlign w:val="center"/>
          </w:tcPr>
          <w:p w14:paraId="20F4529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4</w:t>
            </w:r>
          </w:p>
        </w:tc>
        <w:tc>
          <w:tcPr>
            <w:tcW w:w="671" w:type="pct"/>
            <w:tcBorders>
              <w:tl2br w:val="nil"/>
              <w:tr2bl w:val="nil"/>
            </w:tcBorders>
            <w:vAlign w:val="center"/>
          </w:tcPr>
          <w:p w14:paraId="7ACA42E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w:t>
            </w:r>
          </w:p>
        </w:tc>
      </w:tr>
    </w:tbl>
    <w:p w14:paraId="0F6CE375">
      <w:pPr>
        <w:pStyle w:val="20"/>
        <w:snapToGrid w:val="0"/>
        <w:jc w:val="left"/>
        <w:rPr>
          <w:rFonts w:hint="default" w:ascii="Times New Roman" w:hAnsi="Times New Roman" w:cs="Times New Roman" w:eastAsiaTheme="minorEastAsia"/>
          <w:color w:val="auto"/>
          <w:lang w:val="en-US" w:eastAsia="en-US"/>
        </w:rPr>
      </w:pPr>
      <w:r>
        <w:rPr>
          <w:rFonts w:hint="default" w:ascii="Times New Roman" w:hAnsi="Times New Roman" w:cs="Times New Roman" w:eastAsiaTheme="minorEastAsia"/>
          <w:color w:val="auto"/>
          <w:lang w:val="en-US" w:eastAsia="zh-CN"/>
        </w:rPr>
        <w:t>（5）</w:t>
      </w:r>
      <w:r>
        <w:rPr>
          <w:rFonts w:hint="default" w:ascii="Times New Roman" w:hAnsi="Times New Roman" w:cs="Times New Roman" w:eastAsiaTheme="minorEastAsia"/>
          <w:color w:val="auto"/>
          <w:lang w:val="en-US" w:eastAsia="en-US"/>
        </w:rPr>
        <w:t>地形参数</w:t>
      </w:r>
    </w:p>
    <w:p w14:paraId="7F72D287">
      <w:pPr>
        <w:pStyle w:val="20"/>
        <w:keepNext w:val="0"/>
        <w:keepLines w:val="0"/>
        <w:pageBreakBefore w:val="0"/>
        <w:widowControl w:val="0"/>
        <w:kinsoku/>
        <w:wordWrap w:val="0"/>
        <w:overflowPunct/>
        <w:topLinePunct w:val="0"/>
        <w:autoSpaceDE/>
        <w:autoSpaceDN/>
        <w:bidi w:val="0"/>
        <w:adjustRightInd w:val="0"/>
        <w:snapToGrid w:val="0"/>
        <w:jc w:val="left"/>
        <w:textAlignment w:val="baseline"/>
        <w:rPr>
          <w:rFonts w:hint="default" w:ascii="Times New Roman" w:hAnsi="Times New Roman" w:cs="Times New Roman" w:eastAsiaTheme="minorEastAsia"/>
          <w:color w:val="auto"/>
          <w:lang w:val="en-US" w:eastAsia="en-US"/>
        </w:rPr>
      </w:pPr>
      <w:r>
        <w:rPr>
          <w:rFonts w:hint="default" w:ascii="Times New Roman" w:hAnsi="Times New Roman" w:cs="Times New Roman" w:eastAsiaTheme="minorEastAsia"/>
          <w:color w:val="auto"/>
          <w:lang w:val="en-US" w:eastAsia="en-US"/>
        </w:rPr>
        <w:t>项目所在区域为复杂地形，评价范围为5km×5km。评价范围DEM所需SRTM资源文件，从网址http://srtm.csi.cgiar.org/SRT-ZIP/SRTM_v41/SRTM_Data_ArcASCII/srtm_5</w:t>
      </w:r>
      <w:r>
        <w:rPr>
          <w:rFonts w:hint="eastAsia" w:ascii="Times New Roman" w:hAnsi="Times New Roman" w:cs="Times New Roman" w:eastAsiaTheme="minorEastAsia"/>
          <w:color w:val="auto"/>
          <w:lang w:val="en-US" w:eastAsia="zh-CN"/>
        </w:rPr>
        <w:t>2</w:t>
      </w:r>
      <w:r>
        <w:rPr>
          <w:rFonts w:hint="default" w:ascii="Times New Roman" w:hAnsi="Times New Roman" w:cs="Times New Roman" w:eastAsiaTheme="minorEastAsia"/>
          <w:color w:val="auto"/>
          <w:lang w:val="en-US" w:eastAsia="en-US"/>
        </w:rPr>
        <w:t>_0</w:t>
      </w:r>
      <w:r>
        <w:rPr>
          <w:rFonts w:hint="eastAsia" w:ascii="Times New Roman" w:hAnsi="Times New Roman" w:cs="Times New Roman" w:eastAsiaTheme="minorEastAsia"/>
          <w:color w:val="auto"/>
          <w:lang w:val="en-US" w:eastAsia="zh-CN"/>
        </w:rPr>
        <w:t>5</w:t>
      </w:r>
      <w:r>
        <w:rPr>
          <w:rFonts w:hint="default" w:ascii="Times New Roman" w:hAnsi="Times New Roman" w:cs="Times New Roman" w:eastAsiaTheme="minorEastAsia"/>
          <w:color w:val="auto"/>
          <w:lang w:val="en-US" w:eastAsia="en-US"/>
        </w:rPr>
        <w:t>.zip下载获取并生成本工程DEM文件</w:t>
      </w:r>
      <w:r>
        <w:rPr>
          <w:rFonts w:hint="default"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en-US"/>
        </w:rPr>
        <w:t>90m分辨率</w:t>
      </w:r>
      <w:r>
        <w:rPr>
          <w:rFonts w:hint="default"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en-US"/>
        </w:rPr>
        <w:t>。</w:t>
      </w:r>
    </w:p>
    <w:p w14:paraId="5572A193">
      <w:pPr>
        <w:pStyle w:val="20"/>
        <w:snapToGrid w:val="0"/>
        <w:spacing w:line="360" w:lineRule="auto"/>
        <w:jc w:val="left"/>
        <w:rPr>
          <w:rFonts w:hint="default" w:ascii="Times New Roman" w:hAnsi="Times New Roman" w:cs="Times New Roman" w:eastAsiaTheme="minorEastAsia"/>
          <w:color w:val="000000" w:themeColor="text1"/>
          <w:lang w:val="en-US" w:eastAsia="zh-CN"/>
          <w14:textFill>
            <w14:solidFill>
              <w14:schemeClr w14:val="tx1"/>
            </w14:solidFill>
          </w14:textFill>
        </w:rPr>
      </w:pPr>
    </w:p>
    <w:p w14:paraId="534E5CFA">
      <w:pPr>
        <w:pStyle w:val="20"/>
        <w:snapToGrid w:val="0"/>
        <w:spacing w:line="360" w:lineRule="auto"/>
        <w:jc w:val="left"/>
        <w:rPr>
          <w:rFonts w:hint="default" w:ascii="Times New Roman" w:hAnsi="Times New Roman" w:cs="Times New Roman" w:eastAsiaTheme="minorEastAsia"/>
          <w:color w:val="000000" w:themeColor="text1"/>
          <w:lang w:val="en-US" w:eastAsia="zh-CN"/>
          <w14:textFill>
            <w14:solidFill>
              <w14:schemeClr w14:val="tx1"/>
            </w14:solidFill>
          </w14:textFill>
        </w:rPr>
      </w:pPr>
    </w:p>
    <w:p w14:paraId="0F3EF982">
      <w:pPr>
        <w:keepNext/>
        <w:keepLines w:val="0"/>
        <w:pageBreakBefore w:val="0"/>
        <w:widowControl/>
        <w:kinsoku/>
        <w:wordWrap/>
        <w:overflowPunct/>
        <w:topLinePunct/>
        <w:autoSpaceDE/>
        <w:autoSpaceDN/>
        <w:bidi w:val="0"/>
        <w:adjustRightInd w:val="0"/>
        <w:snapToGrid w:val="0"/>
        <w:spacing w:line="360" w:lineRule="auto"/>
        <w:ind w:left="0" w:leftChars="0" w:right="0" w:firstLine="0" w:firstLineChars="0"/>
        <w:jc w:val="both"/>
        <w:rPr>
          <w:rFonts w:hint="default" w:ascii="Times New Roman" w:hAnsi="Times New Roman" w:cs="Times New Roman" w:eastAsiaTheme="minorEastAsia"/>
          <w:b/>
          <w:bCs/>
          <w:color w:val="000000" w:themeColor="text1"/>
          <w:lang w:val="en-US"/>
          <w14:textFill>
            <w14:solidFill>
              <w14:schemeClr w14:val="tx1"/>
            </w14:solidFill>
          </w14:textFill>
        </w:rPr>
      </w:pPr>
    </w:p>
    <w:p w14:paraId="5DBD12FC">
      <w:pPr>
        <w:adjustRightInd w:val="0"/>
        <w:snapToGrid w:val="0"/>
        <w:spacing w:before="250" w:beforeLines="50"/>
        <w:jc w:val="center"/>
        <w:rPr>
          <w:rFonts w:hint="default" w:ascii="Times New Roman" w:hAnsi="Times New Roman" w:cs="Times New Roman" w:eastAsiaTheme="minorEastAsia"/>
          <w:b/>
          <w:szCs w:val="21"/>
          <w:highlight w:val="red"/>
          <w:lang w:val="en-US" w:eastAsia="zh-CN"/>
        </w:rPr>
      </w:pPr>
      <w:r>
        <w:rPr>
          <w:rFonts w:hint="default" w:ascii="Times New Roman" w:hAnsi="Times New Roman" w:cs="Times New Roman" w:eastAsiaTheme="minorEastAsia"/>
          <w:b/>
          <w:szCs w:val="21"/>
          <w:highlight w:val="none"/>
          <w:lang w:val="en-US" w:eastAsia="zh-CN"/>
        </w:rPr>
        <w:t>图5.2-</w:t>
      </w:r>
      <w:r>
        <w:rPr>
          <w:rFonts w:hint="eastAsia" w:ascii="Times New Roman" w:hAnsi="Times New Roman" w:cs="Times New Roman"/>
          <w:b/>
          <w:szCs w:val="21"/>
          <w:highlight w:val="none"/>
          <w:lang w:val="en-US" w:eastAsia="zh-CN"/>
        </w:rPr>
        <w:t>8</w:t>
      </w:r>
      <w:r>
        <w:rPr>
          <w:rFonts w:hint="default" w:ascii="Times New Roman" w:hAnsi="Times New Roman" w:cs="Times New Roman" w:eastAsiaTheme="minorEastAsia"/>
          <w:b/>
          <w:szCs w:val="21"/>
          <w:highlight w:val="none"/>
          <w:lang w:val="en-US" w:eastAsia="zh-CN"/>
        </w:rPr>
        <w:t xml:space="preserve">  DEM数据地形高程图</w:t>
      </w:r>
    </w:p>
    <w:p w14:paraId="48A7FA82">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（6）计算点的设置</w:t>
      </w:r>
    </w:p>
    <w:p w14:paraId="078C3933">
      <w:pPr>
        <w:pStyle w:val="20"/>
        <w:snapToGrid w:val="0"/>
        <w:jc w:val="left"/>
        <w:rPr>
          <w:rFonts w:hint="default" w:ascii="Times New Roman" w:hAnsi="Times New Roman" w:cs="Times New Roman" w:eastAsiaTheme="minorEastAsia"/>
          <w:color w:val="auto"/>
          <w:lang w:val="zh-CN" w:eastAsia="zh-CN"/>
        </w:rPr>
      </w:pPr>
      <w:r>
        <w:rPr>
          <w:rFonts w:hint="default" w:ascii="Times New Roman" w:hAnsi="Times New Roman" w:cs="Times New Roman" w:eastAsiaTheme="minorEastAsia"/>
          <w:color w:val="auto"/>
          <w:lang w:val="zh-CN" w:eastAsia="zh-CN"/>
        </w:rPr>
        <w:t>预测以</w:t>
      </w:r>
      <w:r>
        <w:rPr>
          <w:rFonts w:hint="default" w:ascii="Times New Roman" w:hAnsi="Times New Roman" w:cs="Times New Roman" w:eastAsiaTheme="minorEastAsia"/>
          <w:color w:val="auto"/>
          <w:lang w:val="en-US" w:eastAsia="zh-CN"/>
        </w:rPr>
        <w:t>厂区中心位置</w:t>
      </w:r>
      <w:r>
        <w:rPr>
          <w:rFonts w:hint="default" w:ascii="Times New Roman" w:hAnsi="Times New Roman" w:cs="Times New Roman" w:eastAsiaTheme="minorEastAsia"/>
          <w:color w:val="auto"/>
          <w:lang w:val="zh-CN" w:eastAsia="zh-CN"/>
        </w:rPr>
        <w:t>为原点</w:t>
      </w:r>
      <w:r>
        <w:rPr>
          <w:rFonts w:hint="default" w:ascii="Times New Roman" w:hAnsi="Times New Roman" w:cs="Times New Roman" w:eastAsiaTheme="minorEastAsia"/>
          <w:color w:val="auto"/>
          <w:lang w:val="en-US" w:eastAsia="zh-CN"/>
        </w:rPr>
        <w:t>a</w:t>
      </w:r>
      <w:r>
        <w:rPr>
          <w:rFonts w:hint="default" w:ascii="Times New Roman" w:hAnsi="Times New Roman" w:cs="Times New Roman" w:eastAsiaTheme="minorEastAsia"/>
          <w:color w:val="auto"/>
          <w:lang w:val="zh-CN" w:eastAsia="zh-CN"/>
        </w:rPr>
        <w:t>（0，0），计算各网格点的环境空气地面浓度值，并对各关心点（敏感点和监测点）进行特定点的计算。预测网格设置见表</w:t>
      </w:r>
      <w:r>
        <w:rPr>
          <w:rFonts w:hint="default" w:ascii="Times New Roman" w:hAnsi="Times New Roman" w:cs="Times New Roman" w:eastAsiaTheme="minorEastAsia"/>
          <w:color w:val="auto"/>
          <w:lang w:val="en-US" w:eastAsia="zh-CN"/>
        </w:rPr>
        <w:t>5.2-4</w:t>
      </w:r>
      <w:r>
        <w:rPr>
          <w:rFonts w:hint="default" w:ascii="Times New Roman" w:hAnsi="Times New Roman" w:cs="Times New Roman" w:eastAsiaTheme="minorEastAsia"/>
          <w:color w:val="auto"/>
          <w:lang w:val="zh-CN" w:eastAsia="zh-CN"/>
        </w:rPr>
        <w:t>。</w:t>
      </w:r>
    </w:p>
    <w:p w14:paraId="7471CCEA">
      <w:pPr>
        <w:adjustRightInd w:val="0"/>
        <w:snapToGrid w:val="0"/>
        <w:spacing w:before="250" w:beforeLines="50"/>
        <w:ind w:firstLine="422" w:firstLineChars="200"/>
        <w:jc w:val="center"/>
        <w:rPr>
          <w:rFonts w:hint="default" w:ascii="Times New Roman" w:hAnsi="Times New Roman" w:cs="Times New Roman" w:eastAsiaTheme="minorEastAsia"/>
          <w:b/>
          <w:szCs w:val="21"/>
          <w:lang w:val="en-US" w:eastAsia="en-US"/>
        </w:rPr>
      </w:pPr>
      <w:r>
        <w:rPr>
          <w:rFonts w:hint="default" w:ascii="Times New Roman" w:hAnsi="Times New Roman" w:cs="Times New Roman" w:eastAsiaTheme="minorEastAsia"/>
          <w:b/>
          <w:szCs w:val="21"/>
          <w:lang w:val="en-US" w:eastAsia="en-US"/>
        </w:rPr>
        <w:t>表</w:t>
      </w:r>
      <w:r>
        <w:rPr>
          <w:rFonts w:hint="default" w:ascii="Times New Roman" w:hAnsi="Times New Roman" w:cs="Times New Roman" w:eastAsiaTheme="minorEastAsia"/>
          <w:b/>
          <w:szCs w:val="21"/>
          <w:lang w:val="en-US" w:eastAsia="zh-CN"/>
        </w:rPr>
        <w:t>5.2-4</w:t>
      </w:r>
      <w:r>
        <w:rPr>
          <w:rFonts w:hint="default" w:ascii="Times New Roman" w:hAnsi="Times New Roman" w:cs="Times New Roman" w:eastAsiaTheme="minorEastAsia"/>
          <w:b/>
          <w:szCs w:val="21"/>
          <w:lang w:val="en-US" w:eastAsia="en-US"/>
        </w:rPr>
        <w:t xml:space="preserve">  预测网格设置</w:t>
      </w:r>
    </w:p>
    <w:tbl>
      <w:tblPr>
        <w:tblStyle w:val="12"/>
        <w:tblW w:w="48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6"/>
        <w:gridCol w:w="3039"/>
        <w:gridCol w:w="3319"/>
      </w:tblGrid>
      <w:tr w14:paraId="68F74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tcBorders>
              <w:tl2br w:val="nil"/>
              <w:tr2bl w:val="nil"/>
            </w:tcBorders>
            <w:vAlign w:val="center"/>
          </w:tcPr>
          <w:p w14:paraId="2D9C6988">
            <w:pPr>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zh-CN" w:eastAsia="zh-CN"/>
              </w:rPr>
              <w:t>近密远疏的直角标网格方法（</w:t>
            </w:r>
            <w:r>
              <w:rPr>
                <w:rFonts w:hint="default" w:ascii="Times New Roman" w:hAnsi="Times New Roman" w:cs="Times New Roman" w:eastAsiaTheme="minorEastAsia"/>
                <w:szCs w:val="21"/>
                <w:lang w:val="en-US" w:eastAsia="zh-CN"/>
              </w:rPr>
              <w:t>单位：m</w:t>
            </w:r>
            <w:r>
              <w:rPr>
                <w:rFonts w:hint="default" w:ascii="Times New Roman" w:hAnsi="Times New Roman" w:cs="Times New Roman" w:eastAsiaTheme="minorEastAsia"/>
                <w:szCs w:val="21"/>
                <w:lang w:val="zh-CN" w:eastAsia="zh-CN"/>
              </w:rPr>
              <w:t>）</w:t>
            </w:r>
          </w:p>
        </w:tc>
      </w:tr>
      <w:tr w14:paraId="5AB80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1458" w:type="pct"/>
            <w:vMerge w:val="restart"/>
            <w:tcBorders>
              <w:tl2br w:val="nil"/>
              <w:tr2bl w:val="nil"/>
            </w:tcBorders>
            <w:vAlign w:val="center"/>
          </w:tcPr>
          <w:p w14:paraId="228E17A6">
            <w:pPr>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zh-CN" w:eastAsia="zh-CN"/>
              </w:rPr>
              <w:t>预测网格点距离</w:t>
            </w:r>
          </w:p>
        </w:tc>
        <w:tc>
          <w:tcPr>
            <w:tcW w:w="1693" w:type="pct"/>
            <w:tcBorders>
              <w:tl2br w:val="nil"/>
              <w:tr2bl w:val="nil"/>
            </w:tcBorders>
            <w:vAlign w:val="center"/>
          </w:tcPr>
          <w:p w14:paraId="3DB7BA79">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zh-CN" w:eastAsia="zh-CN"/>
              </w:rPr>
              <w:t>距离中心位置（a）</w:t>
            </w:r>
          </w:p>
        </w:tc>
        <w:tc>
          <w:tcPr>
            <w:tcW w:w="1848" w:type="pct"/>
            <w:tcBorders>
              <w:tl2br w:val="nil"/>
              <w:tr2bl w:val="nil"/>
            </w:tcBorders>
            <w:vAlign w:val="center"/>
          </w:tcPr>
          <w:p w14:paraId="79667D00">
            <w:pPr>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zh-CN" w:eastAsia="zh-CN"/>
              </w:rPr>
              <w:t>网格距离</w:t>
            </w:r>
          </w:p>
        </w:tc>
      </w:tr>
      <w:tr w14:paraId="4AB0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1458" w:type="pct"/>
            <w:vMerge w:val="continue"/>
            <w:tcBorders>
              <w:tl2br w:val="nil"/>
              <w:tr2bl w:val="nil"/>
            </w:tcBorders>
            <w:vAlign w:val="center"/>
          </w:tcPr>
          <w:p w14:paraId="21E477EB">
            <w:pPr>
              <w:spacing w:line="300" w:lineRule="exact"/>
              <w:jc w:val="center"/>
              <w:rPr>
                <w:rFonts w:hint="default" w:ascii="Times New Roman" w:hAnsi="Times New Roman" w:cs="Times New Roman" w:eastAsiaTheme="minorEastAsia"/>
                <w:szCs w:val="21"/>
                <w:lang w:val="zh-CN" w:eastAsia="zh-CN"/>
              </w:rPr>
            </w:pPr>
          </w:p>
        </w:tc>
        <w:tc>
          <w:tcPr>
            <w:tcW w:w="1693" w:type="pct"/>
            <w:tcBorders>
              <w:tl2br w:val="nil"/>
              <w:tr2bl w:val="nil"/>
            </w:tcBorders>
            <w:vAlign w:val="center"/>
          </w:tcPr>
          <w:p w14:paraId="65F7A0C1">
            <w:pPr>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zh-CN" w:eastAsia="zh-CN"/>
              </w:rPr>
              <w:t>a≤</w:t>
            </w:r>
            <w:r>
              <w:rPr>
                <w:rFonts w:hint="default" w:ascii="Times New Roman" w:hAnsi="Times New Roman" w:cs="Times New Roman" w:eastAsiaTheme="minorEastAsia"/>
                <w:szCs w:val="21"/>
                <w:lang w:val="en-US" w:eastAsia="zh-CN"/>
              </w:rPr>
              <w:t>25</w:t>
            </w:r>
            <w:r>
              <w:rPr>
                <w:rFonts w:hint="default" w:ascii="Times New Roman" w:hAnsi="Times New Roman" w:cs="Times New Roman" w:eastAsiaTheme="minorEastAsia"/>
                <w:szCs w:val="21"/>
                <w:lang w:val="zh-CN" w:eastAsia="zh-CN"/>
              </w:rPr>
              <w:t>00</w:t>
            </w:r>
          </w:p>
        </w:tc>
        <w:tc>
          <w:tcPr>
            <w:tcW w:w="1848" w:type="pct"/>
            <w:tcBorders>
              <w:tl2br w:val="nil"/>
              <w:tr2bl w:val="nil"/>
            </w:tcBorders>
            <w:vAlign w:val="center"/>
          </w:tcPr>
          <w:p w14:paraId="3132BC58">
            <w:pPr>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zh-CN" w:eastAsia="zh-CN"/>
              </w:rPr>
              <w:t>100</w:t>
            </w:r>
          </w:p>
        </w:tc>
      </w:tr>
      <w:tr w14:paraId="15D2F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458" w:type="pct"/>
            <w:vMerge w:val="continue"/>
            <w:tcBorders>
              <w:tl2br w:val="nil"/>
              <w:tr2bl w:val="nil"/>
            </w:tcBorders>
            <w:vAlign w:val="center"/>
          </w:tcPr>
          <w:p w14:paraId="61036B6B">
            <w:pPr>
              <w:spacing w:line="300" w:lineRule="exact"/>
              <w:jc w:val="center"/>
              <w:rPr>
                <w:rFonts w:hint="default" w:ascii="Times New Roman" w:hAnsi="Times New Roman" w:cs="Times New Roman" w:eastAsiaTheme="minorEastAsia"/>
                <w:szCs w:val="21"/>
                <w:lang w:val="zh-CN" w:eastAsia="zh-CN"/>
              </w:rPr>
            </w:pPr>
          </w:p>
        </w:tc>
        <w:tc>
          <w:tcPr>
            <w:tcW w:w="1693" w:type="pct"/>
            <w:tcBorders>
              <w:tl2br w:val="nil"/>
              <w:tr2bl w:val="nil"/>
            </w:tcBorders>
            <w:vAlign w:val="center"/>
          </w:tcPr>
          <w:p w14:paraId="185CCFE7">
            <w:pPr>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2500&lt;</w:t>
            </w:r>
            <w:r>
              <w:rPr>
                <w:rFonts w:hint="default" w:ascii="Times New Roman" w:hAnsi="Times New Roman" w:cs="Times New Roman" w:eastAsiaTheme="minorEastAsia"/>
                <w:szCs w:val="21"/>
                <w:lang w:val="zh-CN" w:eastAsia="zh-CN"/>
              </w:rPr>
              <w:t>a</w:t>
            </w:r>
          </w:p>
        </w:tc>
        <w:tc>
          <w:tcPr>
            <w:tcW w:w="1848" w:type="pct"/>
            <w:tcBorders>
              <w:tl2br w:val="nil"/>
              <w:tr2bl w:val="nil"/>
            </w:tcBorders>
            <w:vAlign w:val="center"/>
          </w:tcPr>
          <w:p w14:paraId="7B0AEF59">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200</w:t>
            </w:r>
          </w:p>
        </w:tc>
      </w:tr>
    </w:tbl>
    <w:p w14:paraId="7860BB98">
      <w:pPr>
        <w:pStyle w:val="20"/>
        <w:snapToGrid w:val="0"/>
        <w:jc w:val="left"/>
        <w:rPr>
          <w:rFonts w:hint="default" w:ascii="Times New Roman" w:hAnsi="Times New Roman" w:cs="Times New Roman" w:eastAsiaTheme="minorEastAsia"/>
          <w:color w:val="auto"/>
          <w:lang w:val="en-US" w:eastAsia="en-US"/>
        </w:rPr>
      </w:pPr>
      <w:r>
        <w:rPr>
          <w:rFonts w:hint="default" w:ascii="Times New Roman" w:hAnsi="Times New Roman" w:cs="Times New Roman" w:eastAsiaTheme="minorEastAsia"/>
          <w:color w:val="auto"/>
          <w:lang w:val="en-US" w:eastAsia="en-US"/>
        </w:rPr>
        <w:t>本项目各环境空气保护目标坐标位置，见表5</w:t>
      </w:r>
      <w:r>
        <w:rPr>
          <w:rFonts w:hint="default"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en-US"/>
        </w:rPr>
        <w:t>2-</w:t>
      </w:r>
      <w:r>
        <w:rPr>
          <w:rFonts w:hint="default" w:ascii="Times New Roman" w:hAnsi="Times New Roman" w:cs="Times New Roman" w:eastAsiaTheme="minorEastAsia"/>
          <w:color w:val="auto"/>
          <w:lang w:val="en-US" w:eastAsia="zh-CN"/>
        </w:rPr>
        <w:t>5</w:t>
      </w:r>
      <w:r>
        <w:rPr>
          <w:rFonts w:hint="default" w:ascii="Times New Roman" w:hAnsi="Times New Roman" w:cs="Times New Roman" w:eastAsiaTheme="minorEastAsia"/>
          <w:color w:val="auto"/>
          <w:lang w:val="en-US" w:eastAsia="en-US"/>
        </w:rPr>
        <w:t>。</w:t>
      </w:r>
    </w:p>
    <w:p w14:paraId="05BAC2E2">
      <w:pPr>
        <w:adjustRightInd w:val="0"/>
        <w:snapToGrid w:val="0"/>
        <w:spacing w:before="250" w:beforeLines="50"/>
        <w:ind w:firstLine="422" w:firstLineChars="200"/>
        <w:jc w:val="center"/>
        <w:rPr>
          <w:rFonts w:hint="default" w:ascii="Times New Roman" w:hAnsi="Times New Roman" w:cs="Times New Roman" w:eastAsiaTheme="minorEastAsia"/>
          <w:b/>
          <w:szCs w:val="21"/>
          <w:lang w:val="en-US" w:eastAsia="en-US"/>
        </w:rPr>
      </w:pPr>
      <w:r>
        <w:rPr>
          <w:rFonts w:hint="default" w:ascii="Times New Roman" w:hAnsi="Times New Roman" w:cs="Times New Roman" w:eastAsiaTheme="minorEastAsia"/>
          <w:b/>
          <w:szCs w:val="21"/>
          <w:lang w:val="en-US" w:eastAsia="en-US"/>
        </w:rPr>
        <w:t>表 5</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2</w:t>
      </w:r>
      <w:r>
        <w:rPr>
          <w:rFonts w:hint="default" w:ascii="Times New Roman" w:hAnsi="Times New Roman" w:cs="Times New Roman" w:eastAsiaTheme="minorEastAsia"/>
          <w:b/>
          <w:szCs w:val="21"/>
          <w:lang w:val="en-US" w:eastAsia="zh-CN"/>
        </w:rPr>
        <w:t>-5</w:t>
      </w:r>
      <w:r>
        <w:rPr>
          <w:rFonts w:hint="default" w:ascii="Times New Roman" w:hAnsi="Times New Roman" w:cs="Times New Roman" w:eastAsiaTheme="minorEastAsia"/>
          <w:b/>
          <w:szCs w:val="21"/>
          <w:lang w:val="en-US" w:eastAsia="en-US"/>
        </w:rPr>
        <w:t xml:space="preserve">  拟建厂址和预测点坐标一览表</w:t>
      </w:r>
    </w:p>
    <w:tbl>
      <w:tblPr>
        <w:tblStyle w:val="16"/>
        <w:tblW w:w="8802" w:type="dxa"/>
        <w:tblInd w:w="0" w:type="dxa"/>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770"/>
        <w:gridCol w:w="3017"/>
        <w:gridCol w:w="1567"/>
        <w:gridCol w:w="1716"/>
        <w:gridCol w:w="1732"/>
      </w:tblGrid>
      <w:tr w14:paraId="1E45C43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70" w:type="dxa"/>
            <w:tcBorders>
              <w:tl2br w:val="nil"/>
              <w:tr2bl w:val="nil"/>
            </w:tcBorders>
            <w:vAlign w:val="center"/>
          </w:tcPr>
          <w:p w14:paraId="480AE8B0">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序号</w:t>
            </w:r>
          </w:p>
        </w:tc>
        <w:tc>
          <w:tcPr>
            <w:tcW w:w="3017" w:type="dxa"/>
            <w:tcBorders>
              <w:tl2br w:val="nil"/>
              <w:tr2bl w:val="nil"/>
            </w:tcBorders>
            <w:vAlign w:val="center"/>
          </w:tcPr>
          <w:p w14:paraId="4E21B7DE">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名称</w:t>
            </w:r>
          </w:p>
        </w:tc>
        <w:tc>
          <w:tcPr>
            <w:tcW w:w="1567" w:type="dxa"/>
            <w:tcBorders>
              <w:tl2br w:val="nil"/>
              <w:tr2bl w:val="nil"/>
            </w:tcBorders>
            <w:vAlign w:val="center"/>
          </w:tcPr>
          <w:p w14:paraId="6B7ABFDB">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X坐标</w:t>
            </w:r>
            <w:r>
              <w:rPr>
                <w:rFonts w:hint="default"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en-US"/>
              </w:rPr>
              <w:t>m</w:t>
            </w:r>
            <w:r>
              <w:rPr>
                <w:rFonts w:hint="default" w:ascii="Times New Roman" w:hAnsi="Times New Roman" w:cs="Times New Roman" w:eastAsiaTheme="minorEastAsia"/>
                <w:szCs w:val="21"/>
                <w:lang w:val="en-US" w:eastAsia="zh-CN"/>
              </w:rPr>
              <w:t>）</w:t>
            </w:r>
          </w:p>
        </w:tc>
        <w:tc>
          <w:tcPr>
            <w:tcW w:w="1716" w:type="dxa"/>
            <w:tcBorders>
              <w:tl2br w:val="nil"/>
              <w:tr2bl w:val="nil"/>
            </w:tcBorders>
            <w:vAlign w:val="center"/>
          </w:tcPr>
          <w:p w14:paraId="25474AF4">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Y坐标</w:t>
            </w:r>
            <w:r>
              <w:rPr>
                <w:rFonts w:hint="default"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en-US"/>
              </w:rPr>
              <w:t>m</w:t>
            </w:r>
            <w:r>
              <w:rPr>
                <w:rFonts w:hint="default" w:ascii="Times New Roman" w:hAnsi="Times New Roman" w:cs="Times New Roman" w:eastAsiaTheme="minorEastAsia"/>
                <w:szCs w:val="21"/>
                <w:lang w:val="en-US" w:eastAsia="zh-CN"/>
              </w:rPr>
              <w:t>）</w:t>
            </w:r>
          </w:p>
        </w:tc>
        <w:tc>
          <w:tcPr>
            <w:tcW w:w="1732" w:type="dxa"/>
            <w:tcBorders>
              <w:tl2br w:val="nil"/>
              <w:tr2bl w:val="nil"/>
            </w:tcBorders>
            <w:vAlign w:val="center"/>
          </w:tcPr>
          <w:p w14:paraId="55795771">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地面高程</w:t>
            </w:r>
            <w:r>
              <w:rPr>
                <w:rFonts w:hint="default"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en-US"/>
              </w:rPr>
              <w:t>m</w:t>
            </w:r>
            <w:r>
              <w:rPr>
                <w:rFonts w:hint="default" w:ascii="Times New Roman" w:hAnsi="Times New Roman" w:cs="Times New Roman" w:eastAsiaTheme="minorEastAsia"/>
                <w:szCs w:val="21"/>
                <w:lang w:val="en-US" w:eastAsia="zh-CN"/>
              </w:rPr>
              <w:t>）</w:t>
            </w:r>
          </w:p>
        </w:tc>
      </w:tr>
      <w:tr w14:paraId="7EF3C10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70" w:type="dxa"/>
            <w:tcBorders>
              <w:tl2br w:val="nil"/>
              <w:tr2bl w:val="nil"/>
            </w:tcBorders>
            <w:vAlign w:val="center"/>
          </w:tcPr>
          <w:p w14:paraId="59E637C4">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1</w:t>
            </w:r>
          </w:p>
        </w:tc>
        <w:tc>
          <w:tcPr>
            <w:tcW w:w="3017" w:type="dxa"/>
            <w:tcBorders>
              <w:tl2br w:val="nil"/>
              <w:tr2bl w:val="nil"/>
            </w:tcBorders>
            <w:vAlign w:val="center"/>
          </w:tcPr>
          <w:p w14:paraId="1B725BD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兰干村居民区</w:t>
            </w:r>
          </w:p>
        </w:tc>
        <w:tc>
          <w:tcPr>
            <w:tcW w:w="1567" w:type="dxa"/>
            <w:tcBorders>
              <w:tl2br w:val="nil"/>
              <w:tr2bl w:val="nil"/>
            </w:tcBorders>
            <w:vAlign w:val="center"/>
          </w:tcPr>
          <w:p w14:paraId="2351DBA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-1543</w:t>
            </w:r>
          </w:p>
        </w:tc>
        <w:tc>
          <w:tcPr>
            <w:tcW w:w="1716" w:type="dxa"/>
            <w:tcBorders>
              <w:tl2br w:val="nil"/>
              <w:tr2bl w:val="nil"/>
            </w:tcBorders>
            <w:vAlign w:val="center"/>
          </w:tcPr>
          <w:p w14:paraId="0705C54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1610</w:t>
            </w:r>
          </w:p>
        </w:tc>
        <w:tc>
          <w:tcPr>
            <w:tcW w:w="1732" w:type="dxa"/>
            <w:tcBorders>
              <w:tl2br w:val="nil"/>
              <w:tr2bl w:val="nil"/>
            </w:tcBorders>
            <w:vAlign w:val="center"/>
          </w:tcPr>
          <w:p w14:paraId="00A21BA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1301</w:t>
            </w:r>
          </w:p>
        </w:tc>
      </w:tr>
      <w:tr w14:paraId="6F259E8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70" w:type="dxa"/>
            <w:tcBorders>
              <w:tl2br w:val="nil"/>
              <w:tr2bl w:val="nil"/>
            </w:tcBorders>
            <w:vAlign w:val="center"/>
          </w:tcPr>
          <w:p w14:paraId="6354E3A9">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2</w:t>
            </w:r>
          </w:p>
        </w:tc>
        <w:tc>
          <w:tcPr>
            <w:tcW w:w="3017" w:type="dxa"/>
            <w:tcBorders>
              <w:tl2br w:val="nil"/>
              <w:tr2bl w:val="nil"/>
            </w:tcBorders>
            <w:vAlign w:val="center"/>
          </w:tcPr>
          <w:p w14:paraId="3E88810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萨依巴格村居民区</w:t>
            </w:r>
          </w:p>
        </w:tc>
        <w:tc>
          <w:tcPr>
            <w:tcW w:w="1567" w:type="dxa"/>
            <w:tcBorders>
              <w:tl2br w:val="nil"/>
              <w:tr2bl w:val="nil"/>
            </w:tcBorders>
            <w:vAlign w:val="center"/>
          </w:tcPr>
          <w:p w14:paraId="47AE9B1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-15564</w:t>
            </w:r>
          </w:p>
        </w:tc>
        <w:tc>
          <w:tcPr>
            <w:tcW w:w="1716" w:type="dxa"/>
            <w:tcBorders>
              <w:tl2br w:val="nil"/>
              <w:tr2bl w:val="nil"/>
            </w:tcBorders>
            <w:vAlign w:val="center"/>
          </w:tcPr>
          <w:p w14:paraId="77F0460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-730</w:t>
            </w:r>
          </w:p>
        </w:tc>
        <w:tc>
          <w:tcPr>
            <w:tcW w:w="1732" w:type="dxa"/>
            <w:tcBorders>
              <w:tl2br w:val="nil"/>
              <w:tr2bl w:val="nil"/>
            </w:tcBorders>
            <w:vAlign w:val="center"/>
          </w:tcPr>
          <w:p w14:paraId="42F9E37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1309</w:t>
            </w:r>
          </w:p>
        </w:tc>
      </w:tr>
      <w:tr w14:paraId="4A82152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70" w:type="dxa"/>
            <w:tcBorders>
              <w:tl2br w:val="nil"/>
              <w:tr2bl w:val="nil"/>
            </w:tcBorders>
            <w:vAlign w:val="center"/>
          </w:tcPr>
          <w:p w14:paraId="6E33ABC6">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3</w:t>
            </w:r>
          </w:p>
        </w:tc>
        <w:tc>
          <w:tcPr>
            <w:tcW w:w="3017" w:type="dxa"/>
            <w:tcBorders>
              <w:tl2br w:val="nil"/>
              <w:tr2bl w:val="nil"/>
            </w:tcBorders>
            <w:vAlign w:val="center"/>
          </w:tcPr>
          <w:p w14:paraId="023E58A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帕特曼喀什村居民区</w:t>
            </w:r>
          </w:p>
        </w:tc>
        <w:tc>
          <w:tcPr>
            <w:tcW w:w="1567" w:type="dxa"/>
            <w:tcBorders>
              <w:tl2br w:val="nil"/>
              <w:tr2bl w:val="nil"/>
            </w:tcBorders>
            <w:vAlign w:val="center"/>
          </w:tcPr>
          <w:p w14:paraId="79B5DF0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1887</w:t>
            </w:r>
          </w:p>
        </w:tc>
        <w:tc>
          <w:tcPr>
            <w:tcW w:w="1716" w:type="dxa"/>
            <w:tcBorders>
              <w:tl2br w:val="nil"/>
              <w:tr2bl w:val="nil"/>
            </w:tcBorders>
            <w:vAlign w:val="center"/>
          </w:tcPr>
          <w:p w14:paraId="585F046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-2531</w:t>
            </w:r>
          </w:p>
        </w:tc>
        <w:tc>
          <w:tcPr>
            <w:tcW w:w="1732" w:type="dxa"/>
            <w:tcBorders>
              <w:tl2br w:val="nil"/>
              <w:tr2bl w:val="nil"/>
            </w:tcBorders>
            <w:vAlign w:val="center"/>
          </w:tcPr>
          <w:p w14:paraId="17DDCAA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1309</w:t>
            </w:r>
          </w:p>
        </w:tc>
      </w:tr>
    </w:tbl>
    <w:p w14:paraId="4E1DC66D">
      <w:pPr>
        <w:pStyle w:val="20"/>
        <w:snapToGrid w:val="0"/>
        <w:ind w:left="0" w:leftChars="0" w:firstLine="0" w:firstLineChars="0"/>
        <w:jc w:val="left"/>
        <w:rPr>
          <w:rFonts w:hint="default" w:ascii="Times New Roman" w:hAnsi="Times New Roman" w:cs="Times New Roman" w:eastAsiaTheme="minorEastAsia"/>
          <w:b/>
          <w:bCs/>
          <w:color w:val="auto"/>
          <w:lang w:val="en-US" w:eastAsia="en-US"/>
        </w:rPr>
      </w:pPr>
      <w:r>
        <w:rPr>
          <w:rFonts w:hint="default" w:ascii="Times New Roman" w:hAnsi="Times New Roman" w:cs="Times New Roman" w:eastAsiaTheme="minorEastAsia"/>
          <w:b/>
          <w:bCs/>
          <w:color w:val="auto"/>
          <w:lang w:val="en-US" w:eastAsia="en-US"/>
        </w:rPr>
        <w:t>5.2.</w:t>
      </w:r>
      <w:r>
        <w:rPr>
          <w:rFonts w:hint="eastAsia" w:ascii="Times New Roman" w:hAnsi="Times New Roman" w:cs="Times New Roman" w:eastAsiaTheme="minorEastAsia"/>
          <w:b/>
          <w:bCs/>
          <w:color w:val="auto"/>
          <w:lang w:val="en-US" w:eastAsia="zh-CN"/>
        </w:rPr>
        <w:t>1</w:t>
      </w:r>
      <w:r>
        <w:rPr>
          <w:rFonts w:hint="default" w:ascii="Times New Roman" w:hAnsi="Times New Roman" w:cs="Times New Roman" w:eastAsiaTheme="minorEastAsia"/>
          <w:b/>
          <w:bCs/>
          <w:color w:val="auto"/>
          <w:lang w:val="en-US" w:eastAsia="en-US"/>
        </w:rPr>
        <w:t>.</w:t>
      </w:r>
      <w:r>
        <w:rPr>
          <w:rFonts w:hint="eastAsia" w:ascii="Times New Roman" w:hAnsi="Times New Roman" w:cs="Times New Roman" w:eastAsiaTheme="minorEastAsia"/>
          <w:b/>
          <w:bCs/>
          <w:color w:val="auto"/>
          <w:lang w:val="en-US" w:eastAsia="zh-CN"/>
        </w:rPr>
        <w:t>4</w:t>
      </w:r>
      <w:r>
        <w:rPr>
          <w:rFonts w:hint="default" w:ascii="Times New Roman" w:hAnsi="Times New Roman" w:cs="Times New Roman" w:eastAsiaTheme="minorEastAsia"/>
          <w:b/>
          <w:bCs/>
          <w:color w:val="auto"/>
          <w:lang w:val="en-US" w:eastAsia="en-US"/>
        </w:rPr>
        <w:t xml:space="preserve"> 预测情境及计算点</w:t>
      </w:r>
    </w:p>
    <w:p w14:paraId="2392CCED">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en-US"/>
        </w:rPr>
      </w:pPr>
      <w:r>
        <w:rPr>
          <w:rFonts w:hint="default" w:ascii="Times New Roman" w:hAnsi="Times New Roman" w:cs="Times New Roman" w:eastAsiaTheme="minorEastAsia"/>
          <w:sz w:val="24"/>
          <w:lang w:val="en-US" w:eastAsia="en-US"/>
        </w:rPr>
        <w:t>本项目所在地</w:t>
      </w:r>
      <w:r>
        <w:rPr>
          <w:rFonts w:hint="eastAsia" w:ascii="Times New Roman" w:hAnsi="Times New Roman" w:cs="Times New Roman" w:eastAsiaTheme="minorEastAsia"/>
          <w:sz w:val="24"/>
          <w:lang w:val="en-US" w:eastAsia="zh-CN"/>
        </w:rPr>
        <w:t>喀什地区莎车县</w:t>
      </w:r>
      <w:r>
        <w:rPr>
          <w:rFonts w:hint="default" w:ascii="Times New Roman" w:hAnsi="Times New Roman" w:cs="Times New Roman" w:eastAsiaTheme="minorEastAsia"/>
          <w:sz w:val="24"/>
          <w:lang w:val="en-US" w:eastAsia="en-US"/>
        </w:rPr>
        <w:t>为</w:t>
      </w:r>
      <w:r>
        <w:rPr>
          <w:rFonts w:hint="default" w:ascii="Times New Roman" w:hAnsi="Times New Roman" w:cs="Times New Roman" w:eastAsiaTheme="minorEastAsia"/>
          <w:sz w:val="24"/>
          <w:lang w:val="en-US" w:eastAsia="zh-CN"/>
        </w:rPr>
        <w:t>不</w:t>
      </w:r>
      <w:r>
        <w:rPr>
          <w:rFonts w:hint="default" w:ascii="Times New Roman" w:hAnsi="Times New Roman" w:cs="Times New Roman" w:eastAsiaTheme="minorEastAsia"/>
          <w:sz w:val="24"/>
          <w:lang w:val="en-US" w:eastAsia="en-US"/>
        </w:rPr>
        <w:t>达标区，本次预测内容主要有：</w:t>
      </w:r>
    </w:p>
    <w:p w14:paraId="05C367CB">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en-US"/>
        </w:rPr>
      </w:pPr>
      <w:r>
        <w:rPr>
          <w:rFonts w:hint="default" w:ascii="Times New Roman" w:hAnsi="Times New Roman" w:cs="Times New Roman" w:eastAsiaTheme="minorEastAsia"/>
          <w:sz w:val="24"/>
          <w:lang w:val="en-US" w:eastAsia="en-US"/>
        </w:rPr>
        <w:t>①正常工况，本项目在预测点、网格点处主要污染物短期浓度</w:t>
      </w:r>
      <w:r>
        <w:rPr>
          <w:rFonts w:hint="default"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en-US"/>
        </w:rPr>
        <w:t>日均质量浓度</w:t>
      </w:r>
      <w:r>
        <w:rPr>
          <w:rFonts w:hint="default"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en-US"/>
        </w:rPr>
        <w:t>和长期浓度</w:t>
      </w:r>
      <w:r>
        <w:rPr>
          <w:rFonts w:hint="default"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en-US"/>
        </w:rPr>
        <w:t>年平均质量浓度</w:t>
      </w:r>
      <w:r>
        <w:rPr>
          <w:rFonts w:hint="default"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en-US"/>
        </w:rPr>
        <w:t>，分析其最大浓度及占标率；</w:t>
      </w:r>
    </w:p>
    <w:p w14:paraId="20AC7EA5">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en-US"/>
        </w:rPr>
      </w:pPr>
      <w:r>
        <w:rPr>
          <w:rFonts w:hint="default" w:ascii="Times New Roman" w:hAnsi="Times New Roman" w:cs="Times New Roman" w:eastAsiaTheme="minorEastAsia"/>
          <w:sz w:val="24"/>
          <w:lang w:val="en-US" w:eastAsia="en-US"/>
        </w:rPr>
        <w:t>②正常工况，本项目与</w:t>
      </w:r>
      <w:r>
        <w:rPr>
          <w:rFonts w:hint="eastAsia" w:ascii="Times New Roman" w:hAnsi="Times New Roman" w:cs="Times New Roman" w:eastAsiaTheme="minorEastAsia"/>
          <w:sz w:val="24"/>
          <w:lang w:val="en-US" w:eastAsia="zh-CN"/>
        </w:rPr>
        <w:t>拟替代项目、</w:t>
      </w:r>
      <w:r>
        <w:rPr>
          <w:rFonts w:hint="default" w:ascii="Times New Roman" w:hAnsi="Times New Roman" w:cs="Times New Roman" w:eastAsiaTheme="minorEastAsia"/>
          <w:sz w:val="24"/>
          <w:lang w:val="en-US" w:eastAsia="en-US"/>
        </w:rPr>
        <w:t>拟建在建污染源浓度贡献叠加环境质量现状</w:t>
      </w:r>
      <w:r>
        <w:rPr>
          <w:rFonts w:hint="eastAsia" w:ascii="Times New Roman" w:hAnsi="Times New Roman" w:cs="Times New Roman" w:eastAsiaTheme="minorEastAsia"/>
          <w:sz w:val="24"/>
          <w:lang w:val="en-US" w:eastAsia="zh-CN"/>
        </w:rPr>
        <w:t>浓度</w:t>
      </w:r>
      <w:r>
        <w:rPr>
          <w:rFonts w:hint="default" w:ascii="Times New Roman" w:hAnsi="Times New Roman" w:cs="Times New Roman" w:eastAsiaTheme="minorEastAsia"/>
          <w:sz w:val="24"/>
          <w:lang w:val="en-US" w:eastAsia="en-US"/>
        </w:rPr>
        <w:t>后，各预测点、网格点处主要污染物的保证率日均质量浓度和年均质量浓度的达标情况及</w:t>
      </w:r>
      <w:r>
        <w:rPr>
          <w:rFonts w:hint="eastAsia" w:ascii="Times New Roman" w:hAnsi="Times New Roman" w:cs="Times New Roman" w:eastAsiaTheme="minorEastAsia"/>
          <w:sz w:val="24"/>
          <w:lang w:val="en-US" w:eastAsia="zh-CN"/>
        </w:rPr>
        <w:t>分析。</w:t>
      </w:r>
    </w:p>
    <w:p w14:paraId="61055E49">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en-US"/>
        </w:rPr>
      </w:pPr>
      <w:r>
        <w:rPr>
          <w:rFonts w:hint="default" w:ascii="Times New Roman" w:hAnsi="Times New Roman" w:cs="Times New Roman" w:eastAsiaTheme="minorEastAsia"/>
          <w:sz w:val="24"/>
          <w:lang w:val="en-US" w:eastAsia="en-US"/>
        </w:rPr>
        <w:t>③非正常工况，本项目在预测点和网格点处主要污染物1h最大浓度及其占标率；</w:t>
      </w:r>
    </w:p>
    <w:p w14:paraId="14537177">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en-US"/>
        </w:rPr>
      </w:pPr>
      <w:r>
        <w:rPr>
          <w:rFonts w:hint="default" w:ascii="Times New Roman" w:hAnsi="Times New Roman" w:cs="Times New Roman" w:eastAsiaTheme="minorEastAsia"/>
          <w:sz w:val="24"/>
          <w:lang w:val="en-US" w:eastAsia="en-US"/>
        </w:rPr>
        <w:t>④确定本项目的大气防护距离。</w:t>
      </w:r>
    </w:p>
    <w:p w14:paraId="60842F79">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en-US"/>
        </w:rPr>
      </w:pPr>
      <w:r>
        <w:rPr>
          <w:rFonts w:hint="default" w:ascii="Times New Roman" w:hAnsi="Times New Roman" w:cs="Times New Roman" w:eastAsiaTheme="minorEastAsia"/>
          <w:sz w:val="24"/>
          <w:lang w:val="en-US" w:eastAsia="en-US"/>
        </w:rPr>
        <w:t>本项目的预测情景，见表5</w:t>
      </w:r>
      <w:r>
        <w:rPr>
          <w:rFonts w:hint="default"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en-US"/>
        </w:rPr>
        <w:t>2-</w:t>
      </w:r>
      <w:r>
        <w:rPr>
          <w:rFonts w:hint="default" w:ascii="Times New Roman" w:hAnsi="Times New Roman" w:cs="Times New Roman" w:eastAsiaTheme="minorEastAsia"/>
          <w:sz w:val="24"/>
          <w:lang w:val="en-US" w:eastAsia="zh-CN"/>
        </w:rPr>
        <w:t>6</w:t>
      </w:r>
      <w:r>
        <w:rPr>
          <w:rFonts w:hint="default" w:ascii="Times New Roman" w:hAnsi="Times New Roman" w:cs="Times New Roman" w:eastAsiaTheme="minorEastAsia"/>
          <w:sz w:val="24"/>
          <w:lang w:val="en-US" w:eastAsia="en-US"/>
        </w:rPr>
        <w:t>。</w:t>
      </w:r>
    </w:p>
    <w:p w14:paraId="4A4EF8B1">
      <w:pPr>
        <w:adjustRightInd w:val="0"/>
        <w:snapToGrid w:val="0"/>
        <w:spacing w:before="250" w:beforeLines="50"/>
        <w:ind w:firstLine="422" w:firstLineChars="200"/>
        <w:jc w:val="center"/>
        <w:rPr>
          <w:rFonts w:hint="default" w:ascii="Times New Roman" w:hAnsi="Times New Roman" w:cs="Times New Roman" w:eastAsiaTheme="minorEastAsia"/>
          <w:b/>
          <w:szCs w:val="21"/>
          <w:lang w:val="en-US" w:eastAsia="en-US"/>
        </w:rPr>
      </w:pPr>
      <w:r>
        <w:rPr>
          <w:rFonts w:hint="default" w:ascii="Times New Roman" w:hAnsi="Times New Roman" w:cs="Times New Roman" w:eastAsiaTheme="minorEastAsia"/>
          <w:b/>
          <w:szCs w:val="21"/>
          <w:lang w:val="en-US" w:eastAsia="en-US"/>
        </w:rPr>
        <w:t>表 5</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2-</w:t>
      </w:r>
      <w:r>
        <w:rPr>
          <w:rFonts w:hint="default" w:ascii="Times New Roman" w:hAnsi="Times New Roman" w:cs="Times New Roman" w:eastAsiaTheme="minorEastAsia"/>
          <w:b/>
          <w:szCs w:val="21"/>
          <w:lang w:val="en-US" w:eastAsia="zh-CN"/>
        </w:rPr>
        <w:t>6</w:t>
      </w:r>
      <w:r>
        <w:rPr>
          <w:rFonts w:hint="default" w:ascii="Times New Roman" w:hAnsi="Times New Roman" w:cs="Times New Roman" w:eastAsiaTheme="minorEastAsia"/>
          <w:b/>
          <w:szCs w:val="21"/>
          <w:lang w:val="en-US" w:eastAsia="en-US"/>
        </w:rPr>
        <w:t xml:space="preserve">  本项目预测情景一览表</w:t>
      </w:r>
    </w:p>
    <w:tbl>
      <w:tblPr>
        <w:tblStyle w:val="16"/>
        <w:tblW w:w="5128" w:type="pct"/>
        <w:tblInd w:w="0" w:type="dxa"/>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autofit"/>
        <w:tblCellMar>
          <w:top w:w="0" w:type="dxa"/>
          <w:left w:w="0" w:type="dxa"/>
          <w:bottom w:w="0" w:type="dxa"/>
          <w:right w:w="0" w:type="dxa"/>
        </w:tblCellMar>
      </w:tblPr>
      <w:tblGrid>
        <w:gridCol w:w="848"/>
        <w:gridCol w:w="1596"/>
        <w:gridCol w:w="989"/>
        <w:gridCol w:w="1541"/>
        <w:gridCol w:w="4214"/>
      </w:tblGrid>
      <w:tr w14:paraId="6D75C3B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62" w:type="pct"/>
            <w:tcBorders>
              <w:tl2br w:val="nil"/>
              <w:tr2bl w:val="nil"/>
            </w:tcBorders>
            <w:vAlign w:val="center"/>
          </w:tcPr>
          <w:p w14:paraId="779BCA99">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评价对象</w:t>
            </w:r>
          </w:p>
        </w:tc>
        <w:tc>
          <w:tcPr>
            <w:tcW w:w="868" w:type="pct"/>
            <w:tcBorders>
              <w:tl2br w:val="nil"/>
              <w:tr2bl w:val="nil"/>
            </w:tcBorders>
            <w:vAlign w:val="center"/>
          </w:tcPr>
          <w:p w14:paraId="21056E3B">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污染源</w:t>
            </w:r>
          </w:p>
        </w:tc>
        <w:tc>
          <w:tcPr>
            <w:tcW w:w="538" w:type="pct"/>
            <w:tcBorders>
              <w:tl2br w:val="nil"/>
              <w:tr2bl w:val="nil"/>
            </w:tcBorders>
            <w:vAlign w:val="center"/>
          </w:tcPr>
          <w:p w14:paraId="24315370">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污染源排放形式</w:t>
            </w:r>
          </w:p>
        </w:tc>
        <w:tc>
          <w:tcPr>
            <w:tcW w:w="838" w:type="pct"/>
            <w:tcBorders>
              <w:tl2br w:val="nil"/>
              <w:tr2bl w:val="nil"/>
            </w:tcBorders>
            <w:vAlign w:val="center"/>
          </w:tcPr>
          <w:p w14:paraId="5B44BF03">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预测内容</w:t>
            </w:r>
          </w:p>
        </w:tc>
        <w:tc>
          <w:tcPr>
            <w:tcW w:w="2292" w:type="pct"/>
            <w:tcBorders>
              <w:tl2br w:val="nil"/>
              <w:tr2bl w:val="nil"/>
            </w:tcBorders>
            <w:vAlign w:val="center"/>
          </w:tcPr>
          <w:p w14:paraId="2DD6C766">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评价内容</w:t>
            </w:r>
          </w:p>
        </w:tc>
      </w:tr>
      <w:tr w14:paraId="1BE9082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462" w:type="pct"/>
            <w:vMerge w:val="restart"/>
            <w:tcBorders>
              <w:tl2br w:val="nil"/>
              <w:tr2bl w:val="nil"/>
            </w:tcBorders>
            <w:vAlign w:val="center"/>
          </w:tcPr>
          <w:p w14:paraId="2F300638">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zh-CN"/>
              </w:rPr>
              <w:t>非</w:t>
            </w:r>
            <w:r>
              <w:rPr>
                <w:rFonts w:hint="default" w:ascii="Times New Roman" w:hAnsi="Times New Roman" w:cs="Times New Roman" w:eastAsiaTheme="minorEastAsia"/>
                <w:szCs w:val="21"/>
                <w:lang w:val="en-US" w:eastAsia="en-US"/>
              </w:rPr>
              <w:t>达标区评价项目</w:t>
            </w:r>
          </w:p>
        </w:tc>
        <w:tc>
          <w:tcPr>
            <w:tcW w:w="868" w:type="pct"/>
            <w:tcBorders>
              <w:tl2br w:val="nil"/>
              <w:tr2bl w:val="nil"/>
            </w:tcBorders>
            <w:vAlign w:val="center"/>
          </w:tcPr>
          <w:p w14:paraId="1D7D70EE">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新增污染源</w:t>
            </w:r>
          </w:p>
        </w:tc>
        <w:tc>
          <w:tcPr>
            <w:tcW w:w="538" w:type="pct"/>
            <w:tcBorders>
              <w:tl2br w:val="nil"/>
              <w:tr2bl w:val="nil"/>
            </w:tcBorders>
            <w:vAlign w:val="center"/>
          </w:tcPr>
          <w:p w14:paraId="72462069">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正常排放</w:t>
            </w:r>
          </w:p>
        </w:tc>
        <w:tc>
          <w:tcPr>
            <w:tcW w:w="838" w:type="pct"/>
            <w:tcBorders>
              <w:tl2br w:val="nil"/>
              <w:tr2bl w:val="nil"/>
            </w:tcBorders>
            <w:vAlign w:val="center"/>
          </w:tcPr>
          <w:p w14:paraId="5CADEC31">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短期浓度</w:t>
            </w:r>
          </w:p>
          <w:p w14:paraId="534784D4">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长期浓度</w:t>
            </w:r>
          </w:p>
        </w:tc>
        <w:tc>
          <w:tcPr>
            <w:tcW w:w="2292" w:type="pct"/>
            <w:tcBorders>
              <w:tl2br w:val="nil"/>
              <w:tr2bl w:val="nil"/>
            </w:tcBorders>
            <w:vAlign w:val="center"/>
          </w:tcPr>
          <w:p w14:paraId="15EE0106">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最大浓度占标率</w:t>
            </w:r>
          </w:p>
        </w:tc>
      </w:tr>
      <w:tr w14:paraId="7CBAEF7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462" w:type="pct"/>
            <w:vMerge w:val="continue"/>
            <w:tcBorders>
              <w:tl2br w:val="nil"/>
              <w:tr2bl w:val="nil"/>
            </w:tcBorders>
            <w:vAlign w:val="center"/>
          </w:tcPr>
          <w:p w14:paraId="6DDFD223">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868" w:type="pct"/>
            <w:tcBorders>
              <w:tl2br w:val="nil"/>
              <w:tr2bl w:val="nil"/>
            </w:tcBorders>
            <w:vAlign w:val="center"/>
          </w:tcPr>
          <w:p w14:paraId="09600382">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新增污染源</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en-US"/>
              </w:rPr>
              <w:t>“以新带老”污染源</w:t>
            </w:r>
          </w:p>
        </w:tc>
        <w:tc>
          <w:tcPr>
            <w:tcW w:w="538" w:type="pct"/>
            <w:tcBorders>
              <w:tl2br w:val="nil"/>
              <w:tr2bl w:val="nil"/>
            </w:tcBorders>
            <w:vAlign w:val="center"/>
          </w:tcPr>
          <w:p w14:paraId="73AAC8C4">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正常排放</w:t>
            </w:r>
          </w:p>
        </w:tc>
        <w:tc>
          <w:tcPr>
            <w:tcW w:w="838" w:type="pct"/>
            <w:tcBorders>
              <w:tl2br w:val="nil"/>
              <w:tr2bl w:val="nil"/>
            </w:tcBorders>
            <w:vAlign w:val="center"/>
          </w:tcPr>
          <w:p w14:paraId="06D23001">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短期浓度</w:t>
            </w:r>
          </w:p>
          <w:p w14:paraId="7637CBE1">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长期浓度</w:t>
            </w:r>
          </w:p>
        </w:tc>
        <w:tc>
          <w:tcPr>
            <w:tcW w:w="2292" w:type="pct"/>
            <w:tcBorders>
              <w:tl2br w:val="nil"/>
              <w:tr2bl w:val="nil"/>
            </w:tcBorders>
            <w:vAlign w:val="center"/>
          </w:tcPr>
          <w:p w14:paraId="206B49E7">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叠加达标规划目标浓度后的保证率日平均质量浓度和年平均质量浓度的占标率，或短期浓度的达标情况</w:t>
            </w:r>
            <w:r>
              <w:rPr>
                <w:rFonts w:hint="default"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en-US"/>
              </w:rPr>
              <w:t>评价年平均质量浓度变化率</w:t>
            </w:r>
          </w:p>
        </w:tc>
      </w:tr>
      <w:tr w14:paraId="617EB1F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462" w:type="pct"/>
            <w:vMerge w:val="continue"/>
            <w:tcBorders>
              <w:tl2br w:val="nil"/>
              <w:tr2bl w:val="nil"/>
            </w:tcBorders>
            <w:vAlign w:val="center"/>
          </w:tcPr>
          <w:p w14:paraId="77E2B97D">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868" w:type="pct"/>
            <w:tcBorders>
              <w:tl2br w:val="nil"/>
              <w:tr2bl w:val="nil"/>
            </w:tcBorders>
            <w:vAlign w:val="center"/>
          </w:tcPr>
          <w:p w14:paraId="2DD3AED1">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新增污染源</w:t>
            </w:r>
          </w:p>
        </w:tc>
        <w:tc>
          <w:tcPr>
            <w:tcW w:w="538" w:type="pct"/>
            <w:tcBorders>
              <w:tl2br w:val="nil"/>
              <w:tr2bl w:val="nil"/>
            </w:tcBorders>
            <w:vAlign w:val="center"/>
          </w:tcPr>
          <w:p w14:paraId="02F64F5C">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非正常排放</w:t>
            </w:r>
          </w:p>
        </w:tc>
        <w:tc>
          <w:tcPr>
            <w:tcW w:w="838" w:type="pct"/>
            <w:tcBorders>
              <w:tl2br w:val="nil"/>
              <w:tr2bl w:val="nil"/>
            </w:tcBorders>
            <w:vAlign w:val="center"/>
          </w:tcPr>
          <w:p w14:paraId="3C950D8E">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1h平均质量浓度</w:t>
            </w:r>
          </w:p>
        </w:tc>
        <w:tc>
          <w:tcPr>
            <w:tcW w:w="2292" w:type="pct"/>
            <w:tcBorders>
              <w:tl2br w:val="nil"/>
              <w:tr2bl w:val="nil"/>
            </w:tcBorders>
            <w:vAlign w:val="center"/>
          </w:tcPr>
          <w:p w14:paraId="705FA1B6">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最大浓度占标率</w:t>
            </w:r>
          </w:p>
        </w:tc>
      </w:tr>
    </w:tbl>
    <w:p w14:paraId="73A3A221">
      <w:pPr>
        <w:adjustRightInd w:val="0"/>
        <w:snapToGrid w:val="0"/>
        <w:spacing w:line="500" w:lineRule="exact"/>
        <w:jc w:val="left"/>
        <w:rPr>
          <w:rFonts w:hint="default" w:ascii="Times New Roman" w:hAnsi="Times New Roman" w:cs="Times New Roman" w:eastAsiaTheme="minorEastAsia"/>
          <w:b/>
          <w:bCs/>
          <w:sz w:val="24"/>
          <w:highlight w:val="none"/>
          <w:lang w:val="en-US" w:eastAsia="en-US"/>
        </w:rPr>
      </w:pPr>
      <w:r>
        <w:rPr>
          <w:rFonts w:hint="default" w:ascii="Times New Roman" w:hAnsi="Times New Roman" w:cs="Times New Roman" w:eastAsiaTheme="minorEastAsia"/>
          <w:b/>
          <w:bCs/>
          <w:sz w:val="24"/>
          <w:highlight w:val="none"/>
          <w:lang w:val="en-US" w:eastAsia="en-US"/>
        </w:rPr>
        <w:t>5.2.</w:t>
      </w:r>
      <w:r>
        <w:rPr>
          <w:rFonts w:hint="eastAsia" w:ascii="Times New Roman" w:hAnsi="Times New Roman" w:cs="Times New Roman"/>
          <w:b/>
          <w:bCs/>
          <w:sz w:val="24"/>
          <w:highlight w:val="none"/>
          <w:lang w:val="en-US" w:eastAsia="zh-CN"/>
        </w:rPr>
        <w:t>1</w:t>
      </w:r>
      <w:r>
        <w:rPr>
          <w:rFonts w:hint="default" w:ascii="Times New Roman" w:hAnsi="Times New Roman" w:cs="Times New Roman" w:eastAsiaTheme="minorEastAsia"/>
          <w:b/>
          <w:bCs/>
          <w:sz w:val="24"/>
          <w:highlight w:val="none"/>
          <w:lang w:val="en-US" w:eastAsia="en-US"/>
        </w:rPr>
        <w:t>.</w:t>
      </w:r>
      <w:r>
        <w:rPr>
          <w:rFonts w:hint="eastAsia" w:ascii="Times New Roman" w:hAnsi="Times New Roman" w:cs="Times New Roman"/>
          <w:b/>
          <w:bCs/>
          <w:sz w:val="24"/>
          <w:highlight w:val="none"/>
          <w:lang w:val="en-US" w:eastAsia="zh-CN"/>
        </w:rPr>
        <w:t>5</w:t>
      </w:r>
      <w:r>
        <w:rPr>
          <w:rFonts w:hint="default" w:ascii="Times New Roman" w:hAnsi="Times New Roman" w:cs="Times New Roman" w:eastAsiaTheme="minorEastAsia"/>
          <w:b/>
          <w:bCs/>
          <w:sz w:val="24"/>
          <w:highlight w:val="none"/>
          <w:lang w:val="en-US" w:eastAsia="en-US"/>
        </w:rPr>
        <w:t xml:space="preserve"> 预测源强</w:t>
      </w:r>
    </w:p>
    <w:p w14:paraId="215D614B">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en-US"/>
        </w:rPr>
      </w:pPr>
      <w:r>
        <w:rPr>
          <w:rFonts w:hint="default" w:ascii="Times New Roman" w:hAnsi="Times New Roman" w:cs="Times New Roman" w:eastAsiaTheme="minorEastAsia"/>
          <w:sz w:val="24"/>
          <w:highlight w:val="none"/>
          <w:lang w:val="en-US" w:eastAsia="zh-CN"/>
        </w:rPr>
        <w:t>（1）</w:t>
      </w:r>
      <w:r>
        <w:rPr>
          <w:rFonts w:hint="default" w:ascii="Times New Roman" w:hAnsi="Times New Roman" w:cs="Times New Roman" w:eastAsiaTheme="minorEastAsia"/>
          <w:sz w:val="24"/>
          <w:highlight w:val="none"/>
          <w:lang w:val="en-US" w:eastAsia="en-US"/>
        </w:rPr>
        <w:t>本项目污染物排放源强</w:t>
      </w:r>
    </w:p>
    <w:p w14:paraId="508BED0E">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en-US"/>
        </w:rPr>
        <w:sectPr>
          <w:pgSz w:w="11907" w:h="16839"/>
          <w:pgMar w:top="1106" w:right="1425" w:bottom="1245" w:left="1533" w:header="829" w:footer="991" w:gutter="0"/>
          <w:pgBorders>
            <w:top w:val="none" w:sz="0" w:space="0"/>
            <w:left w:val="none" w:sz="0" w:space="0"/>
            <w:bottom w:val="none" w:sz="0" w:space="0"/>
            <w:right w:val="none" w:sz="0" w:space="0"/>
          </w:pgBorders>
          <w:pgNumType w:fmt="decimal"/>
          <w:cols w:space="720" w:num="1"/>
        </w:sectPr>
      </w:pPr>
    </w:p>
    <w:p w14:paraId="6DE7A31E">
      <w:pPr>
        <w:adjustRightInd w:val="0"/>
        <w:snapToGrid w:val="0"/>
        <w:spacing w:before="250" w:beforeLines="50"/>
        <w:ind w:firstLine="422" w:firstLineChars="200"/>
        <w:jc w:val="center"/>
        <w:rPr>
          <w:rFonts w:hint="eastAsia"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en-US"/>
        </w:rPr>
        <w:t>表5.2-</w:t>
      </w:r>
      <w:r>
        <w:rPr>
          <w:rFonts w:hint="default" w:ascii="Times New Roman" w:hAnsi="Times New Roman" w:cs="Times New Roman" w:eastAsiaTheme="minorEastAsia"/>
          <w:b/>
          <w:szCs w:val="21"/>
          <w:lang w:val="en-US" w:eastAsia="zh-CN"/>
        </w:rPr>
        <w:t xml:space="preserve">7  </w:t>
      </w:r>
      <w:r>
        <w:rPr>
          <w:rFonts w:cs="Times New Roman"/>
          <w:b/>
          <w:kern w:val="0"/>
          <w:szCs w:val="24"/>
        </w:rPr>
        <w:t>正常情况下污染源排放情况</w:t>
      </w:r>
      <w:r>
        <w:rPr>
          <w:rFonts w:cs="Times New Roman"/>
          <w:b/>
          <w:kern w:val="0"/>
          <w:szCs w:val="20"/>
        </w:rPr>
        <w:t>表</w:t>
      </w:r>
      <w:r>
        <w:rPr>
          <w:rFonts w:hint="eastAsia" w:cs="Times New Roman"/>
          <w:b/>
          <w:kern w:val="0"/>
          <w:szCs w:val="20"/>
          <w:lang w:eastAsia="zh-CN"/>
        </w:rPr>
        <w:t>（</w:t>
      </w:r>
      <w:r>
        <w:rPr>
          <w:rFonts w:hint="eastAsia" w:cs="Times New Roman"/>
          <w:b/>
          <w:kern w:val="0"/>
          <w:szCs w:val="20"/>
          <w:lang w:val="en-US" w:eastAsia="zh-CN"/>
        </w:rPr>
        <w:t>点源</w:t>
      </w:r>
      <w:r>
        <w:rPr>
          <w:rFonts w:hint="eastAsia" w:cs="Times New Roman"/>
          <w:b/>
          <w:kern w:val="0"/>
          <w:szCs w:val="20"/>
          <w:lang w:eastAsia="zh-CN"/>
        </w:rPr>
        <w:t>）</w:t>
      </w:r>
    </w:p>
    <w:tbl>
      <w:tblPr>
        <w:tblStyle w:val="16"/>
        <w:tblW w:w="14493" w:type="dxa"/>
        <w:tblInd w:w="0" w:type="dxa"/>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633"/>
        <w:gridCol w:w="1238"/>
        <w:gridCol w:w="1260"/>
        <w:gridCol w:w="856"/>
        <w:gridCol w:w="855"/>
        <w:gridCol w:w="1238"/>
        <w:gridCol w:w="674"/>
        <w:gridCol w:w="868"/>
        <w:gridCol w:w="614"/>
        <w:gridCol w:w="880"/>
        <w:gridCol w:w="885"/>
        <w:gridCol w:w="687"/>
        <w:gridCol w:w="940"/>
        <w:gridCol w:w="1178"/>
        <w:gridCol w:w="1687"/>
      </w:tblGrid>
      <w:tr w14:paraId="21F0A9E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633" w:type="dxa"/>
            <w:vMerge w:val="restart"/>
            <w:tcBorders>
              <w:tl2br w:val="nil"/>
              <w:tr2bl w:val="nil"/>
            </w:tcBorders>
            <w:vAlign w:val="center"/>
          </w:tcPr>
          <w:p w14:paraId="4435488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编号</w:t>
            </w:r>
          </w:p>
        </w:tc>
        <w:tc>
          <w:tcPr>
            <w:tcW w:w="1238" w:type="dxa"/>
            <w:vMerge w:val="restart"/>
            <w:tcBorders>
              <w:tl2br w:val="nil"/>
              <w:tr2bl w:val="nil"/>
            </w:tcBorders>
            <w:vAlign w:val="center"/>
          </w:tcPr>
          <w:p w14:paraId="3667101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名称</w:t>
            </w:r>
          </w:p>
        </w:tc>
        <w:tc>
          <w:tcPr>
            <w:tcW w:w="1260" w:type="dxa"/>
            <w:vMerge w:val="restart"/>
            <w:tcBorders>
              <w:tl2br w:val="nil"/>
              <w:tr2bl w:val="nil"/>
            </w:tcBorders>
            <w:vAlign w:val="center"/>
          </w:tcPr>
          <w:p w14:paraId="6CA4273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排气筒底部</w:t>
            </w:r>
            <w:r>
              <w:rPr>
                <w:rFonts w:hint="eastAsia" w:ascii="Times New Roman" w:hAnsi="Times New Roman" w:cs="Times New Roman"/>
                <w:szCs w:val="21"/>
                <w:highlight w:val="none"/>
                <w:lang w:val="en-US" w:eastAsia="zh-CN"/>
              </w:rPr>
              <w:t>海拔</w:t>
            </w:r>
            <w:r>
              <w:rPr>
                <w:rFonts w:hint="default" w:ascii="Times New Roman" w:hAnsi="Times New Roman" w:cs="Times New Roman" w:eastAsiaTheme="minorEastAsia"/>
                <w:szCs w:val="21"/>
                <w:highlight w:val="none"/>
                <w:lang w:val="en-US" w:eastAsia="zh-CN"/>
              </w:rPr>
              <w:t>/m</w:t>
            </w:r>
          </w:p>
        </w:tc>
        <w:tc>
          <w:tcPr>
            <w:tcW w:w="856" w:type="dxa"/>
            <w:vMerge w:val="restart"/>
            <w:tcBorders>
              <w:tl2br w:val="nil"/>
              <w:tr2bl w:val="nil"/>
            </w:tcBorders>
            <w:vAlign w:val="center"/>
          </w:tcPr>
          <w:p w14:paraId="65A7009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排气筒高度/m</w:t>
            </w:r>
          </w:p>
        </w:tc>
        <w:tc>
          <w:tcPr>
            <w:tcW w:w="855" w:type="dxa"/>
            <w:vMerge w:val="restart"/>
            <w:tcBorders>
              <w:tl2br w:val="nil"/>
              <w:tr2bl w:val="nil"/>
            </w:tcBorders>
            <w:vAlign w:val="center"/>
          </w:tcPr>
          <w:p w14:paraId="4FCE3B8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排气筒内径/m</w:t>
            </w:r>
          </w:p>
        </w:tc>
        <w:tc>
          <w:tcPr>
            <w:tcW w:w="1238" w:type="dxa"/>
            <w:vMerge w:val="restart"/>
            <w:tcBorders>
              <w:tl2br w:val="nil"/>
              <w:tr2bl w:val="nil"/>
            </w:tcBorders>
            <w:vAlign w:val="center"/>
          </w:tcPr>
          <w:p w14:paraId="7A4916B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烟气流速/（m/s）</w:t>
            </w:r>
          </w:p>
        </w:tc>
        <w:tc>
          <w:tcPr>
            <w:tcW w:w="674" w:type="dxa"/>
            <w:vMerge w:val="restart"/>
            <w:tcBorders>
              <w:tl2br w:val="nil"/>
              <w:tr2bl w:val="nil"/>
            </w:tcBorders>
            <w:vAlign w:val="center"/>
          </w:tcPr>
          <w:p w14:paraId="5A55824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烟气温度/℃</w:t>
            </w:r>
          </w:p>
        </w:tc>
        <w:tc>
          <w:tcPr>
            <w:tcW w:w="868" w:type="dxa"/>
            <w:vMerge w:val="restart"/>
            <w:tcBorders>
              <w:tl2br w:val="nil"/>
              <w:tr2bl w:val="nil"/>
            </w:tcBorders>
            <w:vAlign w:val="center"/>
          </w:tcPr>
          <w:p w14:paraId="6AABE32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年排放小时数/h</w:t>
            </w:r>
          </w:p>
        </w:tc>
        <w:tc>
          <w:tcPr>
            <w:tcW w:w="614" w:type="dxa"/>
            <w:vMerge w:val="restart"/>
            <w:tcBorders>
              <w:tl2br w:val="nil"/>
              <w:tr2bl w:val="nil"/>
            </w:tcBorders>
            <w:vAlign w:val="center"/>
          </w:tcPr>
          <w:p w14:paraId="673F3E1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排放工况</w:t>
            </w:r>
          </w:p>
        </w:tc>
        <w:tc>
          <w:tcPr>
            <w:tcW w:w="6257" w:type="dxa"/>
            <w:gridSpan w:val="6"/>
            <w:tcBorders>
              <w:bottom w:val="single" w:color="auto" w:sz="4" w:space="0"/>
              <w:tl2br w:val="nil"/>
              <w:tr2bl w:val="nil"/>
            </w:tcBorders>
            <w:vAlign w:val="center"/>
          </w:tcPr>
          <w:p w14:paraId="50F6362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排放速率（kg/h）</w:t>
            </w:r>
          </w:p>
        </w:tc>
      </w:tr>
      <w:tr w14:paraId="09229C3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633" w:type="dxa"/>
            <w:vMerge w:val="continue"/>
            <w:tcBorders>
              <w:tl2br w:val="nil"/>
              <w:tr2bl w:val="nil"/>
            </w:tcBorders>
            <w:vAlign w:val="center"/>
          </w:tcPr>
          <w:p w14:paraId="75BEFF5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1238" w:type="dxa"/>
            <w:vMerge w:val="continue"/>
            <w:tcBorders>
              <w:tl2br w:val="nil"/>
              <w:tr2bl w:val="nil"/>
            </w:tcBorders>
            <w:vAlign w:val="center"/>
          </w:tcPr>
          <w:p w14:paraId="795F28E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1260" w:type="dxa"/>
            <w:vMerge w:val="continue"/>
            <w:tcBorders>
              <w:tl2br w:val="nil"/>
              <w:tr2bl w:val="nil"/>
            </w:tcBorders>
            <w:vAlign w:val="center"/>
          </w:tcPr>
          <w:p w14:paraId="391380B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856" w:type="dxa"/>
            <w:vMerge w:val="continue"/>
            <w:tcBorders>
              <w:tl2br w:val="nil"/>
              <w:tr2bl w:val="nil"/>
            </w:tcBorders>
            <w:vAlign w:val="center"/>
          </w:tcPr>
          <w:p w14:paraId="0D15CC3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855" w:type="dxa"/>
            <w:vMerge w:val="continue"/>
            <w:tcBorders>
              <w:tl2br w:val="nil"/>
              <w:tr2bl w:val="nil"/>
            </w:tcBorders>
            <w:vAlign w:val="center"/>
          </w:tcPr>
          <w:p w14:paraId="185B557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1238" w:type="dxa"/>
            <w:vMerge w:val="continue"/>
            <w:tcBorders>
              <w:tl2br w:val="nil"/>
              <w:tr2bl w:val="nil"/>
            </w:tcBorders>
            <w:vAlign w:val="center"/>
          </w:tcPr>
          <w:p w14:paraId="1CB33CE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674" w:type="dxa"/>
            <w:vMerge w:val="continue"/>
            <w:tcBorders>
              <w:tl2br w:val="nil"/>
              <w:tr2bl w:val="nil"/>
            </w:tcBorders>
            <w:vAlign w:val="center"/>
          </w:tcPr>
          <w:p w14:paraId="7D3E292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868" w:type="dxa"/>
            <w:vMerge w:val="continue"/>
            <w:tcBorders>
              <w:tl2br w:val="nil"/>
              <w:tr2bl w:val="nil"/>
            </w:tcBorders>
            <w:vAlign w:val="center"/>
          </w:tcPr>
          <w:p w14:paraId="6D98F0A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614" w:type="dxa"/>
            <w:vMerge w:val="continue"/>
            <w:tcBorders>
              <w:tl2br w:val="nil"/>
              <w:tr2bl w:val="nil"/>
            </w:tcBorders>
            <w:vAlign w:val="center"/>
          </w:tcPr>
          <w:p w14:paraId="6D5D663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880" w:type="dxa"/>
            <w:tcBorders>
              <w:top w:val="single" w:color="auto" w:sz="4" w:space="0"/>
              <w:bottom w:val="single" w:color="auto" w:sz="4" w:space="0"/>
              <w:right w:val="single" w:color="auto" w:sz="4" w:space="0"/>
              <w:tl2br w:val="nil"/>
              <w:tr2bl w:val="nil"/>
            </w:tcBorders>
            <w:vAlign w:val="center"/>
          </w:tcPr>
          <w:p w14:paraId="08EE4D3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PM</w:t>
            </w:r>
            <w:r>
              <w:rPr>
                <w:rFonts w:hint="eastAsia" w:ascii="Times New Roman" w:hAnsi="Times New Roman" w:cs="Times New Roman"/>
                <w:szCs w:val="21"/>
                <w:highlight w:val="none"/>
                <w:vertAlign w:val="subscript"/>
                <w:lang w:val="en-US" w:eastAsia="zh-CN"/>
              </w:rPr>
              <w:t>10</w:t>
            </w:r>
          </w:p>
        </w:tc>
        <w:tc>
          <w:tcPr>
            <w:tcW w:w="885" w:type="dxa"/>
            <w:tcBorders>
              <w:top w:val="single" w:color="auto" w:sz="4" w:space="0"/>
              <w:left w:val="single" w:color="auto" w:sz="4" w:space="0"/>
              <w:bottom w:val="single" w:color="auto" w:sz="4" w:space="0"/>
              <w:tl2br w:val="nil"/>
              <w:tr2bl w:val="nil"/>
            </w:tcBorders>
            <w:vAlign w:val="center"/>
          </w:tcPr>
          <w:p w14:paraId="038A53A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PM</w:t>
            </w:r>
            <w:r>
              <w:rPr>
                <w:rFonts w:hint="eastAsia" w:ascii="Times New Roman" w:hAnsi="Times New Roman" w:cs="Times New Roman"/>
                <w:szCs w:val="21"/>
                <w:highlight w:val="none"/>
                <w:vertAlign w:val="subscript"/>
                <w:lang w:val="en-US" w:eastAsia="zh-CN"/>
              </w:rPr>
              <w:t>2.5</w:t>
            </w:r>
          </w:p>
        </w:tc>
        <w:tc>
          <w:tcPr>
            <w:tcW w:w="687" w:type="dxa"/>
            <w:tcBorders>
              <w:top w:val="single" w:color="auto" w:sz="4" w:space="0"/>
              <w:bottom w:val="single" w:color="auto" w:sz="4" w:space="0"/>
              <w:tl2br w:val="nil"/>
              <w:tr2bl w:val="nil"/>
            </w:tcBorders>
            <w:vAlign w:val="center"/>
          </w:tcPr>
          <w:p w14:paraId="7193DC0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NO</w:t>
            </w:r>
            <w:r>
              <w:rPr>
                <w:rFonts w:hint="eastAsia" w:ascii="Times New Roman" w:hAnsi="Times New Roman" w:cs="Times New Roman"/>
                <w:szCs w:val="21"/>
                <w:highlight w:val="none"/>
                <w:vertAlign w:val="subscript"/>
                <w:lang w:val="en-US" w:eastAsia="zh-CN"/>
              </w:rPr>
              <w:t>2</w:t>
            </w:r>
          </w:p>
        </w:tc>
        <w:tc>
          <w:tcPr>
            <w:tcW w:w="940" w:type="dxa"/>
            <w:tcBorders>
              <w:top w:val="single" w:color="auto" w:sz="4" w:space="0"/>
              <w:bottom w:val="single" w:color="auto" w:sz="4" w:space="0"/>
              <w:tl2br w:val="nil"/>
              <w:tr2bl w:val="nil"/>
            </w:tcBorders>
            <w:vAlign w:val="center"/>
          </w:tcPr>
          <w:p w14:paraId="61F2763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SO</w:t>
            </w:r>
            <w:r>
              <w:rPr>
                <w:rFonts w:hint="eastAsia" w:ascii="Times New Roman" w:hAnsi="Times New Roman" w:cs="Times New Roman"/>
                <w:szCs w:val="21"/>
                <w:highlight w:val="none"/>
                <w:vertAlign w:val="subscript"/>
                <w:lang w:val="en-US" w:eastAsia="zh-CN"/>
              </w:rPr>
              <w:t>2</w:t>
            </w:r>
          </w:p>
        </w:tc>
        <w:tc>
          <w:tcPr>
            <w:tcW w:w="1178" w:type="dxa"/>
            <w:tcBorders>
              <w:top w:val="single" w:color="auto" w:sz="4" w:space="0"/>
              <w:bottom w:val="single" w:color="auto" w:sz="4" w:space="0"/>
              <w:tl2br w:val="nil"/>
              <w:tr2bl w:val="nil"/>
            </w:tcBorders>
            <w:vAlign w:val="center"/>
          </w:tcPr>
          <w:p w14:paraId="64D58D2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CO</w:t>
            </w:r>
          </w:p>
        </w:tc>
        <w:tc>
          <w:tcPr>
            <w:tcW w:w="1687" w:type="dxa"/>
            <w:tcBorders>
              <w:top w:val="single" w:color="auto" w:sz="4" w:space="0"/>
              <w:bottom w:val="single" w:color="auto" w:sz="4" w:space="0"/>
              <w:tl2br w:val="nil"/>
              <w:tr2bl w:val="nil"/>
            </w:tcBorders>
            <w:vAlign w:val="center"/>
          </w:tcPr>
          <w:p w14:paraId="2D14DD3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HCl</w:t>
            </w:r>
          </w:p>
        </w:tc>
      </w:tr>
      <w:tr w14:paraId="555940F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33" w:type="dxa"/>
            <w:vMerge w:val="restart"/>
            <w:tcBorders>
              <w:tl2br w:val="nil"/>
              <w:tr2bl w:val="nil"/>
            </w:tcBorders>
            <w:vAlign w:val="center"/>
          </w:tcPr>
          <w:p w14:paraId="3F72E04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DA001</w:t>
            </w:r>
          </w:p>
        </w:tc>
        <w:tc>
          <w:tcPr>
            <w:tcW w:w="1238" w:type="dxa"/>
            <w:vMerge w:val="restart"/>
            <w:tcBorders>
              <w:tl2br w:val="nil"/>
              <w:tr2bl w:val="nil"/>
            </w:tcBorders>
            <w:vAlign w:val="center"/>
          </w:tcPr>
          <w:p w14:paraId="3F31788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焚烧炉废气排放口</w:t>
            </w:r>
          </w:p>
        </w:tc>
        <w:tc>
          <w:tcPr>
            <w:tcW w:w="1260" w:type="dxa"/>
            <w:vMerge w:val="restart"/>
            <w:tcBorders>
              <w:tl2br w:val="nil"/>
              <w:tr2bl w:val="nil"/>
            </w:tcBorders>
            <w:vAlign w:val="center"/>
          </w:tcPr>
          <w:p w14:paraId="15C399B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1304</w:t>
            </w:r>
          </w:p>
        </w:tc>
        <w:tc>
          <w:tcPr>
            <w:tcW w:w="856" w:type="dxa"/>
            <w:vMerge w:val="restart"/>
            <w:tcBorders>
              <w:tl2br w:val="nil"/>
              <w:tr2bl w:val="nil"/>
            </w:tcBorders>
            <w:vAlign w:val="center"/>
          </w:tcPr>
          <w:p w14:paraId="07E34AD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20</w:t>
            </w:r>
          </w:p>
        </w:tc>
        <w:tc>
          <w:tcPr>
            <w:tcW w:w="855" w:type="dxa"/>
            <w:vMerge w:val="restart"/>
            <w:tcBorders>
              <w:tl2br w:val="nil"/>
              <w:tr2bl w:val="nil"/>
            </w:tcBorders>
            <w:vAlign w:val="center"/>
          </w:tcPr>
          <w:p w14:paraId="7791F50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0.25</w:t>
            </w:r>
          </w:p>
        </w:tc>
        <w:tc>
          <w:tcPr>
            <w:tcW w:w="1238" w:type="dxa"/>
            <w:vMerge w:val="restart"/>
            <w:tcBorders>
              <w:tl2br w:val="nil"/>
              <w:tr2bl w:val="nil"/>
            </w:tcBorders>
            <w:vAlign w:val="center"/>
          </w:tcPr>
          <w:p w14:paraId="2BC75EC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12.907</w:t>
            </w:r>
          </w:p>
        </w:tc>
        <w:tc>
          <w:tcPr>
            <w:tcW w:w="674" w:type="dxa"/>
            <w:vMerge w:val="restart"/>
            <w:tcBorders>
              <w:tl2br w:val="nil"/>
              <w:tr2bl w:val="nil"/>
            </w:tcBorders>
            <w:vAlign w:val="center"/>
          </w:tcPr>
          <w:p w14:paraId="4AB476B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80</w:t>
            </w:r>
          </w:p>
        </w:tc>
        <w:tc>
          <w:tcPr>
            <w:tcW w:w="868" w:type="dxa"/>
            <w:vMerge w:val="restart"/>
            <w:tcBorders>
              <w:tl2br w:val="nil"/>
              <w:tr2bl w:val="nil"/>
            </w:tcBorders>
            <w:vAlign w:val="center"/>
          </w:tcPr>
          <w:p w14:paraId="30C4E87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8760</w:t>
            </w:r>
          </w:p>
        </w:tc>
        <w:tc>
          <w:tcPr>
            <w:tcW w:w="614" w:type="dxa"/>
            <w:vMerge w:val="restart"/>
            <w:tcBorders>
              <w:tl2br w:val="nil"/>
              <w:tr2bl w:val="nil"/>
            </w:tcBorders>
            <w:vAlign w:val="center"/>
          </w:tcPr>
          <w:p w14:paraId="34AE931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正常</w:t>
            </w:r>
          </w:p>
          <w:p w14:paraId="69E1846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排放</w:t>
            </w:r>
          </w:p>
        </w:tc>
        <w:tc>
          <w:tcPr>
            <w:tcW w:w="880" w:type="dxa"/>
            <w:tcBorders>
              <w:top w:val="single" w:color="auto" w:sz="4" w:space="0"/>
              <w:bottom w:val="single" w:color="auto" w:sz="4" w:space="0"/>
              <w:right w:val="single" w:color="auto" w:sz="4" w:space="0"/>
              <w:tl2br w:val="nil"/>
              <w:tr2bl w:val="nil"/>
            </w:tcBorders>
            <w:shd w:val="clear" w:color="auto" w:fill="auto"/>
            <w:vAlign w:val="center"/>
          </w:tcPr>
          <w:p w14:paraId="5C37E86D">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default"/>
                <w:sz w:val="18"/>
                <w:szCs w:val="18"/>
                <w:highlight w:val="none"/>
                <w:lang w:val="en-US" w:eastAsia="zh-CN"/>
              </w:rPr>
            </w:pPr>
            <w:r>
              <w:rPr>
                <w:rFonts w:hint="eastAsia"/>
                <w:sz w:val="18"/>
                <w:szCs w:val="18"/>
                <w:highlight w:val="none"/>
                <w:lang w:val="en-US" w:eastAsia="zh-CN"/>
              </w:rPr>
              <w:t>0.02</w:t>
            </w:r>
          </w:p>
        </w:tc>
        <w:tc>
          <w:tcPr>
            <w:tcW w:w="885" w:type="dxa"/>
            <w:tcBorders>
              <w:top w:val="single" w:color="auto" w:sz="4" w:space="0"/>
              <w:left w:val="single" w:color="auto" w:sz="4" w:space="0"/>
              <w:bottom w:val="single" w:color="auto" w:sz="4" w:space="0"/>
              <w:tl2br w:val="nil"/>
              <w:tr2bl w:val="nil"/>
            </w:tcBorders>
            <w:shd w:val="clear" w:color="auto" w:fill="auto"/>
            <w:vAlign w:val="center"/>
          </w:tcPr>
          <w:p w14:paraId="7BB9DFCC">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default"/>
                <w:sz w:val="18"/>
                <w:szCs w:val="18"/>
                <w:highlight w:val="none"/>
                <w:lang w:val="en-US" w:eastAsia="zh-CN"/>
              </w:rPr>
            </w:pPr>
            <w:r>
              <w:rPr>
                <w:rFonts w:hint="eastAsia"/>
                <w:sz w:val="18"/>
                <w:szCs w:val="18"/>
                <w:highlight w:val="none"/>
                <w:lang w:val="en-US" w:eastAsia="zh-CN"/>
              </w:rPr>
              <w:t>0.01</w:t>
            </w:r>
          </w:p>
        </w:tc>
        <w:tc>
          <w:tcPr>
            <w:tcW w:w="687" w:type="dxa"/>
            <w:tcBorders>
              <w:top w:val="single" w:color="auto" w:sz="4" w:space="0"/>
              <w:bottom w:val="single" w:color="auto" w:sz="4" w:space="0"/>
              <w:tl2br w:val="nil"/>
              <w:tr2bl w:val="nil"/>
            </w:tcBorders>
            <w:vAlign w:val="center"/>
          </w:tcPr>
          <w:p w14:paraId="090ABA13">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default"/>
                <w:sz w:val="18"/>
                <w:szCs w:val="18"/>
                <w:highlight w:val="none"/>
                <w:lang w:val="en-US" w:eastAsia="zh-CN"/>
              </w:rPr>
            </w:pPr>
            <w:r>
              <w:rPr>
                <w:rFonts w:hint="eastAsia"/>
                <w:sz w:val="18"/>
                <w:szCs w:val="18"/>
                <w:highlight w:val="none"/>
                <w:lang w:val="en-US" w:eastAsia="zh-CN"/>
              </w:rPr>
              <w:t>0.143</w:t>
            </w:r>
          </w:p>
        </w:tc>
        <w:tc>
          <w:tcPr>
            <w:tcW w:w="940" w:type="dxa"/>
            <w:tcBorders>
              <w:top w:val="single" w:color="auto" w:sz="4" w:space="0"/>
              <w:bottom w:val="single" w:color="auto" w:sz="4" w:space="0"/>
              <w:tl2br w:val="nil"/>
              <w:tr2bl w:val="nil"/>
            </w:tcBorders>
            <w:vAlign w:val="center"/>
          </w:tcPr>
          <w:p w14:paraId="77BBD815">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default"/>
                <w:sz w:val="18"/>
                <w:szCs w:val="18"/>
                <w:highlight w:val="none"/>
                <w:lang w:val="en-US" w:eastAsia="zh-CN"/>
              </w:rPr>
            </w:pPr>
            <w:r>
              <w:rPr>
                <w:rFonts w:hint="eastAsia"/>
                <w:sz w:val="18"/>
                <w:szCs w:val="18"/>
                <w:highlight w:val="none"/>
                <w:lang w:val="en-US" w:eastAsia="zh-CN"/>
              </w:rPr>
              <w:t>0.029</w:t>
            </w:r>
          </w:p>
        </w:tc>
        <w:tc>
          <w:tcPr>
            <w:tcW w:w="1178" w:type="dxa"/>
            <w:tcBorders>
              <w:top w:val="single" w:color="auto" w:sz="4" w:space="0"/>
              <w:bottom w:val="single" w:color="auto" w:sz="4" w:space="0"/>
              <w:tl2br w:val="nil"/>
              <w:tr2bl w:val="nil"/>
            </w:tcBorders>
            <w:vAlign w:val="center"/>
          </w:tcPr>
          <w:p w14:paraId="4D006EEE">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default"/>
                <w:sz w:val="18"/>
                <w:szCs w:val="18"/>
                <w:highlight w:val="none"/>
                <w:lang w:val="en-US" w:eastAsia="zh-CN"/>
              </w:rPr>
            </w:pPr>
            <w:r>
              <w:rPr>
                <w:rFonts w:hint="eastAsia"/>
                <w:sz w:val="18"/>
                <w:szCs w:val="18"/>
                <w:highlight w:val="none"/>
                <w:lang w:val="en-US" w:eastAsia="zh-CN"/>
              </w:rPr>
              <w:t>0.039</w:t>
            </w:r>
          </w:p>
        </w:tc>
        <w:tc>
          <w:tcPr>
            <w:tcW w:w="1687" w:type="dxa"/>
            <w:tcBorders>
              <w:top w:val="single" w:color="auto" w:sz="4" w:space="0"/>
              <w:bottom w:val="single" w:color="auto" w:sz="4" w:space="0"/>
              <w:tl2br w:val="nil"/>
              <w:tr2bl w:val="nil"/>
            </w:tcBorders>
            <w:vAlign w:val="center"/>
          </w:tcPr>
          <w:p w14:paraId="296E7EF4">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default"/>
                <w:sz w:val="18"/>
                <w:szCs w:val="18"/>
                <w:highlight w:val="none"/>
                <w:lang w:val="en-US" w:eastAsia="zh-CN"/>
              </w:rPr>
            </w:pPr>
            <w:r>
              <w:rPr>
                <w:rFonts w:hint="eastAsia"/>
                <w:sz w:val="18"/>
                <w:szCs w:val="18"/>
                <w:highlight w:val="none"/>
                <w:lang w:val="en-US" w:eastAsia="zh-CN"/>
              </w:rPr>
              <w:t>0.017</w:t>
            </w:r>
          </w:p>
        </w:tc>
      </w:tr>
      <w:tr w14:paraId="1E4A54A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633" w:type="dxa"/>
            <w:vMerge w:val="continue"/>
            <w:tcBorders>
              <w:tl2br w:val="nil"/>
              <w:tr2bl w:val="nil"/>
            </w:tcBorders>
            <w:vAlign w:val="center"/>
          </w:tcPr>
          <w:p w14:paraId="7AE74DB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1238" w:type="dxa"/>
            <w:vMerge w:val="continue"/>
            <w:tcBorders>
              <w:tl2br w:val="nil"/>
              <w:tr2bl w:val="nil"/>
            </w:tcBorders>
            <w:vAlign w:val="center"/>
          </w:tcPr>
          <w:p w14:paraId="1142FF52">
            <w:pPr>
              <w:autoSpaceDE w:val="0"/>
              <w:autoSpaceDN w:val="0"/>
              <w:spacing w:line="300" w:lineRule="exact"/>
              <w:jc w:val="center"/>
              <w:rPr>
                <w:rFonts w:hint="eastAsia" w:ascii="Times New Roman" w:hAnsi="Times New Roman" w:cs="Times New Roman"/>
                <w:szCs w:val="21"/>
                <w:highlight w:val="none"/>
                <w:lang w:val="en-US" w:eastAsia="zh-CN"/>
              </w:rPr>
            </w:pPr>
          </w:p>
        </w:tc>
        <w:tc>
          <w:tcPr>
            <w:tcW w:w="1260" w:type="dxa"/>
            <w:vMerge w:val="continue"/>
            <w:tcBorders>
              <w:tl2br w:val="nil"/>
              <w:tr2bl w:val="nil"/>
            </w:tcBorders>
            <w:vAlign w:val="center"/>
          </w:tcPr>
          <w:p w14:paraId="427930FB">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p>
        </w:tc>
        <w:tc>
          <w:tcPr>
            <w:tcW w:w="856" w:type="dxa"/>
            <w:vMerge w:val="continue"/>
            <w:tcBorders>
              <w:tl2br w:val="nil"/>
              <w:tr2bl w:val="nil"/>
            </w:tcBorders>
            <w:vAlign w:val="center"/>
          </w:tcPr>
          <w:p w14:paraId="3A4C4852">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p>
        </w:tc>
        <w:tc>
          <w:tcPr>
            <w:tcW w:w="855" w:type="dxa"/>
            <w:vMerge w:val="continue"/>
            <w:tcBorders>
              <w:tl2br w:val="nil"/>
              <w:tr2bl w:val="nil"/>
            </w:tcBorders>
            <w:vAlign w:val="center"/>
          </w:tcPr>
          <w:p w14:paraId="6C78EFE9">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p>
        </w:tc>
        <w:tc>
          <w:tcPr>
            <w:tcW w:w="1238" w:type="dxa"/>
            <w:vMerge w:val="continue"/>
            <w:tcBorders>
              <w:tl2br w:val="nil"/>
              <w:tr2bl w:val="nil"/>
            </w:tcBorders>
            <w:vAlign w:val="center"/>
          </w:tcPr>
          <w:p w14:paraId="5F51120B">
            <w:pPr>
              <w:autoSpaceDE w:val="0"/>
              <w:autoSpaceDN w:val="0"/>
              <w:spacing w:line="300" w:lineRule="exact"/>
              <w:jc w:val="center"/>
              <w:rPr>
                <w:rFonts w:hint="eastAsia" w:ascii="Times New Roman" w:hAnsi="Times New Roman" w:cs="Times New Roman"/>
                <w:szCs w:val="21"/>
                <w:highlight w:val="yellow"/>
                <w:lang w:val="en-US" w:eastAsia="zh-CN"/>
              </w:rPr>
            </w:pPr>
          </w:p>
        </w:tc>
        <w:tc>
          <w:tcPr>
            <w:tcW w:w="674" w:type="dxa"/>
            <w:vMerge w:val="continue"/>
            <w:tcBorders>
              <w:tl2br w:val="nil"/>
              <w:tr2bl w:val="nil"/>
            </w:tcBorders>
            <w:vAlign w:val="center"/>
          </w:tcPr>
          <w:p w14:paraId="0FF3CFA4">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p>
        </w:tc>
        <w:tc>
          <w:tcPr>
            <w:tcW w:w="868" w:type="dxa"/>
            <w:vMerge w:val="continue"/>
            <w:tcBorders>
              <w:tl2br w:val="nil"/>
              <w:tr2bl w:val="nil"/>
            </w:tcBorders>
            <w:vAlign w:val="center"/>
          </w:tcPr>
          <w:p w14:paraId="262A5421">
            <w:pPr>
              <w:autoSpaceDE w:val="0"/>
              <w:autoSpaceDN w:val="0"/>
              <w:spacing w:line="300" w:lineRule="exact"/>
              <w:jc w:val="center"/>
              <w:rPr>
                <w:rFonts w:hint="eastAsia" w:ascii="Times New Roman" w:hAnsi="Times New Roman" w:cs="Times New Roman"/>
                <w:szCs w:val="21"/>
                <w:highlight w:val="yellow"/>
                <w:lang w:val="en-US" w:eastAsia="zh-CN"/>
              </w:rPr>
            </w:pPr>
          </w:p>
        </w:tc>
        <w:tc>
          <w:tcPr>
            <w:tcW w:w="614" w:type="dxa"/>
            <w:vMerge w:val="continue"/>
            <w:tcBorders>
              <w:tl2br w:val="nil"/>
              <w:tr2bl w:val="nil"/>
            </w:tcBorders>
            <w:vAlign w:val="center"/>
          </w:tcPr>
          <w:p w14:paraId="6F56141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880" w:type="dxa"/>
            <w:tcBorders>
              <w:top w:val="single" w:color="auto" w:sz="4" w:space="0"/>
              <w:bottom w:val="single" w:color="auto" w:sz="4" w:space="0"/>
              <w:right w:val="single" w:color="auto" w:sz="4" w:space="0"/>
              <w:tl2br w:val="nil"/>
              <w:tr2bl w:val="nil"/>
            </w:tcBorders>
            <w:shd w:val="clear" w:color="auto" w:fill="auto"/>
            <w:vAlign w:val="center"/>
          </w:tcPr>
          <w:p w14:paraId="0824857F">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default"/>
                <w:sz w:val="18"/>
                <w:szCs w:val="18"/>
                <w:highlight w:val="none"/>
                <w:lang w:val="en-US" w:eastAsia="zh-CN"/>
              </w:rPr>
            </w:pPr>
            <w:r>
              <w:rPr>
                <w:rFonts w:hint="eastAsia"/>
                <w:sz w:val="18"/>
                <w:szCs w:val="18"/>
                <w:highlight w:val="none"/>
                <w:lang w:val="en-US" w:eastAsia="zh-CN"/>
              </w:rPr>
              <w:t>Hg</w:t>
            </w:r>
          </w:p>
        </w:tc>
        <w:tc>
          <w:tcPr>
            <w:tcW w:w="885" w:type="dxa"/>
            <w:tcBorders>
              <w:top w:val="single" w:color="auto" w:sz="4" w:space="0"/>
              <w:left w:val="single" w:color="auto" w:sz="4" w:space="0"/>
              <w:bottom w:val="single" w:color="auto" w:sz="4" w:space="0"/>
              <w:tl2br w:val="nil"/>
              <w:tr2bl w:val="nil"/>
            </w:tcBorders>
            <w:shd w:val="clear" w:color="auto" w:fill="auto"/>
            <w:vAlign w:val="center"/>
          </w:tcPr>
          <w:p w14:paraId="4FA6215B">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default"/>
                <w:sz w:val="18"/>
                <w:szCs w:val="18"/>
                <w:highlight w:val="none"/>
                <w:lang w:val="en-US" w:eastAsia="zh-CN"/>
              </w:rPr>
            </w:pPr>
            <w:r>
              <w:rPr>
                <w:rFonts w:hint="eastAsia"/>
                <w:sz w:val="18"/>
                <w:szCs w:val="18"/>
                <w:highlight w:val="none"/>
                <w:lang w:val="en-US" w:eastAsia="zh-CN"/>
              </w:rPr>
              <w:t>Pb</w:t>
            </w:r>
          </w:p>
        </w:tc>
        <w:tc>
          <w:tcPr>
            <w:tcW w:w="687" w:type="dxa"/>
            <w:tcBorders>
              <w:top w:val="single" w:color="auto" w:sz="4" w:space="0"/>
              <w:bottom w:val="single" w:color="auto" w:sz="4" w:space="0"/>
              <w:tl2br w:val="nil"/>
              <w:tr2bl w:val="nil"/>
            </w:tcBorders>
            <w:vAlign w:val="center"/>
          </w:tcPr>
          <w:p w14:paraId="01DFAC25">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default"/>
                <w:sz w:val="18"/>
                <w:szCs w:val="18"/>
                <w:highlight w:val="none"/>
                <w:lang w:val="en-US" w:eastAsia="zh-CN"/>
              </w:rPr>
            </w:pPr>
            <w:r>
              <w:rPr>
                <w:rFonts w:hint="eastAsia"/>
                <w:sz w:val="18"/>
                <w:szCs w:val="18"/>
                <w:highlight w:val="none"/>
                <w:lang w:val="en-US" w:eastAsia="zh-CN"/>
              </w:rPr>
              <w:t>As</w:t>
            </w:r>
          </w:p>
        </w:tc>
        <w:tc>
          <w:tcPr>
            <w:tcW w:w="940" w:type="dxa"/>
            <w:tcBorders>
              <w:top w:val="single" w:color="auto" w:sz="4" w:space="0"/>
              <w:bottom w:val="single" w:color="auto" w:sz="4" w:space="0"/>
              <w:tl2br w:val="nil"/>
              <w:tr2bl w:val="nil"/>
            </w:tcBorders>
            <w:vAlign w:val="center"/>
          </w:tcPr>
          <w:p w14:paraId="783E340F">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default"/>
                <w:sz w:val="18"/>
                <w:szCs w:val="18"/>
                <w:highlight w:val="none"/>
                <w:lang w:val="en-US" w:eastAsia="zh-CN"/>
              </w:rPr>
            </w:pPr>
            <w:r>
              <w:rPr>
                <w:rFonts w:hint="eastAsia"/>
                <w:sz w:val="18"/>
                <w:szCs w:val="18"/>
                <w:highlight w:val="none"/>
                <w:lang w:val="en-US" w:eastAsia="zh-CN"/>
              </w:rPr>
              <w:t>Cd</w:t>
            </w:r>
          </w:p>
        </w:tc>
        <w:tc>
          <w:tcPr>
            <w:tcW w:w="1178" w:type="dxa"/>
            <w:tcBorders>
              <w:top w:val="single" w:color="auto" w:sz="4" w:space="0"/>
              <w:bottom w:val="single" w:color="auto" w:sz="4" w:space="0"/>
              <w:tl2br w:val="nil"/>
              <w:tr2bl w:val="nil"/>
            </w:tcBorders>
            <w:vAlign w:val="center"/>
          </w:tcPr>
          <w:p w14:paraId="71D95CD2">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eastAsia"/>
                <w:sz w:val="18"/>
                <w:szCs w:val="18"/>
                <w:highlight w:val="none"/>
                <w:lang w:val="en-US" w:eastAsia="zh-CN"/>
              </w:rPr>
            </w:pPr>
            <w:r>
              <w:rPr>
                <w:rFonts w:hint="eastAsia"/>
                <w:sz w:val="18"/>
                <w:szCs w:val="18"/>
                <w:highlight w:val="none"/>
                <w:lang w:val="en-US" w:eastAsia="zh-CN"/>
              </w:rPr>
              <w:t>二噁英</w:t>
            </w:r>
          </w:p>
        </w:tc>
        <w:tc>
          <w:tcPr>
            <w:tcW w:w="1687" w:type="dxa"/>
            <w:tcBorders>
              <w:top w:val="single" w:color="auto" w:sz="4" w:space="0"/>
              <w:bottom w:val="single" w:color="auto" w:sz="4" w:space="0"/>
              <w:tl2br w:val="nil"/>
              <w:tr2bl w:val="nil"/>
            </w:tcBorders>
            <w:vAlign w:val="center"/>
          </w:tcPr>
          <w:p w14:paraId="625025AC">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eastAsia"/>
                <w:sz w:val="18"/>
                <w:szCs w:val="18"/>
                <w:highlight w:val="none"/>
                <w:lang w:val="en-US" w:eastAsia="zh-CN"/>
              </w:rPr>
            </w:pPr>
            <w:r>
              <w:rPr>
                <w:rFonts w:hint="eastAsia"/>
                <w:sz w:val="18"/>
                <w:szCs w:val="18"/>
                <w:highlight w:val="none"/>
                <w:lang w:val="en-US" w:eastAsia="zh-CN"/>
              </w:rPr>
              <w:t>氟化物</w:t>
            </w:r>
          </w:p>
        </w:tc>
      </w:tr>
      <w:tr w14:paraId="7BB7C2B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633" w:type="dxa"/>
            <w:vMerge w:val="continue"/>
            <w:tcBorders>
              <w:tl2br w:val="nil"/>
              <w:tr2bl w:val="nil"/>
            </w:tcBorders>
            <w:vAlign w:val="center"/>
          </w:tcPr>
          <w:p w14:paraId="77DB0D6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1238" w:type="dxa"/>
            <w:vMerge w:val="continue"/>
            <w:tcBorders>
              <w:tl2br w:val="nil"/>
              <w:tr2bl w:val="nil"/>
            </w:tcBorders>
            <w:vAlign w:val="center"/>
          </w:tcPr>
          <w:p w14:paraId="41A75C1C">
            <w:pPr>
              <w:autoSpaceDE w:val="0"/>
              <w:autoSpaceDN w:val="0"/>
              <w:spacing w:line="300" w:lineRule="exact"/>
              <w:jc w:val="center"/>
              <w:rPr>
                <w:rFonts w:hint="eastAsia" w:ascii="Times New Roman" w:hAnsi="Times New Roman" w:cs="Times New Roman"/>
                <w:szCs w:val="21"/>
                <w:highlight w:val="none"/>
                <w:lang w:val="en-US" w:eastAsia="zh-CN"/>
              </w:rPr>
            </w:pPr>
          </w:p>
        </w:tc>
        <w:tc>
          <w:tcPr>
            <w:tcW w:w="1260" w:type="dxa"/>
            <w:vMerge w:val="continue"/>
            <w:tcBorders>
              <w:tl2br w:val="nil"/>
              <w:tr2bl w:val="nil"/>
            </w:tcBorders>
            <w:vAlign w:val="center"/>
          </w:tcPr>
          <w:p w14:paraId="22E4EE5D">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p>
        </w:tc>
        <w:tc>
          <w:tcPr>
            <w:tcW w:w="856" w:type="dxa"/>
            <w:vMerge w:val="continue"/>
            <w:tcBorders>
              <w:tl2br w:val="nil"/>
              <w:tr2bl w:val="nil"/>
            </w:tcBorders>
            <w:vAlign w:val="center"/>
          </w:tcPr>
          <w:p w14:paraId="776A300B">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p>
        </w:tc>
        <w:tc>
          <w:tcPr>
            <w:tcW w:w="855" w:type="dxa"/>
            <w:vMerge w:val="continue"/>
            <w:tcBorders>
              <w:tl2br w:val="nil"/>
              <w:tr2bl w:val="nil"/>
            </w:tcBorders>
            <w:vAlign w:val="center"/>
          </w:tcPr>
          <w:p w14:paraId="0118BCAB">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p>
        </w:tc>
        <w:tc>
          <w:tcPr>
            <w:tcW w:w="1238" w:type="dxa"/>
            <w:vMerge w:val="continue"/>
            <w:tcBorders>
              <w:tl2br w:val="nil"/>
              <w:tr2bl w:val="nil"/>
            </w:tcBorders>
            <w:vAlign w:val="center"/>
          </w:tcPr>
          <w:p w14:paraId="41579435">
            <w:pPr>
              <w:autoSpaceDE w:val="0"/>
              <w:autoSpaceDN w:val="0"/>
              <w:spacing w:line="300" w:lineRule="exact"/>
              <w:jc w:val="center"/>
              <w:rPr>
                <w:rFonts w:hint="eastAsia" w:ascii="Times New Roman" w:hAnsi="Times New Roman" w:cs="Times New Roman"/>
                <w:szCs w:val="21"/>
                <w:highlight w:val="yellow"/>
                <w:lang w:val="en-US" w:eastAsia="zh-CN"/>
              </w:rPr>
            </w:pPr>
          </w:p>
        </w:tc>
        <w:tc>
          <w:tcPr>
            <w:tcW w:w="674" w:type="dxa"/>
            <w:vMerge w:val="continue"/>
            <w:tcBorders>
              <w:tl2br w:val="nil"/>
              <w:tr2bl w:val="nil"/>
            </w:tcBorders>
            <w:vAlign w:val="center"/>
          </w:tcPr>
          <w:p w14:paraId="16208A1F">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p>
        </w:tc>
        <w:tc>
          <w:tcPr>
            <w:tcW w:w="868" w:type="dxa"/>
            <w:vMerge w:val="continue"/>
            <w:tcBorders>
              <w:tl2br w:val="nil"/>
              <w:tr2bl w:val="nil"/>
            </w:tcBorders>
            <w:vAlign w:val="center"/>
          </w:tcPr>
          <w:p w14:paraId="1DD8AD33">
            <w:pPr>
              <w:autoSpaceDE w:val="0"/>
              <w:autoSpaceDN w:val="0"/>
              <w:spacing w:line="300" w:lineRule="exact"/>
              <w:jc w:val="center"/>
              <w:rPr>
                <w:rFonts w:hint="eastAsia" w:ascii="Times New Roman" w:hAnsi="Times New Roman" w:cs="Times New Roman"/>
                <w:szCs w:val="21"/>
                <w:highlight w:val="yellow"/>
                <w:lang w:val="en-US" w:eastAsia="zh-CN"/>
              </w:rPr>
            </w:pPr>
          </w:p>
        </w:tc>
        <w:tc>
          <w:tcPr>
            <w:tcW w:w="614" w:type="dxa"/>
            <w:vMerge w:val="continue"/>
            <w:tcBorders>
              <w:tl2br w:val="nil"/>
              <w:tr2bl w:val="nil"/>
            </w:tcBorders>
            <w:vAlign w:val="center"/>
          </w:tcPr>
          <w:p w14:paraId="7E6FEC7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880" w:type="dxa"/>
            <w:tcBorders>
              <w:top w:val="single" w:color="auto" w:sz="4" w:space="0"/>
              <w:bottom w:val="single" w:color="auto" w:sz="4" w:space="0"/>
              <w:right w:val="single" w:color="auto" w:sz="4" w:space="0"/>
              <w:tl2br w:val="nil"/>
              <w:tr2bl w:val="nil"/>
            </w:tcBorders>
            <w:shd w:val="clear" w:color="auto" w:fill="auto"/>
            <w:vAlign w:val="center"/>
          </w:tcPr>
          <w:p w14:paraId="327B8AFD">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default"/>
                <w:sz w:val="18"/>
                <w:szCs w:val="18"/>
                <w:highlight w:val="none"/>
                <w:lang w:val="en-US" w:eastAsia="zh-CN"/>
              </w:rPr>
            </w:pPr>
            <w:r>
              <w:rPr>
                <w:rFonts w:hint="eastAsia"/>
                <w:sz w:val="18"/>
                <w:szCs w:val="18"/>
                <w:highlight w:val="none"/>
                <w:lang w:val="en-US" w:eastAsia="zh-CN"/>
              </w:rPr>
              <w:t>8.157×10</w:t>
            </w:r>
            <w:r>
              <w:rPr>
                <w:rFonts w:hint="eastAsia"/>
                <w:sz w:val="18"/>
                <w:szCs w:val="18"/>
                <w:highlight w:val="none"/>
                <w:vertAlign w:val="superscript"/>
                <w:lang w:val="en-US" w:eastAsia="zh-CN"/>
              </w:rPr>
              <w:t>-9</w:t>
            </w:r>
          </w:p>
        </w:tc>
        <w:tc>
          <w:tcPr>
            <w:tcW w:w="885" w:type="dxa"/>
            <w:tcBorders>
              <w:top w:val="single" w:color="auto" w:sz="4" w:space="0"/>
              <w:left w:val="single" w:color="auto" w:sz="4" w:space="0"/>
              <w:bottom w:val="single" w:color="auto" w:sz="4" w:space="0"/>
              <w:tl2br w:val="nil"/>
              <w:tr2bl w:val="nil"/>
            </w:tcBorders>
            <w:shd w:val="clear" w:color="auto" w:fill="auto"/>
            <w:vAlign w:val="center"/>
          </w:tcPr>
          <w:p w14:paraId="12BCEBCE">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default"/>
                <w:sz w:val="18"/>
                <w:szCs w:val="18"/>
                <w:highlight w:val="none"/>
                <w:lang w:val="en-US" w:eastAsia="zh-CN"/>
              </w:rPr>
            </w:pPr>
            <w:r>
              <w:rPr>
                <w:rFonts w:hint="eastAsia"/>
                <w:sz w:val="18"/>
                <w:szCs w:val="18"/>
                <w:highlight w:val="none"/>
                <w:lang w:val="en-US" w:eastAsia="zh-CN"/>
              </w:rPr>
              <w:t>1.466×10</w:t>
            </w:r>
            <w:r>
              <w:rPr>
                <w:rFonts w:hint="eastAsia"/>
                <w:sz w:val="18"/>
                <w:szCs w:val="18"/>
                <w:highlight w:val="none"/>
                <w:vertAlign w:val="superscript"/>
                <w:lang w:val="en-US" w:eastAsia="zh-CN"/>
              </w:rPr>
              <w:t>-5</w:t>
            </w:r>
          </w:p>
        </w:tc>
        <w:tc>
          <w:tcPr>
            <w:tcW w:w="687" w:type="dxa"/>
            <w:tcBorders>
              <w:top w:val="single" w:color="auto" w:sz="4" w:space="0"/>
              <w:bottom w:val="single" w:color="auto" w:sz="4" w:space="0"/>
              <w:tl2br w:val="nil"/>
              <w:tr2bl w:val="nil"/>
            </w:tcBorders>
            <w:vAlign w:val="center"/>
          </w:tcPr>
          <w:p w14:paraId="63B2C1F5">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default"/>
                <w:sz w:val="18"/>
                <w:szCs w:val="18"/>
                <w:highlight w:val="none"/>
                <w:lang w:val="en-US" w:eastAsia="zh-CN"/>
              </w:rPr>
            </w:pPr>
            <w:r>
              <w:rPr>
                <w:rFonts w:hint="eastAsia"/>
                <w:sz w:val="18"/>
                <w:szCs w:val="18"/>
                <w:highlight w:val="none"/>
                <w:lang w:val="en-US" w:eastAsia="zh-CN"/>
              </w:rPr>
              <w:t>0.00015</w:t>
            </w:r>
          </w:p>
        </w:tc>
        <w:tc>
          <w:tcPr>
            <w:tcW w:w="940" w:type="dxa"/>
            <w:tcBorders>
              <w:top w:val="single" w:color="auto" w:sz="4" w:space="0"/>
              <w:bottom w:val="single" w:color="auto" w:sz="4" w:space="0"/>
              <w:tl2br w:val="nil"/>
              <w:tr2bl w:val="nil"/>
            </w:tcBorders>
            <w:vAlign w:val="center"/>
          </w:tcPr>
          <w:p w14:paraId="3DCF9DC5">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eastAsia"/>
                <w:sz w:val="18"/>
                <w:szCs w:val="18"/>
                <w:highlight w:val="none"/>
                <w:lang w:val="en-US" w:eastAsia="zh-CN"/>
              </w:rPr>
            </w:pPr>
            <w:r>
              <w:rPr>
                <w:rFonts w:hint="eastAsia"/>
                <w:sz w:val="18"/>
                <w:szCs w:val="18"/>
                <w:highlight w:val="none"/>
                <w:lang w:val="en-US" w:eastAsia="zh-CN"/>
              </w:rPr>
              <w:t>1.75×10</w:t>
            </w:r>
            <w:r>
              <w:rPr>
                <w:rFonts w:hint="eastAsia"/>
                <w:sz w:val="18"/>
                <w:szCs w:val="18"/>
                <w:highlight w:val="none"/>
                <w:vertAlign w:val="superscript"/>
                <w:lang w:val="en-US" w:eastAsia="zh-CN"/>
              </w:rPr>
              <w:t>-7</w:t>
            </w:r>
          </w:p>
        </w:tc>
        <w:tc>
          <w:tcPr>
            <w:tcW w:w="1178" w:type="dxa"/>
            <w:tcBorders>
              <w:top w:val="single" w:color="auto" w:sz="4" w:space="0"/>
              <w:bottom w:val="single" w:color="auto" w:sz="4" w:space="0"/>
              <w:tl2br w:val="nil"/>
              <w:tr2bl w:val="nil"/>
            </w:tcBorders>
            <w:vAlign w:val="center"/>
          </w:tcPr>
          <w:p w14:paraId="404E1AA7">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default"/>
                <w:sz w:val="18"/>
                <w:szCs w:val="18"/>
                <w:highlight w:val="none"/>
                <w:lang w:val="en-US" w:eastAsia="zh-CN"/>
              </w:rPr>
            </w:pPr>
            <w:r>
              <w:rPr>
                <w:rFonts w:hint="eastAsia"/>
                <w:sz w:val="18"/>
                <w:szCs w:val="18"/>
                <w:highlight w:val="none"/>
                <w:lang w:val="en-US" w:eastAsia="zh-CN"/>
              </w:rPr>
              <w:t>5.747×10</w:t>
            </w:r>
            <w:r>
              <w:rPr>
                <w:rFonts w:hint="eastAsia"/>
                <w:sz w:val="18"/>
                <w:szCs w:val="18"/>
                <w:highlight w:val="none"/>
                <w:vertAlign w:val="superscript"/>
                <w:lang w:val="en-US" w:eastAsia="zh-CN"/>
              </w:rPr>
              <w:t>-12</w:t>
            </w:r>
          </w:p>
        </w:tc>
        <w:tc>
          <w:tcPr>
            <w:tcW w:w="1687" w:type="dxa"/>
            <w:tcBorders>
              <w:top w:val="single" w:color="auto" w:sz="4" w:space="0"/>
              <w:bottom w:val="single" w:color="auto" w:sz="4" w:space="0"/>
              <w:tl2br w:val="nil"/>
              <w:tr2bl w:val="nil"/>
            </w:tcBorders>
            <w:vAlign w:val="center"/>
          </w:tcPr>
          <w:p w14:paraId="48077928">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default"/>
                <w:sz w:val="18"/>
                <w:szCs w:val="18"/>
                <w:highlight w:val="none"/>
                <w:lang w:val="en-US" w:eastAsia="zh-CN"/>
              </w:rPr>
            </w:pPr>
            <w:r>
              <w:rPr>
                <w:rFonts w:hint="eastAsia"/>
                <w:sz w:val="18"/>
                <w:szCs w:val="18"/>
                <w:highlight w:val="none"/>
                <w:lang w:val="en-US" w:eastAsia="zh-CN"/>
              </w:rPr>
              <w:t>0.004542</w:t>
            </w:r>
          </w:p>
        </w:tc>
      </w:tr>
      <w:tr w14:paraId="1CF8117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633" w:type="dxa"/>
            <w:vMerge w:val="restart"/>
            <w:tcBorders>
              <w:tl2br w:val="nil"/>
              <w:tr2bl w:val="nil"/>
            </w:tcBorders>
            <w:vAlign w:val="center"/>
          </w:tcPr>
          <w:p w14:paraId="2E4A109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DA002</w:t>
            </w:r>
          </w:p>
        </w:tc>
        <w:tc>
          <w:tcPr>
            <w:tcW w:w="1238" w:type="dxa"/>
            <w:vMerge w:val="restart"/>
            <w:tcBorders>
              <w:tl2br w:val="nil"/>
              <w:tr2bl w:val="nil"/>
            </w:tcBorders>
            <w:vAlign w:val="center"/>
          </w:tcPr>
          <w:p w14:paraId="3AF89230">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医疗废物暂存间排放口</w:t>
            </w:r>
          </w:p>
        </w:tc>
        <w:tc>
          <w:tcPr>
            <w:tcW w:w="1260" w:type="dxa"/>
            <w:vMerge w:val="restart"/>
            <w:tcBorders>
              <w:tl2br w:val="nil"/>
              <w:tr2bl w:val="nil"/>
            </w:tcBorders>
            <w:vAlign w:val="center"/>
          </w:tcPr>
          <w:p w14:paraId="17078EC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1305</w:t>
            </w:r>
          </w:p>
        </w:tc>
        <w:tc>
          <w:tcPr>
            <w:tcW w:w="856" w:type="dxa"/>
            <w:vMerge w:val="restart"/>
            <w:tcBorders>
              <w:tl2br w:val="nil"/>
              <w:tr2bl w:val="nil"/>
            </w:tcBorders>
            <w:vAlign w:val="center"/>
          </w:tcPr>
          <w:p w14:paraId="16B862A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15</w:t>
            </w:r>
          </w:p>
        </w:tc>
        <w:tc>
          <w:tcPr>
            <w:tcW w:w="855" w:type="dxa"/>
            <w:vMerge w:val="restart"/>
            <w:tcBorders>
              <w:tl2br w:val="nil"/>
              <w:tr2bl w:val="nil"/>
            </w:tcBorders>
            <w:vAlign w:val="center"/>
          </w:tcPr>
          <w:p w14:paraId="7FB2EFD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0.25</w:t>
            </w:r>
          </w:p>
        </w:tc>
        <w:tc>
          <w:tcPr>
            <w:tcW w:w="1238" w:type="dxa"/>
            <w:vMerge w:val="restart"/>
            <w:tcBorders>
              <w:tl2br w:val="nil"/>
              <w:tr2bl w:val="nil"/>
            </w:tcBorders>
            <w:vAlign w:val="center"/>
          </w:tcPr>
          <w:p w14:paraId="6B07DBC5">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11.32</w:t>
            </w:r>
          </w:p>
        </w:tc>
        <w:tc>
          <w:tcPr>
            <w:tcW w:w="674" w:type="dxa"/>
            <w:vMerge w:val="restart"/>
            <w:tcBorders>
              <w:tl2br w:val="nil"/>
              <w:tr2bl w:val="nil"/>
            </w:tcBorders>
            <w:vAlign w:val="center"/>
          </w:tcPr>
          <w:p w14:paraId="46D5BF0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25</w:t>
            </w:r>
          </w:p>
        </w:tc>
        <w:tc>
          <w:tcPr>
            <w:tcW w:w="868" w:type="dxa"/>
            <w:vMerge w:val="restart"/>
            <w:tcBorders>
              <w:tl2br w:val="nil"/>
              <w:tr2bl w:val="nil"/>
            </w:tcBorders>
            <w:vAlign w:val="center"/>
          </w:tcPr>
          <w:p w14:paraId="78D27F72">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8760</w:t>
            </w:r>
          </w:p>
        </w:tc>
        <w:tc>
          <w:tcPr>
            <w:tcW w:w="614" w:type="dxa"/>
            <w:vMerge w:val="restart"/>
            <w:tcBorders>
              <w:tl2br w:val="nil"/>
              <w:tr2bl w:val="nil"/>
            </w:tcBorders>
            <w:vAlign w:val="center"/>
          </w:tcPr>
          <w:p w14:paraId="3AA6DF1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正常</w:t>
            </w:r>
          </w:p>
          <w:p w14:paraId="569E471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排放</w:t>
            </w:r>
          </w:p>
        </w:tc>
        <w:tc>
          <w:tcPr>
            <w:tcW w:w="880" w:type="dxa"/>
            <w:tcBorders>
              <w:top w:val="single" w:color="auto" w:sz="4" w:space="0"/>
              <w:bottom w:val="single" w:color="auto" w:sz="4" w:space="0"/>
              <w:right w:val="single" w:color="auto" w:sz="4" w:space="0"/>
              <w:tl2br w:val="nil"/>
              <w:tr2bl w:val="nil"/>
            </w:tcBorders>
            <w:shd w:val="clear" w:color="auto" w:fill="auto"/>
            <w:vAlign w:val="center"/>
          </w:tcPr>
          <w:p w14:paraId="25CE0589">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cs="Times New Roman" w:eastAsiaTheme="minorEastAsia"/>
                <w:szCs w:val="21"/>
                <w:lang w:val="en-US" w:eastAsia="zh-CN"/>
              </w:rPr>
            </w:pPr>
            <w:r>
              <w:rPr>
                <w:rFonts w:hint="eastAsia"/>
                <w:sz w:val="18"/>
                <w:szCs w:val="18"/>
                <w:highlight w:val="none"/>
                <w:lang w:val="en-US" w:eastAsia="zh-CN"/>
              </w:rPr>
              <w:t>H</w:t>
            </w:r>
            <w:r>
              <w:rPr>
                <w:rFonts w:hint="eastAsia"/>
                <w:sz w:val="18"/>
                <w:szCs w:val="18"/>
                <w:highlight w:val="none"/>
                <w:vertAlign w:val="subscript"/>
                <w:lang w:val="en-US" w:eastAsia="zh-CN"/>
              </w:rPr>
              <w:t>2</w:t>
            </w:r>
            <w:r>
              <w:rPr>
                <w:rFonts w:hint="eastAsia"/>
                <w:sz w:val="18"/>
                <w:szCs w:val="18"/>
                <w:highlight w:val="none"/>
                <w:lang w:val="en-US" w:eastAsia="zh-CN"/>
              </w:rPr>
              <w:t>S</w:t>
            </w:r>
          </w:p>
        </w:tc>
        <w:tc>
          <w:tcPr>
            <w:tcW w:w="885" w:type="dxa"/>
            <w:tcBorders>
              <w:top w:val="single" w:color="auto" w:sz="4" w:space="0"/>
              <w:left w:val="single" w:color="auto" w:sz="4" w:space="0"/>
              <w:bottom w:val="single" w:color="auto" w:sz="4" w:space="0"/>
              <w:tl2br w:val="nil"/>
              <w:tr2bl w:val="nil"/>
            </w:tcBorders>
            <w:shd w:val="clear" w:color="auto" w:fill="auto"/>
            <w:vAlign w:val="center"/>
          </w:tcPr>
          <w:p w14:paraId="5B8EDA76">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eastAsia" w:ascii="Times New Roman" w:hAnsi="Times New Roman" w:cs="Times New Roman"/>
                <w:szCs w:val="21"/>
                <w:highlight w:val="none"/>
                <w:lang w:val="en-US" w:eastAsia="zh-CN"/>
              </w:rPr>
            </w:pPr>
            <w:r>
              <w:rPr>
                <w:rFonts w:hint="eastAsia" w:cs="Times New Roman"/>
                <w:sz w:val="18"/>
                <w:szCs w:val="18"/>
                <w:lang w:val="en-US" w:eastAsia="zh-CN"/>
              </w:rPr>
              <w:t>NH</w:t>
            </w:r>
            <w:r>
              <w:rPr>
                <w:rFonts w:hint="eastAsia" w:cs="Times New Roman"/>
                <w:sz w:val="18"/>
                <w:szCs w:val="18"/>
                <w:vertAlign w:val="subscript"/>
                <w:lang w:val="en-US" w:eastAsia="zh-CN"/>
              </w:rPr>
              <w:t>3</w:t>
            </w:r>
          </w:p>
        </w:tc>
        <w:tc>
          <w:tcPr>
            <w:tcW w:w="687" w:type="dxa"/>
            <w:tcBorders>
              <w:top w:val="single" w:color="auto" w:sz="4" w:space="0"/>
              <w:bottom w:val="single" w:color="auto" w:sz="4" w:space="0"/>
              <w:tl2br w:val="nil"/>
              <w:tr2bl w:val="nil"/>
            </w:tcBorders>
            <w:vAlign w:val="center"/>
          </w:tcPr>
          <w:p w14:paraId="0AE74EC7">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w:t>
            </w:r>
          </w:p>
        </w:tc>
        <w:tc>
          <w:tcPr>
            <w:tcW w:w="940" w:type="dxa"/>
            <w:tcBorders>
              <w:top w:val="single" w:color="auto" w:sz="4" w:space="0"/>
              <w:bottom w:val="single" w:color="auto" w:sz="4" w:space="0"/>
              <w:tl2br w:val="nil"/>
              <w:tr2bl w:val="nil"/>
            </w:tcBorders>
            <w:vAlign w:val="center"/>
          </w:tcPr>
          <w:p w14:paraId="10EFF7B3">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w:t>
            </w:r>
          </w:p>
        </w:tc>
        <w:tc>
          <w:tcPr>
            <w:tcW w:w="1178" w:type="dxa"/>
            <w:tcBorders>
              <w:top w:val="single" w:color="auto" w:sz="4" w:space="0"/>
              <w:bottom w:val="single" w:color="auto" w:sz="4" w:space="0"/>
              <w:tl2br w:val="nil"/>
              <w:tr2bl w:val="nil"/>
            </w:tcBorders>
            <w:vAlign w:val="center"/>
          </w:tcPr>
          <w:p w14:paraId="38684D9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w:t>
            </w:r>
          </w:p>
        </w:tc>
        <w:tc>
          <w:tcPr>
            <w:tcW w:w="1687" w:type="dxa"/>
            <w:tcBorders>
              <w:top w:val="single" w:color="auto" w:sz="4" w:space="0"/>
              <w:bottom w:val="single" w:color="auto" w:sz="4" w:space="0"/>
              <w:tl2br w:val="nil"/>
              <w:tr2bl w:val="nil"/>
            </w:tcBorders>
            <w:vAlign w:val="center"/>
          </w:tcPr>
          <w:p w14:paraId="3BB27C03">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w:t>
            </w:r>
          </w:p>
        </w:tc>
      </w:tr>
      <w:tr w14:paraId="35A8386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633" w:type="dxa"/>
            <w:vMerge w:val="continue"/>
            <w:tcBorders>
              <w:tl2br w:val="nil"/>
              <w:tr2bl w:val="nil"/>
            </w:tcBorders>
            <w:vAlign w:val="center"/>
          </w:tcPr>
          <w:p w14:paraId="472E152C">
            <w:pPr>
              <w:autoSpaceDE w:val="0"/>
              <w:autoSpaceDN w:val="0"/>
              <w:spacing w:line="300" w:lineRule="exact"/>
              <w:jc w:val="center"/>
              <w:rPr>
                <w:rFonts w:hint="eastAsia" w:ascii="Times New Roman" w:hAnsi="Times New Roman" w:cs="Times New Roman"/>
                <w:szCs w:val="21"/>
                <w:highlight w:val="none"/>
                <w:lang w:val="en-US" w:eastAsia="zh-CN"/>
              </w:rPr>
            </w:pPr>
          </w:p>
        </w:tc>
        <w:tc>
          <w:tcPr>
            <w:tcW w:w="1238" w:type="dxa"/>
            <w:vMerge w:val="continue"/>
            <w:tcBorders>
              <w:tl2br w:val="nil"/>
              <w:tr2bl w:val="nil"/>
            </w:tcBorders>
            <w:vAlign w:val="center"/>
          </w:tcPr>
          <w:p w14:paraId="09343E77">
            <w:pPr>
              <w:autoSpaceDE w:val="0"/>
              <w:autoSpaceDN w:val="0"/>
              <w:spacing w:line="300" w:lineRule="exact"/>
              <w:jc w:val="center"/>
              <w:rPr>
                <w:rFonts w:hint="eastAsia" w:ascii="Times New Roman" w:hAnsi="Times New Roman" w:cs="Times New Roman"/>
                <w:szCs w:val="21"/>
                <w:highlight w:val="none"/>
                <w:lang w:val="en-US" w:eastAsia="zh-CN"/>
              </w:rPr>
            </w:pPr>
          </w:p>
        </w:tc>
        <w:tc>
          <w:tcPr>
            <w:tcW w:w="1260" w:type="dxa"/>
            <w:vMerge w:val="continue"/>
            <w:tcBorders>
              <w:tl2br w:val="nil"/>
              <w:tr2bl w:val="nil"/>
            </w:tcBorders>
            <w:vAlign w:val="center"/>
          </w:tcPr>
          <w:p w14:paraId="336DA247">
            <w:pPr>
              <w:autoSpaceDE w:val="0"/>
              <w:autoSpaceDN w:val="0"/>
              <w:spacing w:line="300" w:lineRule="exact"/>
              <w:jc w:val="center"/>
              <w:rPr>
                <w:rFonts w:hint="eastAsia" w:ascii="Times New Roman" w:hAnsi="Times New Roman" w:cs="Times New Roman"/>
                <w:szCs w:val="21"/>
                <w:highlight w:val="yellow"/>
                <w:lang w:val="en-US" w:eastAsia="zh-CN"/>
              </w:rPr>
            </w:pPr>
          </w:p>
        </w:tc>
        <w:tc>
          <w:tcPr>
            <w:tcW w:w="856" w:type="dxa"/>
            <w:vMerge w:val="continue"/>
            <w:tcBorders>
              <w:tl2br w:val="nil"/>
              <w:tr2bl w:val="nil"/>
            </w:tcBorders>
            <w:vAlign w:val="center"/>
          </w:tcPr>
          <w:p w14:paraId="29BEB748">
            <w:pPr>
              <w:autoSpaceDE w:val="0"/>
              <w:autoSpaceDN w:val="0"/>
              <w:spacing w:line="300" w:lineRule="exact"/>
              <w:jc w:val="center"/>
              <w:rPr>
                <w:rFonts w:hint="eastAsia" w:ascii="Times New Roman" w:hAnsi="Times New Roman" w:cs="Times New Roman"/>
                <w:szCs w:val="21"/>
                <w:highlight w:val="yellow"/>
                <w:lang w:val="en-US" w:eastAsia="zh-CN"/>
              </w:rPr>
            </w:pPr>
          </w:p>
        </w:tc>
        <w:tc>
          <w:tcPr>
            <w:tcW w:w="855" w:type="dxa"/>
            <w:vMerge w:val="continue"/>
            <w:tcBorders>
              <w:tl2br w:val="nil"/>
              <w:tr2bl w:val="nil"/>
            </w:tcBorders>
            <w:vAlign w:val="center"/>
          </w:tcPr>
          <w:p w14:paraId="16068CAC">
            <w:pPr>
              <w:autoSpaceDE w:val="0"/>
              <w:autoSpaceDN w:val="0"/>
              <w:spacing w:line="300" w:lineRule="exact"/>
              <w:jc w:val="center"/>
              <w:rPr>
                <w:rFonts w:hint="eastAsia" w:ascii="Times New Roman" w:hAnsi="Times New Roman" w:cs="Times New Roman"/>
                <w:szCs w:val="21"/>
                <w:highlight w:val="yellow"/>
                <w:lang w:val="en-US" w:eastAsia="zh-CN"/>
              </w:rPr>
            </w:pPr>
          </w:p>
        </w:tc>
        <w:tc>
          <w:tcPr>
            <w:tcW w:w="1238" w:type="dxa"/>
            <w:vMerge w:val="continue"/>
            <w:tcBorders>
              <w:tl2br w:val="nil"/>
              <w:tr2bl w:val="nil"/>
            </w:tcBorders>
            <w:vAlign w:val="center"/>
          </w:tcPr>
          <w:p w14:paraId="639EEBA7">
            <w:pPr>
              <w:autoSpaceDE w:val="0"/>
              <w:autoSpaceDN w:val="0"/>
              <w:spacing w:line="300" w:lineRule="exact"/>
              <w:jc w:val="center"/>
              <w:rPr>
                <w:rFonts w:hint="eastAsia" w:ascii="Times New Roman" w:hAnsi="Times New Roman" w:cs="Times New Roman"/>
                <w:szCs w:val="21"/>
                <w:highlight w:val="yellow"/>
                <w:lang w:val="en-US" w:eastAsia="zh-CN"/>
              </w:rPr>
            </w:pPr>
          </w:p>
        </w:tc>
        <w:tc>
          <w:tcPr>
            <w:tcW w:w="674" w:type="dxa"/>
            <w:vMerge w:val="continue"/>
            <w:tcBorders>
              <w:tl2br w:val="nil"/>
              <w:tr2bl w:val="nil"/>
            </w:tcBorders>
            <w:vAlign w:val="center"/>
          </w:tcPr>
          <w:p w14:paraId="68C35643">
            <w:pPr>
              <w:autoSpaceDE w:val="0"/>
              <w:autoSpaceDN w:val="0"/>
              <w:spacing w:line="300" w:lineRule="exact"/>
              <w:jc w:val="center"/>
              <w:rPr>
                <w:rFonts w:hint="eastAsia" w:ascii="Times New Roman" w:hAnsi="Times New Roman" w:cs="Times New Roman"/>
                <w:szCs w:val="21"/>
                <w:highlight w:val="yellow"/>
                <w:lang w:val="en-US" w:eastAsia="zh-CN"/>
              </w:rPr>
            </w:pPr>
          </w:p>
        </w:tc>
        <w:tc>
          <w:tcPr>
            <w:tcW w:w="868" w:type="dxa"/>
            <w:vMerge w:val="continue"/>
            <w:tcBorders>
              <w:tl2br w:val="nil"/>
              <w:tr2bl w:val="nil"/>
            </w:tcBorders>
            <w:vAlign w:val="center"/>
          </w:tcPr>
          <w:p w14:paraId="61F315C5">
            <w:pPr>
              <w:autoSpaceDE w:val="0"/>
              <w:autoSpaceDN w:val="0"/>
              <w:spacing w:line="300" w:lineRule="exact"/>
              <w:jc w:val="center"/>
              <w:rPr>
                <w:rFonts w:hint="eastAsia" w:ascii="Times New Roman" w:hAnsi="Times New Roman" w:cs="Times New Roman"/>
                <w:szCs w:val="21"/>
                <w:highlight w:val="yellow"/>
                <w:lang w:val="en-US" w:eastAsia="zh-CN"/>
              </w:rPr>
            </w:pPr>
          </w:p>
        </w:tc>
        <w:tc>
          <w:tcPr>
            <w:tcW w:w="614" w:type="dxa"/>
            <w:vMerge w:val="continue"/>
            <w:tcBorders>
              <w:tl2br w:val="nil"/>
              <w:tr2bl w:val="nil"/>
            </w:tcBorders>
            <w:vAlign w:val="center"/>
          </w:tcPr>
          <w:p w14:paraId="77E3616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880" w:type="dxa"/>
            <w:tcBorders>
              <w:top w:val="single" w:color="auto" w:sz="4" w:space="0"/>
              <w:bottom w:val="single" w:color="auto" w:sz="4" w:space="0"/>
              <w:right w:val="single" w:color="auto" w:sz="4" w:space="0"/>
              <w:tl2br w:val="nil"/>
              <w:tr2bl w:val="nil"/>
            </w:tcBorders>
            <w:shd w:val="clear" w:color="auto" w:fill="auto"/>
            <w:vAlign w:val="center"/>
          </w:tcPr>
          <w:p w14:paraId="592CFF70">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eastAsia"/>
                <w:sz w:val="18"/>
                <w:szCs w:val="18"/>
                <w:highlight w:val="none"/>
                <w:lang w:val="en-US" w:eastAsia="zh-CN"/>
              </w:rPr>
            </w:pPr>
            <w:r>
              <w:rPr>
                <w:rFonts w:hint="eastAsia"/>
                <w:sz w:val="18"/>
                <w:szCs w:val="18"/>
                <w:highlight w:val="none"/>
                <w:lang w:val="en-US" w:eastAsia="zh-CN"/>
              </w:rPr>
              <w:t>5.34×10</w:t>
            </w:r>
            <w:r>
              <w:rPr>
                <w:rFonts w:hint="eastAsia"/>
                <w:sz w:val="18"/>
                <w:szCs w:val="18"/>
                <w:highlight w:val="none"/>
                <w:vertAlign w:val="superscript"/>
                <w:lang w:val="en-US" w:eastAsia="zh-CN"/>
              </w:rPr>
              <w:t>-4</w:t>
            </w:r>
          </w:p>
        </w:tc>
        <w:tc>
          <w:tcPr>
            <w:tcW w:w="885" w:type="dxa"/>
            <w:tcBorders>
              <w:top w:val="single" w:color="auto" w:sz="4" w:space="0"/>
              <w:left w:val="single" w:color="auto" w:sz="4" w:space="0"/>
              <w:bottom w:val="single" w:color="auto" w:sz="4" w:space="0"/>
              <w:tl2br w:val="nil"/>
              <w:tr2bl w:val="nil"/>
            </w:tcBorders>
            <w:shd w:val="clear" w:color="auto" w:fill="auto"/>
            <w:vAlign w:val="center"/>
          </w:tcPr>
          <w:p w14:paraId="5FA1075E">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eastAsia"/>
                <w:sz w:val="18"/>
                <w:szCs w:val="18"/>
                <w:highlight w:val="none"/>
                <w:lang w:val="en-US" w:eastAsia="zh-CN"/>
              </w:rPr>
            </w:pPr>
            <w:r>
              <w:rPr>
                <w:rFonts w:hint="eastAsia"/>
                <w:sz w:val="18"/>
                <w:szCs w:val="18"/>
                <w:highlight w:val="none"/>
                <w:lang w:val="en-US" w:eastAsia="zh-CN"/>
              </w:rPr>
              <w:t>4.237×10</w:t>
            </w:r>
            <w:r>
              <w:rPr>
                <w:rFonts w:hint="eastAsia"/>
                <w:sz w:val="18"/>
                <w:szCs w:val="18"/>
                <w:highlight w:val="none"/>
                <w:vertAlign w:val="superscript"/>
                <w:lang w:val="en-US" w:eastAsia="zh-CN"/>
              </w:rPr>
              <w:t>-4</w:t>
            </w:r>
          </w:p>
        </w:tc>
        <w:tc>
          <w:tcPr>
            <w:tcW w:w="687" w:type="dxa"/>
            <w:tcBorders>
              <w:top w:val="single" w:color="auto" w:sz="4" w:space="0"/>
              <w:bottom w:val="single" w:color="auto" w:sz="4" w:space="0"/>
              <w:tl2br w:val="nil"/>
              <w:tr2bl w:val="nil"/>
            </w:tcBorders>
            <w:vAlign w:val="center"/>
          </w:tcPr>
          <w:p w14:paraId="35126703">
            <w:pPr>
              <w:keepNext w:val="0"/>
              <w:keepLines w:val="0"/>
              <w:widowControl/>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center"/>
              <w:rPr>
                <w:rFonts w:hint="default"/>
                <w:sz w:val="18"/>
                <w:szCs w:val="18"/>
                <w:highlight w:val="none"/>
                <w:lang w:val="en-US" w:eastAsia="zh-CN"/>
              </w:rPr>
            </w:pPr>
            <w:r>
              <w:rPr>
                <w:rFonts w:hint="eastAsia"/>
                <w:sz w:val="18"/>
                <w:szCs w:val="18"/>
                <w:highlight w:val="none"/>
                <w:lang w:val="en-US" w:eastAsia="zh-CN"/>
              </w:rPr>
              <w:t>/</w:t>
            </w:r>
          </w:p>
        </w:tc>
        <w:tc>
          <w:tcPr>
            <w:tcW w:w="940" w:type="dxa"/>
            <w:tcBorders>
              <w:top w:val="single" w:color="auto" w:sz="4" w:space="0"/>
              <w:bottom w:val="single" w:color="auto" w:sz="4" w:space="0"/>
              <w:tl2br w:val="nil"/>
              <w:tr2bl w:val="nil"/>
            </w:tcBorders>
            <w:vAlign w:val="center"/>
          </w:tcPr>
          <w:p w14:paraId="142BEAF4">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w:t>
            </w:r>
          </w:p>
        </w:tc>
        <w:tc>
          <w:tcPr>
            <w:tcW w:w="1178" w:type="dxa"/>
            <w:tcBorders>
              <w:top w:val="single" w:color="auto" w:sz="4" w:space="0"/>
              <w:bottom w:val="single" w:color="auto" w:sz="4" w:space="0"/>
              <w:tl2br w:val="nil"/>
              <w:tr2bl w:val="nil"/>
            </w:tcBorders>
            <w:vAlign w:val="center"/>
          </w:tcPr>
          <w:p w14:paraId="4C05EA2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w:t>
            </w:r>
          </w:p>
        </w:tc>
        <w:tc>
          <w:tcPr>
            <w:tcW w:w="1687" w:type="dxa"/>
            <w:tcBorders>
              <w:top w:val="single" w:color="auto" w:sz="4" w:space="0"/>
              <w:bottom w:val="single" w:color="auto" w:sz="4" w:space="0"/>
              <w:tl2br w:val="nil"/>
              <w:tr2bl w:val="nil"/>
            </w:tcBorders>
            <w:vAlign w:val="center"/>
          </w:tcPr>
          <w:p w14:paraId="55234B4F">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w:t>
            </w:r>
          </w:p>
        </w:tc>
      </w:tr>
    </w:tbl>
    <w:p w14:paraId="58B60BAD">
      <w:pPr>
        <w:adjustRightInd w:val="0"/>
        <w:snapToGrid w:val="0"/>
        <w:spacing w:before="250" w:beforeLines="50"/>
        <w:jc w:val="center"/>
        <w:rPr>
          <w:rFonts w:hint="default" w:ascii="Times New Roman" w:hAnsi="Times New Roman" w:cs="Times New Roman" w:eastAsiaTheme="minorEastAsia"/>
          <w:b/>
          <w:szCs w:val="21"/>
          <w:lang w:val="en-US" w:eastAsia="en-US"/>
        </w:rPr>
      </w:pPr>
      <w:r>
        <w:rPr>
          <w:rFonts w:hint="default" w:ascii="Times New Roman" w:hAnsi="Times New Roman" w:cs="Times New Roman" w:eastAsiaTheme="minorEastAsia"/>
          <w:b/>
          <w:szCs w:val="21"/>
          <w:lang w:val="en-US" w:eastAsia="en-US"/>
        </w:rPr>
        <w:t>表5.2-</w:t>
      </w:r>
      <w:r>
        <w:rPr>
          <w:rFonts w:hint="eastAsia" w:ascii="Times New Roman" w:hAnsi="Times New Roman" w:cs="Times New Roman"/>
          <w:b/>
          <w:szCs w:val="21"/>
          <w:lang w:val="en-US" w:eastAsia="zh-CN"/>
        </w:rPr>
        <w:t>9</w:t>
      </w:r>
      <w:r>
        <w:rPr>
          <w:rFonts w:hint="default" w:ascii="Times New Roman" w:hAnsi="Times New Roman" w:cs="Times New Roman" w:eastAsiaTheme="minorEastAsia"/>
          <w:b/>
          <w:szCs w:val="21"/>
          <w:lang w:val="en-US" w:eastAsia="zh-CN"/>
        </w:rPr>
        <w:t xml:space="preserve">  </w:t>
      </w:r>
      <w:r>
        <w:rPr>
          <w:rFonts w:hint="eastAsia" w:ascii="Times New Roman" w:hAnsi="Times New Roman" w:cs="Times New Roman"/>
          <w:b/>
          <w:szCs w:val="21"/>
          <w:lang w:val="en-US" w:eastAsia="zh-CN"/>
        </w:rPr>
        <w:t>非正常工况下污染源排放情况表</w:t>
      </w:r>
    </w:p>
    <w:tbl>
      <w:tblPr>
        <w:tblStyle w:val="16"/>
        <w:tblW w:w="14493" w:type="dxa"/>
        <w:tblInd w:w="0" w:type="dxa"/>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633"/>
        <w:gridCol w:w="1238"/>
        <w:gridCol w:w="1260"/>
        <w:gridCol w:w="856"/>
        <w:gridCol w:w="855"/>
        <w:gridCol w:w="1238"/>
        <w:gridCol w:w="674"/>
        <w:gridCol w:w="868"/>
        <w:gridCol w:w="614"/>
        <w:gridCol w:w="880"/>
        <w:gridCol w:w="885"/>
        <w:gridCol w:w="687"/>
        <w:gridCol w:w="940"/>
        <w:gridCol w:w="1166"/>
        <w:gridCol w:w="1699"/>
      </w:tblGrid>
      <w:tr w14:paraId="29FCFB8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633" w:type="dxa"/>
            <w:vMerge w:val="restart"/>
            <w:tcBorders>
              <w:tl2br w:val="nil"/>
              <w:tr2bl w:val="nil"/>
            </w:tcBorders>
            <w:vAlign w:val="center"/>
          </w:tcPr>
          <w:p w14:paraId="53EF10D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编号</w:t>
            </w:r>
          </w:p>
        </w:tc>
        <w:tc>
          <w:tcPr>
            <w:tcW w:w="1238" w:type="dxa"/>
            <w:vMerge w:val="restart"/>
            <w:tcBorders>
              <w:tl2br w:val="nil"/>
              <w:tr2bl w:val="nil"/>
            </w:tcBorders>
            <w:vAlign w:val="center"/>
          </w:tcPr>
          <w:p w14:paraId="5FE81CF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名称</w:t>
            </w:r>
          </w:p>
        </w:tc>
        <w:tc>
          <w:tcPr>
            <w:tcW w:w="1260" w:type="dxa"/>
            <w:vMerge w:val="restart"/>
            <w:tcBorders>
              <w:tl2br w:val="nil"/>
              <w:tr2bl w:val="nil"/>
            </w:tcBorders>
            <w:vAlign w:val="center"/>
          </w:tcPr>
          <w:p w14:paraId="4E5ABC8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排气筒底部</w:t>
            </w:r>
            <w:r>
              <w:rPr>
                <w:rFonts w:hint="eastAsia" w:ascii="Times New Roman" w:hAnsi="Times New Roman" w:cs="Times New Roman"/>
                <w:szCs w:val="21"/>
                <w:highlight w:val="none"/>
                <w:lang w:val="en-US" w:eastAsia="zh-CN"/>
              </w:rPr>
              <w:t>海拔</w:t>
            </w:r>
            <w:r>
              <w:rPr>
                <w:rFonts w:hint="default" w:ascii="Times New Roman" w:hAnsi="Times New Roman" w:cs="Times New Roman" w:eastAsiaTheme="minorEastAsia"/>
                <w:szCs w:val="21"/>
                <w:highlight w:val="none"/>
                <w:lang w:val="en-US" w:eastAsia="zh-CN"/>
              </w:rPr>
              <w:t>/m</w:t>
            </w:r>
          </w:p>
        </w:tc>
        <w:tc>
          <w:tcPr>
            <w:tcW w:w="856" w:type="dxa"/>
            <w:vMerge w:val="restart"/>
            <w:tcBorders>
              <w:tl2br w:val="nil"/>
              <w:tr2bl w:val="nil"/>
            </w:tcBorders>
            <w:vAlign w:val="center"/>
          </w:tcPr>
          <w:p w14:paraId="12836F1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排气筒高度/m</w:t>
            </w:r>
          </w:p>
        </w:tc>
        <w:tc>
          <w:tcPr>
            <w:tcW w:w="855" w:type="dxa"/>
            <w:vMerge w:val="restart"/>
            <w:tcBorders>
              <w:tl2br w:val="nil"/>
              <w:tr2bl w:val="nil"/>
            </w:tcBorders>
            <w:vAlign w:val="center"/>
          </w:tcPr>
          <w:p w14:paraId="191BC65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排气筒内径/m</w:t>
            </w:r>
          </w:p>
        </w:tc>
        <w:tc>
          <w:tcPr>
            <w:tcW w:w="1238" w:type="dxa"/>
            <w:vMerge w:val="restart"/>
            <w:tcBorders>
              <w:tl2br w:val="nil"/>
              <w:tr2bl w:val="nil"/>
            </w:tcBorders>
            <w:vAlign w:val="center"/>
          </w:tcPr>
          <w:p w14:paraId="3B7E5EF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烟气流速/（m/s）</w:t>
            </w:r>
          </w:p>
        </w:tc>
        <w:tc>
          <w:tcPr>
            <w:tcW w:w="674" w:type="dxa"/>
            <w:vMerge w:val="restart"/>
            <w:tcBorders>
              <w:tl2br w:val="nil"/>
              <w:tr2bl w:val="nil"/>
            </w:tcBorders>
            <w:vAlign w:val="center"/>
          </w:tcPr>
          <w:p w14:paraId="6EE3D73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烟气温度/℃</w:t>
            </w:r>
          </w:p>
        </w:tc>
        <w:tc>
          <w:tcPr>
            <w:tcW w:w="868" w:type="dxa"/>
            <w:vMerge w:val="restart"/>
            <w:tcBorders>
              <w:tl2br w:val="nil"/>
              <w:tr2bl w:val="nil"/>
            </w:tcBorders>
            <w:vAlign w:val="center"/>
          </w:tcPr>
          <w:p w14:paraId="3736910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年排放小时数/h</w:t>
            </w:r>
          </w:p>
        </w:tc>
        <w:tc>
          <w:tcPr>
            <w:tcW w:w="614" w:type="dxa"/>
            <w:vMerge w:val="restart"/>
            <w:tcBorders>
              <w:tl2br w:val="nil"/>
              <w:tr2bl w:val="nil"/>
            </w:tcBorders>
            <w:vAlign w:val="center"/>
          </w:tcPr>
          <w:p w14:paraId="49B7E71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排放工况</w:t>
            </w:r>
          </w:p>
        </w:tc>
        <w:tc>
          <w:tcPr>
            <w:tcW w:w="6257" w:type="dxa"/>
            <w:gridSpan w:val="6"/>
            <w:tcBorders>
              <w:bottom w:val="single" w:color="auto" w:sz="4" w:space="0"/>
              <w:tl2br w:val="nil"/>
              <w:tr2bl w:val="nil"/>
            </w:tcBorders>
            <w:vAlign w:val="center"/>
          </w:tcPr>
          <w:p w14:paraId="0DDE38E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排放速率（kg/h）</w:t>
            </w:r>
          </w:p>
        </w:tc>
      </w:tr>
      <w:tr w14:paraId="616070F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633" w:type="dxa"/>
            <w:vMerge w:val="continue"/>
            <w:tcBorders>
              <w:tl2br w:val="nil"/>
              <w:tr2bl w:val="nil"/>
            </w:tcBorders>
            <w:vAlign w:val="center"/>
          </w:tcPr>
          <w:p w14:paraId="30A3384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1238" w:type="dxa"/>
            <w:vMerge w:val="continue"/>
            <w:tcBorders>
              <w:tl2br w:val="nil"/>
              <w:tr2bl w:val="nil"/>
            </w:tcBorders>
            <w:vAlign w:val="center"/>
          </w:tcPr>
          <w:p w14:paraId="66C1E0F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1260" w:type="dxa"/>
            <w:vMerge w:val="continue"/>
            <w:tcBorders>
              <w:tl2br w:val="nil"/>
              <w:tr2bl w:val="nil"/>
            </w:tcBorders>
            <w:vAlign w:val="center"/>
          </w:tcPr>
          <w:p w14:paraId="49B1B69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856" w:type="dxa"/>
            <w:vMerge w:val="continue"/>
            <w:tcBorders>
              <w:tl2br w:val="nil"/>
              <w:tr2bl w:val="nil"/>
            </w:tcBorders>
            <w:vAlign w:val="center"/>
          </w:tcPr>
          <w:p w14:paraId="1D03F43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855" w:type="dxa"/>
            <w:vMerge w:val="continue"/>
            <w:tcBorders>
              <w:tl2br w:val="nil"/>
              <w:tr2bl w:val="nil"/>
            </w:tcBorders>
            <w:vAlign w:val="center"/>
          </w:tcPr>
          <w:p w14:paraId="407C5AA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1238" w:type="dxa"/>
            <w:vMerge w:val="continue"/>
            <w:tcBorders>
              <w:tl2br w:val="nil"/>
              <w:tr2bl w:val="nil"/>
            </w:tcBorders>
            <w:vAlign w:val="center"/>
          </w:tcPr>
          <w:p w14:paraId="75A0928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674" w:type="dxa"/>
            <w:vMerge w:val="continue"/>
            <w:tcBorders>
              <w:tl2br w:val="nil"/>
              <w:tr2bl w:val="nil"/>
            </w:tcBorders>
            <w:vAlign w:val="center"/>
          </w:tcPr>
          <w:p w14:paraId="4978477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868" w:type="dxa"/>
            <w:vMerge w:val="continue"/>
            <w:tcBorders>
              <w:tl2br w:val="nil"/>
              <w:tr2bl w:val="nil"/>
            </w:tcBorders>
            <w:vAlign w:val="center"/>
          </w:tcPr>
          <w:p w14:paraId="70B869D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614" w:type="dxa"/>
            <w:vMerge w:val="continue"/>
            <w:tcBorders>
              <w:tl2br w:val="nil"/>
              <w:tr2bl w:val="nil"/>
            </w:tcBorders>
            <w:vAlign w:val="center"/>
          </w:tcPr>
          <w:p w14:paraId="223D9B1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880" w:type="dxa"/>
            <w:tcBorders>
              <w:top w:val="single" w:color="auto" w:sz="4" w:space="0"/>
              <w:bottom w:val="single" w:color="auto" w:sz="4" w:space="0"/>
              <w:right w:val="single" w:color="auto" w:sz="4" w:space="0"/>
              <w:tl2br w:val="nil"/>
              <w:tr2bl w:val="nil"/>
            </w:tcBorders>
            <w:vAlign w:val="center"/>
          </w:tcPr>
          <w:p w14:paraId="32BD0FE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PM</w:t>
            </w:r>
            <w:r>
              <w:rPr>
                <w:rFonts w:hint="eastAsia" w:ascii="Times New Roman" w:hAnsi="Times New Roman" w:cs="Times New Roman"/>
                <w:szCs w:val="21"/>
                <w:highlight w:val="none"/>
                <w:vertAlign w:val="subscript"/>
                <w:lang w:val="en-US" w:eastAsia="zh-CN"/>
              </w:rPr>
              <w:t>10</w:t>
            </w:r>
          </w:p>
        </w:tc>
        <w:tc>
          <w:tcPr>
            <w:tcW w:w="885" w:type="dxa"/>
            <w:tcBorders>
              <w:top w:val="single" w:color="auto" w:sz="4" w:space="0"/>
              <w:left w:val="single" w:color="auto" w:sz="4" w:space="0"/>
              <w:bottom w:val="single" w:color="auto" w:sz="4" w:space="0"/>
              <w:tl2br w:val="nil"/>
              <w:tr2bl w:val="nil"/>
            </w:tcBorders>
            <w:vAlign w:val="center"/>
          </w:tcPr>
          <w:p w14:paraId="2E55BB0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PM</w:t>
            </w:r>
            <w:r>
              <w:rPr>
                <w:rFonts w:hint="eastAsia" w:ascii="Times New Roman" w:hAnsi="Times New Roman" w:cs="Times New Roman"/>
                <w:szCs w:val="21"/>
                <w:highlight w:val="none"/>
                <w:vertAlign w:val="subscript"/>
                <w:lang w:val="en-US" w:eastAsia="zh-CN"/>
              </w:rPr>
              <w:t>2.5</w:t>
            </w:r>
          </w:p>
        </w:tc>
        <w:tc>
          <w:tcPr>
            <w:tcW w:w="687" w:type="dxa"/>
            <w:tcBorders>
              <w:top w:val="single" w:color="auto" w:sz="4" w:space="0"/>
              <w:bottom w:val="single" w:color="auto" w:sz="4" w:space="0"/>
              <w:tl2br w:val="nil"/>
              <w:tr2bl w:val="nil"/>
            </w:tcBorders>
            <w:vAlign w:val="center"/>
          </w:tcPr>
          <w:p w14:paraId="40C4712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NOx</w:t>
            </w:r>
          </w:p>
        </w:tc>
        <w:tc>
          <w:tcPr>
            <w:tcW w:w="940" w:type="dxa"/>
            <w:tcBorders>
              <w:top w:val="single" w:color="auto" w:sz="4" w:space="0"/>
              <w:bottom w:val="single" w:color="auto" w:sz="4" w:space="0"/>
              <w:tl2br w:val="nil"/>
              <w:tr2bl w:val="nil"/>
            </w:tcBorders>
            <w:vAlign w:val="center"/>
          </w:tcPr>
          <w:p w14:paraId="50AF96A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SO</w:t>
            </w:r>
            <w:r>
              <w:rPr>
                <w:rFonts w:hint="eastAsia" w:ascii="Times New Roman" w:hAnsi="Times New Roman" w:cs="Times New Roman"/>
                <w:szCs w:val="21"/>
                <w:highlight w:val="none"/>
                <w:vertAlign w:val="subscript"/>
                <w:lang w:val="en-US" w:eastAsia="zh-CN"/>
              </w:rPr>
              <w:t>2</w:t>
            </w:r>
          </w:p>
        </w:tc>
        <w:tc>
          <w:tcPr>
            <w:tcW w:w="1166" w:type="dxa"/>
            <w:tcBorders>
              <w:top w:val="single" w:color="auto" w:sz="4" w:space="0"/>
              <w:bottom w:val="single" w:color="auto" w:sz="4" w:space="0"/>
              <w:tl2br w:val="nil"/>
              <w:tr2bl w:val="nil"/>
            </w:tcBorders>
            <w:vAlign w:val="center"/>
          </w:tcPr>
          <w:p w14:paraId="4D48B28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CO</w:t>
            </w:r>
          </w:p>
        </w:tc>
        <w:tc>
          <w:tcPr>
            <w:tcW w:w="1699" w:type="dxa"/>
            <w:tcBorders>
              <w:top w:val="single" w:color="auto" w:sz="4" w:space="0"/>
              <w:bottom w:val="single" w:color="auto" w:sz="4" w:space="0"/>
              <w:tl2br w:val="nil"/>
              <w:tr2bl w:val="nil"/>
            </w:tcBorders>
            <w:vAlign w:val="center"/>
          </w:tcPr>
          <w:p w14:paraId="7A05227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HCl</w:t>
            </w:r>
          </w:p>
        </w:tc>
      </w:tr>
      <w:tr w14:paraId="6886F6B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633" w:type="dxa"/>
            <w:vMerge w:val="restart"/>
            <w:tcBorders>
              <w:tl2br w:val="nil"/>
              <w:tr2bl w:val="nil"/>
            </w:tcBorders>
            <w:vAlign w:val="center"/>
          </w:tcPr>
          <w:p w14:paraId="01B3126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DA001</w:t>
            </w:r>
          </w:p>
        </w:tc>
        <w:tc>
          <w:tcPr>
            <w:tcW w:w="1238" w:type="dxa"/>
            <w:vMerge w:val="restart"/>
            <w:tcBorders>
              <w:tl2br w:val="nil"/>
              <w:tr2bl w:val="nil"/>
            </w:tcBorders>
            <w:vAlign w:val="center"/>
          </w:tcPr>
          <w:p w14:paraId="05888CE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焚烧炉废气排放口</w:t>
            </w:r>
          </w:p>
        </w:tc>
        <w:tc>
          <w:tcPr>
            <w:tcW w:w="1260" w:type="dxa"/>
            <w:vMerge w:val="restart"/>
            <w:tcBorders>
              <w:tl2br w:val="nil"/>
              <w:tr2bl w:val="nil"/>
            </w:tcBorders>
            <w:vAlign w:val="center"/>
          </w:tcPr>
          <w:p w14:paraId="763C58D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1304</w:t>
            </w:r>
          </w:p>
        </w:tc>
        <w:tc>
          <w:tcPr>
            <w:tcW w:w="856" w:type="dxa"/>
            <w:vMerge w:val="restart"/>
            <w:tcBorders>
              <w:tl2br w:val="nil"/>
              <w:tr2bl w:val="nil"/>
            </w:tcBorders>
            <w:vAlign w:val="center"/>
          </w:tcPr>
          <w:p w14:paraId="6AAE873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20</w:t>
            </w:r>
          </w:p>
        </w:tc>
        <w:tc>
          <w:tcPr>
            <w:tcW w:w="855" w:type="dxa"/>
            <w:vMerge w:val="restart"/>
            <w:tcBorders>
              <w:tl2br w:val="nil"/>
              <w:tr2bl w:val="nil"/>
            </w:tcBorders>
            <w:vAlign w:val="center"/>
          </w:tcPr>
          <w:p w14:paraId="3F7FE2C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0.25</w:t>
            </w:r>
          </w:p>
        </w:tc>
        <w:tc>
          <w:tcPr>
            <w:tcW w:w="1238" w:type="dxa"/>
            <w:vMerge w:val="restart"/>
            <w:tcBorders>
              <w:tl2br w:val="nil"/>
              <w:tr2bl w:val="nil"/>
            </w:tcBorders>
            <w:vAlign w:val="center"/>
          </w:tcPr>
          <w:p w14:paraId="7D6A5DF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12.907</w:t>
            </w:r>
          </w:p>
        </w:tc>
        <w:tc>
          <w:tcPr>
            <w:tcW w:w="674" w:type="dxa"/>
            <w:vMerge w:val="restart"/>
            <w:tcBorders>
              <w:tl2br w:val="nil"/>
              <w:tr2bl w:val="nil"/>
            </w:tcBorders>
            <w:vAlign w:val="center"/>
          </w:tcPr>
          <w:p w14:paraId="16EC8FA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80</w:t>
            </w:r>
          </w:p>
        </w:tc>
        <w:tc>
          <w:tcPr>
            <w:tcW w:w="868" w:type="dxa"/>
            <w:vMerge w:val="restart"/>
            <w:tcBorders>
              <w:tl2br w:val="nil"/>
              <w:tr2bl w:val="nil"/>
            </w:tcBorders>
            <w:vAlign w:val="center"/>
          </w:tcPr>
          <w:p w14:paraId="0F567F0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60</w:t>
            </w:r>
          </w:p>
        </w:tc>
        <w:tc>
          <w:tcPr>
            <w:tcW w:w="614" w:type="dxa"/>
            <w:vMerge w:val="restart"/>
            <w:tcBorders>
              <w:tl2br w:val="nil"/>
              <w:tr2bl w:val="nil"/>
            </w:tcBorders>
            <w:vAlign w:val="center"/>
          </w:tcPr>
          <w:p w14:paraId="3B0AB03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非</w:t>
            </w:r>
            <w:r>
              <w:rPr>
                <w:rFonts w:hint="default" w:ascii="Times New Roman" w:hAnsi="Times New Roman" w:cs="Times New Roman" w:eastAsiaTheme="minorEastAsia"/>
                <w:szCs w:val="21"/>
                <w:highlight w:val="none"/>
                <w:lang w:val="en-US" w:eastAsia="zh-CN"/>
              </w:rPr>
              <w:t>正常</w:t>
            </w:r>
          </w:p>
          <w:p w14:paraId="0334264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排放</w:t>
            </w:r>
          </w:p>
        </w:tc>
        <w:tc>
          <w:tcPr>
            <w:tcW w:w="880" w:type="dxa"/>
            <w:tcBorders>
              <w:top w:val="single" w:color="auto" w:sz="4" w:space="0"/>
              <w:bottom w:val="single" w:color="auto" w:sz="4" w:space="0"/>
              <w:right w:val="single" w:color="auto" w:sz="4" w:space="0"/>
              <w:tl2br w:val="nil"/>
              <w:tr2bl w:val="nil"/>
            </w:tcBorders>
            <w:shd w:val="clear" w:color="auto" w:fill="auto"/>
            <w:vAlign w:val="center"/>
          </w:tcPr>
          <w:p w14:paraId="5ACCEDF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Style w:val="19"/>
                <w:rFonts w:hint="eastAsia" w:eastAsia="宋体"/>
                <w:highlight w:val="none"/>
                <w:vertAlign w:val="baseline"/>
                <w:lang w:val="en-US" w:eastAsia="zh-CN" w:bidi="ar"/>
              </w:rPr>
              <w:t>0.041</w:t>
            </w:r>
          </w:p>
        </w:tc>
        <w:tc>
          <w:tcPr>
            <w:tcW w:w="885" w:type="dxa"/>
            <w:tcBorders>
              <w:top w:val="single" w:color="auto" w:sz="4" w:space="0"/>
              <w:left w:val="single" w:color="auto" w:sz="4" w:space="0"/>
              <w:bottom w:val="single" w:color="auto" w:sz="4" w:space="0"/>
              <w:tl2br w:val="nil"/>
              <w:tr2bl w:val="nil"/>
            </w:tcBorders>
            <w:shd w:val="clear" w:color="auto" w:fill="auto"/>
            <w:vAlign w:val="center"/>
          </w:tcPr>
          <w:p w14:paraId="0727996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0.0205</w:t>
            </w:r>
          </w:p>
        </w:tc>
        <w:tc>
          <w:tcPr>
            <w:tcW w:w="687" w:type="dxa"/>
            <w:tcBorders>
              <w:top w:val="single" w:color="auto" w:sz="4" w:space="0"/>
              <w:bottom w:val="single" w:color="auto" w:sz="4" w:space="0"/>
              <w:tl2br w:val="nil"/>
              <w:tr2bl w:val="nil"/>
            </w:tcBorders>
            <w:vAlign w:val="center"/>
          </w:tcPr>
          <w:p w14:paraId="26116B5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0.</w:t>
            </w:r>
            <w:r>
              <w:rPr>
                <w:rFonts w:hint="eastAsia" w:ascii="Times New Roman" w:hAnsi="Times New Roman" w:eastAsia="宋体" w:cs="Times New Roman"/>
                <w:i w:val="0"/>
                <w:iCs w:val="0"/>
                <w:color w:val="000000"/>
                <w:kern w:val="0"/>
                <w:sz w:val="21"/>
                <w:szCs w:val="21"/>
                <w:highlight w:val="none"/>
                <w:u w:val="none"/>
                <w:lang w:val="en-US" w:eastAsia="zh-CN" w:bidi="ar"/>
              </w:rPr>
              <w:t>286</w:t>
            </w:r>
          </w:p>
        </w:tc>
        <w:tc>
          <w:tcPr>
            <w:tcW w:w="940" w:type="dxa"/>
            <w:tcBorders>
              <w:top w:val="single" w:color="auto" w:sz="4" w:space="0"/>
              <w:bottom w:val="single" w:color="auto" w:sz="4" w:space="0"/>
              <w:tl2br w:val="nil"/>
              <w:tr2bl w:val="nil"/>
            </w:tcBorders>
            <w:vAlign w:val="center"/>
          </w:tcPr>
          <w:p w14:paraId="6ABDA37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0.058</w:t>
            </w:r>
          </w:p>
        </w:tc>
        <w:tc>
          <w:tcPr>
            <w:tcW w:w="1166" w:type="dxa"/>
            <w:tcBorders>
              <w:top w:val="single" w:color="auto" w:sz="4" w:space="0"/>
              <w:bottom w:val="single" w:color="auto" w:sz="4" w:space="0"/>
              <w:tl2br w:val="nil"/>
              <w:tr2bl w:val="nil"/>
            </w:tcBorders>
            <w:vAlign w:val="center"/>
          </w:tcPr>
          <w:p w14:paraId="5BEC33D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0.079</w:t>
            </w:r>
          </w:p>
        </w:tc>
        <w:tc>
          <w:tcPr>
            <w:tcW w:w="1699" w:type="dxa"/>
            <w:tcBorders>
              <w:top w:val="single" w:color="auto" w:sz="4" w:space="0"/>
              <w:bottom w:val="single" w:color="auto" w:sz="4" w:space="0"/>
              <w:tl2br w:val="nil"/>
              <w:tr2bl w:val="nil"/>
            </w:tcBorders>
            <w:vAlign w:val="center"/>
          </w:tcPr>
          <w:p w14:paraId="7963097D">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0.033</w:t>
            </w:r>
          </w:p>
        </w:tc>
      </w:tr>
      <w:tr w14:paraId="69D13A3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633" w:type="dxa"/>
            <w:vMerge w:val="continue"/>
            <w:tcBorders>
              <w:tl2br w:val="nil"/>
              <w:tr2bl w:val="nil"/>
            </w:tcBorders>
            <w:vAlign w:val="center"/>
          </w:tcPr>
          <w:p w14:paraId="05AC9BA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1238" w:type="dxa"/>
            <w:vMerge w:val="continue"/>
            <w:tcBorders>
              <w:tl2br w:val="nil"/>
              <w:tr2bl w:val="nil"/>
            </w:tcBorders>
            <w:vAlign w:val="center"/>
          </w:tcPr>
          <w:p w14:paraId="0F805195">
            <w:pPr>
              <w:autoSpaceDE w:val="0"/>
              <w:autoSpaceDN w:val="0"/>
              <w:spacing w:line="300" w:lineRule="exact"/>
              <w:jc w:val="center"/>
              <w:rPr>
                <w:rFonts w:hint="eastAsia" w:ascii="Times New Roman" w:hAnsi="Times New Roman" w:cs="Times New Roman"/>
                <w:szCs w:val="21"/>
                <w:highlight w:val="none"/>
                <w:lang w:val="en-US" w:eastAsia="zh-CN"/>
              </w:rPr>
            </w:pPr>
          </w:p>
        </w:tc>
        <w:tc>
          <w:tcPr>
            <w:tcW w:w="1260" w:type="dxa"/>
            <w:vMerge w:val="continue"/>
            <w:tcBorders>
              <w:tl2br w:val="nil"/>
              <w:tr2bl w:val="nil"/>
            </w:tcBorders>
            <w:vAlign w:val="center"/>
          </w:tcPr>
          <w:p w14:paraId="5D887961">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p>
        </w:tc>
        <w:tc>
          <w:tcPr>
            <w:tcW w:w="856" w:type="dxa"/>
            <w:vMerge w:val="continue"/>
            <w:tcBorders>
              <w:tl2br w:val="nil"/>
              <w:tr2bl w:val="nil"/>
            </w:tcBorders>
            <w:vAlign w:val="center"/>
          </w:tcPr>
          <w:p w14:paraId="1C641D25">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p>
        </w:tc>
        <w:tc>
          <w:tcPr>
            <w:tcW w:w="855" w:type="dxa"/>
            <w:vMerge w:val="continue"/>
            <w:tcBorders>
              <w:tl2br w:val="nil"/>
              <w:tr2bl w:val="nil"/>
            </w:tcBorders>
            <w:vAlign w:val="center"/>
          </w:tcPr>
          <w:p w14:paraId="070CF4F7">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p>
        </w:tc>
        <w:tc>
          <w:tcPr>
            <w:tcW w:w="1238" w:type="dxa"/>
            <w:vMerge w:val="continue"/>
            <w:tcBorders>
              <w:tl2br w:val="nil"/>
              <w:tr2bl w:val="nil"/>
            </w:tcBorders>
            <w:vAlign w:val="center"/>
          </w:tcPr>
          <w:p w14:paraId="054802D1">
            <w:pPr>
              <w:autoSpaceDE w:val="0"/>
              <w:autoSpaceDN w:val="0"/>
              <w:spacing w:line="300" w:lineRule="exact"/>
              <w:jc w:val="center"/>
              <w:rPr>
                <w:rFonts w:hint="eastAsia" w:ascii="Times New Roman" w:hAnsi="Times New Roman" w:cs="Times New Roman"/>
                <w:szCs w:val="21"/>
                <w:highlight w:val="yellow"/>
                <w:lang w:val="en-US" w:eastAsia="zh-CN"/>
              </w:rPr>
            </w:pPr>
          </w:p>
        </w:tc>
        <w:tc>
          <w:tcPr>
            <w:tcW w:w="674" w:type="dxa"/>
            <w:vMerge w:val="continue"/>
            <w:tcBorders>
              <w:tl2br w:val="nil"/>
              <w:tr2bl w:val="nil"/>
            </w:tcBorders>
            <w:vAlign w:val="center"/>
          </w:tcPr>
          <w:p w14:paraId="29805163">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p>
        </w:tc>
        <w:tc>
          <w:tcPr>
            <w:tcW w:w="868" w:type="dxa"/>
            <w:vMerge w:val="continue"/>
            <w:tcBorders>
              <w:tl2br w:val="nil"/>
              <w:tr2bl w:val="nil"/>
            </w:tcBorders>
            <w:vAlign w:val="center"/>
          </w:tcPr>
          <w:p w14:paraId="0BAEBC64">
            <w:pPr>
              <w:autoSpaceDE w:val="0"/>
              <w:autoSpaceDN w:val="0"/>
              <w:spacing w:line="300" w:lineRule="exact"/>
              <w:jc w:val="center"/>
              <w:rPr>
                <w:rFonts w:hint="eastAsia" w:ascii="Times New Roman" w:hAnsi="Times New Roman" w:cs="Times New Roman"/>
                <w:szCs w:val="21"/>
                <w:highlight w:val="yellow"/>
                <w:lang w:val="en-US" w:eastAsia="zh-CN"/>
              </w:rPr>
            </w:pPr>
          </w:p>
        </w:tc>
        <w:tc>
          <w:tcPr>
            <w:tcW w:w="614" w:type="dxa"/>
            <w:vMerge w:val="continue"/>
            <w:tcBorders>
              <w:tl2br w:val="nil"/>
              <w:tr2bl w:val="nil"/>
            </w:tcBorders>
            <w:vAlign w:val="center"/>
          </w:tcPr>
          <w:p w14:paraId="1435A4F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880" w:type="dxa"/>
            <w:tcBorders>
              <w:top w:val="single" w:color="auto" w:sz="4" w:space="0"/>
              <w:bottom w:val="single" w:color="auto" w:sz="4" w:space="0"/>
              <w:right w:val="single" w:color="auto" w:sz="4" w:space="0"/>
              <w:tl2br w:val="nil"/>
              <w:tr2bl w:val="nil"/>
            </w:tcBorders>
            <w:shd w:val="clear" w:color="auto" w:fill="auto"/>
            <w:vAlign w:val="center"/>
          </w:tcPr>
          <w:p w14:paraId="1C97DD2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Hg</w:t>
            </w:r>
          </w:p>
        </w:tc>
        <w:tc>
          <w:tcPr>
            <w:tcW w:w="885" w:type="dxa"/>
            <w:tcBorders>
              <w:top w:val="single" w:color="auto" w:sz="4" w:space="0"/>
              <w:left w:val="single" w:color="auto" w:sz="4" w:space="0"/>
              <w:bottom w:val="single" w:color="auto" w:sz="4" w:space="0"/>
              <w:tl2br w:val="nil"/>
              <w:tr2bl w:val="nil"/>
            </w:tcBorders>
            <w:shd w:val="clear" w:color="auto" w:fill="auto"/>
            <w:vAlign w:val="center"/>
          </w:tcPr>
          <w:p w14:paraId="53B16C24">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Pb</w:t>
            </w:r>
          </w:p>
        </w:tc>
        <w:tc>
          <w:tcPr>
            <w:tcW w:w="687" w:type="dxa"/>
            <w:tcBorders>
              <w:top w:val="single" w:color="auto" w:sz="4" w:space="0"/>
              <w:bottom w:val="single" w:color="auto" w:sz="4" w:space="0"/>
              <w:tl2br w:val="nil"/>
              <w:tr2bl w:val="nil"/>
            </w:tcBorders>
            <w:vAlign w:val="center"/>
          </w:tcPr>
          <w:p w14:paraId="4BCADFCA">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As</w:t>
            </w:r>
          </w:p>
        </w:tc>
        <w:tc>
          <w:tcPr>
            <w:tcW w:w="940" w:type="dxa"/>
            <w:tcBorders>
              <w:top w:val="single" w:color="auto" w:sz="4" w:space="0"/>
              <w:bottom w:val="single" w:color="auto" w:sz="4" w:space="0"/>
              <w:tl2br w:val="nil"/>
              <w:tr2bl w:val="nil"/>
            </w:tcBorders>
            <w:vAlign w:val="center"/>
          </w:tcPr>
          <w:p w14:paraId="406D351C">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Cd</w:t>
            </w:r>
          </w:p>
        </w:tc>
        <w:tc>
          <w:tcPr>
            <w:tcW w:w="1166" w:type="dxa"/>
            <w:tcBorders>
              <w:top w:val="single" w:color="auto" w:sz="4" w:space="0"/>
              <w:bottom w:val="single" w:color="auto" w:sz="4" w:space="0"/>
              <w:tl2br w:val="nil"/>
              <w:tr2bl w:val="nil"/>
            </w:tcBorders>
            <w:vAlign w:val="center"/>
          </w:tcPr>
          <w:p w14:paraId="7E30235A">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二噁英</w:t>
            </w:r>
          </w:p>
        </w:tc>
        <w:tc>
          <w:tcPr>
            <w:tcW w:w="1699" w:type="dxa"/>
            <w:tcBorders>
              <w:top w:val="single" w:color="auto" w:sz="4" w:space="0"/>
              <w:bottom w:val="single" w:color="auto" w:sz="4" w:space="0"/>
              <w:tl2br w:val="nil"/>
              <w:tr2bl w:val="nil"/>
            </w:tcBorders>
            <w:vAlign w:val="center"/>
          </w:tcPr>
          <w:p w14:paraId="5ECE3710">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氟化物</w:t>
            </w:r>
          </w:p>
        </w:tc>
      </w:tr>
      <w:tr w14:paraId="29FE118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633" w:type="dxa"/>
            <w:vMerge w:val="continue"/>
            <w:tcBorders>
              <w:tl2br w:val="nil"/>
              <w:tr2bl w:val="nil"/>
            </w:tcBorders>
            <w:vAlign w:val="center"/>
          </w:tcPr>
          <w:p w14:paraId="770A455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1238" w:type="dxa"/>
            <w:vMerge w:val="continue"/>
            <w:tcBorders>
              <w:tl2br w:val="nil"/>
              <w:tr2bl w:val="nil"/>
            </w:tcBorders>
            <w:vAlign w:val="center"/>
          </w:tcPr>
          <w:p w14:paraId="25868274">
            <w:pPr>
              <w:autoSpaceDE w:val="0"/>
              <w:autoSpaceDN w:val="0"/>
              <w:spacing w:line="300" w:lineRule="exact"/>
              <w:jc w:val="center"/>
              <w:rPr>
                <w:rFonts w:hint="eastAsia" w:ascii="Times New Roman" w:hAnsi="Times New Roman" w:cs="Times New Roman"/>
                <w:szCs w:val="21"/>
                <w:highlight w:val="none"/>
                <w:lang w:val="en-US" w:eastAsia="zh-CN"/>
              </w:rPr>
            </w:pPr>
          </w:p>
        </w:tc>
        <w:tc>
          <w:tcPr>
            <w:tcW w:w="1260" w:type="dxa"/>
            <w:vMerge w:val="continue"/>
            <w:tcBorders>
              <w:tl2br w:val="nil"/>
              <w:tr2bl w:val="nil"/>
            </w:tcBorders>
            <w:vAlign w:val="center"/>
          </w:tcPr>
          <w:p w14:paraId="07C95ADB">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p>
        </w:tc>
        <w:tc>
          <w:tcPr>
            <w:tcW w:w="856" w:type="dxa"/>
            <w:vMerge w:val="continue"/>
            <w:tcBorders>
              <w:tl2br w:val="nil"/>
              <w:tr2bl w:val="nil"/>
            </w:tcBorders>
            <w:vAlign w:val="center"/>
          </w:tcPr>
          <w:p w14:paraId="01F5E448">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p>
        </w:tc>
        <w:tc>
          <w:tcPr>
            <w:tcW w:w="855" w:type="dxa"/>
            <w:vMerge w:val="continue"/>
            <w:tcBorders>
              <w:tl2br w:val="nil"/>
              <w:tr2bl w:val="nil"/>
            </w:tcBorders>
            <w:vAlign w:val="center"/>
          </w:tcPr>
          <w:p w14:paraId="42BB2D65">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p>
        </w:tc>
        <w:tc>
          <w:tcPr>
            <w:tcW w:w="1238" w:type="dxa"/>
            <w:vMerge w:val="continue"/>
            <w:tcBorders>
              <w:tl2br w:val="nil"/>
              <w:tr2bl w:val="nil"/>
            </w:tcBorders>
            <w:vAlign w:val="center"/>
          </w:tcPr>
          <w:p w14:paraId="31DACF0B">
            <w:pPr>
              <w:autoSpaceDE w:val="0"/>
              <w:autoSpaceDN w:val="0"/>
              <w:spacing w:line="300" w:lineRule="exact"/>
              <w:jc w:val="center"/>
              <w:rPr>
                <w:rFonts w:hint="eastAsia" w:ascii="Times New Roman" w:hAnsi="Times New Roman" w:cs="Times New Roman"/>
                <w:szCs w:val="21"/>
                <w:highlight w:val="yellow"/>
                <w:lang w:val="en-US" w:eastAsia="zh-CN"/>
              </w:rPr>
            </w:pPr>
          </w:p>
        </w:tc>
        <w:tc>
          <w:tcPr>
            <w:tcW w:w="674" w:type="dxa"/>
            <w:vMerge w:val="continue"/>
            <w:tcBorders>
              <w:tl2br w:val="nil"/>
              <w:tr2bl w:val="nil"/>
            </w:tcBorders>
            <w:vAlign w:val="center"/>
          </w:tcPr>
          <w:p w14:paraId="55A866BC">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p>
        </w:tc>
        <w:tc>
          <w:tcPr>
            <w:tcW w:w="868" w:type="dxa"/>
            <w:vMerge w:val="continue"/>
            <w:tcBorders>
              <w:tl2br w:val="nil"/>
              <w:tr2bl w:val="nil"/>
            </w:tcBorders>
            <w:vAlign w:val="center"/>
          </w:tcPr>
          <w:p w14:paraId="0D8514D5">
            <w:pPr>
              <w:autoSpaceDE w:val="0"/>
              <w:autoSpaceDN w:val="0"/>
              <w:spacing w:line="300" w:lineRule="exact"/>
              <w:jc w:val="center"/>
              <w:rPr>
                <w:rFonts w:hint="eastAsia" w:ascii="Times New Roman" w:hAnsi="Times New Roman" w:cs="Times New Roman"/>
                <w:szCs w:val="21"/>
                <w:highlight w:val="yellow"/>
                <w:lang w:val="en-US" w:eastAsia="zh-CN"/>
              </w:rPr>
            </w:pPr>
          </w:p>
        </w:tc>
        <w:tc>
          <w:tcPr>
            <w:tcW w:w="614" w:type="dxa"/>
            <w:vMerge w:val="continue"/>
            <w:tcBorders>
              <w:tl2br w:val="nil"/>
              <w:tr2bl w:val="nil"/>
            </w:tcBorders>
            <w:vAlign w:val="center"/>
          </w:tcPr>
          <w:p w14:paraId="57638B9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880" w:type="dxa"/>
            <w:tcBorders>
              <w:top w:val="single" w:color="auto" w:sz="4" w:space="0"/>
              <w:bottom w:val="single" w:color="auto" w:sz="4" w:space="0"/>
              <w:right w:val="single" w:color="auto" w:sz="4" w:space="0"/>
              <w:tl2br w:val="nil"/>
              <w:tr2bl w:val="nil"/>
            </w:tcBorders>
            <w:shd w:val="clear" w:color="auto" w:fill="auto"/>
            <w:vAlign w:val="center"/>
          </w:tcPr>
          <w:p w14:paraId="70B6F0C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1.6</w:t>
            </w:r>
            <w:r>
              <w:rPr>
                <w:rFonts w:hint="eastAsia" w:ascii="Times New Roman" w:hAnsi="Times New Roman" w:eastAsia="宋体" w:cs="Times New Roman"/>
                <w:i w:val="0"/>
                <w:iCs w:val="0"/>
                <w:color w:val="000000"/>
                <w:kern w:val="0"/>
                <w:sz w:val="21"/>
                <w:szCs w:val="21"/>
                <w:highlight w:val="none"/>
                <w:u w:val="none"/>
                <w:lang w:val="en-US" w:eastAsia="zh-CN" w:bidi="ar"/>
              </w:rPr>
              <w:t>31</w:t>
            </w:r>
            <w:r>
              <w:rPr>
                <w:rFonts w:hint="eastAsia" w:ascii="宋体" w:hAnsi="宋体" w:eastAsia="宋体" w:cs="宋体"/>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10</w:t>
            </w:r>
            <w:r>
              <w:rPr>
                <w:rStyle w:val="19"/>
                <w:rFonts w:eastAsia="宋体"/>
                <w:highlight w:val="none"/>
                <w:lang w:val="en-US" w:eastAsia="zh-CN" w:bidi="ar"/>
              </w:rPr>
              <w:t>-</w:t>
            </w:r>
            <w:r>
              <w:rPr>
                <w:rStyle w:val="19"/>
                <w:rFonts w:hint="eastAsia" w:eastAsia="宋体"/>
                <w:highlight w:val="none"/>
                <w:lang w:val="en-US" w:eastAsia="zh-CN" w:bidi="ar"/>
              </w:rPr>
              <w:t>8</w:t>
            </w:r>
          </w:p>
        </w:tc>
        <w:tc>
          <w:tcPr>
            <w:tcW w:w="885" w:type="dxa"/>
            <w:tcBorders>
              <w:top w:val="single" w:color="auto" w:sz="4" w:space="0"/>
              <w:left w:val="single" w:color="auto" w:sz="4" w:space="0"/>
              <w:bottom w:val="single" w:color="auto" w:sz="4" w:space="0"/>
              <w:tl2br w:val="nil"/>
              <w:tr2bl w:val="nil"/>
            </w:tcBorders>
            <w:shd w:val="clear" w:color="auto" w:fill="auto"/>
            <w:vAlign w:val="center"/>
          </w:tcPr>
          <w:p w14:paraId="43241750">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0.00002933</w:t>
            </w:r>
          </w:p>
        </w:tc>
        <w:tc>
          <w:tcPr>
            <w:tcW w:w="687" w:type="dxa"/>
            <w:tcBorders>
              <w:top w:val="single" w:color="auto" w:sz="4" w:space="0"/>
              <w:bottom w:val="single" w:color="auto" w:sz="4" w:space="0"/>
              <w:tl2br w:val="nil"/>
              <w:tr2bl w:val="nil"/>
            </w:tcBorders>
            <w:vAlign w:val="center"/>
          </w:tcPr>
          <w:p w14:paraId="430345EE">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0.00045</w:t>
            </w:r>
          </w:p>
        </w:tc>
        <w:tc>
          <w:tcPr>
            <w:tcW w:w="940" w:type="dxa"/>
            <w:tcBorders>
              <w:top w:val="single" w:color="auto" w:sz="4" w:space="0"/>
              <w:bottom w:val="single" w:color="auto" w:sz="4" w:space="0"/>
              <w:tl2br w:val="nil"/>
              <w:tr2bl w:val="nil"/>
            </w:tcBorders>
            <w:vAlign w:val="center"/>
          </w:tcPr>
          <w:p w14:paraId="2FF13C30">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eastAsia="宋体" w:cs="Times New Roman"/>
                <w:i w:val="0"/>
                <w:iCs w:val="0"/>
                <w:color w:val="000000"/>
                <w:kern w:val="0"/>
                <w:sz w:val="21"/>
                <w:szCs w:val="21"/>
                <w:highlight w:val="none"/>
                <w:u w:val="none"/>
                <w:lang w:val="en-US" w:eastAsia="zh-CN" w:bidi="ar"/>
              </w:rPr>
              <w:t>3.5</w:t>
            </w:r>
            <w:r>
              <w:rPr>
                <w:rFonts w:hint="eastAsia" w:ascii="宋体" w:hAnsi="宋体" w:eastAsia="宋体" w:cs="宋体"/>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10</w:t>
            </w:r>
            <w:r>
              <w:rPr>
                <w:rStyle w:val="19"/>
                <w:rFonts w:eastAsia="宋体"/>
                <w:highlight w:val="none"/>
                <w:lang w:val="en-US" w:eastAsia="zh-CN" w:bidi="ar"/>
              </w:rPr>
              <w:t>-</w:t>
            </w:r>
            <w:r>
              <w:rPr>
                <w:rStyle w:val="19"/>
                <w:rFonts w:hint="eastAsia" w:eastAsia="宋体"/>
                <w:highlight w:val="none"/>
                <w:lang w:val="en-US" w:eastAsia="zh-CN" w:bidi="ar"/>
              </w:rPr>
              <w:t>7</w:t>
            </w:r>
          </w:p>
        </w:tc>
        <w:tc>
          <w:tcPr>
            <w:tcW w:w="1166" w:type="dxa"/>
            <w:tcBorders>
              <w:top w:val="single" w:color="auto" w:sz="4" w:space="0"/>
              <w:bottom w:val="single" w:color="auto" w:sz="4" w:space="0"/>
              <w:tl2br w:val="nil"/>
              <w:tr2bl w:val="nil"/>
            </w:tcBorders>
            <w:vAlign w:val="center"/>
          </w:tcPr>
          <w:p w14:paraId="39251F2F">
            <w:pPr>
              <w:numPr>
                <w:ilvl w:val="0"/>
                <w:numId w:val="0"/>
              </w:numPr>
              <w:autoSpaceDE w:val="0"/>
              <w:autoSpaceDN w:val="0"/>
              <w:jc w:val="both"/>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1.149×10</w:t>
            </w:r>
            <w:r>
              <w:rPr>
                <w:rFonts w:hint="eastAsia" w:ascii="Times New Roman" w:hAnsi="Times New Roman" w:cs="Times New Roman"/>
                <w:szCs w:val="21"/>
                <w:highlight w:val="none"/>
                <w:vertAlign w:val="superscript"/>
                <w:lang w:val="en-US" w:eastAsia="zh-CN"/>
              </w:rPr>
              <w:t>-11</w:t>
            </w:r>
          </w:p>
        </w:tc>
        <w:tc>
          <w:tcPr>
            <w:tcW w:w="1699" w:type="dxa"/>
            <w:tcBorders>
              <w:top w:val="single" w:color="auto" w:sz="4" w:space="0"/>
              <w:bottom w:val="single" w:color="auto" w:sz="4" w:space="0"/>
              <w:tl2br w:val="nil"/>
              <w:tr2bl w:val="nil"/>
            </w:tcBorders>
            <w:vAlign w:val="center"/>
          </w:tcPr>
          <w:p w14:paraId="582F7A5F">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0.009084</w:t>
            </w:r>
          </w:p>
        </w:tc>
      </w:tr>
    </w:tbl>
    <w:p w14:paraId="7D1398E6">
      <w:pPr>
        <w:adjustRightInd w:val="0"/>
        <w:snapToGrid w:val="0"/>
        <w:spacing w:before="250" w:beforeLines="50"/>
        <w:jc w:val="center"/>
        <w:rPr>
          <w:rFonts w:hint="default" w:ascii="Times New Roman" w:hAnsi="Times New Roman" w:cs="Times New Roman" w:eastAsiaTheme="minorEastAsia"/>
          <w:b/>
          <w:szCs w:val="21"/>
          <w:lang w:val="en-US" w:eastAsia="en-US"/>
        </w:rPr>
      </w:pPr>
      <w:r>
        <w:rPr>
          <w:rFonts w:hint="default" w:ascii="Times New Roman" w:hAnsi="Times New Roman" w:cs="Times New Roman" w:eastAsiaTheme="minorEastAsia"/>
          <w:b/>
          <w:szCs w:val="21"/>
          <w:lang w:val="en-US" w:eastAsia="en-US"/>
        </w:rPr>
        <w:t>表5.2-</w:t>
      </w:r>
      <w:r>
        <w:rPr>
          <w:rFonts w:hint="eastAsia" w:ascii="Times New Roman" w:hAnsi="Times New Roman" w:cs="Times New Roman" w:eastAsiaTheme="minorEastAsia"/>
          <w:b/>
          <w:szCs w:val="21"/>
          <w:lang w:val="en-US" w:eastAsia="zh-CN"/>
        </w:rPr>
        <w:t>10</w:t>
      </w:r>
      <w:r>
        <w:rPr>
          <w:rFonts w:hint="default" w:ascii="Times New Roman" w:hAnsi="Times New Roman" w:cs="Times New Roman" w:eastAsiaTheme="minorEastAsia"/>
          <w:b/>
          <w:szCs w:val="21"/>
          <w:lang w:val="en-US" w:eastAsia="zh-CN"/>
        </w:rPr>
        <w:t xml:space="preserve">  </w:t>
      </w:r>
      <w:r>
        <w:rPr>
          <w:rFonts w:hint="eastAsia" w:ascii="Times New Roman" w:hAnsi="Times New Roman" w:cs="Times New Roman" w:eastAsiaTheme="minorEastAsia"/>
          <w:b/>
          <w:szCs w:val="21"/>
          <w:lang w:val="en-US" w:eastAsia="zh-CN"/>
        </w:rPr>
        <w:t>项目大气范围内拟建项目污染源参数一览表</w:t>
      </w:r>
    </w:p>
    <w:tbl>
      <w:tblPr>
        <w:tblStyle w:val="12"/>
        <w:tblW w:w="52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
        <w:gridCol w:w="1530"/>
        <w:gridCol w:w="573"/>
        <w:gridCol w:w="720"/>
        <w:gridCol w:w="898"/>
        <w:gridCol w:w="880"/>
        <w:gridCol w:w="1001"/>
        <w:gridCol w:w="1075"/>
        <w:gridCol w:w="949"/>
        <w:gridCol w:w="1120"/>
        <w:gridCol w:w="1268"/>
        <w:gridCol w:w="1127"/>
        <w:gridCol w:w="1257"/>
        <w:gridCol w:w="1312"/>
        <w:gridCol w:w="1359"/>
      </w:tblGrid>
      <w:tr w14:paraId="61D58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15"/>
            <w:noWrap w:val="0"/>
            <w:tcMar>
              <w:left w:w="0" w:type="dxa"/>
              <w:right w:w="0" w:type="dxa"/>
            </w:tcMar>
            <w:vAlign w:val="center"/>
          </w:tcPr>
          <w:p w14:paraId="4B0B7601">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新疆万宇环保科技年处理16万吨含锌氧化矿石项目</w:t>
            </w:r>
          </w:p>
        </w:tc>
      </w:tr>
      <w:tr w14:paraId="195E4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15"/>
            <w:noWrap w:val="0"/>
            <w:tcMar>
              <w:left w:w="0" w:type="dxa"/>
              <w:right w:w="0" w:type="dxa"/>
            </w:tcMar>
            <w:vAlign w:val="center"/>
          </w:tcPr>
          <w:p w14:paraId="2E4D8A3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有组织点源</w:t>
            </w:r>
          </w:p>
        </w:tc>
      </w:tr>
      <w:tr w14:paraId="37176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vMerge w:val="restart"/>
            <w:noWrap w:val="0"/>
            <w:tcMar>
              <w:left w:w="0" w:type="dxa"/>
              <w:right w:w="0" w:type="dxa"/>
            </w:tcMar>
            <w:vAlign w:val="center"/>
          </w:tcPr>
          <w:p w14:paraId="2CCEEBBD">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编号</w:t>
            </w:r>
          </w:p>
        </w:tc>
        <w:tc>
          <w:tcPr>
            <w:tcW w:w="499" w:type="pct"/>
            <w:vMerge w:val="restart"/>
            <w:noWrap w:val="0"/>
            <w:tcMar>
              <w:left w:w="0" w:type="dxa"/>
              <w:right w:w="0" w:type="dxa"/>
            </w:tcMar>
            <w:vAlign w:val="center"/>
          </w:tcPr>
          <w:p w14:paraId="69A6E14A">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名称</w:t>
            </w:r>
          </w:p>
        </w:tc>
        <w:tc>
          <w:tcPr>
            <w:tcW w:w="187" w:type="pct"/>
            <w:vMerge w:val="restart"/>
            <w:noWrap w:val="0"/>
            <w:tcMar>
              <w:left w:w="0" w:type="dxa"/>
              <w:right w:w="0" w:type="dxa"/>
            </w:tcMar>
            <w:vAlign w:val="center"/>
          </w:tcPr>
          <w:p w14:paraId="2138019D">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排气筒高度</w:t>
            </w:r>
          </w:p>
          <w:p w14:paraId="07E21D29">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/m</w:t>
            </w:r>
          </w:p>
        </w:tc>
        <w:tc>
          <w:tcPr>
            <w:tcW w:w="235" w:type="pct"/>
            <w:vMerge w:val="restart"/>
            <w:noWrap w:val="0"/>
            <w:tcMar>
              <w:left w:w="0" w:type="dxa"/>
              <w:right w:w="0" w:type="dxa"/>
            </w:tcMar>
            <w:vAlign w:val="center"/>
          </w:tcPr>
          <w:p w14:paraId="6576CA9B">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排气筒出口内径</w:t>
            </w:r>
          </w:p>
          <w:p w14:paraId="0F8B25D9">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/m</w:t>
            </w:r>
          </w:p>
        </w:tc>
        <w:tc>
          <w:tcPr>
            <w:tcW w:w="293" w:type="pct"/>
            <w:vMerge w:val="restart"/>
            <w:noWrap w:val="0"/>
            <w:tcMar>
              <w:left w:w="0" w:type="dxa"/>
              <w:right w:w="0" w:type="dxa"/>
            </w:tcMar>
            <w:vAlign w:val="center"/>
          </w:tcPr>
          <w:p w14:paraId="7162640D">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烟气排放量/（m</w:t>
            </w:r>
            <w:r>
              <w:rPr>
                <w:rFonts w:hint="eastAsia" w:ascii="Times New Roman" w:hAnsi="Times New Roman" w:cs="Times New Roman" w:eastAsiaTheme="minorEastAsia"/>
                <w:szCs w:val="21"/>
                <w:highlight w:val="none"/>
                <w:vertAlign w:val="superscript"/>
                <w:lang w:val="en-US" w:eastAsia="zh-CN"/>
              </w:rPr>
              <w:t>3</w:t>
            </w:r>
            <w:r>
              <w:rPr>
                <w:rFonts w:hint="eastAsia" w:ascii="Times New Roman" w:hAnsi="Times New Roman" w:cs="Times New Roman" w:eastAsiaTheme="minorEastAsia"/>
                <w:szCs w:val="21"/>
                <w:highlight w:val="none"/>
                <w:lang w:val="en-US" w:eastAsia="zh-CN"/>
              </w:rPr>
              <w:t>/h）</w:t>
            </w:r>
          </w:p>
        </w:tc>
        <w:tc>
          <w:tcPr>
            <w:tcW w:w="287" w:type="pct"/>
            <w:vMerge w:val="restart"/>
            <w:noWrap w:val="0"/>
            <w:tcMar>
              <w:left w:w="0" w:type="dxa"/>
              <w:right w:w="0" w:type="dxa"/>
            </w:tcMar>
            <w:vAlign w:val="center"/>
          </w:tcPr>
          <w:p w14:paraId="76E5BF96">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烟气温度</w:t>
            </w:r>
          </w:p>
          <w:p w14:paraId="04ACC7AD">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w:t>
            </w:r>
          </w:p>
        </w:tc>
        <w:tc>
          <w:tcPr>
            <w:tcW w:w="326" w:type="pct"/>
            <w:vMerge w:val="restart"/>
            <w:noWrap w:val="0"/>
            <w:tcMar>
              <w:left w:w="0" w:type="dxa"/>
              <w:right w:w="0" w:type="dxa"/>
            </w:tcMar>
            <w:vAlign w:val="center"/>
          </w:tcPr>
          <w:p w14:paraId="6E0AFEE3">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排放</w:t>
            </w:r>
          </w:p>
          <w:p w14:paraId="02F4DE11">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工况</w:t>
            </w:r>
          </w:p>
        </w:tc>
        <w:tc>
          <w:tcPr>
            <w:tcW w:w="3091" w:type="pct"/>
            <w:gridSpan w:val="8"/>
            <w:noWrap w:val="0"/>
            <w:tcMar>
              <w:left w:w="0" w:type="dxa"/>
              <w:right w:w="0" w:type="dxa"/>
            </w:tcMar>
            <w:vAlign w:val="center"/>
          </w:tcPr>
          <w:p w14:paraId="5A4F8779">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污染物排放速率（kg/h）</w:t>
            </w:r>
          </w:p>
        </w:tc>
      </w:tr>
      <w:tr w14:paraId="690A7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vMerge w:val="continue"/>
            <w:noWrap w:val="0"/>
            <w:tcMar>
              <w:left w:w="0" w:type="dxa"/>
              <w:right w:w="0" w:type="dxa"/>
            </w:tcMar>
            <w:vAlign w:val="center"/>
          </w:tcPr>
          <w:p w14:paraId="38ABFA15">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499" w:type="pct"/>
            <w:vMerge w:val="continue"/>
            <w:noWrap w:val="0"/>
            <w:tcMar>
              <w:left w:w="0" w:type="dxa"/>
              <w:right w:w="0" w:type="dxa"/>
            </w:tcMar>
            <w:vAlign w:val="center"/>
          </w:tcPr>
          <w:p w14:paraId="6672D9EF">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187" w:type="pct"/>
            <w:vMerge w:val="continue"/>
            <w:noWrap w:val="0"/>
            <w:tcMar>
              <w:left w:w="0" w:type="dxa"/>
              <w:right w:w="0" w:type="dxa"/>
            </w:tcMar>
            <w:vAlign w:val="center"/>
          </w:tcPr>
          <w:p w14:paraId="4912581B">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235" w:type="pct"/>
            <w:vMerge w:val="continue"/>
            <w:noWrap w:val="0"/>
            <w:tcMar>
              <w:left w:w="0" w:type="dxa"/>
              <w:right w:w="0" w:type="dxa"/>
            </w:tcMar>
            <w:vAlign w:val="center"/>
          </w:tcPr>
          <w:p w14:paraId="65A80D99">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293" w:type="pct"/>
            <w:vMerge w:val="continue"/>
            <w:noWrap w:val="0"/>
            <w:tcMar>
              <w:left w:w="0" w:type="dxa"/>
              <w:right w:w="0" w:type="dxa"/>
            </w:tcMar>
            <w:vAlign w:val="center"/>
          </w:tcPr>
          <w:p w14:paraId="4CF61FB5">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287" w:type="pct"/>
            <w:vMerge w:val="continue"/>
            <w:noWrap w:val="0"/>
            <w:tcMar>
              <w:left w:w="0" w:type="dxa"/>
              <w:right w:w="0" w:type="dxa"/>
            </w:tcMar>
            <w:vAlign w:val="center"/>
          </w:tcPr>
          <w:p w14:paraId="00EE73A2">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326" w:type="pct"/>
            <w:vMerge w:val="continue"/>
            <w:noWrap w:val="0"/>
            <w:tcMar>
              <w:left w:w="0" w:type="dxa"/>
              <w:right w:w="0" w:type="dxa"/>
            </w:tcMar>
            <w:vAlign w:val="center"/>
          </w:tcPr>
          <w:p w14:paraId="27509B0B">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351" w:type="pct"/>
            <w:noWrap w:val="0"/>
            <w:tcMar>
              <w:left w:w="0" w:type="dxa"/>
              <w:right w:w="0" w:type="dxa"/>
            </w:tcMar>
            <w:vAlign w:val="center"/>
          </w:tcPr>
          <w:p w14:paraId="1C22E378">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PM</w:t>
            </w:r>
            <w:r>
              <w:rPr>
                <w:rFonts w:hint="eastAsia" w:ascii="Times New Roman" w:hAnsi="Times New Roman" w:cs="Times New Roman" w:eastAsiaTheme="minorEastAsia"/>
                <w:szCs w:val="21"/>
                <w:highlight w:val="none"/>
                <w:vertAlign w:val="subscript"/>
                <w:lang w:val="en-US" w:eastAsia="zh-CN"/>
              </w:rPr>
              <w:t>10</w:t>
            </w:r>
          </w:p>
        </w:tc>
        <w:tc>
          <w:tcPr>
            <w:tcW w:w="309" w:type="pct"/>
            <w:noWrap w:val="0"/>
            <w:tcMar>
              <w:left w:w="0" w:type="dxa"/>
              <w:right w:w="0" w:type="dxa"/>
            </w:tcMar>
            <w:vAlign w:val="center"/>
          </w:tcPr>
          <w:p w14:paraId="01E0E1DD">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SO</w:t>
            </w:r>
            <w:r>
              <w:rPr>
                <w:rFonts w:hint="eastAsia" w:ascii="Times New Roman" w:hAnsi="Times New Roman" w:cs="Times New Roman" w:eastAsiaTheme="minorEastAsia"/>
                <w:szCs w:val="21"/>
                <w:highlight w:val="none"/>
                <w:vertAlign w:val="subscript"/>
                <w:lang w:val="en-US" w:eastAsia="zh-CN"/>
              </w:rPr>
              <w:t>2</w:t>
            </w:r>
          </w:p>
        </w:tc>
        <w:tc>
          <w:tcPr>
            <w:tcW w:w="365" w:type="pct"/>
            <w:noWrap w:val="0"/>
            <w:tcMar>
              <w:left w:w="0" w:type="dxa"/>
              <w:right w:w="0" w:type="dxa"/>
            </w:tcMar>
            <w:vAlign w:val="center"/>
          </w:tcPr>
          <w:p w14:paraId="7991F87C">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eastAsiaTheme="minorEastAsia"/>
                <w:szCs w:val="21"/>
                <w:highlight w:val="none"/>
                <w:lang w:val="en-US" w:eastAsia="zh-CN"/>
              </w:rPr>
              <w:t>NO</w:t>
            </w:r>
            <w:r>
              <w:rPr>
                <w:rFonts w:hint="eastAsia" w:ascii="Times New Roman" w:hAnsi="Times New Roman" w:cs="Times New Roman"/>
                <w:szCs w:val="21"/>
                <w:highlight w:val="none"/>
                <w:lang w:val="en-US" w:eastAsia="zh-CN"/>
              </w:rPr>
              <w:t>x</w:t>
            </w:r>
          </w:p>
        </w:tc>
        <w:tc>
          <w:tcPr>
            <w:tcW w:w="414" w:type="pct"/>
            <w:noWrap w:val="0"/>
            <w:tcMar>
              <w:left w:w="0" w:type="dxa"/>
              <w:right w:w="0" w:type="dxa"/>
            </w:tcMar>
            <w:vAlign w:val="center"/>
          </w:tcPr>
          <w:p w14:paraId="009A1961">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锌</w:t>
            </w:r>
          </w:p>
        </w:tc>
        <w:tc>
          <w:tcPr>
            <w:tcW w:w="368" w:type="pct"/>
            <w:noWrap w:val="0"/>
            <w:tcMar>
              <w:left w:w="0" w:type="dxa"/>
              <w:right w:w="0" w:type="dxa"/>
            </w:tcMar>
            <w:vAlign w:val="center"/>
          </w:tcPr>
          <w:p w14:paraId="03EC17E8">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铅</w:t>
            </w:r>
          </w:p>
        </w:tc>
        <w:tc>
          <w:tcPr>
            <w:tcW w:w="410" w:type="pct"/>
            <w:noWrap w:val="0"/>
            <w:tcMar>
              <w:left w:w="0" w:type="dxa"/>
              <w:right w:w="0" w:type="dxa"/>
            </w:tcMar>
            <w:vAlign w:val="center"/>
          </w:tcPr>
          <w:p w14:paraId="09C1F6C9">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砷</w:t>
            </w:r>
          </w:p>
        </w:tc>
        <w:tc>
          <w:tcPr>
            <w:tcW w:w="428" w:type="pct"/>
            <w:noWrap w:val="0"/>
            <w:tcMar>
              <w:left w:w="0" w:type="dxa"/>
              <w:right w:w="0" w:type="dxa"/>
            </w:tcMar>
            <w:vAlign w:val="center"/>
          </w:tcPr>
          <w:p w14:paraId="396CEC27">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镉</w:t>
            </w:r>
          </w:p>
        </w:tc>
        <w:tc>
          <w:tcPr>
            <w:tcW w:w="443" w:type="pct"/>
            <w:noWrap w:val="0"/>
            <w:tcMar>
              <w:left w:w="0" w:type="dxa"/>
              <w:right w:w="0" w:type="dxa"/>
            </w:tcMar>
            <w:vAlign w:val="center"/>
          </w:tcPr>
          <w:p w14:paraId="69A34DAE">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汞</w:t>
            </w:r>
          </w:p>
        </w:tc>
      </w:tr>
      <w:tr w14:paraId="36DEA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noWrap w:val="0"/>
            <w:tcMar>
              <w:left w:w="0" w:type="dxa"/>
              <w:right w:w="0" w:type="dxa"/>
            </w:tcMar>
            <w:vAlign w:val="center"/>
          </w:tcPr>
          <w:p w14:paraId="50292BF7">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1</w:t>
            </w:r>
          </w:p>
        </w:tc>
        <w:tc>
          <w:tcPr>
            <w:tcW w:w="499" w:type="pct"/>
            <w:noWrap w:val="0"/>
            <w:tcMar>
              <w:left w:w="0" w:type="dxa"/>
              <w:right w:w="0" w:type="dxa"/>
            </w:tcMar>
            <w:vAlign w:val="center"/>
          </w:tcPr>
          <w:p w14:paraId="1C58013C">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回转窑生产线（G1）排口</w:t>
            </w:r>
          </w:p>
        </w:tc>
        <w:tc>
          <w:tcPr>
            <w:tcW w:w="187" w:type="pct"/>
            <w:noWrap w:val="0"/>
            <w:tcMar>
              <w:left w:w="0" w:type="dxa"/>
              <w:right w:w="0" w:type="dxa"/>
            </w:tcMar>
            <w:vAlign w:val="center"/>
          </w:tcPr>
          <w:p w14:paraId="4098F986">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30</w:t>
            </w:r>
          </w:p>
        </w:tc>
        <w:tc>
          <w:tcPr>
            <w:tcW w:w="235" w:type="pct"/>
            <w:noWrap w:val="0"/>
            <w:tcMar>
              <w:left w:w="0" w:type="dxa"/>
              <w:right w:w="0" w:type="dxa"/>
            </w:tcMar>
            <w:vAlign w:val="center"/>
          </w:tcPr>
          <w:p w14:paraId="2E925C51">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2.0</w:t>
            </w:r>
          </w:p>
        </w:tc>
        <w:tc>
          <w:tcPr>
            <w:tcW w:w="293" w:type="pct"/>
            <w:noWrap w:val="0"/>
            <w:tcMar>
              <w:left w:w="0" w:type="dxa"/>
              <w:right w:w="0" w:type="dxa"/>
            </w:tcMar>
            <w:vAlign w:val="center"/>
          </w:tcPr>
          <w:p w14:paraId="0A627DD9">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180000</w:t>
            </w:r>
          </w:p>
        </w:tc>
        <w:tc>
          <w:tcPr>
            <w:tcW w:w="287" w:type="pct"/>
            <w:noWrap w:val="0"/>
            <w:tcMar>
              <w:left w:w="0" w:type="dxa"/>
              <w:right w:w="0" w:type="dxa"/>
            </w:tcMar>
            <w:vAlign w:val="center"/>
          </w:tcPr>
          <w:p w14:paraId="224B7346">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25</w:t>
            </w:r>
          </w:p>
        </w:tc>
        <w:tc>
          <w:tcPr>
            <w:tcW w:w="326" w:type="pct"/>
            <w:noWrap w:val="0"/>
            <w:tcMar>
              <w:left w:w="0" w:type="dxa"/>
              <w:right w:w="0" w:type="dxa"/>
            </w:tcMar>
            <w:vAlign w:val="center"/>
          </w:tcPr>
          <w:p w14:paraId="0952FEB3">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正常</w:t>
            </w:r>
          </w:p>
        </w:tc>
        <w:tc>
          <w:tcPr>
            <w:tcW w:w="351" w:type="pct"/>
            <w:noWrap w:val="0"/>
            <w:tcMar>
              <w:left w:w="0" w:type="dxa"/>
              <w:right w:w="0" w:type="dxa"/>
            </w:tcMar>
            <w:vAlign w:val="center"/>
          </w:tcPr>
          <w:p w14:paraId="4E8FC89A">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0.20</w:t>
            </w:r>
          </w:p>
        </w:tc>
        <w:tc>
          <w:tcPr>
            <w:tcW w:w="309" w:type="pct"/>
            <w:noWrap w:val="0"/>
            <w:tcMar>
              <w:left w:w="0" w:type="dxa"/>
              <w:right w:w="0" w:type="dxa"/>
            </w:tcMar>
            <w:vAlign w:val="center"/>
          </w:tcPr>
          <w:p w14:paraId="2B6E6C01">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2.32</w:t>
            </w:r>
          </w:p>
        </w:tc>
        <w:tc>
          <w:tcPr>
            <w:tcW w:w="365" w:type="pct"/>
            <w:noWrap w:val="0"/>
            <w:tcMar>
              <w:left w:w="0" w:type="dxa"/>
              <w:right w:w="0" w:type="dxa"/>
            </w:tcMar>
            <w:vAlign w:val="center"/>
          </w:tcPr>
          <w:p w14:paraId="7A675E07">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8.86</w:t>
            </w:r>
          </w:p>
        </w:tc>
        <w:tc>
          <w:tcPr>
            <w:tcW w:w="414" w:type="pct"/>
            <w:noWrap w:val="0"/>
            <w:tcMar>
              <w:left w:w="0" w:type="dxa"/>
              <w:right w:w="0" w:type="dxa"/>
            </w:tcMar>
            <w:vAlign w:val="center"/>
          </w:tcPr>
          <w:p w14:paraId="71688564">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0.0003</w:t>
            </w:r>
          </w:p>
        </w:tc>
        <w:tc>
          <w:tcPr>
            <w:tcW w:w="368" w:type="pct"/>
            <w:noWrap w:val="0"/>
            <w:tcMar>
              <w:left w:w="0" w:type="dxa"/>
              <w:right w:w="0" w:type="dxa"/>
            </w:tcMar>
            <w:vAlign w:val="center"/>
          </w:tcPr>
          <w:p w14:paraId="29AEB233">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0.0007</w:t>
            </w:r>
          </w:p>
        </w:tc>
        <w:tc>
          <w:tcPr>
            <w:tcW w:w="410" w:type="pct"/>
            <w:noWrap w:val="0"/>
            <w:tcMar>
              <w:left w:w="0" w:type="dxa"/>
              <w:right w:w="0" w:type="dxa"/>
            </w:tcMar>
            <w:vAlign w:val="center"/>
          </w:tcPr>
          <w:p w14:paraId="1AF07063">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2.66×10</w:t>
            </w:r>
            <w:r>
              <w:rPr>
                <w:rFonts w:hint="eastAsia" w:ascii="Times New Roman" w:hAnsi="Times New Roman" w:cs="Times New Roman" w:eastAsiaTheme="minorEastAsia"/>
                <w:szCs w:val="21"/>
                <w:highlight w:val="none"/>
                <w:vertAlign w:val="superscript"/>
                <w:lang w:val="en-US" w:eastAsia="zh-CN"/>
              </w:rPr>
              <w:t>-6</w:t>
            </w:r>
          </w:p>
        </w:tc>
        <w:tc>
          <w:tcPr>
            <w:tcW w:w="428" w:type="pct"/>
            <w:noWrap w:val="0"/>
            <w:tcMar>
              <w:left w:w="0" w:type="dxa"/>
              <w:right w:w="0" w:type="dxa"/>
            </w:tcMar>
            <w:vAlign w:val="center"/>
          </w:tcPr>
          <w:p w14:paraId="40F62ECF">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2.07×10</w:t>
            </w:r>
            <w:r>
              <w:rPr>
                <w:rFonts w:hint="eastAsia" w:ascii="Times New Roman" w:hAnsi="Times New Roman" w:cs="Times New Roman" w:eastAsiaTheme="minorEastAsia"/>
                <w:szCs w:val="21"/>
                <w:highlight w:val="none"/>
                <w:vertAlign w:val="superscript"/>
                <w:lang w:val="en-US" w:eastAsia="zh-CN"/>
              </w:rPr>
              <w:t>-5</w:t>
            </w:r>
          </w:p>
        </w:tc>
        <w:tc>
          <w:tcPr>
            <w:tcW w:w="443" w:type="pct"/>
            <w:noWrap w:val="0"/>
            <w:tcMar>
              <w:left w:w="0" w:type="dxa"/>
              <w:right w:w="0" w:type="dxa"/>
            </w:tcMar>
            <w:vAlign w:val="center"/>
          </w:tcPr>
          <w:p w14:paraId="38D38E70">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1.29×10</w:t>
            </w:r>
            <w:r>
              <w:rPr>
                <w:rFonts w:hint="eastAsia" w:ascii="Times New Roman" w:hAnsi="Times New Roman" w:cs="Times New Roman" w:eastAsiaTheme="minorEastAsia"/>
                <w:szCs w:val="21"/>
                <w:highlight w:val="none"/>
                <w:vertAlign w:val="superscript"/>
                <w:lang w:val="en-US" w:eastAsia="zh-CN"/>
              </w:rPr>
              <w:t>-9</w:t>
            </w:r>
          </w:p>
        </w:tc>
      </w:tr>
      <w:tr w14:paraId="1C593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noWrap w:val="0"/>
            <w:tcMar>
              <w:left w:w="0" w:type="dxa"/>
              <w:right w:w="0" w:type="dxa"/>
            </w:tcMar>
            <w:vAlign w:val="center"/>
          </w:tcPr>
          <w:p w14:paraId="041204F9">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2</w:t>
            </w:r>
          </w:p>
        </w:tc>
        <w:tc>
          <w:tcPr>
            <w:tcW w:w="499" w:type="pct"/>
            <w:noWrap w:val="0"/>
            <w:tcMar>
              <w:left w:w="0" w:type="dxa"/>
              <w:right w:w="0" w:type="dxa"/>
            </w:tcMar>
            <w:vAlign w:val="center"/>
          </w:tcPr>
          <w:p w14:paraId="28031A2E">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一期窑头、窑尾逸散烟气（G2）排口</w:t>
            </w:r>
          </w:p>
        </w:tc>
        <w:tc>
          <w:tcPr>
            <w:tcW w:w="187" w:type="pct"/>
            <w:noWrap w:val="0"/>
            <w:tcMar>
              <w:left w:w="0" w:type="dxa"/>
              <w:right w:w="0" w:type="dxa"/>
            </w:tcMar>
            <w:vAlign w:val="center"/>
          </w:tcPr>
          <w:p w14:paraId="16DAFA23">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15</w:t>
            </w:r>
          </w:p>
        </w:tc>
        <w:tc>
          <w:tcPr>
            <w:tcW w:w="235" w:type="pct"/>
            <w:noWrap w:val="0"/>
            <w:tcMar>
              <w:left w:w="0" w:type="dxa"/>
              <w:right w:w="0" w:type="dxa"/>
            </w:tcMar>
            <w:vAlign w:val="center"/>
          </w:tcPr>
          <w:p w14:paraId="34E87117">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1.15</w:t>
            </w:r>
          </w:p>
        </w:tc>
        <w:tc>
          <w:tcPr>
            <w:tcW w:w="293" w:type="pct"/>
            <w:noWrap w:val="0"/>
            <w:tcMar>
              <w:left w:w="0" w:type="dxa"/>
              <w:right w:w="0" w:type="dxa"/>
            </w:tcMar>
            <w:vAlign w:val="center"/>
          </w:tcPr>
          <w:p w14:paraId="06A70445">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30000</w:t>
            </w:r>
          </w:p>
        </w:tc>
        <w:tc>
          <w:tcPr>
            <w:tcW w:w="287" w:type="pct"/>
            <w:noWrap w:val="0"/>
            <w:tcMar>
              <w:left w:w="0" w:type="dxa"/>
              <w:right w:w="0" w:type="dxa"/>
            </w:tcMar>
            <w:vAlign w:val="center"/>
          </w:tcPr>
          <w:p w14:paraId="32BA0C42">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25</w:t>
            </w:r>
          </w:p>
        </w:tc>
        <w:tc>
          <w:tcPr>
            <w:tcW w:w="326" w:type="pct"/>
            <w:noWrap w:val="0"/>
            <w:tcMar>
              <w:left w:w="0" w:type="dxa"/>
              <w:right w:w="0" w:type="dxa"/>
            </w:tcMar>
            <w:vAlign w:val="center"/>
          </w:tcPr>
          <w:p w14:paraId="047C0CF0">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正常</w:t>
            </w:r>
          </w:p>
        </w:tc>
        <w:tc>
          <w:tcPr>
            <w:tcW w:w="351" w:type="pct"/>
            <w:noWrap w:val="0"/>
            <w:tcMar>
              <w:left w:w="0" w:type="dxa"/>
              <w:right w:w="0" w:type="dxa"/>
            </w:tcMar>
            <w:vAlign w:val="center"/>
          </w:tcPr>
          <w:p w14:paraId="106AF57F">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0.0009</w:t>
            </w:r>
          </w:p>
        </w:tc>
        <w:tc>
          <w:tcPr>
            <w:tcW w:w="309" w:type="pct"/>
            <w:noWrap w:val="0"/>
            <w:tcMar>
              <w:left w:w="0" w:type="dxa"/>
              <w:right w:w="0" w:type="dxa"/>
            </w:tcMar>
            <w:vAlign w:val="center"/>
          </w:tcPr>
          <w:p w14:paraId="15C05F48">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0.0104</w:t>
            </w:r>
          </w:p>
        </w:tc>
        <w:tc>
          <w:tcPr>
            <w:tcW w:w="365" w:type="pct"/>
            <w:noWrap w:val="0"/>
            <w:tcMar>
              <w:left w:w="0" w:type="dxa"/>
              <w:right w:w="0" w:type="dxa"/>
            </w:tcMar>
            <w:vAlign w:val="center"/>
          </w:tcPr>
          <w:p w14:paraId="323A923D">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0.0159</w:t>
            </w:r>
          </w:p>
        </w:tc>
        <w:tc>
          <w:tcPr>
            <w:tcW w:w="414" w:type="pct"/>
            <w:noWrap w:val="0"/>
            <w:tcMar>
              <w:left w:w="0" w:type="dxa"/>
              <w:right w:w="0" w:type="dxa"/>
            </w:tcMar>
            <w:vAlign w:val="center"/>
          </w:tcPr>
          <w:p w14:paraId="7E6C5DE7">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0.000001</w:t>
            </w:r>
          </w:p>
        </w:tc>
        <w:tc>
          <w:tcPr>
            <w:tcW w:w="368" w:type="pct"/>
            <w:noWrap w:val="0"/>
            <w:tcMar>
              <w:left w:w="0" w:type="dxa"/>
              <w:right w:w="0" w:type="dxa"/>
            </w:tcMar>
            <w:vAlign w:val="center"/>
          </w:tcPr>
          <w:p w14:paraId="6811F71D">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2.94×10</w:t>
            </w:r>
            <w:r>
              <w:rPr>
                <w:rFonts w:hint="eastAsia" w:ascii="Times New Roman" w:hAnsi="Times New Roman" w:cs="Times New Roman" w:eastAsiaTheme="minorEastAsia"/>
                <w:szCs w:val="21"/>
                <w:highlight w:val="none"/>
                <w:vertAlign w:val="superscript"/>
                <w:lang w:val="en-US" w:eastAsia="zh-CN"/>
              </w:rPr>
              <w:t>-6</w:t>
            </w:r>
          </w:p>
        </w:tc>
        <w:tc>
          <w:tcPr>
            <w:tcW w:w="410" w:type="pct"/>
            <w:noWrap w:val="0"/>
            <w:tcMar>
              <w:left w:w="0" w:type="dxa"/>
              <w:right w:w="0" w:type="dxa"/>
            </w:tcMar>
            <w:vAlign w:val="center"/>
          </w:tcPr>
          <w:p w14:paraId="0D5EDCD6">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1.20×10</w:t>
            </w:r>
            <w:r>
              <w:rPr>
                <w:rFonts w:hint="eastAsia" w:ascii="Times New Roman" w:hAnsi="Times New Roman" w:cs="Times New Roman" w:eastAsiaTheme="minorEastAsia"/>
                <w:szCs w:val="21"/>
                <w:highlight w:val="none"/>
                <w:vertAlign w:val="superscript"/>
                <w:lang w:val="en-US" w:eastAsia="zh-CN"/>
              </w:rPr>
              <w:t>-8</w:t>
            </w:r>
          </w:p>
        </w:tc>
        <w:tc>
          <w:tcPr>
            <w:tcW w:w="428" w:type="pct"/>
            <w:noWrap w:val="0"/>
            <w:tcMar>
              <w:left w:w="0" w:type="dxa"/>
              <w:right w:w="0" w:type="dxa"/>
            </w:tcMar>
            <w:vAlign w:val="center"/>
          </w:tcPr>
          <w:p w14:paraId="12110E52">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9.29×10</w:t>
            </w:r>
            <w:r>
              <w:rPr>
                <w:rFonts w:hint="eastAsia" w:ascii="Times New Roman" w:hAnsi="Times New Roman" w:cs="Times New Roman" w:eastAsiaTheme="minorEastAsia"/>
                <w:szCs w:val="21"/>
                <w:highlight w:val="none"/>
                <w:vertAlign w:val="superscript"/>
                <w:lang w:val="en-US" w:eastAsia="zh-CN"/>
              </w:rPr>
              <w:t>-8</w:t>
            </w:r>
          </w:p>
        </w:tc>
        <w:tc>
          <w:tcPr>
            <w:tcW w:w="443" w:type="pct"/>
            <w:noWrap w:val="0"/>
            <w:tcMar>
              <w:left w:w="0" w:type="dxa"/>
              <w:right w:w="0" w:type="dxa"/>
            </w:tcMar>
            <w:vAlign w:val="center"/>
          </w:tcPr>
          <w:p w14:paraId="004C1A9F">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5.80×10</w:t>
            </w:r>
            <w:r>
              <w:rPr>
                <w:rFonts w:hint="eastAsia" w:ascii="Times New Roman" w:hAnsi="Times New Roman" w:cs="Times New Roman" w:eastAsiaTheme="minorEastAsia"/>
                <w:szCs w:val="21"/>
                <w:highlight w:val="none"/>
                <w:vertAlign w:val="superscript"/>
                <w:lang w:val="en-US" w:eastAsia="zh-CN"/>
              </w:rPr>
              <w:t>-12</w:t>
            </w:r>
          </w:p>
        </w:tc>
      </w:tr>
      <w:tr w14:paraId="11F81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noWrap w:val="0"/>
            <w:tcMar>
              <w:left w:w="0" w:type="dxa"/>
              <w:right w:w="0" w:type="dxa"/>
            </w:tcMar>
            <w:vAlign w:val="center"/>
          </w:tcPr>
          <w:p w14:paraId="2A2E866E">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3</w:t>
            </w:r>
          </w:p>
        </w:tc>
        <w:tc>
          <w:tcPr>
            <w:tcW w:w="499" w:type="pct"/>
            <w:noWrap w:val="0"/>
            <w:tcMar>
              <w:left w:w="0" w:type="dxa"/>
              <w:right w:w="0" w:type="dxa"/>
            </w:tcMar>
            <w:vAlign w:val="center"/>
          </w:tcPr>
          <w:p w14:paraId="0E082CBA">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二期窑头、窑尾逸散烟气（G4）排口</w:t>
            </w:r>
          </w:p>
        </w:tc>
        <w:tc>
          <w:tcPr>
            <w:tcW w:w="187" w:type="pct"/>
            <w:noWrap w:val="0"/>
            <w:tcMar>
              <w:left w:w="0" w:type="dxa"/>
              <w:right w:w="0" w:type="dxa"/>
            </w:tcMar>
            <w:vAlign w:val="center"/>
          </w:tcPr>
          <w:p w14:paraId="170F0955">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15</w:t>
            </w:r>
          </w:p>
        </w:tc>
        <w:tc>
          <w:tcPr>
            <w:tcW w:w="235" w:type="pct"/>
            <w:noWrap w:val="0"/>
            <w:tcMar>
              <w:left w:w="0" w:type="dxa"/>
              <w:right w:w="0" w:type="dxa"/>
            </w:tcMar>
            <w:vAlign w:val="center"/>
          </w:tcPr>
          <w:p w14:paraId="5F30E75E">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1.15</w:t>
            </w:r>
          </w:p>
        </w:tc>
        <w:tc>
          <w:tcPr>
            <w:tcW w:w="293" w:type="pct"/>
            <w:noWrap w:val="0"/>
            <w:tcMar>
              <w:left w:w="0" w:type="dxa"/>
              <w:right w:w="0" w:type="dxa"/>
            </w:tcMar>
            <w:vAlign w:val="center"/>
          </w:tcPr>
          <w:p w14:paraId="4F0A93BC">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30000</w:t>
            </w:r>
          </w:p>
        </w:tc>
        <w:tc>
          <w:tcPr>
            <w:tcW w:w="287" w:type="pct"/>
            <w:noWrap w:val="0"/>
            <w:tcMar>
              <w:left w:w="0" w:type="dxa"/>
              <w:right w:w="0" w:type="dxa"/>
            </w:tcMar>
            <w:vAlign w:val="center"/>
          </w:tcPr>
          <w:p w14:paraId="0B8997D4">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25</w:t>
            </w:r>
          </w:p>
        </w:tc>
        <w:tc>
          <w:tcPr>
            <w:tcW w:w="326" w:type="pct"/>
            <w:noWrap w:val="0"/>
            <w:tcMar>
              <w:left w:w="0" w:type="dxa"/>
              <w:right w:w="0" w:type="dxa"/>
            </w:tcMar>
            <w:vAlign w:val="center"/>
          </w:tcPr>
          <w:p w14:paraId="7DE2D13A">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正常</w:t>
            </w:r>
          </w:p>
        </w:tc>
        <w:tc>
          <w:tcPr>
            <w:tcW w:w="351" w:type="pct"/>
            <w:noWrap w:val="0"/>
            <w:tcMar>
              <w:left w:w="0" w:type="dxa"/>
              <w:right w:w="0" w:type="dxa"/>
            </w:tcMar>
            <w:vAlign w:val="center"/>
          </w:tcPr>
          <w:p w14:paraId="4C3CB028">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0.0009</w:t>
            </w:r>
          </w:p>
        </w:tc>
        <w:tc>
          <w:tcPr>
            <w:tcW w:w="309" w:type="pct"/>
            <w:noWrap w:val="0"/>
            <w:tcMar>
              <w:left w:w="0" w:type="dxa"/>
              <w:right w:w="0" w:type="dxa"/>
            </w:tcMar>
            <w:vAlign w:val="center"/>
          </w:tcPr>
          <w:p w14:paraId="5DD3A39D">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0.0104</w:t>
            </w:r>
          </w:p>
        </w:tc>
        <w:tc>
          <w:tcPr>
            <w:tcW w:w="365" w:type="pct"/>
            <w:noWrap w:val="0"/>
            <w:tcMar>
              <w:left w:w="0" w:type="dxa"/>
              <w:right w:w="0" w:type="dxa"/>
            </w:tcMar>
            <w:vAlign w:val="center"/>
          </w:tcPr>
          <w:p w14:paraId="28346167">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0.0159</w:t>
            </w:r>
          </w:p>
        </w:tc>
        <w:tc>
          <w:tcPr>
            <w:tcW w:w="414" w:type="pct"/>
            <w:noWrap w:val="0"/>
            <w:tcMar>
              <w:left w:w="0" w:type="dxa"/>
              <w:right w:w="0" w:type="dxa"/>
            </w:tcMar>
            <w:vAlign w:val="center"/>
          </w:tcPr>
          <w:p w14:paraId="1287779C">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0.000001</w:t>
            </w:r>
          </w:p>
        </w:tc>
        <w:tc>
          <w:tcPr>
            <w:tcW w:w="368" w:type="pct"/>
            <w:noWrap w:val="0"/>
            <w:tcMar>
              <w:left w:w="0" w:type="dxa"/>
              <w:right w:w="0" w:type="dxa"/>
            </w:tcMar>
            <w:vAlign w:val="center"/>
          </w:tcPr>
          <w:p w14:paraId="0A76C5CF">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2.94×10</w:t>
            </w:r>
            <w:r>
              <w:rPr>
                <w:rFonts w:hint="eastAsia" w:ascii="Times New Roman" w:hAnsi="Times New Roman" w:cs="Times New Roman" w:eastAsiaTheme="minorEastAsia"/>
                <w:szCs w:val="21"/>
                <w:highlight w:val="none"/>
                <w:vertAlign w:val="superscript"/>
                <w:lang w:val="en-US" w:eastAsia="zh-CN"/>
              </w:rPr>
              <w:t>-6</w:t>
            </w:r>
          </w:p>
        </w:tc>
        <w:tc>
          <w:tcPr>
            <w:tcW w:w="410" w:type="pct"/>
            <w:noWrap w:val="0"/>
            <w:tcMar>
              <w:left w:w="0" w:type="dxa"/>
              <w:right w:w="0" w:type="dxa"/>
            </w:tcMar>
            <w:vAlign w:val="center"/>
          </w:tcPr>
          <w:p w14:paraId="7FC33D0F">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1.20×10</w:t>
            </w:r>
            <w:r>
              <w:rPr>
                <w:rFonts w:hint="eastAsia" w:ascii="Times New Roman" w:hAnsi="Times New Roman" w:cs="Times New Roman" w:eastAsiaTheme="minorEastAsia"/>
                <w:szCs w:val="21"/>
                <w:highlight w:val="none"/>
                <w:vertAlign w:val="superscript"/>
                <w:lang w:val="en-US" w:eastAsia="zh-CN"/>
              </w:rPr>
              <w:t>-8</w:t>
            </w:r>
          </w:p>
        </w:tc>
        <w:tc>
          <w:tcPr>
            <w:tcW w:w="428" w:type="pct"/>
            <w:noWrap w:val="0"/>
            <w:tcMar>
              <w:left w:w="0" w:type="dxa"/>
              <w:right w:w="0" w:type="dxa"/>
            </w:tcMar>
            <w:vAlign w:val="center"/>
          </w:tcPr>
          <w:p w14:paraId="369E1364">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9.29×10</w:t>
            </w:r>
            <w:r>
              <w:rPr>
                <w:rFonts w:hint="eastAsia" w:ascii="Times New Roman" w:hAnsi="Times New Roman" w:cs="Times New Roman" w:eastAsiaTheme="minorEastAsia"/>
                <w:szCs w:val="21"/>
                <w:highlight w:val="none"/>
                <w:vertAlign w:val="superscript"/>
                <w:lang w:val="en-US" w:eastAsia="zh-CN"/>
              </w:rPr>
              <w:t>-8</w:t>
            </w:r>
          </w:p>
        </w:tc>
        <w:tc>
          <w:tcPr>
            <w:tcW w:w="443" w:type="pct"/>
            <w:noWrap w:val="0"/>
            <w:tcMar>
              <w:left w:w="0" w:type="dxa"/>
              <w:right w:w="0" w:type="dxa"/>
            </w:tcMar>
            <w:vAlign w:val="center"/>
          </w:tcPr>
          <w:p w14:paraId="52DADF8C">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5.80×10</w:t>
            </w:r>
            <w:r>
              <w:rPr>
                <w:rFonts w:hint="eastAsia" w:ascii="Times New Roman" w:hAnsi="Times New Roman" w:cs="Times New Roman" w:eastAsiaTheme="minorEastAsia"/>
                <w:szCs w:val="21"/>
                <w:highlight w:val="none"/>
                <w:vertAlign w:val="superscript"/>
                <w:lang w:val="en-US" w:eastAsia="zh-CN"/>
              </w:rPr>
              <w:t>-12</w:t>
            </w:r>
          </w:p>
        </w:tc>
      </w:tr>
      <w:tr w14:paraId="3D059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noWrap w:val="0"/>
            <w:tcMar>
              <w:left w:w="0" w:type="dxa"/>
              <w:right w:w="0" w:type="dxa"/>
            </w:tcMar>
            <w:vAlign w:val="center"/>
          </w:tcPr>
          <w:p w14:paraId="0E3BABD8">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4</w:t>
            </w:r>
          </w:p>
        </w:tc>
        <w:tc>
          <w:tcPr>
            <w:tcW w:w="499" w:type="pct"/>
            <w:noWrap w:val="0"/>
            <w:tcMar>
              <w:left w:w="0" w:type="dxa"/>
              <w:right w:w="0" w:type="dxa"/>
            </w:tcMar>
            <w:vAlign w:val="center"/>
          </w:tcPr>
          <w:p w14:paraId="6CE983F3">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破碎系统粉尘（G3）排口</w:t>
            </w:r>
          </w:p>
        </w:tc>
        <w:tc>
          <w:tcPr>
            <w:tcW w:w="187" w:type="pct"/>
            <w:noWrap w:val="0"/>
            <w:tcMar>
              <w:left w:w="0" w:type="dxa"/>
              <w:right w:w="0" w:type="dxa"/>
            </w:tcMar>
            <w:vAlign w:val="center"/>
          </w:tcPr>
          <w:p w14:paraId="041584D9">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15</w:t>
            </w:r>
          </w:p>
        </w:tc>
        <w:tc>
          <w:tcPr>
            <w:tcW w:w="235" w:type="pct"/>
            <w:noWrap w:val="0"/>
            <w:tcMar>
              <w:left w:w="0" w:type="dxa"/>
              <w:right w:w="0" w:type="dxa"/>
            </w:tcMar>
            <w:vAlign w:val="center"/>
          </w:tcPr>
          <w:p w14:paraId="5C2E67C4">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1.0</w:t>
            </w:r>
          </w:p>
        </w:tc>
        <w:tc>
          <w:tcPr>
            <w:tcW w:w="293" w:type="pct"/>
            <w:noWrap w:val="0"/>
            <w:tcMar>
              <w:left w:w="0" w:type="dxa"/>
              <w:right w:w="0" w:type="dxa"/>
            </w:tcMar>
            <w:vAlign w:val="center"/>
          </w:tcPr>
          <w:p w14:paraId="1D33479E">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52500</w:t>
            </w:r>
          </w:p>
        </w:tc>
        <w:tc>
          <w:tcPr>
            <w:tcW w:w="287" w:type="pct"/>
            <w:noWrap w:val="0"/>
            <w:tcMar>
              <w:left w:w="0" w:type="dxa"/>
              <w:right w:w="0" w:type="dxa"/>
            </w:tcMar>
            <w:vAlign w:val="center"/>
          </w:tcPr>
          <w:p w14:paraId="2E88687E">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25</w:t>
            </w:r>
          </w:p>
        </w:tc>
        <w:tc>
          <w:tcPr>
            <w:tcW w:w="326" w:type="pct"/>
            <w:noWrap w:val="0"/>
            <w:tcMar>
              <w:left w:w="0" w:type="dxa"/>
              <w:right w:w="0" w:type="dxa"/>
            </w:tcMar>
            <w:vAlign w:val="center"/>
          </w:tcPr>
          <w:p w14:paraId="677F24A0">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正常</w:t>
            </w:r>
          </w:p>
        </w:tc>
        <w:tc>
          <w:tcPr>
            <w:tcW w:w="351" w:type="pct"/>
            <w:noWrap w:val="0"/>
            <w:tcMar>
              <w:left w:w="0" w:type="dxa"/>
              <w:right w:w="0" w:type="dxa"/>
            </w:tcMar>
            <w:vAlign w:val="center"/>
          </w:tcPr>
          <w:p w14:paraId="77E20D7B">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0.1116</w:t>
            </w:r>
          </w:p>
        </w:tc>
        <w:tc>
          <w:tcPr>
            <w:tcW w:w="309" w:type="pct"/>
            <w:noWrap w:val="0"/>
            <w:tcMar>
              <w:left w:w="0" w:type="dxa"/>
              <w:right w:w="0" w:type="dxa"/>
            </w:tcMar>
            <w:vAlign w:val="center"/>
          </w:tcPr>
          <w:p w14:paraId="14DAE2F4">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w:t>
            </w:r>
          </w:p>
        </w:tc>
        <w:tc>
          <w:tcPr>
            <w:tcW w:w="365" w:type="pct"/>
            <w:noWrap w:val="0"/>
            <w:tcMar>
              <w:left w:w="0" w:type="dxa"/>
              <w:right w:w="0" w:type="dxa"/>
            </w:tcMar>
            <w:vAlign w:val="center"/>
          </w:tcPr>
          <w:p w14:paraId="0679DD03">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w:t>
            </w:r>
          </w:p>
        </w:tc>
        <w:tc>
          <w:tcPr>
            <w:tcW w:w="414" w:type="pct"/>
            <w:noWrap w:val="0"/>
            <w:tcMar>
              <w:left w:w="0" w:type="dxa"/>
              <w:right w:w="0" w:type="dxa"/>
            </w:tcMar>
            <w:vAlign w:val="center"/>
          </w:tcPr>
          <w:p w14:paraId="604C2413">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0.0157</w:t>
            </w:r>
          </w:p>
        </w:tc>
        <w:tc>
          <w:tcPr>
            <w:tcW w:w="368" w:type="pct"/>
            <w:noWrap w:val="0"/>
            <w:tcMar>
              <w:left w:w="0" w:type="dxa"/>
              <w:right w:w="0" w:type="dxa"/>
            </w:tcMar>
            <w:vAlign w:val="center"/>
          </w:tcPr>
          <w:p w14:paraId="25626238">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0.0003</w:t>
            </w:r>
          </w:p>
        </w:tc>
        <w:tc>
          <w:tcPr>
            <w:tcW w:w="410" w:type="pct"/>
            <w:noWrap w:val="0"/>
            <w:tcMar>
              <w:left w:w="0" w:type="dxa"/>
              <w:right w:w="0" w:type="dxa"/>
            </w:tcMar>
            <w:vAlign w:val="center"/>
          </w:tcPr>
          <w:p w14:paraId="1517AD8D">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2.12×10</w:t>
            </w:r>
            <w:r>
              <w:rPr>
                <w:rFonts w:hint="eastAsia" w:ascii="Times New Roman" w:hAnsi="Times New Roman" w:cs="Times New Roman" w:eastAsiaTheme="minorEastAsia"/>
                <w:szCs w:val="21"/>
                <w:highlight w:val="none"/>
                <w:vertAlign w:val="superscript"/>
                <w:lang w:val="en-US" w:eastAsia="zh-CN"/>
              </w:rPr>
              <w:t>-7</w:t>
            </w:r>
          </w:p>
        </w:tc>
        <w:tc>
          <w:tcPr>
            <w:tcW w:w="428" w:type="pct"/>
            <w:noWrap w:val="0"/>
            <w:tcMar>
              <w:left w:w="0" w:type="dxa"/>
              <w:right w:w="0" w:type="dxa"/>
            </w:tcMar>
            <w:vAlign w:val="center"/>
          </w:tcPr>
          <w:p w14:paraId="25FFCBF9">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4.25×10</w:t>
            </w:r>
            <w:r>
              <w:rPr>
                <w:rFonts w:hint="eastAsia" w:ascii="Times New Roman" w:hAnsi="Times New Roman" w:cs="Times New Roman" w:eastAsiaTheme="minorEastAsia"/>
                <w:szCs w:val="21"/>
                <w:highlight w:val="none"/>
                <w:vertAlign w:val="superscript"/>
                <w:lang w:val="en-US" w:eastAsia="zh-CN"/>
              </w:rPr>
              <w:t>-6</w:t>
            </w:r>
          </w:p>
        </w:tc>
        <w:tc>
          <w:tcPr>
            <w:tcW w:w="443" w:type="pct"/>
            <w:noWrap w:val="0"/>
            <w:tcMar>
              <w:left w:w="0" w:type="dxa"/>
              <w:right w:w="0" w:type="dxa"/>
            </w:tcMar>
            <w:vAlign w:val="center"/>
          </w:tcPr>
          <w:p w14:paraId="08BE27DD">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6.72×10</w:t>
            </w:r>
            <w:r>
              <w:rPr>
                <w:rFonts w:hint="eastAsia" w:ascii="Times New Roman" w:hAnsi="Times New Roman" w:cs="Times New Roman" w:eastAsiaTheme="minorEastAsia"/>
                <w:szCs w:val="21"/>
                <w:highlight w:val="none"/>
                <w:vertAlign w:val="superscript"/>
                <w:lang w:val="en-US" w:eastAsia="zh-CN"/>
              </w:rPr>
              <w:t>-12</w:t>
            </w:r>
          </w:p>
        </w:tc>
      </w:tr>
      <w:tr w14:paraId="50F9E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15"/>
            <w:noWrap w:val="0"/>
            <w:tcMar>
              <w:left w:w="0" w:type="dxa"/>
              <w:right w:w="0" w:type="dxa"/>
            </w:tcMar>
            <w:vAlign w:val="center"/>
          </w:tcPr>
          <w:p w14:paraId="654C017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无组织面源</w:t>
            </w:r>
          </w:p>
        </w:tc>
      </w:tr>
      <w:tr w14:paraId="4FDEB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vMerge w:val="restart"/>
            <w:noWrap w:val="0"/>
            <w:tcMar>
              <w:left w:w="0" w:type="dxa"/>
              <w:right w:w="0" w:type="dxa"/>
            </w:tcMar>
            <w:vAlign w:val="center"/>
          </w:tcPr>
          <w:p w14:paraId="7B39B91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编号</w:t>
            </w:r>
          </w:p>
        </w:tc>
        <w:tc>
          <w:tcPr>
            <w:tcW w:w="499" w:type="pct"/>
            <w:vMerge w:val="restart"/>
            <w:noWrap w:val="0"/>
            <w:tcMar>
              <w:left w:w="0" w:type="dxa"/>
              <w:right w:w="0" w:type="dxa"/>
            </w:tcMar>
            <w:vAlign w:val="center"/>
          </w:tcPr>
          <w:p w14:paraId="478A18F0">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面源</w:t>
            </w:r>
          </w:p>
          <w:p w14:paraId="36277DB8">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名称</w:t>
            </w:r>
          </w:p>
        </w:tc>
        <w:tc>
          <w:tcPr>
            <w:tcW w:w="187" w:type="pct"/>
            <w:vMerge w:val="restart"/>
            <w:noWrap w:val="0"/>
            <w:tcMar>
              <w:left w:w="0" w:type="dxa"/>
              <w:right w:w="0" w:type="dxa"/>
            </w:tcMar>
            <w:vAlign w:val="center"/>
          </w:tcPr>
          <w:p w14:paraId="1C69ACDE">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面源</w:t>
            </w:r>
            <w:r>
              <w:rPr>
                <w:rFonts w:hint="eastAsia" w:ascii="Times New Roman" w:hAnsi="Times New Roman" w:cs="Times New Roman"/>
                <w:szCs w:val="21"/>
                <w:highlight w:val="none"/>
                <w:lang w:val="en-US" w:eastAsia="zh-CN"/>
              </w:rPr>
              <w:t>海拔</w:t>
            </w:r>
            <w:r>
              <w:rPr>
                <w:rFonts w:hint="eastAsia" w:ascii="Times New Roman" w:hAnsi="Times New Roman" w:cs="Times New Roman" w:eastAsiaTheme="minorEastAsia"/>
                <w:szCs w:val="21"/>
                <w:highlight w:val="none"/>
                <w:lang w:val="en-US" w:eastAsia="zh-CN"/>
              </w:rPr>
              <w:t>/m</w:t>
            </w:r>
          </w:p>
        </w:tc>
        <w:tc>
          <w:tcPr>
            <w:tcW w:w="235" w:type="pct"/>
            <w:vMerge w:val="restart"/>
            <w:noWrap w:val="0"/>
            <w:tcMar>
              <w:left w:w="0" w:type="dxa"/>
              <w:right w:w="0" w:type="dxa"/>
            </w:tcMar>
            <w:vAlign w:val="center"/>
          </w:tcPr>
          <w:p w14:paraId="04ED3F9F">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面源</w:t>
            </w:r>
          </w:p>
          <w:p w14:paraId="16C52B14">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长度/m</w:t>
            </w:r>
          </w:p>
        </w:tc>
        <w:tc>
          <w:tcPr>
            <w:tcW w:w="293" w:type="pct"/>
            <w:vMerge w:val="restart"/>
            <w:noWrap w:val="0"/>
            <w:tcMar>
              <w:left w:w="0" w:type="dxa"/>
              <w:right w:w="0" w:type="dxa"/>
            </w:tcMar>
            <w:vAlign w:val="center"/>
          </w:tcPr>
          <w:p w14:paraId="0104F267">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面源</w:t>
            </w:r>
          </w:p>
          <w:p w14:paraId="28E789AD">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宽度/m</w:t>
            </w:r>
          </w:p>
        </w:tc>
        <w:tc>
          <w:tcPr>
            <w:tcW w:w="287" w:type="pct"/>
            <w:vMerge w:val="restart"/>
            <w:shd w:val="clear" w:color="auto" w:fill="auto"/>
            <w:noWrap w:val="0"/>
            <w:tcMar>
              <w:left w:w="0" w:type="dxa"/>
              <w:right w:w="0" w:type="dxa"/>
            </w:tcMar>
            <w:vAlign w:val="center"/>
          </w:tcPr>
          <w:p w14:paraId="7DB12FF4">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与正北向</w:t>
            </w:r>
          </w:p>
          <w:p w14:paraId="5B11AEEF">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夹角/°</w:t>
            </w:r>
          </w:p>
        </w:tc>
        <w:tc>
          <w:tcPr>
            <w:tcW w:w="326" w:type="pct"/>
            <w:vMerge w:val="restart"/>
            <w:shd w:val="clear" w:color="auto" w:fill="auto"/>
            <w:noWrap w:val="0"/>
            <w:tcMar>
              <w:left w:w="0" w:type="dxa"/>
              <w:right w:w="0" w:type="dxa"/>
            </w:tcMar>
            <w:vAlign w:val="center"/>
          </w:tcPr>
          <w:p w14:paraId="31F90333">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面源有效</w:t>
            </w:r>
          </w:p>
          <w:p w14:paraId="6C86B64F">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排放高度</w:t>
            </w:r>
          </w:p>
          <w:p w14:paraId="4CA76A7E">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/m</w:t>
            </w:r>
          </w:p>
        </w:tc>
        <w:tc>
          <w:tcPr>
            <w:tcW w:w="3091" w:type="pct"/>
            <w:gridSpan w:val="8"/>
            <w:shd w:val="clear" w:color="auto" w:fill="auto"/>
            <w:noWrap w:val="0"/>
            <w:tcMar>
              <w:left w:w="0" w:type="dxa"/>
              <w:right w:w="0" w:type="dxa"/>
            </w:tcMar>
            <w:vAlign w:val="center"/>
          </w:tcPr>
          <w:p w14:paraId="3E1DBC1B">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污染物排放速率（kg/h）</w:t>
            </w:r>
          </w:p>
        </w:tc>
      </w:tr>
      <w:tr w14:paraId="0F734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vMerge w:val="continue"/>
            <w:noWrap w:val="0"/>
            <w:tcMar>
              <w:left w:w="0" w:type="dxa"/>
              <w:right w:w="0" w:type="dxa"/>
            </w:tcMar>
            <w:vAlign w:val="center"/>
          </w:tcPr>
          <w:p w14:paraId="0CD58243">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499" w:type="pct"/>
            <w:vMerge w:val="continue"/>
            <w:noWrap w:val="0"/>
            <w:tcMar>
              <w:left w:w="0" w:type="dxa"/>
              <w:right w:w="0" w:type="dxa"/>
            </w:tcMar>
            <w:vAlign w:val="center"/>
          </w:tcPr>
          <w:p w14:paraId="0DA72E52">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187" w:type="pct"/>
            <w:vMerge w:val="continue"/>
            <w:noWrap w:val="0"/>
            <w:tcMar>
              <w:left w:w="0" w:type="dxa"/>
              <w:right w:w="0" w:type="dxa"/>
            </w:tcMar>
            <w:vAlign w:val="center"/>
          </w:tcPr>
          <w:p w14:paraId="3F0AA495">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235" w:type="pct"/>
            <w:vMerge w:val="continue"/>
            <w:noWrap w:val="0"/>
            <w:tcMar>
              <w:left w:w="0" w:type="dxa"/>
              <w:right w:w="0" w:type="dxa"/>
            </w:tcMar>
            <w:vAlign w:val="center"/>
          </w:tcPr>
          <w:p w14:paraId="75896A1F">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293" w:type="pct"/>
            <w:vMerge w:val="continue"/>
            <w:noWrap w:val="0"/>
            <w:tcMar>
              <w:left w:w="0" w:type="dxa"/>
              <w:right w:w="0" w:type="dxa"/>
            </w:tcMar>
            <w:vAlign w:val="center"/>
          </w:tcPr>
          <w:p w14:paraId="40925486">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287" w:type="pct"/>
            <w:vMerge w:val="continue"/>
            <w:shd w:val="clear" w:color="auto" w:fill="auto"/>
            <w:noWrap w:val="0"/>
            <w:tcMar>
              <w:left w:w="0" w:type="dxa"/>
              <w:right w:w="0" w:type="dxa"/>
            </w:tcMar>
            <w:vAlign w:val="center"/>
          </w:tcPr>
          <w:p w14:paraId="79B46D2B">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326" w:type="pct"/>
            <w:vMerge w:val="continue"/>
            <w:shd w:val="clear" w:color="auto" w:fill="auto"/>
            <w:noWrap w:val="0"/>
            <w:tcMar>
              <w:left w:w="0" w:type="dxa"/>
              <w:right w:w="0" w:type="dxa"/>
            </w:tcMar>
            <w:vAlign w:val="center"/>
          </w:tcPr>
          <w:p w14:paraId="79C4FA10">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351" w:type="pct"/>
            <w:shd w:val="clear" w:color="auto" w:fill="auto"/>
            <w:noWrap w:val="0"/>
            <w:tcMar>
              <w:left w:w="0" w:type="dxa"/>
              <w:right w:w="0" w:type="dxa"/>
            </w:tcMar>
            <w:vAlign w:val="center"/>
          </w:tcPr>
          <w:p w14:paraId="27922E66">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TSP</w:t>
            </w:r>
          </w:p>
        </w:tc>
        <w:tc>
          <w:tcPr>
            <w:tcW w:w="309" w:type="pct"/>
            <w:noWrap w:val="0"/>
            <w:tcMar>
              <w:left w:w="0" w:type="dxa"/>
              <w:right w:w="0" w:type="dxa"/>
            </w:tcMar>
            <w:vAlign w:val="center"/>
          </w:tcPr>
          <w:p w14:paraId="13C2D570">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SO</w:t>
            </w:r>
            <w:r>
              <w:rPr>
                <w:rFonts w:hint="eastAsia" w:ascii="Times New Roman" w:hAnsi="Times New Roman" w:cs="Times New Roman" w:eastAsiaTheme="minorEastAsia"/>
                <w:szCs w:val="21"/>
                <w:highlight w:val="none"/>
                <w:vertAlign w:val="subscript"/>
                <w:lang w:val="en-US" w:eastAsia="zh-CN"/>
              </w:rPr>
              <w:t>2</w:t>
            </w:r>
          </w:p>
        </w:tc>
        <w:tc>
          <w:tcPr>
            <w:tcW w:w="365" w:type="pct"/>
            <w:noWrap w:val="0"/>
            <w:tcMar>
              <w:left w:w="0" w:type="dxa"/>
              <w:right w:w="0" w:type="dxa"/>
            </w:tcMar>
            <w:vAlign w:val="center"/>
          </w:tcPr>
          <w:p w14:paraId="0145C780">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NO</w:t>
            </w:r>
            <w:r>
              <w:rPr>
                <w:rFonts w:hint="eastAsia" w:ascii="Times New Roman" w:hAnsi="Times New Roman" w:cs="Times New Roman"/>
                <w:szCs w:val="21"/>
                <w:highlight w:val="none"/>
                <w:lang w:val="en-US" w:eastAsia="zh-CN"/>
              </w:rPr>
              <w:t>x</w:t>
            </w:r>
          </w:p>
        </w:tc>
        <w:tc>
          <w:tcPr>
            <w:tcW w:w="414" w:type="pct"/>
            <w:noWrap w:val="0"/>
            <w:tcMar>
              <w:left w:w="0" w:type="dxa"/>
              <w:right w:w="0" w:type="dxa"/>
            </w:tcMar>
            <w:vAlign w:val="center"/>
          </w:tcPr>
          <w:p w14:paraId="12489CBF">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锌</w:t>
            </w:r>
          </w:p>
        </w:tc>
        <w:tc>
          <w:tcPr>
            <w:tcW w:w="368" w:type="pct"/>
            <w:noWrap w:val="0"/>
            <w:tcMar>
              <w:left w:w="0" w:type="dxa"/>
              <w:right w:w="0" w:type="dxa"/>
            </w:tcMar>
            <w:vAlign w:val="center"/>
          </w:tcPr>
          <w:p w14:paraId="2B19F02A">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铅</w:t>
            </w:r>
          </w:p>
        </w:tc>
        <w:tc>
          <w:tcPr>
            <w:tcW w:w="410" w:type="pct"/>
            <w:noWrap w:val="0"/>
            <w:tcMar>
              <w:left w:w="0" w:type="dxa"/>
              <w:right w:w="0" w:type="dxa"/>
            </w:tcMar>
            <w:vAlign w:val="center"/>
          </w:tcPr>
          <w:p w14:paraId="60558A54">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砷</w:t>
            </w:r>
          </w:p>
        </w:tc>
        <w:tc>
          <w:tcPr>
            <w:tcW w:w="428" w:type="pct"/>
            <w:noWrap w:val="0"/>
            <w:tcMar>
              <w:left w:w="0" w:type="dxa"/>
              <w:right w:w="0" w:type="dxa"/>
            </w:tcMar>
            <w:vAlign w:val="center"/>
          </w:tcPr>
          <w:p w14:paraId="2C6967A8">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镉</w:t>
            </w:r>
          </w:p>
        </w:tc>
        <w:tc>
          <w:tcPr>
            <w:tcW w:w="443" w:type="pct"/>
            <w:noWrap w:val="0"/>
            <w:tcMar>
              <w:left w:w="0" w:type="dxa"/>
              <w:right w:w="0" w:type="dxa"/>
            </w:tcMar>
            <w:vAlign w:val="center"/>
          </w:tcPr>
          <w:p w14:paraId="07EA69B7">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汞</w:t>
            </w:r>
          </w:p>
        </w:tc>
      </w:tr>
      <w:tr w14:paraId="5CA40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noWrap w:val="0"/>
            <w:tcMar>
              <w:left w:w="0" w:type="dxa"/>
              <w:right w:w="0" w:type="dxa"/>
            </w:tcMar>
            <w:vAlign w:val="center"/>
          </w:tcPr>
          <w:p w14:paraId="0B78F83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w:t>
            </w:r>
          </w:p>
        </w:tc>
        <w:tc>
          <w:tcPr>
            <w:tcW w:w="499" w:type="pct"/>
            <w:noWrap w:val="0"/>
            <w:tcMar>
              <w:left w:w="0" w:type="dxa"/>
              <w:right w:w="0" w:type="dxa"/>
            </w:tcMar>
            <w:vAlign w:val="center"/>
          </w:tcPr>
          <w:p w14:paraId="5C233B82">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回转窑</w:t>
            </w:r>
          </w:p>
        </w:tc>
        <w:tc>
          <w:tcPr>
            <w:tcW w:w="187" w:type="pct"/>
            <w:noWrap w:val="0"/>
            <w:tcMar>
              <w:left w:w="0" w:type="dxa"/>
              <w:right w:w="0" w:type="dxa"/>
            </w:tcMar>
            <w:vAlign w:val="center"/>
          </w:tcPr>
          <w:p w14:paraId="7C75EA39">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1299</w:t>
            </w:r>
          </w:p>
        </w:tc>
        <w:tc>
          <w:tcPr>
            <w:tcW w:w="235" w:type="pct"/>
            <w:noWrap w:val="0"/>
            <w:tcMar>
              <w:left w:w="0" w:type="dxa"/>
              <w:right w:w="0" w:type="dxa"/>
            </w:tcMar>
            <w:vAlign w:val="center"/>
          </w:tcPr>
          <w:p w14:paraId="73F04EAC">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25</w:t>
            </w:r>
          </w:p>
        </w:tc>
        <w:tc>
          <w:tcPr>
            <w:tcW w:w="293" w:type="pct"/>
            <w:noWrap w:val="0"/>
            <w:tcMar>
              <w:left w:w="0" w:type="dxa"/>
              <w:right w:w="0" w:type="dxa"/>
            </w:tcMar>
            <w:vAlign w:val="center"/>
          </w:tcPr>
          <w:p w14:paraId="6870D8CC">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39</w:t>
            </w:r>
          </w:p>
        </w:tc>
        <w:tc>
          <w:tcPr>
            <w:tcW w:w="287" w:type="pct"/>
            <w:noWrap w:val="0"/>
            <w:tcMar>
              <w:left w:w="0" w:type="dxa"/>
              <w:right w:w="0" w:type="dxa"/>
            </w:tcMar>
            <w:vAlign w:val="center"/>
          </w:tcPr>
          <w:p w14:paraId="67AD33AB">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-45</w:t>
            </w:r>
          </w:p>
        </w:tc>
        <w:tc>
          <w:tcPr>
            <w:tcW w:w="326" w:type="pct"/>
            <w:noWrap w:val="0"/>
            <w:tcMar>
              <w:left w:w="0" w:type="dxa"/>
              <w:right w:w="0" w:type="dxa"/>
            </w:tcMar>
            <w:vAlign w:val="center"/>
          </w:tcPr>
          <w:p w14:paraId="527AFCE5">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10</w:t>
            </w:r>
          </w:p>
        </w:tc>
        <w:tc>
          <w:tcPr>
            <w:tcW w:w="351" w:type="pct"/>
            <w:noWrap w:val="0"/>
            <w:tcMar>
              <w:left w:w="0" w:type="dxa"/>
              <w:right w:w="0" w:type="dxa"/>
            </w:tcMar>
            <w:vAlign w:val="center"/>
          </w:tcPr>
          <w:p w14:paraId="7BC3697E">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0.0409</w:t>
            </w:r>
          </w:p>
        </w:tc>
        <w:tc>
          <w:tcPr>
            <w:tcW w:w="309" w:type="pct"/>
            <w:noWrap w:val="0"/>
            <w:tcMar>
              <w:left w:w="0" w:type="dxa"/>
              <w:right w:w="0" w:type="dxa"/>
            </w:tcMar>
            <w:vAlign w:val="center"/>
          </w:tcPr>
          <w:p w14:paraId="32B786D3">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0.0023</w:t>
            </w:r>
          </w:p>
        </w:tc>
        <w:tc>
          <w:tcPr>
            <w:tcW w:w="365" w:type="pct"/>
            <w:noWrap w:val="0"/>
            <w:tcMar>
              <w:left w:w="0" w:type="dxa"/>
              <w:right w:w="0" w:type="dxa"/>
            </w:tcMar>
            <w:vAlign w:val="center"/>
          </w:tcPr>
          <w:p w14:paraId="61225DB9">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0.0035</w:t>
            </w:r>
          </w:p>
        </w:tc>
        <w:tc>
          <w:tcPr>
            <w:tcW w:w="414" w:type="pct"/>
            <w:noWrap w:val="0"/>
            <w:tcMar>
              <w:left w:w="0" w:type="dxa"/>
              <w:right w:w="0" w:type="dxa"/>
            </w:tcMar>
            <w:vAlign w:val="center"/>
          </w:tcPr>
          <w:p w14:paraId="226B495F">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6.26×10</w:t>
            </w:r>
            <w:r>
              <w:rPr>
                <w:rFonts w:hint="eastAsia" w:ascii="Times New Roman" w:hAnsi="Times New Roman" w:cs="Times New Roman" w:eastAsiaTheme="minorEastAsia"/>
                <w:szCs w:val="21"/>
                <w:highlight w:val="none"/>
                <w:vertAlign w:val="superscript"/>
                <w:lang w:val="en-US" w:eastAsia="zh-CN"/>
              </w:rPr>
              <w:t>-5</w:t>
            </w:r>
          </w:p>
        </w:tc>
        <w:tc>
          <w:tcPr>
            <w:tcW w:w="368" w:type="pct"/>
            <w:noWrap w:val="0"/>
            <w:tcMar>
              <w:left w:w="0" w:type="dxa"/>
              <w:right w:w="0" w:type="dxa"/>
            </w:tcMar>
            <w:vAlign w:val="center"/>
          </w:tcPr>
          <w:p w14:paraId="58D0D68D">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0.00013</w:t>
            </w:r>
          </w:p>
        </w:tc>
        <w:tc>
          <w:tcPr>
            <w:tcW w:w="410" w:type="pct"/>
            <w:noWrap w:val="0"/>
            <w:tcMar>
              <w:left w:w="0" w:type="dxa"/>
              <w:right w:w="0" w:type="dxa"/>
            </w:tcMar>
            <w:vAlign w:val="center"/>
          </w:tcPr>
          <w:p w14:paraId="4C9FE378">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5.32×10</w:t>
            </w:r>
            <w:r>
              <w:rPr>
                <w:rFonts w:hint="eastAsia" w:ascii="Times New Roman" w:hAnsi="Times New Roman" w:cs="Times New Roman" w:eastAsiaTheme="minorEastAsia"/>
                <w:szCs w:val="21"/>
                <w:highlight w:val="none"/>
                <w:vertAlign w:val="superscript"/>
                <w:lang w:val="en-US" w:eastAsia="zh-CN"/>
              </w:rPr>
              <w:t>-7</w:t>
            </w:r>
          </w:p>
        </w:tc>
        <w:tc>
          <w:tcPr>
            <w:tcW w:w="428" w:type="pct"/>
            <w:noWrap w:val="0"/>
            <w:tcMar>
              <w:left w:w="0" w:type="dxa"/>
              <w:right w:w="0" w:type="dxa"/>
            </w:tcMar>
            <w:vAlign w:val="center"/>
          </w:tcPr>
          <w:p w14:paraId="140C8128">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4.13×10</w:t>
            </w:r>
            <w:r>
              <w:rPr>
                <w:rFonts w:hint="eastAsia" w:ascii="Times New Roman" w:hAnsi="Times New Roman" w:cs="Times New Roman" w:eastAsiaTheme="minorEastAsia"/>
                <w:szCs w:val="21"/>
                <w:highlight w:val="none"/>
                <w:vertAlign w:val="superscript"/>
                <w:lang w:val="en-US" w:eastAsia="zh-CN"/>
              </w:rPr>
              <w:t>-6</w:t>
            </w:r>
          </w:p>
        </w:tc>
        <w:tc>
          <w:tcPr>
            <w:tcW w:w="443" w:type="pct"/>
            <w:noWrap w:val="0"/>
            <w:tcMar>
              <w:left w:w="0" w:type="dxa"/>
              <w:right w:w="0" w:type="dxa"/>
            </w:tcMar>
            <w:vAlign w:val="center"/>
          </w:tcPr>
          <w:p w14:paraId="567A9117">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2.58×10</w:t>
            </w:r>
            <w:r>
              <w:rPr>
                <w:rFonts w:hint="eastAsia" w:ascii="Times New Roman" w:hAnsi="Times New Roman" w:cs="Times New Roman" w:eastAsiaTheme="minorEastAsia"/>
                <w:szCs w:val="21"/>
                <w:highlight w:val="none"/>
                <w:vertAlign w:val="superscript"/>
                <w:lang w:val="en-US" w:eastAsia="zh-CN"/>
              </w:rPr>
              <w:t>-10</w:t>
            </w:r>
          </w:p>
        </w:tc>
      </w:tr>
      <w:tr w14:paraId="3D1A1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000" w:type="pct"/>
            <w:gridSpan w:val="15"/>
            <w:noWrap w:val="0"/>
            <w:tcMar>
              <w:left w:w="0" w:type="dxa"/>
              <w:right w:w="0" w:type="dxa"/>
            </w:tcMar>
            <w:vAlign w:val="center"/>
          </w:tcPr>
          <w:p w14:paraId="32B2E937">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宋体" w:cs="宋体" w:hAnsiTheme="minorHAnsi"/>
                <w:kern w:val="0"/>
              </w:rPr>
              <w:t>新疆五胜新启废旧机动车拆解一体化项目</w:t>
            </w:r>
          </w:p>
        </w:tc>
      </w:tr>
      <w:tr w14:paraId="7A5DE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15"/>
            <w:noWrap w:val="0"/>
            <w:tcMar>
              <w:left w:w="0" w:type="dxa"/>
              <w:right w:w="0" w:type="dxa"/>
            </w:tcMar>
            <w:vAlign w:val="center"/>
          </w:tcPr>
          <w:p w14:paraId="1716092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有组织点源</w:t>
            </w:r>
          </w:p>
        </w:tc>
      </w:tr>
      <w:tr w14:paraId="2DAB9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vMerge w:val="restart"/>
            <w:noWrap w:val="0"/>
            <w:tcMar>
              <w:left w:w="0" w:type="dxa"/>
              <w:right w:w="0" w:type="dxa"/>
            </w:tcMar>
            <w:vAlign w:val="center"/>
          </w:tcPr>
          <w:p w14:paraId="23339DF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编号</w:t>
            </w:r>
          </w:p>
        </w:tc>
        <w:tc>
          <w:tcPr>
            <w:tcW w:w="499" w:type="pct"/>
            <w:vMerge w:val="restart"/>
            <w:noWrap w:val="0"/>
            <w:tcMar>
              <w:left w:w="0" w:type="dxa"/>
              <w:right w:w="0" w:type="dxa"/>
            </w:tcMar>
            <w:vAlign w:val="center"/>
          </w:tcPr>
          <w:p w14:paraId="7CAF4D2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名称</w:t>
            </w:r>
          </w:p>
        </w:tc>
        <w:tc>
          <w:tcPr>
            <w:tcW w:w="187" w:type="pct"/>
            <w:vMerge w:val="restart"/>
            <w:noWrap w:val="0"/>
            <w:tcMar>
              <w:left w:w="0" w:type="dxa"/>
              <w:right w:w="0" w:type="dxa"/>
            </w:tcMar>
            <w:vAlign w:val="center"/>
          </w:tcPr>
          <w:p w14:paraId="3F0558E1">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排气筒高度</w:t>
            </w:r>
          </w:p>
          <w:p w14:paraId="10782784">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/m</w:t>
            </w:r>
          </w:p>
        </w:tc>
        <w:tc>
          <w:tcPr>
            <w:tcW w:w="235" w:type="pct"/>
            <w:vMerge w:val="restart"/>
            <w:noWrap w:val="0"/>
            <w:tcMar>
              <w:left w:w="0" w:type="dxa"/>
              <w:right w:w="0" w:type="dxa"/>
            </w:tcMar>
            <w:vAlign w:val="center"/>
          </w:tcPr>
          <w:p w14:paraId="6DDDA077">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排气筒出口内径</w:t>
            </w:r>
          </w:p>
          <w:p w14:paraId="67BD81B6">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/m</w:t>
            </w:r>
          </w:p>
        </w:tc>
        <w:tc>
          <w:tcPr>
            <w:tcW w:w="293" w:type="pct"/>
            <w:vMerge w:val="restart"/>
            <w:noWrap w:val="0"/>
            <w:tcMar>
              <w:left w:w="0" w:type="dxa"/>
              <w:right w:w="0" w:type="dxa"/>
            </w:tcMar>
            <w:vAlign w:val="center"/>
          </w:tcPr>
          <w:p w14:paraId="1A51753B">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烟气排放量/（m</w:t>
            </w:r>
            <w:r>
              <w:rPr>
                <w:rFonts w:hint="eastAsia" w:ascii="Times New Roman" w:hAnsi="Times New Roman" w:cs="Times New Roman" w:eastAsiaTheme="minorEastAsia"/>
                <w:szCs w:val="21"/>
                <w:highlight w:val="none"/>
                <w:vertAlign w:val="superscript"/>
                <w:lang w:val="en-US" w:eastAsia="zh-CN"/>
              </w:rPr>
              <w:t>3</w:t>
            </w:r>
            <w:r>
              <w:rPr>
                <w:rFonts w:hint="eastAsia" w:ascii="Times New Roman" w:hAnsi="Times New Roman" w:cs="Times New Roman" w:eastAsiaTheme="minorEastAsia"/>
                <w:szCs w:val="21"/>
                <w:highlight w:val="none"/>
                <w:lang w:val="en-US" w:eastAsia="zh-CN"/>
              </w:rPr>
              <w:t>/h）</w:t>
            </w:r>
          </w:p>
        </w:tc>
        <w:tc>
          <w:tcPr>
            <w:tcW w:w="287" w:type="pct"/>
            <w:vMerge w:val="restart"/>
            <w:noWrap w:val="0"/>
            <w:tcMar>
              <w:left w:w="0" w:type="dxa"/>
              <w:right w:w="0" w:type="dxa"/>
            </w:tcMar>
            <w:vAlign w:val="center"/>
          </w:tcPr>
          <w:p w14:paraId="449B1B2C">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烟气温度/℃</w:t>
            </w:r>
          </w:p>
        </w:tc>
        <w:tc>
          <w:tcPr>
            <w:tcW w:w="326" w:type="pct"/>
            <w:vMerge w:val="restart"/>
            <w:noWrap w:val="0"/>
            <w:tcMar>
              <w:left w:w="0" w:type="dxa"/>
              <w:right w:w="0" w:type="dxa"/>
            </w:tcMar>
            <w:vAlign w:val="center"/>
          </w:tcPr>
          <w:p w14:paraId="3CDCA849">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排放</w:t>
            </w:r>
          </w:p>
          <w:p w14:paraId="0F27F28A">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工况</w:t>
            </w:r>
          </w:p>
        </w:tc>
        <w:tc>
          <w:tcPr>
            <w:tcW w:w="3091" w:type="pct"/>
            <w:gridSpan w:val="8"/>
            <w:noWrap w:val="0"/>
            <w:tcMar>
              <w:left w:w="0" w:type="dxa"/>
              <w:right w:w="0" w:type="dxa"/>
            </w:tcMar>
            <w:vAlign w:val="center"/>
          </w:tcPr>
          <w:p w14:paraId="6F7C86C9">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污染物排放速率（kg/h）</w:t>
            </w:r>
          </w:p>
        </w:tc>
      </w:tr>
      <w:tr w14:paraId="3A19F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78" w:type="pct"/>
            <w:vMerge w:val="continue"/>
            <w:noWrap w:val="0"/>
            <w:tcMar>
              <w:left w:w="0" w:type="dxa"/>
              <w:right w:w="0" w:type="dxa"/>
            </w:tcMar>
            <w:vAlign w:val="center"/>
          </w:tcPr>
          <w:p w14:paraId="6F012C58">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499" w:type="pct"/>
            <w:vMerge w:val="continue"/>
            <w:noWrap w:val="0"/>
            <w:tcMar>
              <w:left w:w="0" w:type="dxa"/>
              <w:right w:w="0" w:type="dxa"/>
            </w:tcMar>
            <w:vAlign w:val="center"/>
          </w:tcPr>
          <w:p w14:paraId="3F96480A">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187" w:type="pct"/>
            <w:vMerge w:val="continue"/>
            <w:noWrap w:val="0"/>
            <w:tcMar>
              <w:left w:w="0" w:type="dxa"/>
              <w:right w:w="0" w:type="dxa"/>
            </w:tcMar>
            <w:vAlign w:val="center"/>
          </w:tcPr>
          <w:p w14:paraId="504EAFF4">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235" w:type="pct"/>
            <w:vMerge w:val="continue"/>
            <w:noWrap w:val="0"/>
            <w:tcMar>
              <w:left w:w="0" w:type="dxa"/>
              <w:right w:w="0" w:type="dxa"/>
            </w:tcMar>
            <w:vAlign w:val="center"/>
          </w:tcPr>
          <w:p w14:paraId="3D2CE79B">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293" w:type="pct"/>
            <w:vMerge w:val="continue"/>
            <w:noWrap w:val="0"/>
            <w:tcMar>
              <w:left w:w="0" w:type="dxa"/>
              <w:right w:w="0" w:type="dxa"/>
            </w:tcMar>
            <w:vAlign w:val="center"/>
          </w:tcPr>
          <w:p w14:paraId="4EC5605E">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287" w:type="pct"/>
            <w:vMerge w:val="continue"/>
            <w:noWrap w:val="0"/>
            <w:tcMar>
              <w:left w:w="0" w:type="dxa"/>
              <w:right w:w="0" w:type="dxa"/>
            </w:tcMar>
            <w:vAlign w:val="center"/>
          </w:tcPr>
          <w:p w14:paraId="098CFCF1">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326" w:type="pct"/>
            <w:vMerge w:val="continue"/>
            <w:noWrap w:val="0"/>
            <w:tcMar>
              <w:left w:w="0" w:type="dxa"/>
              <w:right w:w="0" w:type="dxa"/>
            </w:tcMar>
            <w:vAlign w:val="center"/>
          </w:tcPr>
          <w:p w14:paraId="73D3FFFB">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351" w:type="pct"/>
            <w:noWrap w:val="0"/>
            <w:tcMar>
              <w:left w:w="0" w:type="dxa"/>
              <w:right w:w="0" w:type="dxa"/>
            </w:tcMar>
            <w:vAlign w:val="center"/>
          </w:tcPr>
          <w:p w14:paraId="67A92461">
            <w:pPr>
              <w:pStyle w:val="21"/>
              <w:ind w:firstLine="0" w:firstLineChars="0"/>
              <w:jc w:val="center"/>
              <w:rPr>
                <w:rFonts w:hint="eastAsia" w:ascii="Times New Roman" w:hAnsi="Times New Roman" w:cs="Times New Roman" w:eastAsiaTheme="minorEastAsia"/>
                <w:szCs w:val="21"/>
                <w:highlight w:val="none"/>
                <w:lang w:val="en-US" w:eastAsia="zh-CN"/>
              </w:rPr>
            </w:pPr>
            <w:r>
              <w:t>PM</w:t>
            </w:r>
            <w:r>
              <w:rPr>
                <w:vertAlign w:val="subscript"/>
              </w:rPr>
              <w:t>10</w:t>
            </w:r>
          </w:p>
        </w:tc>
        <w:tc>
          <w:tcPr>
            <w:tcW w:w="309" w:type="pct"/>
            <w:noWrap w:val="0"/>
            <w:tcMar>
              <w:left w:w="0" w:type="dxa"/>
              <w:right w:w="0" w:type="dxa"/>
            </w:tcMar>
            <w:vAlign w:val="center"/>
          </w:tcPr>
          <w:p w14:paraId="6121F0BE">
            <w:pPr>
              <w:pStyle w:val="21"/>
              <w:ind w:firstLine="0" w:firstLineChars="0"/>
              <w:jc w:val="center"/>
              <w:rPr>
                <w:rFonts w:hint="eastAsia" w:ascii="Times New Roman" w:hAnsi="Times New Roman" w:cs="Times New Roman" w:eastAsiaTheme="minorEastAsia"/>
                <w:szCs w:val="21"/>
                <w:highlight w:val="none"/>
                <w:lang w:val="en-US" w:eastAsia="zh-CN"/>
              </w:rPr>
            </w:pPr>
            <w:r>
              <w:t>PM</w:t>
            </w:r>
            <w:r>
              <w:rPr>
                <w:vertAlign w:val="subscript"/>
              </w:rPr>
              <w:t>2.5</w:t>
            </w:r>
          </w:p>
        </w:tc>
        <w:tc>
          <w:tcPr>
            <w:tcW w:w="365" w:type="pct"/>
            <w:noWrap w:val="0"/>
            <w:tcMar>
              <w:left w:w="0" w:type="dxa"/>
              <w:right w:w="0" w:type="dxa"/>
            </w:tcMar>
            <w:vAlign w:val="center"/>
          </w:tcPr>
          <w:p w14:paraId="016336A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14" w:type="pct"/>
            <w:noWrap w:val="0"/>
            <w:tcMar>
              <w:left w:w="0" w:type="dxa"/>
              <w:right w:w="0" w:type="dxa"/>
            </w:tcMar>
            <w:vAlign w:val="center"/>
          </w:tcPr>
          <w:p w14:paraId="15471E0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68" w:type="pct"/>
            <w:noWrap w:val="0"/>
            <w:tcMar>
              <w:left w:w="0" w:type="dxa"/>
              <w:right w:w="0" w:type="dxa"/>
            </w:tcMar>
            <w:vAlign w:val="center"/>
          </w:tcPr>
          <w:p w14:paraId="6E9788E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10" w:type="pct"/>
            <w:noWrap w:val="0"/>
            <w:tcMar>
              <w:left w:w="0" w:type="dxa"/>
              <w:right w:w="0" w:type="dxa"/>
            </w:tcMar>
            <w:vAlign w:val="center"/>
          </w:tcPr>
          <w:p w14:paraId="01D8944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28" w:type="pct"/>
            <w:noWrap w:val="0"/>
            <w:tcMar>
              <w:left w:w="0" w:type="dxa"/>
              <w:right w:w="0" w:type="dxa"/>
            </w:tcMar>
            <w:vAlign w:val="center"/>
          </w:tcPr>
          <w:p w14:paraId="794EBE1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43" w:type="pct"/>
            <w:noWrap w:val="0"/>
            <w:tcMar>
              <w:left w:w="0" w:type="dxa"/>
              <w:right w:w="0" w:type="dxa"/>
            </w:tcMar>
            <w:vAlign w:val="center"/>
          </w:tcPr>
          <w:p w14:paraId="4DAB3BE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r>
      <w:tr w14:paraId="35939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noWrap w:val="0"/>
            <w:tcMar>
              <w:left w:w="0" w:type="dxa"/>
              <w:right w:w="0" w:type="dxa"/>
            </w:tcMar>
            <w:vAlign w:val="center"/>
          </w:tcPr>
          <w:p w14:paraId="0185AA1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w:t>
            </w:r>
          </w:p>
        </w:tc>
        <w:tc>
          <w:tcPr>
            <w:tcW w:w="499" w:type="pct"/>
            <w:noWrap w:val="0"/>
            <w:tcMar>
              <w:left w:w="0" w:type="dxa"/>
              <w:right w:w="0" w:type="dxa"/>
            </w:tcMar>
            <w:vAlign w:val="center"/>
          </w:tcPr>
          <w:p w14:paraId="7943BF8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切割工段排口</w:t>
            </w:r>
          </w:p>
        </w:tc>
        <w:tc>
          <w:tcPr>
            <w:tcW w:w="187" w:type="pct"/>
            <w:noWrap w:val="0"/>
            <w:tcMar>
              <w:left w:w="0" w:type="dxa"/>
              <w:right w:w="0" w:type="dxa"/>
            </w:tcMar>
            <w:vAlign w:val="center"/>
          </w:tcPr>
          <w:p w14:paraId="384CEF9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15</w:t>
            </w:r>
          </w:p>
        </w:tc>
        <w:tc>
          <w:tcPr>
            <w:tcW w:w="235" w:type="pct"/>
            <w:noWrap w:val="0"/>
            <w:tcMar>
              <w:left w:w="0" w:type="dxa"/>
              <w:right w:w="0" w:type="dxa"/>
            </w:tcMar>
            <w:vAlign w:val="center"/>
          </w:tcPr>
          <w:p w14:paraId="721ABE5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0.3</w:t>
            </w:r>
          </w:p>
        </w:tc>
        <w:tc>
          <w:tcPr>
            <w:tcW w:w="293" w:type="pct"/>
            <w:noWrap w:val="0"/>
            <w:tcMar>
              <w:left w:w="0" w:type="dxa"/>
              <w:right w:w="0" w:type="dxa"/>
            </w:tcMar>
            <w:vAlign w:val="center"/>
          </w:tcPr>
          <w:p w14:paraId="4DEA40F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3000</w:t>
            </w:r>
          </w:p>
        </w:tc>
        <w:tc>
          <w:tcPr>
            <w:tcW w:w="287" w:type="pct"/>
            <w:noWrap w:val="0"/>
            <w:tcMar>
              <w:left w:w="0" w:type="dxa"/>
              <w:right w:w="0" w:type="dxa"/>
            </w:tcMar>
            <w:vAlign w:val="center"/>
          </w:tcPr>
          <w:p w14:paraId="5C6E0EB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25</w:t>
            </w:r>
          </w:p>
        </w:tc>
        <w:tc>
          <w:tcPr>
            <w:tcW w:w="326" w:type="pct"/>
            <w:noWrap w:val="0"/>
            <w:tcMar>
              <w:left w:w="0" w:type="dxa"/>
              <w:right w:w="0" w:type="dxa"/>
            </w:tcMar>
            <w:vAlign w:val="center"/>
          </w:tcPr>
          <w:p w14:paraId="54EA22A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正常</w:t>
            </w:r>
          </w:p>
        </w:tc>
        <w:tc>
          <w:tcPr>
            <w:tcW w:w="351" w:type="pct"/>
            <w:noWrap w:val="0"/>
            <w:tcMar>
              <w:left w:w="0" w:type="dxa"/>
              <w:right w:w="0" w:type="dxa"/>
            </w:tcMar>
            <w:vAlign w:val="center"/>
          </w:tcPr>
          <w:p w14:paraId="292502D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0.0039</w:t>
            </w:r>
          </w:p>
        </w:tc>
        <w:tc>
          <w:tcPr>
            <w:tcW w:w="309" w:type="pct"/>
            <w:noWrap w:val="0"/>
            <w:tcMar>
              <w:left w:w="0" w:type="dxa"/>
              <w:right w:w="0" w:type="dxa"/>
            </w:tcMar>
            <w:vAlign w:val="center"/>
          </w:tcPr>
          <w:p w14:paraId="2969FE6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0.00195</w:t>
            </w:r>
          </w:p>
        </w:tc>
        <w:tc>
          <w:tcPr>
            <w:tcW w:w="365" w:type="pct"/>
            <w:noWrap w:val="0"/>
            <w:tcMar>
              <w:left w:w="0" w:type="dxa"/>
              <w:right w:w="0" w:type="dxa"/>
            </w:tcMar>
            <w:vAlign w:val="center"/>
          </w:tcPr>
          <w:p w14:paraId="21EF5F8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14" w:type="pct"/>
            <w:noWrap w:val="0"/>
            <w:tcMar>
              <w:left w:w="0" w:type="dxa"/>
              <w:right w:w="0" w:type="dxa"/>
            </w:tcMar>
            <w:vAlign w:val="center"/>
          </w:tcPr>
          <w:p w14:paraId="62C26F8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68" w:type="pct"/>
            <w:noWrap w:val="0"/>
            <w:tcMar>
              <w:left w:w="0" w:type="dxa"/>
              <w:right w:w="0" w:type="dxa"/>
            </w:tcMar>
            <w:vAlign w:val="center"/>
          </w:tcPr>
          <w:p w14:paraId="2CB18F4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10" w:type="pct"/>
            <w:noWrap w:val="0"/>
            <w:tcMar>
              <w:left w:w="0" w:type="dxa"/>
              <w:right w:w="0" w:type="dxa"/>
            </w:tcMar>
            <w:vAlign w:val="center"/>
          </w:tcPr>
          <w:p w14:paraId="50D6E21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28" w:type="pct"/>
            <w:noWrap w:val="0"/>
            <w:tcMar>
              <w:left w:w="0" w:type="dxa"/>
              <w:right w:w="0" w:type="dxa"/>
            </w:tcMar>
            <w:vAlign w:val="center"/>
          </w:tcPr>
          <w:p w14:paraId="604EC80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43" w:type="pct"/>
            <w:noWrap w:val="0"/>
            <w:tcMar>
              <w:left w:w="0" w:type="dxa"/>
              <w:right w:w="0" w:type="dxa"/>
            </w:tcMar>
            <w:vAlign w:val="center"/>
          </w:tcPr>
          <w:p w14:paraId="219AC9E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r>
      <w:tr w14:paraId="26640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15"/>
            <w:noWrap w:val="0"/>
            <w:tcMar>
              <w:left w:w="0" w:type="dxa"/>
              <w:right w:w="0" w:type="dxa"/>
            </w:tcMar>
            <w:vAlign w:val="center"/>
          </w:tcPr>
          <w:p w14:paraId="4B9F247E">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rPr>
              <w:t>莎车县恒昌冶炼有限公司年产5</w:t>
            </w:r>
            <w:r>
              <w:t>.5</w:t>
            </w:r>
            <w:r>
              <w:rPr>
                <w:rFonts w:hint="eastAsia"/>
              </w:rPr>
              <w:t>万吨电铅富氧底吹熔炼技术升级改造项目</w:t>
            </w:r>
          </w:p>
        </w:tc>
      </w:tr>
      <w:tr w14:paraId="2E7C1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15"/>
            <w:noWrap w:val="0"/>
            <w:tcMar>
              <w:left w:w="0" w:type="dxa"/>
              <w:right w:w="0" w:type="dxa"/>
            </w:tcMar>
            <w:vAlign w:val="center"/>
          </w:tcPr>
          <w:p w14:paraId="1604643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有组织点源</w:t>
            </w:r>
          </w:p>
        </w:tc>
      </w:tr>
      <w:tr w14:paraId="00D48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78" w:type="pct"/>
            <w:vMerge w:val="restart"/>
            <w:noWrap w:val="0"/>
            <w:tcMar>
              <w:left w:w="0" w:type="dxa"/>
              <w:right w:w="0" w:type="dxa"/>
            </w:tcMar>
            <w:vAlign w:val="center"/>
          </w:tcPr>
          <w:p w14:paraId="72A9EFF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编号</w:t>
            </w:r>
          </w:p>
        </w:tc>
        <w:tc>
          <w:tcPr>
            <w:tcW w:w="499" w:type="pct"/>
            <w:vMerge w:val="restart"/>
            <w:noWrap w:val="0"/>
            <w:tcMar>
              <w:left w:w="0" w:type="dxa"/>
              <w:right w:w="0" w:type="dxa"/>
            </w:tcMar>
            <w:vAlign w:val="center"/>
          </w:tcPr>
          <w:p w14:paraId="379F4A3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名称</w:t>
            </w:r>
          </w:p>
        </w:tc>
        <w:tc>
          <w:tcPr>
            <w:tcW w:w="187" w:type="pct"/>
            <w:vMerge w:val="restart"/>
            <w:noWrap w:val="0"/>
            <w:tcMar>
              <w:left w:w="0" w:type="dxa"/>
              <w:right w:w="0" w:type="dxa"/>
            </w:tcMar>
            <w:vAlign w:val="center"/>
          </w:tcPr>
          <w:p w14:paraId="649CC7A1">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排气筒高度</w:t>
            </w:r>
          </w:p>
          <w:p w14:paraId="708897A7">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/m</w:t>
            </w:r>
          </w:p>
        </w:tc>
        <w:tc>
          <w:tcPr>
            <w:tcW w:w="235" w:type="pct"/>
            <w:vMerge w:val="restart"/>
            <w:noWrap w:val="0"/>
            <w:tcMar>
              <w:left w:w="0" w:type="dxa"/>
              <w:right w:w="0" w:type="dxa"/>
            </w:tcMar>
            <w:vAlign w:val="center"/>
          </w:tcPr>
          <w:p w14:paraId="303F7043">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排气筒出口内径</w:t>
            </w:r>
          </w:p>
          <w:p w14:paraId="57899739">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/m</w:t>
            </w:r>
          </w:p>
        </w:tc>
        <w:tc>
          <w:tcPr>
            <w:tcW w:w="293" w:type="pct"/>
            <w:vMerge w:val="restart"/>
            <w:noWrap w:val="0"/>
            <w:tcMar>
              <w:left w:w="0" w:type="dxa"/>
              <w:right w:w="0" w:type="dxa"/>
            </w:tcMar>
            <w:vAlign w:val="center"/>
          </w:tcPr>
          <w:p w14:paraId="29A14B9F">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烟气排放量/（m</w:t>
            </w:r>
            <w:r>
              <w:rPr>
                <w:rFonts w:hint="eastAsia" w:ascii="Times New Roman" w:hAnsi="Times New Roman" w:cs="Times New Roman" w:eastAsiaTheme="minorEastAsia"/>
                <w:szCs w:val="21"/>
                <w:highlight w:val="none"/>
                <w:vertAlign w:val="superscript"/>
                <w:lang w:val="en-US" w:eastAsia="zh-CN"/>
              </w:rPr>
              <w:t>3</w:t>
            </w:r>
            <w:r>
              <w:rPr>
                <w:rFonts w:hint="eastAsia" w:ascii="Times New Roman" w:hAnsi="Times New Roman" w:cs="Times New Roman" w:eastAsiaTheme="minorEastAsia"/>
                <w:szCs w:val="21"/>
                <w:highlight w:val="none"/>
                <w:lang w:val="en-US" w:eastAsia="zh-CN"/>
              </w:rPr>
              <w:t>/h）</w:t>
            </w:r>
          </w:p>
        </w:tc>
        <w:tc>
          <w:tcPr>
            <w:tcW w:w="287" w:type="pct"/>
            <w:vMerge w:val="restart"/>
            <w:noWrap w:val="0"/>
            <w:tcMar>
              <w:left w:w="0" w:type="dxa"/>
              <w:right w:w="0" w:type="dxa"/>
            </w:tcMar>
            <w:vAlign w:val="center"/>
          </w:tcPr>
          <w:p w14:paraId="740ECA33">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烟气温度/℃</w:t>
            </w:r>
          </w:p>
        </w:tc>
        <w:tc>
          <w:tcPr>
            <w:tcW w:w="326" w:type="pct"/>
            <w:vMerge w:val="restart"/>
            <w:noWrap w:val="0"/>
            <w:tcMar>
              <w:left w:w="0" w:type="dxa"/>
              <w:right w:w="0" w:type="dxa"/>
            </w:tcMar>
            <w:vAlign w:val="center"/>
          </w:tcPr>
          <w:p w14:paraId="298F9769">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排放</w:t>
            </w:r>
          </w:p>
          <w:p w14:paraId="758153F8">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工况</w:t>
            </w:r>
          </w:p>
        </w:tc>
        <w:tc>
          <w:tcPr>
            <w:tcW w:w="3091" w:type="pct"/>
            <w:gridSpan w:val="8"/>
            <w:noWrap w:val="0"/>
            <w:tcMar>
              <w:left w:w="0" w:type="dxa"/>
              <w:right w:w="0" w:type="dxa"/>
            </w:tcMar>
            <w:vAlign w:val="center"/>
          </w:tcPr>
          <w:p w14:paraId="03320FD2">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污染物排放速率（kg/h）</w:t>
            </w:r>
          </w:p>
        </w:tc>
      </w:tr>
      <w:tr w14:paraId="6D0B7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vMerge w:val="continue"/>
            <w:noWrap w:val="0"/>
            <w:tcMar>
              <w:left w:w="0" w:type="dxa"/>
              <w:right w:w="0" w:type="dxa"/>
            </w:tcMar>
            <w:vAlign w:val="center"/>
          </w:tcPr>
          <w:p w14:paraId="389D567D">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499" w:type="pct"/>
            <w:vMerge w:val="continue"/>
            <w:noWrap w:val="0"/>
            <w:tcMar>
              <w:left w:w="0" w:type="dxa"/>
              <w:right w:w="0" w:type="dxa"/>
            </w:tcMar>
            <w:vAlign w:val="center"/>
          </w:tcPr>
          <w:p w14:paraId="1B1F4D01">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187" w:type="pct"/>
            <w:vMerge w:val="continue"/>
            <w:noWrap w:val="0"/>
            <w:tcMar>
              <w:left w:w="0" w:type="dxa"/>
              <w:right w:w="0" w:type="dxa"/>
            </w:tcMar>
            <w:vAlign w:val="center"/>
          </w:tcPr>
          <w:p w14:paraId="00CF334B">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235" w:type="pct"/>
            <w:vMerge w:val="continue"/>
            <w:noWrap w:val="0"/>
            <w:tcMar>
              <w:left w:w="0" w:type="dxa"/>
              <w:right w:w="0" w:type="dxa"/>
            </w:tcMar>
            <w:vAlign w:val="center"/>
          </w:tcPr>
          <w:p w14:paraId="4FD7482D">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293" w:type="pct"/>
            <w:vMerge w:val="continue"/>
            <w:noWrap w:val="0"/>
            <w:tcMar>
              <w:left w:w="0" w:type="dxa"/>
              <w:right w:w="0" w:type="dxa"/>
            </w:tcMar>
            <w:vAlign w:val="center"/>
          </w:tcPr>
          <w:p w14:paraId="582D50EC">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287" w:type="pct"/>
            <w:vMerge w:val="continue"/>
            <w:noWrap w:val="0"/>
            <w:tcMar>
              <w:left w:w="0" w:type="dxa"/>
              <w:right w:w="0" w:type="dxa"/>
            </w:tcMar>
            <w:vAlign w:val="center"/>
          </w:tcPr>
          <w:p w14:paraId="206F47FB">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326" w:type="pct"/>
            <w:vMerge w:val="continue"/>
            <w:noWrap w:val="0"/>
            <w:tcMar>
              <w:left w:w="0" w:type="dxa"/>
              <w:right w:w="0" w:type="dxa"/>
            </w:tcMar>
            <w:vAlign w:val="center"/>
          </w:tcPr>
          <w:p w14:paraId="51D03B1C">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351" w:type="pct"/>
            <w:noWrap w:val="0"/>
            <w:tcMar>
              <w:left w:w="0" w:type="dxa"/>
              <w:right w:w="0" w:type="dxa"/>
            </w:tcMar>
            <w:vAlign w:val="center"/>
          </w:tcPr>
          <w:p w14:paraId="1A5E673F">
            <w:pPr>
              <w:pStyle w:val="21"/>
              <w:ind w:firstLine="0" w:firstLineChars="0"/>
              <w:jc w:val="center"/>
              <w:rPr>
                <w:rFonts w:hint="eastAsia" w:ascii="Times New Roman" w:hAnsi="Times New Roman" w:cs="Times New Roman" w:eastAsiaTheme="minorEastAsia"/>
                <w:szCs w:val="21"/>
                <w:highlight w:val="none"/>
                <w:lang w:val="en-US" w:eastAsia="zh-CN"/>
              </w:rPr>
            </w:pPr>
            <w:r>
              <w:t>SO</w:t>
            </w:r>
            <w:r>
              <w:rPr>
                <w:vertAlign w:val="subscript"/>
              </w:rPr>
              <w:t>2</w:t>
            </w:r>
          </w:p>
        </w:tc>
        <w:tc>
          <w:tcPr>
            <w:tcW w:w="309" w:type="pct"/>
            <w:noWrap w:val="0"/>
            <w:tcMar>
              <w:left w:w="0" w:type="dxa"/>
              <w:right w:w="0" w:type="dxa"/>
            </w:tcMar>
            <w:vAlign w:val="center"/>
          </w:tcPr>
          <w:p w14:paraId="3C4275FC">
            <w:pPr>
              <w:pStyle w:val="21"/>
              <w:ind w:firstLine="0" w:firstLineChars="0"/>
              <w:jc w:val="center"/>
              <w:rPr>
                <w:rFonts w:hint="eastAsia" w:ascii="Times New Roman" w:hAnsi="Times New Roman" w:cs="Times New Roman" w:eastAsiaTheme="minorEastAsia"/>
                <w:szCs w:val="21"/>
                <w:highlight w:val="none"/>
                <w:lang w:val="en-US" w:eastAsia="zh-CN"/>
              </w:rPr>
            </w:pPr>
            <w:r>
              <w:t>NO</w:t>
            </w:r>
            <w:r>
              <w:rPr>
                <w:vertAlign w:val="subscript"/>
              </w:rPr>
              <w:t>2</w:t>
            </w:r>
          </w:p>
        </w:tc>
        <w:tc>
          <w:tcPr>
            <w:tcW w:w="365" w:type="pct"/>
            <w:noWrap w:val="0"/>
            <w:tcMar>
              <w:left w:w="0" w:type="dxa"/>
              <w:right w:w="0" w:type="dxa"/>
            </w:tcMar>
            <w:vAlign w:val="center"/>
          </w:tcPr>
          <w:p w14:paraId="23EF20FB">
            <w:pPr>
              <w:pStyle w:val="21"/>
              <w:ind w:firstLine="0" w:firstLineChars="0"/>
              <w:jc w:val="center"/>
              <w:rPr>
                <w:rFonts w:hint="eastAsia" w:ascii="Times New Roman" w:hAnsi="Times New Roman" w:cs="Times New Roman" w:eastAsiaTheme="minorEastAsia"/>
                <w:szCs w:val="21"/>
                <w:highlight w:val="none"/>
                <w:lang w:val="en-US" w:eastAsia="zh-CN"/>
              </w:rPr>
            </w:pPr>
            <w:r>
              <w:t>TSP</w:t>
            </w:r>
          </w:p>
        </w:tc>
        <w:tc>
          <w:tcPr>
            <w:tcW w:w="414" w:type="pct"/>
            <w:noWrap w:val="0"/>
            <w:tcMar>
              <w:left w:w="0" w:type="dxa"/>
              <w:right w:w="0" w:type="dxa"/>
            </w:tcMar>
            <w:vAlign w:val="center"/>
          </w:tcPr>
          <w:p w14:paraId="4F8F21A2">
            <w:pPr>
              <w:pStyle w:val="21"/>
              <w:ind w:firstLine="0" w:firstLineChars="0"/>
              <w:jc w:val="center"/>
              <w:rPr>
                <w:rFonts w:hint="eastAsia" w:ascii="Times New Roman" w:hAnsi="Times New Roman" w:cs="Times New Roman" w:eastAsiaTheme="minorEastAsia"/>
                <w:szCs w:val="21"/>
                <w:highlight w:val="none"/>
                <w:lang w:val="en-US" w:eastAsia="zh-CN"/>
              </w:rPr>
            </w:pPr>
            <w:r>
              <w:t>PM</w:t>
            </w:r>
            <w:r>
              <w:rPr>
                <w:vertAlign w:val="subscript"/>
              </w:rPr>
              <w:t>10</w:t>
            </w:r>
          </w:p>
        </w:tc>
        <w:tc>
          <w:tcPr>
            <w:tcW w:w="368" w:type="pct"/>
            <w:noWrap w:val="0"/>
            <w:tcMar>
              <w:left w:w="0" w:type="dxa"/>
              <w:right w:w="0" w:type="dxa"/>
            </w:tcMar>
            <w:vAlign w:val="center"/>
          </w:tcPr>
          <w:p w14:paraId="63FDB63A">
            <w:pPr>
              <w:pStyle w:val="21"/>
              <w:ind w:firstLine="0" w:firstLineChars="0"/>
              <w:jc w:val="center"/>
              <w:rPr>
                <w:rFonts w:hint="eastAsia" w:ascii="Times New Roman" w:hAnsi="Times New Roman" w:cs="Times New Roman" w:eastAsiaTheme="minorEastAsia"/>
                <w:szCs w:val="21"/>
                <w:highlight w:val="none"/>
                <w:lang w:val="en-US" w:eastAsia="zh-CN"/>
              </w:rPr>
            </w:pPr>
            <w:r>
              <w:t>PM</w:t>
            </w:r>
            <w:r>
              <w:rPr>
                <w:vertAlign w:val="subscript"/>
              </w:rPr>
              <w:t>2.5</w:t>
            </w:r>
          </w:p>
        </w:tc>
        <w:tc>
          <w:tcPr>
            <w:tcW w:w="410" w:type="pct"/>
            <w:noWrap w:val="0"/>
            <w:tcMar>
              <w:left w:w="0" w:type="dxa"/>
              <w:right w:w="0" w:type="dxa"/>
            </w:tcMar>
            <w:vAlign w:val="center"/>
          </w:tcPr>
          <w:p w14:paraId="1AB3A200">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铅</w:t>
            </w:r>
          </w:p>
        </w:tc>
        <w:tc>
          <w:tcPr>
            <w:tcW w:w="428" w:type="pct"/>
            <w:noWrap w:val="0"/>
            <w:tcMar>
              <w:left w:w="0" w:type="dxa"/>
              <w:right w:w="0" w:type="dxa"/>
            </w:tcMar>
            <w:vAlign w:val="center"/>
          </w:tcPr>
          <w:p w14:paraId="13029E85">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镉</w:t>
            </w:r>
          </w:p>
        </w:tc>
        <w:tc>
          <w:tcPr>
            <w:tcW w:w="443" w:type="pct"/>
            <w:noWrap w:val="0"/>
            <w:tcMar>
              <w:left w:w="0" w:type="dxa"/>
              <w:right w:w="0" w:type="dxa"/>
            </w:tcMar>
            <w:vAlign w:val="center"/>
          </w:tcPr>
          <w:p w14:paraId="3567BF31">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汞</w:t>
            </w:r>
          </w:p>
        </w:tc>
      </w:tr>
      <w:tr w14:paraId="2C95D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 w:type="pct"/>
            <w:noWrap w:val="0"/>
            <w:tcMar>
              <w:left w:w="0" w:type="dxa"/>
              <w:right w:w="0" w:type="dxa"/>
            </w:tcMar>
            <w:vAlign w:val="center"/>
          </w:tcPr>
          <w:p w14:paraId="72354AB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w:t>
            </w:r>
          </w:p>
        </w:tc>
        <w:tc>
          <w:tcPr>
            <w:tcW w:w="499" w:type="pct"/>
            <w:noWrap w:val="0"/>
            <w:tcMar>
              <w:left w:w="0" w:type="dxa"/>
              <w:right w:w="0" w:type="dxa"/>
            </w:tcMar>
            <w:vAlign w:val="center"/>
          </w:tcPr>
          <w:p w14:paraId="0D2C127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拆解车间排口</w:t>
            </w:r>
          </w:p>
        </w:tc>
        <w:tc>
          <w:tcPr>
            <w:tcW w:w="187" w:type="pct"/>
            <w:noWrap w:val="0"/>
            <w:tcMar>
              <w:left w:w="0" w:type="dxa"/>
              <w:right w:w="0" w:type="dxa"/>
            </w:tcMar>
            <w:vAlign w:val="center"/>
          </w:tcPr>
          <w:p w14:paraId="1C2E761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42</w:t>
            </w:r>
          </w:p>
        </w:tc>
        <w:tc>
          <w:tcPr>
            <w:tcW w:w="235" w:type="pct"/>
            <w:noWrap w:val="0"/>
            <w:tcMar>
              <w:left w:w="0" w:type="dxa"/>
              <w:right w:w="0" w:type="dxa"/>
            </w:tcMar>
            <w:vAlign w:val="center"/>
          </w:tcPr>
          <w:p w14:paraId="0BDC5C9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w:t>
            </w:r>
          </w:p>
        </w:tc>
        <w:tc>
          <w:tcPr>
            <w:tcW w:w="293" w:type="pct"/>
            <w:noWrap w:val="0"/>
            <w:tcMar>
              <w:left w:w="0" w:type="dxa"/>
              <w:right w:w="0" w:type="dxa"/>
            </w:tcMar>
            <w:vAlign w:val="center"/>
          </w:tcPr>
          <w:p w14:paraId="64B64C8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30000</w:t>
            </w:r>
          </w:p>
        </w:tc>
        <w:tc>
          <w:tcPr>
            <w:tcW w:w="287" w:type="pct"/>
            <w:noWrap w:val="0"/>
            <w:tcMar>
              <w:left w:w="0" w:type="dxa"/>
              <w:right w:w="0" w:type="dxa"/>
            </w:tcMar>
            <w:vAlign w:val="center"/>
          </w:tcPr>
          <w:p w14:paraId="112B1A0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25</w:t>
            </w:r>
          </w:p>
        </w:tc>
        <w:tc>
          <w:tcPr>
            <w:tcW w:w="326" w:type="pct"/>
            <w:noWrap w:val="0"/>
            <w:tcMar>
              <w:left w:w="0" w:type="dxa"/>
              <w:right w:w="0" w:type="dxa"/>
            </w:tcMar>
            <w:vAlign w:val="center"/>
          </w:tcPr>
          <w:p w14:paraId="080F61C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正常</w:t>
            </w:r>
          </w:p>
        </w:tc>
        <w:tc>
          <w:tcPr>
            <w:tcW w:w="351" w:type="pct"/>
            <w:noWrap w:val="0"/>
            <w:tcMar>
              <w:left w:w="0" w:type="dxa"/>
              <w:right w:w="0" w:type="dxa"/>
            </w:tcMar>
            <w:vAlign w:val="center"/>
          </w:tcPr>
          <w:p w14:paraId="5FB0134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09" w:type="pct"/>
            <w:noWrap w:val="0"/>
            <w:tcMar>
              <w:left w:w="0" w:type="dxa"/>
              <w:right w:w="0" w:type="dxa"/>
            </w:tcMar>
            <w:vAlign w:val="center"/>
          </w:tcPr>
          <w:p w14:paraId="48A069F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65" w:type="pct"/>
            <w:noWrap w:val="0"/>
            <w:tcMar>
              <w:left w:w="0" w:type="dxa"/>
              <w:right w:w="0" w:type="dxa"/>
            </w:tcMar>
            <w:vAlign w:val="center"/>
          </w:tcPr>
          <w:p w14:paraId="24B673B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14" w:type="pct"/>
            <w:noWrap w:val="0"/>
            <w:tcMar>
              <w:left w:w="0" w:type="dxa"/>
              <w:right w:w="0" w:type="dxa"/>
            </w:tcMar>
            <w:vAlign w:val="center"/>
          </w:tcPr>
          <w:p w14:paraId="7323B581">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0.142</w:t>
            </w:r>
          </w:p>
        </w:tc>
        <w:tc>
          <w:tcPr>
            <w:tcW w:w="368" w:type="pct"/>
            <w:noWrap w:val="0"/>
            <w:tcMar>
              <w:left w:w="0" w:type="dxa"/>
              <w:right w:w="0" w:type="dxa"/>
            </w:tcMar>
            <w:vAlign w:val="center"/>
          </w:tcPr>
          <w:p w14:paraId="336CB5A9">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0.071</w:t>
            </w:r>
          </w:p>
        </w:tc>
        <w:tc>
          <w:tcPr>
            <w:tcW w:w="410" w:type="pct"/>
            <w:noWrap w:val="0"/>
            <w:tcMar>
              <w:left w:w="0" w:type="dxa"/>
              <w:right w:w="0" w:type="dxa"/>
            </w:tcMar>
            <w:vAlign w:val="center"/>
          </w:tcPr>
          <w:p w14:paraId="6829B3E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28" w:type="pct"/>
            <w:noWrap w:val="0"/>
            <w:tcMar>
              <w:left w:w="0" w:type="dxa"/>
              <w:right w:w="0" w:type="dxa"/>
            </w:tcMar>
            <w:vAlign w:val="center"/>
          </w:tcPr>
          <w:p w14:paraId="4799CE7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43" w:type="pct"/>
            <w:noWrap w:val="0"/>
            <w:tcMar>
              <w:left w:w="0" w:type="dxa"/>
              <w:right w:w="0" w:type="dxa"/>
            </w:tcMar>
            <w:vAlign w:val="center"/>
          </w:tcPr>
          <w:p w14:paraId="1BB08D0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r>
      <w:tr w14:paraId="651D8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noWrap w:val="0"/>
            <w:tcMar>
              <w:left w:w="0" w:type="dxa"/>
              <w:right w:w="0" w:type="dxa"/>
            </w:tcMar>
            <w:vAlign w:val="center"/>
          </w:tcPr>
          <w:p w14:paraId="5396EC0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w:t>
            </w:r>
          </w:p>
        </w:tc>
        <w:tc>
          <w:tcPr>
            <w:tcW w:w="499" w:type="pct"/>
            <w:noWrap w:val="0"/>
            <w:tcMar>
              <w:left w:w="0" w:type="dxa"/>
              <w:right w:w="0" w:type="dxa"/>
            </w:tcMar>
            <w:vAlign w:val="center"/>
          </w:tcPr>
          <w:p w14:paraId="7128389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配料车间排口</w:t>
            </w:r>
          </w:p>
        </w:tc>
        <w:tc>
          <w:tcPr>
            <w:tcW w:w="187" w:type="pct"/>
            <w:noWrap w:val="0"/>
            <w:tcMar>
              <w:left w:w="0" w:type="dxa"/>
              <w:right w:w="0" w:type="dxa"/>
            </w:tcMar>
            <w:vAlign w:val="center"/>
          </w:tcPr>
          <w:p w14:paraId="7DDCFBE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40</w:t>
            </w:r>
          </w:p>
        </w:tc>
        <w:tc>
          <w:tcPr>
            <w:tcW w:w="235" w:type="pct"/>
            <w:noWrap w:val="0"/>
            <w:tcMar>
              <w:left w:w="0" w:type="dxa"/>
              <w:right w:w="0" w:type="dxa"/>
            </w:tcMar>
            <w:vAlign w:val="center"/>
          </w:tcPr>
          <w:p w14:paraId="5FE2231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w:t>
            </w:r>
          </w:p>
        </w:tc>
        <w:tc>
          <w:tcPr>
            <w:tcW w:w="293" w:type="pct"/>
            <w:noWrap w:val="0"/>
            <w:tcMar>
              <w:left w:w="0" w:type="dxa"/>
              <w:right w:w="0" w:type="dxa"/>
            </w:tcMar>
            <w:vAlign w:val="center"/>
          </w:tcPr>
          <w:p w14:paraId="5A1D2A7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20000</w:t>
            </w:r>
          </w:p>
        </w:tc>
        <w:tc>
          <w:tcPr>
            <w:tcW w:w="287" w:type="pct"/>
            <w:noWrap w:val="0"/>
            <w:tcMar>
              <w:left w:w="0" w:type="dxa"/>
              <w:right w:w="0" w:type="dxa"/>
            </w:tcMar>
            <w:vAlign w:val="center"/>
          </w:tcPr>
          <w:p w14:paraId="69BA500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25</w:t>
            </w:r>
          </w:p>
        </w:tc>
        <w:tc>
          <w:tcPr>
            <w:tcW w:w="326" w:type="pct"/>
            <w:noWrap w:val="0"/>
            <w:tcMar>
              <w:left w:w="0" w:type="dxa"/>
              <w:right w:w="0" w:type="dxa"/>
            </w:tcMar>
            <w:vAlign w:val="center"/>
          </w:tcPr>
          <w:p w14:paraId="5126158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正常</w:t>
            </w:r>
          </w:p>
        </w:tc>
        <w:tc>
          <w:tcPr>
            <w:tcW w:w="351" w:type="pct"/>
            <w:noWrap w:val="0"/>
            <w:tcMar>
              <w:left w:w="0" w:type="dxa"/>
              <w:right w:w="0" w:type="dxa"/>
            </w:tcMar>
            <w:vAlign w:val="center"/>
          </w:tcPr>
          <w:p w14:paraId="254181C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09" w:type="pct"/>
            <w:noWrap w:val="0"/>
            <w:tcMar>
              <w:left w:w="0" w:type="dxa"/>
              <w:right w:w="0" w:type="dxa"/>
            </w:tcMar>
            <w:vAlign w:val="center"/>
          </w:tcPr>
          <w:p w14:paraId="1C1A3BD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65" w:type="pct"/>
            <w:noWrap w:val="0"/>
            <w:tcMar>
              <w:left w:w="0" w:type="dxa"/>
              <w:right w:w="0" w:type="dxa"/>
            </w:tcMar>
            <w:vAlign w:val="center"/>
          </w:tcPr>
          <w:p w14:paraId="11862F3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14" w:type="pct"/>
            <w:noWrap w:val="0"/>
            <w:tcMar>
              <w:left w:w="0" w:type="dxa"/>
              <w:right w:w="0" w:type="dxa"/>
            </w:tcMar>
            <w:vAlign w:val="center"/>
          </w:tcPr>
          <w:p w14:paraId="1A6435DC">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0.2</w:t>
            </w:r>
          </w:p>
        </w:tc>
        <w:tc>
          <w:tcPr>
            <w:tcW w:w="368" w:type="pct"/>
            <w:noWrap w:val="0"/>
            <w:tcMar>
              <w:left w:w="0" w:type="dxa"/>
              <w:right w:w="0" w:type="dxa"/>
            </w:tcMar>
            <w:vAlign w:val="center"/>
          </w:tcPr>
          <w:p w14:paraId="3ABCA66A">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0.1</w:t>
            </w:r>
          </w:p>
        </w:tc>
        <w:tc>
          <w:tcPr>
            <w:tcW w:w="410" w:type="pct"/>
            <w:noWrap w:val="0"/>
            <w:tcMar>
              <w:left w:w="0" w:type="dxa"/>
              <w:right w:w="0" w:type="dxa"/>
            </w:tcMar>
            <w:vAlign w:val="center"/>
          </w:tcPr>
          <w:p w14:paraId="7CC3F15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28" w:type="pct"/>
            <w:noWrap w:val="0"/>
            <w:tcMar>
              <w:left w:w="0" w:type="dxa"/>
              <w:right w:w="0" w:type="dxa"/>
            </w:tcMar>
            <w:vAlign w:val="center"/>
          </w:tcPr>
          <w:p w14:paraId="1B76DC8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43" w:type="pct"/>
            <w:noWrap w:val="0"/>
            <w:tcMar>
              <w:left w:w="0" w:type="dxa"/>
              <w:right w:w="0" w:type="dxa"/>
            </w:tcMar>
            <w:vAlign w:val="center"/>
          </w:tcPr>
          <w:p w14:paraId="6C78D6D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r>
      <w:tr w14:paraId="6BF88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noWrap w:val="0"/>
            <w:tcMar>
              <w:left w:w="0" w:type="dxa"/>
              <w:right w:w="0" w:type="dxa"/>
            </w:tcMar>
            <w:vAlign w:val="center"/>
          </w:tcPr>
          <w:p w14:paraId="5608346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3</w:t>
            </w:r>
          </w:p>
        </w:tc>
        <w:tc>
          <w:tcPr>
            <w:tcW w:w="499" w:type="pct"/>
            <w:noWrap w:val="0"/>
            <w:tcMar>
              <w:left w:w="0" w:type="dxa"/>
              <w:right w:w="0" w:type="dxa"/>
            </w:tcMar>
            <w:vAlign w:val="center"/>
          </w:tcPr>
          <w:p w14:paraId="4E71719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熔炼车间环集排口</w:t>
            </w:r>
          </w:p>
        </w:tc>
        <w:tc>
          <w:tcPr>
            <w:tcW w:w="187" w:type="pct"/>
            <w:noWrap w:val="0"/>
            <w:tcMar>
              <w:left w:w="0" w:type="dxa"/>
              <w:right w:w="0" w:type="dxa"/>
            </w:tcMar>
            <w:vAlign w:val="center"/>
          </w:tcPr>
          <w:p w14:paraId="213F025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40</w:t>
            </w:r>
          </w:p>
        </w:tc>
        <w:tc>
          <w:tcPr>
            <w:tcW w:w="235" w:type="pct"/>
            <w:noWrap w:val="0"/>
            <w:tcMar>
              <w:left w:w="0" w:type="dxa"/>
              <w:right w:w="0" w:type="dxa"/>
            </w:tcMar>
            <w:vAlign w:val="center"/>
          </w:tcPr>
          <w:p w14:paraId="1BA1AF9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3</w:t>
            </w:r>
          </w:p>
        </w:tc>
        <w:tc>
          <w:tcPr>
            <w:tcW w:w="293" w:type="pct"/>
            <w:noWrap w:val="0"/>
            <w:tcMar>
              <w:left w:w="0" w:type="dxa"/>
              <w:right w:w="0" w:type="dxa"/>
            </w:tcMar>
            <w:vAlign w:val="center"/>
          </w:tcPr>
          <w:p w14:paraId="27B3E77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80000</w:t>
            </w:r>
          </w:p>
        </w:tc>
        <w:tc>
          <w:tcPr>
            <w:tcW w:w="287" w:type="pct"/>
            <w:noWrap w:val="0"/>
            <w:tcMar>
              <w:left w:w="0" w:type="dxa"/>
              <w:right w:w="0" w:type="dxa"/>
            </w:tcMar>
            <w:vAlign w:val="center"/>
          </w:tcPr>
          <w:p w14:paraId="33A6AF6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25</w:t>
            </w:r>
          </w:p>
        </w:tc>
        <w:tc>
          <w:tcPr>
            <w:tcW w:w="326" w:type="pct"/>
            <w:noWrap w:val="0"/>
            <w:tcMar>
              <w:left w:w="0" w:type="dxa"/>
              <w:right w:w="0" w:type="dxa"/>
            </w:tcMar>
            <w:vAlign w:val="center"/>
          </w:tcPr>
          <w:p w14:paraId="2B7F3A7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正常</w:t>
            </w:r>
          </w:p>
        </w:tc>
        <w:tc>
          <w:tcPr>
            <w:tcW w:w="351" w:type="pct"/>
            <w:noWrap w:val="0"/>
            <w:tcMar>
              <w:left w:w="0" w:type="dxa"/>
              <w:right w:w="0" w:type="dxa"/>
            </w:tcMar>
            <w:vAlign w:val="center"/>
          </w:tcPr>
          <w:p w14:paraId="1129B91F">
            <w:pPr>
              <w:pStyle w:val="21"/>
              <w:ind w:firstLine="0" w:firstLineChars="0"/>
              <w:jc w:val="center"/>
              <w:rPr>
                <w:rFonts w:hint="eastAsia" w:ascii="Times New Roman" w:hAnsi="Times New Roman" w:cs="Times New Roman" w:eastAsiaTheme="minorEastAsia"/>
                <w:szCs w:val="21"/>
                <w:highlight w:val="none"/>
                <w:lang w:val="en-US" w:eastAsia="zh-CN"/>
              </w:rPr>
            </w:pPr>
            <w:r>
              <w:t>0.192</w:t>
            </w:r>
          </w:p>
        </w:tc>
        <w:tc>
          <w:tcPr>
            <w:tcW w:w="309" w:type="pct"/>
            <w:noWrap w:val="0"/>
            <w:tcMar>
              <w:left w:w="0" w:type="dxa"/>
              <w:right w:w="0" w:type="dxa"/>
            </w:tcMar>
            <w:vAlign w:val="center"/>
          </w:tcPr>
          <w:p w14:paraId="660F4328">
            <w:pPr>
              <w:pStyle w:val="21"/>
              <w:ind w:firstLine="0" w:firstLineChars="0"/>
              <w:jc w:val="center"/>
              <w:rPr>
                <w:rFonts w:hint="eastAsia" w:ascii="Times New Roman" w:hAnsi="Times New Roman" w:cs="Times New Roman" w:eastAsiaTheme="minorEastAsia"/>
                <w:szCs w:val="21"/>
                <w:highlight w:val="none"/>
                <w:lang w:val="en-US" w:eastAsia="zh-CN"/>
              </w:rPr>
            </w:pPr>
            <w:r>
              <w:t>0.005</w:t>
            </w:r>
          </w:p>
        </w:tc>
        <w:tc>
          <w:tcPr>
            <w:tcW w:w="365" w:type="pct"/>
            <w:noWrap w:val="0"/>
            <w:tcMar>
              <w:left w:w="0" w:type="dxa"/>
              <w:right w:w="0" w:type="dxa"/>
            </w:tcMar>
            <w:vAlign w:val="center"/>
          </w:tcPr>
          <w:p w14:paraId="44BFC7D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14" w:type="pct"/>
            <w:noWrap w:val="0"/>
            <w:tcMar>
              <w:left w:w="0" w:type="dxa"/>
              <w:right w:w="0" w:type="dxa"/>
            </w:tcMar>
            <w:vAlign w:val="center"/>
          </w:tcPr>
          <w:p w14:paraId="542CD5AC">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0.</w:t>
            </w:r>
            <w:r>
              <w:t>044</w:t>
            </w:r>
          </w:p>
        </w:tc>
        <w:tc>
          <w:tcPr>
            <w:tcW w:w="368" w:type="pct"/>
            <w:noWrap w:val="0"/>
            <w:tcMar>
              <w:left w:w="0" w:type="dxa"/>
              <w:right w:w="0" w:type="dxa"/>
            </w:tcMar>
            <w:vAlign w:val="center"/>
          </w:tcPr>
          <w:p w14:paraId="5FE93E37">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0.</w:t>
            </w:r>
            <w:r>
              <w:t>022</w:t>
            </w:r>
          </w:p>
        </w:tc>
        <w:tc>
          <w:tcPr>
            <w:tcW w:w="410" w:type="pct"/>
            <w:noWrap w:val="0"/>
            <w:tcMar>
              <w:left w:w="0" w:type="dxa"/>
              <w:right w:w="0" w:type="dxa"/>
            </w:tcMar>
            <w:vAlign w:val="center"/>
          </w:tcPr>
          <w:p w14:paraId="0BD1D694">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0.0</w:t>
            </w:r>
            <w:r>
              <w:t>04</w:t>
            </w:r>
          </w:p>
        </w:tc>
        <w:tc>
          <w:tcPr>
            <w:tcW w:w="428" w:type="pct"/>
            <w:noWrap w:val="0"/>
            <w:tcMar>
              <w:left w:w="0" w:type="dxa"/>
              <w:right w:w="0" w:type="dxa"/>
            </w:tcMar>
            <w:vAlign w:val="center"/>
          </w:tcPr>
          <w:p w14:paraId="1D78219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43" w:type="pct"/>
            <w:noWrap w:val="0"/>
            <w:tcMar>
              <w:left w:w="0" w:type="dxa"/>
              <w:right w:w="0" w:type="dxa"/>
            </w:tcMar>
            <w:vAlign w:val="center"/>
          </w:tcPr>
          <w:p w14:paraId="4A648DF7">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rPr>
              <w:t>0.00</w:t>
            </w:r>
            <w:r>
              <w:t>0</w:t>
            </w:r>
            <w:r>
              <w:rPr>
                <w:rFonts w:hint="eastAsia"/>
              </w:rPr>
              <w:t>001</w:t>
            </w:r>
          </w:p>
        </w:tc>
      </w:tr>
      <w:tr w14:paraId="34FB8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noWrap w:val="0"/>
            <w:tcMar>
              <w:left w:w="0" w:type="dxa"/>
              <w:right w:w="0" w:type="dxa"/>
            </w:tcMar>
            <w:vAlign w:val="center"/>
          </w:tcPr>
          <w:p w14:paraId="28F6E11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4</w:t>
            </w:r>
          </w:p>
        </w:tc>
        <w:tc>
          <w:tcPr>
            <w:tcW w:w="499" w:type="pct"/>
            <w:noWrap w:val="0"/>
            <w:tcMar>
              <w:left w:w="0" w:type="dxa"/>
              <w:right w:w="0" w:type="dxa"/>
            </w:tcMar>
            <w:vAlign w:val="center"/>
          </w:tcPr>
          <w:p w14:paraId="37B862A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熔炼车间还原炉排口</w:t>
            </w:r>
          </w:p>
        </w:tc>
        <w:tc>
          <w:tcPr>
            <w:tcW w:w="187" w:type="pct"/>
            <w:noWrap w:val="0"/>
            <w:tcMar>
              <w:left w:w="0" w:type="dxa"/>
              <w:right w:w="0" w:type="dxa"/>
            </w:tcMar>
            <w:vAlign w:val="center"/>
          </w:tcPr>
          <w:p w14:paraId="5C09440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40</w:t>
            </w:r>
          </w:p>
        </w:tc>
        <w:tc>
          <w:tcPr>
            <w:tcW w:w="235" w:type="pct"/>
            <w:noWrap w:val="0"/>
            <w:tcMar>
              <w:left w:w="0" w:type="dxa"/>
              <w:right w:w="0" w:type="dxa"/>
            </w:tcMar>
            <w:vAlign w:val="center"/>
          </w:tcPr>
          <w:p w14:paraId="4D5F8A6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1.9</w:t>
            </w:r>
          </w:p>
        </w:tc>
        <w:tc>
          <w:tcPr>
            <w:tcW w:w="293" w:type="pct"/>
            <w:noWrap w:val="0"/>
            <w:tcMar>
              <w:left w:w="0" w:type="dxa"/>
              <w:right w:w="0" w:type="dxa"/>
            </w:tcMar>
            <w:vAlign w:val="center"/>
          </w:tcPr>
          <w:p w14:paraId="5278442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10000</w:t>
            </w:r>
          </w:p>
        </w:tc>
        <w:tc>
          <w:tcPr>
            <w:tcW w:w="287" w:type="pct"/>
            <w:noWrap w:val="0"/>
            <w:tcMar>
              <w:left w:w="0" w:type="dxa"/>
              <w:right w:w="0" w:type="dxa"/>
            </w:tcMar>
            <w:vAlign w:val="center"/>
          </w:tcPr>
          <w:p w14:paraId="1A99951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60</w:t>
            </w:r>
          </w:p>
        </w:tc>
        <w:tc>
          <w:tcPr>
            <w:tcW w:w="326" w:type="pct"/>
            <w:noWrap w:val="0"/>
            <w:tcMar>
              <w:left w:w="0" w:type="dxa"/>
              <w:right w:w="0" w:type="dxa"/>
            </w:tcMar>
            <w:vAlign w:val="center"/>
          </w:tcPr>
          <w:p w14:paraId="3FA9F5B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正常</w:t>
            </w:r>
          </w:p>
        </w:tc>
        <w:tc>
          <w:tcPr>
            <w:tcW w:w="351" w:type="pct"/>
            <w:noWrap w:val="0"/>
            <w:tcMar>
              <w:left w:w="0" w:type="dxa"/>
              <w:right w:w="0" w:type="dxa"/>
            </w:tcMar>
            <w:vAlign w:val="center"/>
          </w:tcPr>
          <w:p w14:paraId="14CA9339">
            <w:pPr>
              <w:pStyle w:val="21"/>
              <w:ind w:firstLine="0" w:firstLineChars="0"/>
              <w:jc w:val="center"/>
              <w:rPr>
                <w:rFonts w:hint="eastAsia" w:ascii="Times New Roman" w:hAnsi="Times New Roman" w:cs="Times New Roman" w:eastAsiaTheme="minorEastAsia"/>
                <w:szCs w:val="21"/>
                <w:highlight w:val="none"/>
                <w:lang w:val="en-US" w:eastAsia="zh-CN"/>
              </w:rPr>
            </w:pPr>
            <w:r>
              <w:t>1.8</w:t>
            </w:r>
          </w:p>
        </w:tc>
        <w:tc>
          <w:tcPr>
            <w:tcW w:w="309" w:type="pct"/>
            <w:noWrap w:val="0"/>
            <w:tcMar>
              <w:left w:w="0" w:type="dxa"/>
              <w:right w:w="0" w:type="dxa"/>
            </w:tcMar>
            <w:vAlign w:val="center"/>
          </w:tcPr>
          <w:p w14:paraId="16F44414">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1.411</w:t>
            </w:r>
          </w:p>
        </w:tc>
        <w:tc>
          <w:tcPr>
            <w:tcW w:w="365" w:type="pct"/>
            <w:noWrap w:val="0"/>
            <w:tcMar>
              <w:left w:w="0" w:type="dxa"/>
              <w:right w:w="0" w:type="dxa"/>
            </w:tcMar>
            <w:vAlign w:val="center"/>
          </w:tcPr>
          <w:p w14:paraId="549FB71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14" w:type="pct"/>
            <w:noWrap w:val="0"/>
            <w:tcMar>
              <w:left w:w="0" w:type="dxa"/>
              <w:right w:w="0" w:type="dxa"/>
            </w:tcMar>
            <w:vAlign w:val="center"/>
          </w:tcPr>
          <w:p w14:paraId="4F47E5BC">
            <w:pPr>
              <w:pStyle w:val="21"/>
              <w:ind w:firstLine="0" w:firstLineChars="0"/>
              <w:jc w:val="center"/>
              <w:rPr>
                <w:rFonts w:hint="eastAsia" w:ascii="Times New Roman" w:hAnsi="Times New Roman" w:cs="Times New Roman" w:eastAsiaTheme="minorEastAsia"/>
                <w:szCs w:val="21"/>
                <w:highlight w:val="none"/>
                <w:lang w:val="en-US" w:eastAsia="zh-CN"/>
              </w:rPr>
            </w:pPr>
            <w:r>
              <w:t>0.1</w:t>
            </w:r>
          </w:p>
        </w:tc>
        <w:tc>
          <w:tcPr>
            <w:tcW w:w="368" w:type="pct"/>
            <w:noWrap w:val="0"/>
            <w:tcMar>
              <w:left w:w="0" w:type="dxa"/>
              <w:right w:w="0" w:type="dxa"/>
            </w:tcMar>
            <w:vAlign w:val="center"/>
          </w:tcPr>
          <w:p w14:paraId="251130B8">
            <w:pPr>
              <w:pStyle w:val="21"/>
              <w:ind w:firstLine="0" w:firstLineChars="0"/>
              <w:jc w:val="center"/>
              <w:rPr>
                <w:rFonts w:hint="eastAsia" w:ascii="Times New Roman" w:hAnsi="Times New Roman" w:cs="Times New Roman" w:eastAsiaTheme="minorEastAsia"/>
                <w:szCs w:val="21"/>
                <w:highlight w:val="none"/>
                <w:lang w:val="en-US" w:eastAsia="zh-CN"/>
              </w:rPr>
            </w:pPr>
            <w:r>
              <w:t>0.05</w:t>
            </w:r>
          </w:p>
        </w:tc>
        <w:tc>
          <w:tcPr>
            <w:tcW w:w="410" w:type="pct"/>
            <w:noWrap w:val="0"/>
            <w:tcMar>
              <w:left w:w="0" w:type="dxa"/>
              <w:right w:w="0" w:type="dxa"/>
            </w:tcMar>
            <w:vAlign w:val="center"/>
          </w:tcPr>
          <w:p w14:paraId="30F441F0">
            <w:pPr>
              <w:pStyle w:val="21"/>
              <w:ind w:firstLine="0" w:firstLineChars="0"/>
              <w:jc w:val="center"/>
              <w:rPr>
                <w:rFonts w:hint="eastAsia" w:ascii="Times New Roman" w:hAnsi="Times New Roman" w:cs="Times New Roman" w:eastAsiaTheme="minorEastAsia"/>
                <w:szCs w:val="21"/>
                <w:highlight w:val="none"/>
                <w:lang w:val="en-US" w:eastAsia="zh-CN"/>
              </w:rPr>
            </w:pPr>
            <w:r>
              <w:t>0.02</w:t>
            </w:r>
          </w:p>
        </w:tc>
        <w:tc>
          <w:tcPr>
            <w:tcW w:w="428" w:type="pct"/>
            <w:noWrap w:val="0"/>
            <w:tcMar>
              <w:left w:w="0" w:type="dxa"/>
              <w:right w:w="0" w:type="dxa"/>
            </w:tcMar>
            <w:vAlign w:val="center"/>
          </w:tcPr>
          <w:p w14:paraId="34FF458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43" w:type="pct"/>
            <w:noWrap w:val="0"/>
            <w:tcMar>
              <w:left w:w="0" w:type="dxa"/>
              <w:right w:w="0" w:type="dxa"/>
            </w:tcMar>
            <w:vAlign w:val="center"/>
          </w:tcPr>
          <w:p w14:paraId="6B7D9686">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t>0.0005</w:t>
            </w:r>
          </w:p>
        </w:tc>
      </w:tr>
      <w:tr w14:paraId="126AC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noWrap w:val="0"/>
            <w:tcMar>
              <w:left w:w="0" w:type="dxa"/>
              <w:right w:w="0" w:type="dxa"/>
            </w:tcMar>
            <w:vAlign w:val="center"/>
          </w:tcPr>
          <w:p w14:paraId="2AF2D6A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w:t>
            </w:r>
          </w:p>
        </w:tc>
        <w:tc>
          <w:tcPr>
            <w:tcW w:w="499" w:type="pct"/>
            <w:noWrap w:val="0"/>
            <w:tcMar>
              <w:left w:w="0" w:type="dxa"/>
              <w:right w:w="0" w:type="dxa"/>
            </w:tcMar>
            <w:vAlign w:val="center"/>
          </w:tcPr>
          <w:p w14:paraId="1C8558F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制酸尾气排口</w:t>
            </w:r>
          </w:p>
        </w:tc>
        <w:tc>
          <w:tcPr>
            <w:tcW w:w="187" w:type="pct"/>
            <w:noWrap w:val="0"/>
            <w:tcMar>
              <w:left w:w="0" w:type="dxa"/>
              <w:right w:w="0" w:type="dxa"/>
            </w:tcMar>
            <w:vAlign w:val="center"/>
          </w:tcPr>
          <w:p w14:paraId="0CAF0D1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50</w:t>
            </w:r>
          </w:p>
        </w:tc>
        <w:tc>
          <w:tcPr>
            <w:tcW w:w="235" w:type="pct"/>
            <w:noWrap w:val="0"/>
            <w:tcMar>
              <w:left w:w="0" w:type="dxa"/>
              <w:right w:w="0" w:type="dxa"/>
            </w:tcMar>
            <w:vAlign w:val="center"/>
          </w:tcPr>
          <w:p w14:paraId="40960FD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1.3</w:t>
            </w:r>
          </w:p>
        </w:tc>
        <w:tc>
          <w:tcPr>
            <w:tcW w:w="293" w:type="pct"/>
            <w:noWrap w:val="0"/>
            <w:tcMar>
              <w:left w:w="0" w:type="dxa"/>
              <w:right w:w="0" w:type="dxa"/>
            </w:tcMar>
            <w:vAlign w:val="center"/>
          </w:tcPr>
          <w:p w14:paraId="06E5C5F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40000</w:t>
            </w:r>
          </w:p>
        </w:tc>
        <w:tc>
          <w:tcPr>
            <w:tcW w:w="287" w:type="pct"/>
            <w:noWrap w:val="0"/>
            <w:tcMar>
              <w:left w:w="0" w:type="dxa"/>
              <w:right w:w="0" w:type="dxa"/>
            </w:tcMar>
            <w:vAlign w:val="center"/>
          </w:tcPr>
          <w:p w14:paraId="1282F2C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60</w:t>
            </w:r>
          </w:p>
        </w:tc>
        <w:tc>
          <w:tcPr>
            <w:tcW w:w="326" w:type="pct"/>
            <w:noWrap w:val="0"/>
            <w:tcMar>
              <w:left w:w="0" w:type="dxa"/>
              <w:right w:w="0" w:type="dxa"/>
            </w:tcMar>
            <w:vAlign w:val="center"/>
          </w:tcPr>
          <w:p w14:paraId="0BB9FC0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正常</w:t>
            </w:r>
          </w:p>
        </w:tc>
        <w:tc>
          <w:tcPr>
            <w:tcW w:w="351" w:type="pct"/>
            <w:noWrap w:val="0"/>
            <w:tcMar>
              <w:left w:w="0" w:type="dxa"/>
              <w:right w:w="0" w:type="dxa"/>
            </w:tcMar>
            <w:vAlign w:val="center"/>
          </w:tcPr>
          <w:p w14:paraId="0265C745">
            <w:pPr>
              <w:pStyle w:val="21"/>
              <w:ind w:firstLine="0" w:firstLineChars="0"/>
              <w:jc w:val="center"/>
              <w:rPr>
                <w:rFonts w:hint="eastAsia" w:ascii="Times New Roman" w:hAnsi="Times New Roman" w:cs="Times New Roman" w:eastAsiaTheme="minorEastAsia"/>
                <w:szCs w:val="21"/>
                <w:highlight w:val="none"/>
                <w:lang w:val="en-US" w:eastAsia="zh-CN"/>
              </w:rPr>
            </w:pPr>
            <w:r>
              <w:t>0.7</w:t>
            </w:r>
          </w:p>
        </w:tc>
        <w:tc>
          <w:tcPr>
            <w:tcW w:w="309" w:type="pct"/>
            <w:noWrap w:val="0"/>
            <w:tcMar>
              <w:left w:w="0" w:type="dxa"/>
              <w:right w:w="0" w:type="dxa"/>
            </w:tcMar>
            <w:vAlign w:val="center"/>
          </w:tcPr>
          <w:p w14:paraId="08136275">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2.952</w:t>
            </w:r>
          </w:p>
        </w:tc>
        <w:tc>
          <w:tcPr>
            <w:tcW w:w="365" w:type="pct"/>
            <w:noWrap w:val="0"/>
            <w:tcMar>
              <w:left w:w="0" w:type="dxa"/>
              <w:right w:w="0" w:type="dxa"/>
            </w:tcMar>
            <w:vAlign w:val="center"/>
          </w:tcPr>
          <w:p w14:paraId="437165C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14" w:type="pct"/>
            <w:noWrap w:val="0"/>
            <w:tcMar>
              <w:left w:w="0" w:type="dxa"/>
              <w:right w:w="0" w:type="dxa"/>
            </w:tcMar>
            <w:vAlign w:val="center"/>
          </w:tcPr>
          <w:p w14:paraId="430A6A5A">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0.36</w:t>
            </w:r>
          </w:p>
        </w:tc>
        <w:tc>
          <w:tcPr>
            <w:tcW w:w="368" w:type="pct"/>
            <w:noWrap w:val="0"/>
            <w:tcMar>
              <w:left w:w="0" w:type="dxa"/>
              <w:right w:w="0" w:type="dxa"/>
            </w:tcMar>
            <w:vAlign w:val="center"/>
          </w:tcPr>
          <w:p w14:paraId="30D2503F">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0.18</w:t>
            </w:r>
          </w:p>
        </w:tc>
        <w:tc>
          <w:tcPr>
            <w:tcW w:w="410" w:type="pct"/>
            <w:noWrap w:val="0"/>
            <w:tcMar>
              <w:left w:w="0" w:type="dxa"/>
              <w:right w:w="0" w:type="dxa"/>
            </w:tcMar>
            <w:vAlign w:val="center"/>
          </w:tcPr>
          <w:p w14:paraId="72937E3B">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0.06</w:t>
            </w:r>
          </w:p>
        </w:tc>
        <w:tc>
          <w:tcPr>
            <w:tcW w:w="428" w:type="pct"/>
            <w:noWrap w:val="0"/>
            <w:tcMar>
              <w:left w:w="0" w:type="dxa"/>
              <w:right w:w="0" w:type="dxa"/>
            </w:tcMar>
            <w:vAlign w:val="center"/>
          </w:tcPr>
          <w:p w14:paraId="1858782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43" w:type="pct"/>
            <w:noWrap w:val="0"/>
            <w:tcMar>
              <w:left w:w="0" w:type="dxa"/>
              <w:right w:w="0" w:type="dxa"/>
            </w:tcMar>
            <w:vAlign w:val="center"/>
          </w:tcPr>
          <w:p w14:paraId="7D45CD41">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rPr>
              <w:t>0.0002</w:t>
            </w:r>
          </w:p>
        </w:tc>
      </w:tr>
      <w:tr w14:paraId="312C8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15"/>
            <w:noWrap w:val="0"/>
            <w:tcMar>
              <w:left w:w="0" w:type="dxa"/>
              <w:right w:w="0" w:type="dxa"/>
            </w:tcMar>
            <w:vAlign w:val="center"/>
          </w:tcPr>
          <w:p w14:paraId="14FE9E0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无组织面源</w:t>
            </w:r>
          </w:p>
        </w:tc>
      </w:tr>
      <w:tr w14:paraId="60E82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vMerge w:val="restart"/>
            <w:noWrap w:val="0"/>
            <w:tcMar>
              <w:left w:w="0" w:type="dxa"/>
              <w:right w:w="0" w:type="dxa"/>
            </w:tcMar>
            <w:vAlign w:val="center"/>
          </w:tcPr>
          <w:p w14:paraId="27F13207">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编号</w:t>
            </w:r>
          </w:p>
        </w:tc>
        <w:tc>
          <w:tcPr>
            <w:tcW w:w="499" w:type="pct"/>
            <w:vMerge w:val="restart"/>
            <w:noWrap w:val="0"/>
            <w:tcMar>
              <w:left w:w="0" w:type="dxa"/>
              <w:right w:w="0" w:type="dxa"/>
            </w:tcMar>
            <w:vAlign w:val="center"/>
          </w:tcPr>
          <w:p w14:paraId="75B6EA60">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面源</w:t>
            </w:r>
          </w:p>
          <w:p w14:paraId="48D9FFB7">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名称</w:t>
            </w:r>
          </w:p>
        </w:tc>
        <w:tc>
          <w:tcPr>
            <w:tcW w:w="187" w:type="pct"/>
            <w:vMerge w:val="restart"/>
            <w:noWrap w:val="0"/>
            <w:tcMar>
              <w:left w:w="0" w:type="dxa"/>
              <w:right w:w="0" w:type="dxa"/>
            </w:tcMar>
            <w:vAlign w:val="center"/>
          </w:tcPr>
          <w:p w14:paraId="77C95F22">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面源</w:t>
            </w:r>
            <w:r>
              <w:rPr>
                <w:rFonts w:hint="eastAsia" w:ascii="Times New Roman" w:hAnsi="Times New Roman" w:cs="Times New Roman"/>
                <w:szCs w:val="21"/>
                <w:highlight w:val="none"/>
                <w:lang w:val="en-US" w:eastAsia="zh-CN"/>
              </w:rPr>
              <w:t>海拔</w:t>
            </w:r>
            <w:r>
              <w:rPr>
                <w:rFonts w:hint="eastAsia" w:ascii="Times New Roman" w:hAnsi="Times New Roman" w:cs="Times New Roman" w:eastAsiaTheme="minorEastAsia"/>
                <w:szCs w:val="21"/>
                <w:highlight w:val="none"/>
                <w:lang w:val="en-US" w:eastAsia="zh-CN"/>
              </w:rPr>
              <w:t>/m</w:t>
            </w:r>
          </w:p>
        </w:tc>
        <w:tc>
          <w:tcPr>
            <w:tcW w:w="235" w:type="pct"/>
            <w:vMerge w:val="restart"/>
            <w:noWrap w:val="0"/>
            <w:tcMar>
              <w:left w:w="0" w:type="dxa"/>
              <w:right w:w="0" w:type="dxa"/>
            </w:tcMar>
            <w:vAlign w:val="center"/>
          </w:tcPr>
          <w:p w14:paraId="7E253B31">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面源</w:t>
            </w:r>
          </w:p>
          <w:p w14:paraId="46D01915">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长度/m</w:t>
            </w:r>
          </w:p>
        </w:tc>
        <w:tc>
          <w:tcPr>
            <w:tcW w:w="293" w:type="pct"/>
            <w:vMerge w:val="restart"/>
            <w:noWrap w:val="0"/>
            <w:tcMar>
              <w:left w:w="0" w:type="dxa"/>
              <w:right w:w="0" w:type="dxa"/>
            </w:tcMar>
            <w:vAlign w:val="center"/>
          </w:tcPr>
          <w:p w14:paraId="2E3EF2F4">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面源</w:t>
            </w:r>
          </w:p>
          <w:p w14:paraId="6F5792B3">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宽度/m</w:t>
            </w:r>
          </w:p>
        </w:tc>
        <w:tc>
          <w:tcPr>
            <w:tcW w:w="287" w:type="pct"/>
            <w:vMerge w:val="restart"/>
            <w:noWrap w:val="0"/>
            <w:tcMar>
              <w:left w:w="0" w:type="dxa"/>
              <w:right w:w="0" w:type="dxa"/>
            </w:tcMar>
            <w:vAlign w:val="center"/>
          </w:tcPr>
          <w:p w14:paraId="32548151">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与正北向</w:t>
            </w:r>
          </w:p>
          <w:p w14:paraId="28F418F0">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夹角/°</w:t>
            </w:r>
          </w:p>
        </w:tc>
        <w:tc>
          <w:tcPr>
            <w:tcW w:w="326" w:type="pct"/>
            <w:vMerge w:val="restart"/>
            <w:noWrap w:val="0"/>
            <w:tcMar>
              <w:left w:w="0" w:type="dxa"/>
              <w:right w:w="0" w:type="dxa"/>
            </w:tcMar>
            <w:vAlign w:val="center"/>
          </w:tcPr>
          <w:p w14:paraId="5FD15274">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面源有效</w:t>
            </w:r>
          </w:p>
          <w:p w14:paraId="03688AC0">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排放高度</w:t>
            </w:r>
          </w:p>
          <w:p w14:paraId="18FC77A1">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/m</w:t>
            </w:r>
          </w:p>
        </w:tc>
        <w:tc>
          <w:tcPr>
            <w:tcW w:w="3091" w:type="pct"/>
            <w:gridSpan w:val="8"/>
            <w:noWrap w:val="0"/>
            <w:tcMar>
              <w:left w:w="0" w:type="dxa"/>
              <w:right w:w="0" w:type="dxa"/>
            </w:tcMar>
            <w:vAlign w:val="center"/>
          </w:tcPr>
          <w:p w14:paraId="1DD4DA9B">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污染物排放速率（kg/h）</w:t>
            </w:r>
          </w:p>
        </w:tc>
      </w:tr>
      <w:tr w14:paraId="144B3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vMerge w:val="continue"/>
            <w:noWrap w:val="0"/>
            <w:tcMar>
              <w:left w:w="0" w:type="dxa"/>
              <w:right w:w="0" w:type="dxa"/>
            </w:tcMar>
            <w:vAlign w:val="center"/>
          </w:tcPr>
          <w:p w14:paraId="17E7FF30">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499" w:type="pct"/>
            <w:vMerge w:val="continue"/>
            <w:noWrap w:val="0"/>
            <w:tcMar>
              <w:left w:w="0" w:type="dxa"/>
              <w:right w:w="0" w:type="dxa"/>
            </w:tcMar>
            <w:vAlign w:val="center"/>
          </w:tcPr>
          <w:p w14:paraId="02BCF4F0">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187" w:type="pct"/>
            <w:vMerge w:val="continue"/>
            <w:noWrap w:val="0"/>
            <w:tcMar>
              <w:left w:w="0" w:type="dxa"/>
              <w:right w:w="0" w:type="dxa"/>
            </w:tcMar>
            <w:vAlign w:val="center"/>
          </w:tcPr>
          <w:p w14:paraId="6B4BA28B">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235" w:type="pct"/>
            <w:vMerge w:val="continue"/>
            <w:noWrap w:val="0"/>
            <w:tcMar>
              <w:left w:w="0" w:type="dxa"/>
              <w:right w:w="0" w:type="dxa"/>
            </w:tcMar>
            <w:vAlign w:val="center"/>
          </w:tcPr>
          <w:p w14:paraId="71C43386">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293" w:type="pct"/>
            <w:vMerge w:val="continue"/>
            <w:noWrap w:val="0"/>
            <w:tcMar>
              <w:left w:w="0" w:type="dxa"/>
              <w:right w:w="0" w:type="dxa"/>
            </w:tcMar>
            <w:vAlign w:val="center"/>
          </w:tcPr>
          <w:p w14:paraId="03FDFFC4">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287" w:type="pct"/>
            <w:vMerge w:val="continue"/>
            <w:noWrap w:val="0"/>
            <w:tcMar>
              <w:left w:w="0" w:type="dxa"/>
              <w:right w:w="0" w:type="dxa"/>
            </w:tcMar>
            <w:vAlign w:val="center"/>
          </w:tcPr>
          <w:p w14:paraId="7576E1B4">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326" w:type="pct"/>
            <w:vMerge w:val="continue"/>
            <w:noWrap w:val="0"/>
            <w:tcMar>
              <w:left w:w="0" w:type="dxa"/>
              <w:right w:w="0" w:type="dxa"/>
            </w:tcMar>
            <w:vAlign w:val="center"/>
          </w:tcPr>
          <w:p w14:paraId="52DF69B2">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351" w:type="pct"/>
            <w:noWrap w:val="0"/>
            <w:tcMar>
              <w:left w:w="0" w:type="dxa"/>
              <w:right w:w="0" w:type="dxa"/>
            </w:tcMar>
            <w:vAlign w:val="center"/>
          </w:tcPr>
          <w:p w14:paraId="7B875A82">
            <w:pPr>
              <w:pStyle w:val="21"/>
              <w:ind w:firstLine="0" w:firstLineChars="0"/>
              <w:jc w:val="center"/>
              <w:rPr>
                <w:rFonts w:hint="eastAsia" w:ascii="Times New Roman" w:hAnsi="Times New Roman" w:cs="Times New Roman" w:eastAsiaTheme="minorEastAsia"/>
                <w:szCs w:val="21"/>
                <w:highlight w:val="none"/>
                <w:lang w:val="en-US" w:eastAsia="zh-CN"/>
              </w:rPr>
            </w:pPr>
            <w:r>
              <w:t>SO</w:t>
            </w:r>
            <w:r>
              <w:rPr>
                <w:vertAlign w:val="subscript"/>
              </w:rPr>
              <w:t>2</w:t>
            </w:r>
          </w:p>
        </w:tc>
        <w:tc>
          <w:tcPr>
            <w:tcW w:w="309" w:type="pct"/>
            <w:noWrap w:val="0"/>
            <w:tcMar>
              <w:left w:w="0" w:type="dxa"/>
              <w:right w:w="0" w:type="dxa"/>
            </w:tcMar>
            <w:vAlign w:val="center"/>
          </w:tcPr>
          <w:p w14:paraId="5409CAD4">
            <w:pPr>
              <w:pStyle w:val="21"/>
              <w:ind w:firstLine="0" w:firstLineChars="0"/>
              <w:jc w:val="center"/>
              <w:rPr>
                <w:rFonts w:hint="eastAsia" w:ascii="Times New Roman" w:hAnsi="Times New Roman" w:cs="Times New Roman" w:eastAsiaTheme="minorEastAsia"/>
                <w:szCs w:val="21"/>
                <w:highlight w:val="none"/>
                <w:lang w:val="en-US" w:eastAsia="zh-CN"/>
              </w:rPr>
            </w:pPr>
            <w:r>
              <w:t>NO</w:t>
            </w:r>
            <w:r>
              <w:rPr>
                <w:vertAlign w:val="subscript"/>
              </w:rPr>
              <w:t>2</w:t>
            </w:r>
          </w:p>
        </w:tc>
        <w:tc>
          <w:tcPr>
            <w:tcW w:w="365" w:type="pct"/>
            <w:noWrap w:val="0"/>
            <w:tcMar>
              <w:left w:w="0" w:type="dxa"/>
              <w:right w:w="0" w:type="dxa"/>
            </w:tcMar>
            <w:vAlign w:val="center"/>
          </w:tcPr>
          <w:p w14:paraId="3F658E62">
            <w:pPr>
              <w:pStyle w:val="21"/>
              <w:ind w:firstLine="0" w:firstLineChars="0"/>
              <w:jc w:val="center"/>
              <w:rPr>
                <w:rFonts w:hint="eastAsia" w:ascii="Times New Roman" w:hAnsi="Times New Roman" w:cs="Times New Roman" w:eastAsiaTheme="minorEastAsia"/>
                <w:szCs w:val="21"/>
                <w:highlight w:val="none"/>
                <w:lang w:val="en-US" w:eastAsia="zh-CN"/>
              </w:rPr>
            </w:pPr>
            <w:r>
              <w:t>TSP</w:t>
            </w:r>
          </w:p>
        </w:tc>
        <w:tc>
          <w:tcPr>
            <w:tcW w:w="414" w:type="pct"/>
            <w:noWrap w:val="0"/>
            <w:tcMar>
              <w:left w:w="0" w:type="dxa"/>
              <w:right w:w="0" w:type="dxa"/>
            </w:tcMar>
            <w:vAlign w:val="center"/>
          </w:tcPr>
          <w:p w14:paraId="18C3ACA8">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铅</w:t>
            </w:r>
          </w:p>
        </w:tc>
        <w:tc>
          <w:tcPr>
            <w:tcW w:w="368" w:type="pct"/>
            <w:noWrap w:val="0"/>
            <w:tcMar>
              <w:left w:w="0" w:type="dxa"/>
              <w:right w:w="0" w:type="dxa"/>
            </w:tcMar>
            <w:vAlign w:val="center"/>
          </w:tcPr>
          <w:p w14:paraId="07AC789A">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镉</w:t>
            </w:r>
          </w:p>
        </w:tc>
        <w:tc>
          <w:tcPr>
            <w:tcW w:w="410" w:type="pct"/>
            <w:noWrap w:val="0"/>
            <w:tcMar>
              <w:left w:w="0" w:type="dxa"/>
              <w:right w:w="0" w:type="dxa"/>
            </w:tcMar>
            <w:vAlign w:val="center"/>
          </w:tcPr>
          <w:p w14:paraId="53E4FD44">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汞</w:t>
            </w:r>
          </w:p>
        </w:tc>
        <w:tc>
          <w:tcPr>
            <w:tcW w:w="428" w:type="pct"/>
            <w:noWrap w:val="0"/>
            <w:tcMar>
              <w:left w:w="0" w:type="dxa"/>
              <w:right w:w="0" w:type="dxa"/>
            </w:tcMar>
            <w:vAlign w:val="center"/>
          </w:tcPr>
          <w:p w14:paraId="2208E9BA">
            <w:pPr>
              <w:pStyle w:val="21"/>
              <w:ind w:firstLine="0" w:firstLineChars="0"/>
              <w:jc w:val="center"/>
              <w:rPr>
                <w:rFonts w:hint="eastAsia" w:ascii="Times New Roman" w:hAnsi="Times New Roman" w:cs="Times New Roman" w:eastAsiaTheme="minorEastAsia"/>
                <w:szCs w:val="21"/>
                <w:highlight w:val="none"/>
                <w:lang w:val="en-US" w:eastAsia="zh-CN"/>
              </w:rPr>
            </w:pPr>
          </w:p>
        </w:tc>
        <w:tc>
          <w:tcPr>
            <w:tcW w:w="443" w:type="pct"/>
            <w:noWrap w:val="0"/>
            <w:tcMar>
              <w:left w:w="0" w:type="dxa"/>
              <w:right w:w="0" w:type="dxa"/>
            </w:tcMar>
            <w:vAlign w:val="center"/>
          </w:tcPr>
          <w:p w14:paraId="27C63064">
            <w:pPr>
              <w:pStyle w:val="21"/>
              <w:ind w:firstLine="0" w:firstLineChars="0"/>
              <w:jc w:val="center"/>
              <w:rPr>
                <w:rFonts w:hint="eastAsia" w:ascii="Times New Roman" w:hAnsi="Times New Roman" w:cs="Times New Roman" w:eastAsiaTheme="minorEastAsia"/>
                <w:szCs w:val="21"/>
                <w:highlight w:val="none"/>
                <w:lang w:val="en-US" w:eastAsia="zh-CN"/>
              </w:rPr>
            </w:pPr>
          </w:p>
        </w:tc>
      </w:tr>
      <w:tr w14:paraId="397D5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 w:type="pct"/>
            <w:noWrap w:val="0"/>
            <w:tcMar>
              <w:left w:w="0" w:type="dxa"/>
              <w:right w:w="0" w:type="dxa"/>
            </w:tcMar>
            <w:vAlign w:val="center"/>
          </w:tcPr>
          <w:p w14:paraId="69D3B9E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6</w:t>
            </w:r>
          </w:p>
        </w:tc>
        <w:tc>
          <w:tcPr>
            <w:tcW w:w="499" w:type="pct"/>
            <w:noWrap w:val="0"/>
            <w:tcMar>
              <w:left w:w="0" w:type="dxa"/>
              <w:right w:w="0" w:type="dxa"/>
            </w:tcMar>
            <w:vAlign w:val="center"/>
          </w:tcPr>
          <w:p w14:paraId="7E95551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拆解车间</w:t>
            </w:r>
          </w:p>
        </w:tc>
        <w:tc>
          <w:tcPr>
            <w:tcW w:w="187" w:type="pct"/>
            <w:noWrap w:val="0"/>
            <w:tcMar>
              <w:left w:w="0" w:type="dxa"/>
              <w:right w:w="0" w:type="dxa"/>
            </w:tcMar>
            <w:vAlign w:val="center"/>
          </w:tcPr>
          <w:p w14:paraId="0C926F8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1280</w:t>
            </w:r>
          </w:p>
        </w:tc>
        <w:tc>
          <w:tcPr>
            <w:tcW w:w="235" w:type="pct"/>
            <w:noWrap w:val="0"/>
            <w:tcMar>
              <w:left w:w="0" w:type="dxa"/>
              <w:right w:w="0" w:type="dxa"/>
            </w:tcMar>
            <w:vAlign w:val="center"/>
          </w:tcPr>
          <w:p w14:paraId="6E9F20E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80</w:t>
            </w:r>
          </w:p>
        </w:tc>
        <w:tc>
          <w:tcPr>
            <w:tcW w:w="293" w:type="pct"/>
            <w:noWrap w:val="0"/>
            <w:tcMar>
              <w:left w:w="0" w:type="dxa"/>
              <w:right w:w="0" w:type="dxa"/>
            </w:tcMar>
            <w:vAlign w:val="center"/>
          </w:tcPr>
          <w:p w14:paraId="6992B5D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75</w:t>
            </w:r>
          </w:p>
        </w:tc>
        <w:tc>
          <w:tcPr>
            <w:tcW w:w="287" w:type="pct"/>
            <w:noWrap w:val="0"/>
            <w:tcMar>
              <w:left w:w="0" w:type="dxa"/>
              <w:right w:w="0" w:type="dxa"/>
            </w:tcMar>
            <w:vAlign w:val="center"/>
          </w:tcPr>
          <w:p w14:paraId="3673C0D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330</w:t>
            </w:r>
          </w:p>
        </w:tc>
        <w:tc>
          <w:tcPr>
            <w:tcW w:w="326" w:type="pct"/>
            <w:noWrap w:val="0"/>
            <w:tcMar>
              <w:left w:w="0" w:type="dxa"/>
              <w:right w:w="0" w:type="dxa"/>
            </w:tcMar>
            <w:vAlign w:val="center"/>
          </w:tcPr>
          <w:p w14:paraId="120D0BC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w:t>
            </w:r>
          </w:p>
        </w:tc>
        <w:tc>
          <w:tcPr>
            <w:tcW w:w="351" w:type="pct"/>
            <w:noWrap w:val="0"/>
            <w:tcMar>
              <w:left w:w="0" w:type="dxa"/>
              <w:right w:w="0" w:type="dxa"/>
            </w:tcMar>
            <w:vAlign w:val="center"/>
          </w:tcPr>
          <w:p w14:paraId="300BCF9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09" w:type="pct"/>
            <w:noWrap w:val="0"/>
            <w:tcMar>
              <w:left w:w="0" w:type="dxa"/>
              <w:right w:w="0" w:type="dxa"/>
            </w:tcMar>
            <w:vAlign w:val="center"/>
          </w:tcPr>
          <w:p w14:paraId="59CD613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65" w:type="pct"/>
            <w:noWrap w:val="0"/>
            <w:tcMar>
              <w:left w:w="0" w:type="dxa"/>
              <w:right w:w="0" w:type="dxa"/>
            </w:tcMar>
            <w:vAlign w:val="center"/>
          </w:tcPr>
          <w:p w14:paraId="6F8E478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0.107</w:t>
            </w:r>
          </w:p>
        </w:tc>
        <w:tc>
          <w:tcPr>
            <w:tcW w:w="414" w:type="pct"/>
            <w:noWrap w:val="0"/>
            <w:tcMar>
              <w:left w:w="0" w:type="dxa"/>
              <w:right w:w="0" w:type="dxa"/>
            </w:tcMar>
            <w:vAlign w:val="center"/>
          </w:tcPr>
          <w:p w14:paraId="109F2BA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rPr>
              <w:t>0.0</w:t>
            </w:r>
            <w:r>
              <w:t>17</w:t>
            </w:r>
          </w:p>
        </w:tc>
        <w:tc>
          <w:tcPr>
            <w:tcW w:w="368" w:type="pct"/>
            <w:noWrap w:val="0"/>
            <w:tcMar>
              <w:left w:w="0" w:type="dxa"/>
              <w:right w:w="0" w:type="dxa"/>
            </w:tcMar>
            <w:vAlign w:val="center"/>
          </w:tcPr>
          <w:p w14:paraId="7DE9C66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10" w:type="pct"/>
            <w:noWrap w:val="0"/>
            <w:tcMar>
              <w:left w:w="0" w:type="dxa"/>
              <w:right w:w="0" w:type="dxa"/>
            </w:tcMar>
            <w:vAlign w:val="center"/>
          </w:tcPr>
          <w:p w14:paraId="7A233E65">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28" w:type="pct"/>
            <w:noWrap w:val="0"/>
            <w:tcMar>
              <w:left w:w="0" w:type="dxa"/>
              <w:right w:w="0" w:type="dxa"/>
            </w:tcMar>
            <w:vAlign w:val="center"/>
          </w:tcPr>
          <w:p w14:paraId="49D3E86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443" w:type="pct"/>
            <w:noWrap w:val="0"/>
            <w:tcMar>
              <w:left w:w="0" w:type="dxa"/>
              <w:right w:w="0" w:type="dxa"/>
            </w:tcMar>
            <w:vAlign w:val="center"/>
          </w:tcPr>
          <w:p w14:paraId="5FE25E9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r>
      <w:tr w14:paraId="4D19F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15"/>
            <w:noWrap w:val="0"/>
            <w:tcMar>
              <w:left w:w="0" w:type="dxa"/>
              <w:right w:w="0" w:type="dxa"/>
            </w:tcMar>
            <w:vAlign w:val="center"/>
          </w:tcPr>
          <w:p w14:paraId="7028DC93">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t>莎车县恒丰锌业有限公司年产10万吨锌资源综合利用</w:t>
            </w:r>
            <w:r>
              <w:rPr>
                <w:rFonts w:hint="eastAsia"/>
              </w:rPr>
              <w:t>项目</w:t>
            </w:r>
          </w:p>
        </w:tc>
      </w:tr>
      <w:tr w14:paraId="64740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vMerge w:val="restart"/>
            <w:noWrap w:val="0"/>
            <w:tcMar>
              <w:left w:w="0" w:type="dxa"/>
              <w:right w:w="0" w:type="dxa"/>
            </w:tcMar>
            <w:vAlign w:val="center"/>
          </w:tcPr>
          <w:p w14:paraId="710EA64A">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编号</w:t>
            </w:r>
          </w:p>
        </w:tc>
        <w:tc>
          <w:tcPr>
            <w:tcW w:w="499" w:type="pct"/>
            <w:vMerge w:val="restart"/>
            <w:noWrap w:val="0"/>
            <w:tcMar>
              <w:left w:w="0" w:type="dxa"/>
              <w:right w:w="0" w:type="dxa"/>
            </w:tcMar>
            <w:vAlign w:val="center"/>
          </w:tcPr>
          <w:p w14:paraId="4FBD7973">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名称</w:t>
            </w:r>
          </w:p>
        </w:tc>
        <w:tc>
          <w:tcPr>
            <w:tcW w:w="187" w:type="pct"/>
            <w:vMerge w:val="restart"/>
            <w:noWrap w:val="0"/>
            <w:tcMar>
              <w:left w:w="0" w:type="dxa"/>
              <w:right w:w="0" w:type="dxa"/>
            </w:tcMar>
            <w:vAlign w:val="center"/>
          </w:tcPr>
          <w:p w14:paraId="2972317F">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排气筒高度</w:t>
            </w:r>
          </w:p>
          <w:p w14:paraId="3B3646F7">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/m</w:t>
            </w:r>
          </w:p>
        </w:tc>
        <w:tc>
          <w:tcPr>
            <w:tcW w:w="235" w:type="pct"/>
            <w:vMerge w:val="restart"/>
            <w:noWrap w:val="0"/>
            <w:tcMar>
              <w:left w:w="0" w:type="dxa"/>
              <w:right w:w="0" w:type="dxa"/>
            </w:tcMar>
            <w:vAlign w:val="center"/>
          </w:tcPr>
          <w:p w14:paraId="5C7E5AF9">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排气筒出口内径</w:t>
            </w:r>
          </w:p>
          <w:p w14:paraId="32FDC60B">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/m</w:t>
            </w:r>
          </w:p>
        </w:tc>
        <w:tc>
          <w:tcPr>
            <w:tcW w:w="293" w:type="pct"/>
            <w:vMerge w:val="restart"/>
            <w:noWrap w:val="0"/>
            <w:tcMar>
              <w:left w:w="0" w:type="dxa"/>
              <w:right w:w="0" w:type="dxa"/>
            </w:tcMar>
            <w:vAlign w:val="center"/>
          </w:tcPr>
          <w:p w14:paraId="5B98BC64">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烟气排放量/（m</w:t>
            </w:r>
            <w:r>
              <w:rPr>
                <w:rFonts w:hint="eastAsia" w:ascii="Times New Roman" w:hAnsi="Times New Roman" w:cs="Times New Roman" w:eastAsiaTheme="minorEastAsia"/>
                <w:szCs w:val="21"/>
                <w:highlight w:val="none"/>
                <w:vertAlign w:val="superscript"/>
                <w:lang w:val="en-US" w:eastAsia="zh-CN"/>
              </w:rPr>
              <w:t>3</w:t>
            </w:r>
            <w:r>
              <w:rPr>
                <w:rFonts w:hint="eastAsia" w:ascii="Times New Roman" w:hAnsi="Times New Roman" w:cs="Times New Roman" w:eastAsiaTheme="minorEastAsia"/>
                <w:szCs w:val="21"/>
                <w:highlight w:val="none"/>
                <w:lang w:val="en-US" w:eastAsia="zh-CN"/>
              </w:rPr>
              <w:t>/h）</w:t>
            </w:r>
          </w:p>
        </w:tc>
        <w:tc>
          <w:tcPr>
            <w:tcW w:w="287" w:type="pct"/>
            <w:vMerge w:val="restart"/>
            <w:noWrap w:val="0"/>
            <w:tcMar>
              <w:left w:w="0" w:type="dxa"/>
              <w:right w:w="0" w:type="dxa"/>
            </w:tcMar>
            <w:vAlign w:val="center"/>
          </w:tcPr>
          <w:p w14:paraId="10E1415B">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烟气温度/℃</w:t>
            </w:r>
          </w:p>
        </w:tc>
        <w:tc>
          <w:tcPr>
            <w:tcW w:w="326" w:type="pct"/>
            <w:vMerge w:val="restart"/>
            <w:noWrap w:val="0"/>
            <w:tcMar>
              <w:left w:w="0" w:type="dxa"/>
              <w:right w:w="0" w:type="dxa"/>
            </w:tcMar>
            <w:vAlign w:val="center"/>
          </w:tcPr>
          <w:p w14:paraId="19E943E3">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排放</w:t>
            </w:r>
          </w:p>
          <w:p w14:paraId="1FAAD778">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工况</w:t>
            </w:r>
          </w:p>
        </w:tc>
        <w:tc>
          <w:tcPr>
            <w:tcW w:w="3091" w:type="pct"/>
            <w:gridSpan w:val="8"/>
            <w:noWrap w:val="0"/>
            <w:tcMar>
              <w:left w:w="0" w:type="dxa"/>
              <w:right w:w="0" w:type="dxa"/>
            </w:tcMar>
            <w:vAlign w:val="center"/>
          </w:tcPr>
          <w:p w14:paraId="08E34E58">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污染物排放速率（kg/h）</w:t>
            </w:r>
          </w:p>
        </w:tc>
      </w:tr>
      <w:tr w14:paraId="2C67C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vMerge w:val="continue"/>
            <w:noWrap w:val="0"/>
            <w:tcMar>
              <w:left w:w="0" w:type="dxa"/>
              <w:right w:w="0" w:type="dxa"/>
            </w:tcMar>
            <w:vAlign w:val="center"/>
          </w:tcPr>
          <w:p w14:paraId="74598327">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499" w:type="pct"/>
            <w:vMerge w:val="continue"/>
            <w:noWrap w:val="0"/>
            <w:tcMar>
              <w:left w:w="0" w:type="dxa"/>
              <w:right w:w="0" w:type="dxa"/>
            </w:tcMar>
            <w:vAlign w:val="center"/>
          </w:tcPr>
          <w:p w14:paraId="55AE2246">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187" w:type="pct"/>
            <w:vMerge w:val="continue"/>
            <w:noWrap w:val="0"/>
            <w:tcMar>
              <w:left w:w="0" w:type="dxa"/>
              <w:right w:w="0" w:type="dxa"/>
            </w:tcMar>
            <w:vAlign w:val="center"/>
          </w:tcPr>
          <w:p w14:paraId="17CAB56A">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235" w:type="pct"/>
            <w:vMerge w:val="continue"/>
            <w:noWrap w:val="0"/>
            <w:tcMar>
              <w:left w:w="0" w:type="dxa"/>
              <w:right w:w="0" w:type="dxa"/>
            </w:tcMar>
            <w:vAlign w:val="center"/>
          </w:tcPr>
          <w:p w14:paraId="1687091A">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293" w:type="pct"/>
            <w:vMerge w:val="continue"/>
            <w:noWrap w:val="0"/>
            <w:tcMar>
              <w:left w:w="0" w:type="dxa"/>
              <w:right w:w="0" w:type="dxa"/>
            </w:tcMar>
            <w:vAlign w:val="center"/>
          </w:tcPr>
          <w:p w14:paraId="34B4A781">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287" w:type="pct"/>
            <w:vMerge w:val="continue"/>
            <w:noWrap w:val="0"/>
            <w:tcMar>
              <w:left w:w="0" w:type="dxa"/>
              <w:right w:w="0" w:type="dxa"/>
            </w:tcMar>
            <w:vAlign w:val="center"/>
          </w:tcPr>
          <w:p w14:paraId="65006389">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326" w:type="pct"/>
            <w:vMerge w:val="continue"/>
            <w:noWrap w:val="0"/>
            <w:tcMar>
              <w:left w:w="0" w:type="dxa"/>
              <w:right w:w="0" w:type="dxa"/>
            </w:tcMar>
            <w:vAlign w:val="center"/>
          </w:tcPr>
          <w:p w14:paraId="3F2621B9">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351" w:type="pct"/>
            <w:noWrap w:val="0"/>
            <w:tcMar>
              <w:left w:w="0" w:type="dxa"/>
              <w:right w:w="0" w:type="dxa"/>
            </w:tcMar>
            <w:vAlign w:val="center"/>
          </w:tcPr>
          <w:p w14:paraId="7EBCA2A8">
            <w:pPr>
              <w:pStyle w:val="21"/>
              <w:ind w:firstLine="0" w:firstLineChars="0"/>
              <w:jc w:val="center"/>
              <w:rPr>
                <w:rFonts w:hint="eastAsia" w:ascii="Times New Roman" w:hAnsi="Times New Roman" w:cs="Times New Roman" w:eastAsiaTheme="minorEastAsia"/>
                <w:szCs w:val="21"/>
                <w:highlight w:val="none"/>
                <w:lang w:val="en-US" w:eastAsia="zh-CN"/>
              </w:rPr>
            </w:pPr>
            <w:r>
              <w:t>SO</w:t>
            </w:r>
            <w:r>
              <w:rPr>
                <w:vertAlign w:val="subscript"/>
              </w:rPr>
              <w:t>2</w:t>
            </w:r>
          </w:p>
        </w:tc>
        <w:tc>
          <w:tcPr>
            <w:tcW w:w="309" w:type="pct"/>
            <w:noWrap w:val="0"/>
            <w:tcMar>
              <w:left w:w="0" w:type="dxa"/>
              <w:right w:w="0" w:type="dxa"/>
            </w:tcMar>
            <w:vAlign w:val="center"/>
          </w:tcPr>
          <w:p w14:paraId="6E826C00">
            <w:pPr>
              <w:pStyle w:val="21"/>
              <w:ind w:firstLine="0" w:firstLineChars="0"/>
              <w:jc w:val="center"/>
              <w:rPr>
                <w:rFonts w:hint="eastAsia" w:ascii="Times New Roman" w:hAnsi="Times New Roman" w:cs="Times New Roman" w:eastAsiaTheme="minorEastAsia"/>
                <w:szCs w:val="21"/>
                <w:highlight w:val="none"/>
                <w:lang w:val="en-US" w:eastAsia="zh-CN"/>
              </w:rPr>
            </w:pPr>
            <w:r>
              <w:t>NO</w:t>
            </w:r>
            <w:r>
              <w:rPr>
                <w:vertAlign w:val="subscript"/>
              </w:rPr>
              <w:t>2</w:t>
            </w:r>
          </w:p>
        </w:tc>
        <w:tc>
          <w:tcPr>
            <w:tcW w:w="365" w:type="pct"/>
            <w:noWrap w:val="0"/>
            <w:tcMar>
              <w:left w:w="0" w:type="dxa"/>
              <w:right w:w="0" w:type="dxa"/>
            </w:tcMar>
            <w:vAlign w:val="center"/>
          </w:tcPr>
          <w:p w14:paraId="47C4F6A7">
            <w:pPr>
              <w:pStyle w:val="21"/>
              <w:ind w:firstLine="0" w:firstLineChars="0"/>
              <w:jc w:val="center"/>
              <w:rPr>
                <w:rFonts w:hint="eastAsia" w:ascii="Times New Roman" w:hAnsi="Times New Roman" w:cs="Times New Roman" w:eastAsiaTheme="minorEastAsia"/>
                <w:szCs w:val="21"/>
                <w:highlight w:val="none"/>
                <w:lang w:val="en-US" w:eastAsia="zh-CN"/>
              </w:rPr>
            </w:pPr>
            <w:r>
              <w:t>PM</w:t>
            </w:r>
            <w:r>
              <w:rPr>
                <w:vertAlign w:val="subscript"/>
              </w:rPr>
              <w:t>10</w:t>
            </w:r>
          </w:p>
        </w:tc>
        <w:tc>
          <w:tcPr>
            <w:tcW w:w="414" w:type="pct"/>
            <w:noWrap w:val="0"/>
            <w:tcMar>
              <w:left w:w="0" w:type="dxa"/>
              <w:right w:w="0" w:type="dxa"/>
            </w:tcMar>
            <w:vAlign w:val="center"/>
          </w:tcPr>
          <w:p w14:paraId="6F04EFD7">
            <w:pPr>
              <w:pStyle w:val="21"/>
              <w:ind w:firstLine="0" w:firstLineChars="0"/>
              <w:jc w:val="center"/>
              <w:rPr>
                <w:rFonts w:hint="eastAsia" w:ascii="Times New Roman" w:hAnsi="Times New Roman" w:cs="Times New Roman" w:eastAsiaTheme="minorEastAsia"/>
                <w:szCs w:val="21"/>
                <w:highlight w:val="none"/>
                <w:lang w:val="en-US" w:eastAsia="zh-CN"/>
              </w:rPr>
            </w:pPr>
            <w:r>
              <w:t>PM</w:t>
            </w:r>
            <w:r>
              <w:rPr>
                <w:vertAlign w:val="subscript"/>
              </w:rPr>
              <w:t>2.5</w:t>
            </w:r>
          </w:p>
        </w:tc>
        <w:tc>
          <w:tcPr>
            <w:tcW w:w="368" w:type="pct"/>
            <w:noWrap w:val="0"/>
            <w:tcMar>
              <w:left w:w="0" w:type="dxa"/>
              <w:right w:w="0" w:type="dxa"/>
            </w:tcMar>
            <w:vAlign w:val="center"/>
          </w:tcPr>
          <w:p w14:paraId="53D49E72">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铅</w:t>
            </w:r>
          </w:p>
        </w:tc>
        <w:tc>
          <w:tcPr>
            <w:tcW w:w="410" w:type="pct"/>
            <w:noWrap w:val="0"/>
            <w:tcMar>
              <w:left w:w="0" w:type="dxa"/>
              <w:right w:w="0" w:type="dxa"/>
            </w:tcMar>
            <w:vAlign w:val="center"/>
          </w:tcPr>
          <w:p w14:paraId="58E1CE90">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镉</w:t>
            </w:r>
          </w:p>
        </w:tc>
        <w:tc>
          <w:tcPr>
            <w:tcW w:w="428" w:type="pct"/>
            <w:noWrap w:val="0"/>
            <w:tcMar>
              <w:left w:w="0" w:type="dxa"/>
              <w:right w:w="0" w:type="dxa"/>
            </w:tcMar>
            <w:vAlign w:val="center"/>
          </w:tcPr>
          <w:p w14:paraId="2EAC7F16">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汞</w:t>
            </w:r>
          </w:p>
        </w:tc>
        <w:tc>
          <w:tcPr>
            <w:tcW w:w="443" w:type="pct"/>
            <w:noWrap w:val="0"/>
            <w:tcMar>
              <w:left w:w="0" w:type="dxa"/>
              <w:right w:w="0" w:type="dxa"/>
            </w:tcMar>
            <w:vAlign w:val="center"/>
          </w:tcPr>
          <w:p w14:paraId="6F24A776">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砷</w:t>
            </w:r>
          </w:p>
        </w:tc>
      </w:tr>
      <w:tr w14:paraId="6A4C0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noWrap w:val="0"/>
            <w:tcMar>
              <w:left w:w="0" w:type="dxa"/>
              <w:right w:w="0" w:type="dxa"/>
            </w:tcMar>
            <w:vAlign w:val="center"/>
          </w:tcPr>
          <w:p w14:paraId="306D966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w:t>
            </w:r>
          </w:p>
        </w:tc>
        <w:tc>
          <w:tcPr>
            <w:tcW w:w="499" w:type="pct"/>
            <w:noWrap w:val="0"/>
            <w:tcMar>
              <w:left w:w="0" w:type="dxa"/>
              <w:right w:w="0" w:type="dxa"/>
            </w:tcMar>
            <w:vAlign w:val="center"/>
          </w:tcPr>
          <w:p w14:paraId="22B2187B">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恒丰锌业-</w:t>
            </w:r>
            <w:r>
              <w:t>G1-1</w:t>
            </w:r>
          </w:p>
        </w:tc>
        <w:tc>
          <w:tcPr>
            <w:tcW w:w="187" w:type="pct"/>
            <w:noWrap w:val="0"/>
            <w:tcMar>
              <w:left w:w="0" w:type="dxa"/>
              <w:right w:w="0" w:type="dxa"/>
            </w:tcMar>
            <w:vAlign w:val="center"/>
          </w:tcPr>
          <w:p w14:paraId="0D6F2D6F">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15</w:t>
            </w:r>
          </w:p>
        </w:tc>
        <w:tc>
          <w:tcPr>
            <w:tcW w:w="235" w:type="pct"/>
            <w:noWrap w:val="0"/>
            <w:tcMar>
              <w:left w:w="0" w:type="dxa"/>
              <w:right w:w="0" w:type="dxa"/>
            </w:tcMar>
            <w:vAlign w:val="center"/>
          </w:tcPr>
          <w:p w14:paraId="4F999250">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0.75</w:t>
            </w:r>
          </w:p>
        </w:tc>
        <w:tc>
          <w:tcPr>
            <w:tcW w:w="293" w:type="pct"/>
            <w:noWrap w:val="0"/>
            <w:tcMar>
              <w:left w:w="0" w:type="dxa"/>
              <w:right w:w="0" w:type="dxa"/>
            </w:tcMar>
            <w:vAlign w:val="center"/>
          </w:tcPr>
          <w:p w14:paraId="22CDFAD9">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12000</w:t>
            </w:r>
          </w:p>
        </w:tc>
        <w:tc>
          <w:tcPr>
            <w:tcW w:w="287" w:type="pct"/>
            <w:noWrap w:val="0"/>
            <w:tcMar>
              <w:left w:w="0" w:type="dxa"/>
              <w:right w:w="0" w:type="dxa"/>
            </w:tcMar>
            <w:vAlign w:val="center"/>
          </w:tcPr>
          <w:p w14:paraId="20B47543">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20</w:t>
            </w:r>
          </w:p>
        </w:tc>
        <w:tc>
          <w:tcPr>
            <w:tcW w:w="326" w:type="pct"/>
            <w:shd w:val="clear" w:color="auto" w:fill="auto"/>
            <w:noWrap w:val="0"/>
            <w:tcMar>
              <w:left w:w="0" w:type="dxa"/>
              <w:right w:w="0" w:type="dxa"/>
            </w:tcMar>
            <w:vAlign w:val="center"/>
          </w:tcPr>
          <w:p w14:paraId="28C535C6">
            <w:pPr>
              <w:autoSpaceDE w:val="0"/>
              <w:autoSpaceDN w:val="0"/>
              <w:spacing w:line="300" w:lineRule="exact"/>
              <w:jc w:val="center"/>
              <w:rPr>
                <w:rFonts w:hint="eastAsia"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正常</w:t>
            </w:r>
          </w:p>
        </w:tc>
        <w:tc>
          <w:tcPr>
            <w:tcW w:w="351" w:type="pct"/>
            <w:noWrap w:val="0"/>
            <w:tcMar>
              <w:left w:w="0" w:type="dxa"/>
              <w:right w:w="0" w:type="dxa"/>
            </w:tcMar>
            <w:vAlign w:val="center"/>
          </w:tcPr>
          <w:p w14:paraId="77A77A5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09" w:type="pct"/>
            <w:noWrap w:val="0"/>
            <w:tcMar>
              <w:left w:w="0" w:type="dxa"/>
              <w:right w:w="0" w:type="dxa"/>
            </w:tcMar>
            <w:vAlign w:val="center"/>
          </w:tcPr>
          <w:p w14:paraId="2D7CBFB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65" w:type="pct"/>
            <w:noWrap w:val="0"/>
            <w:tcMar>
              <w:left w:w="0" w:type="dxa"/>
              <w:right w:w="0" w:type="dxa"/>
            </w:tcMar>
            <w:vAlign w:val="center"/>
          </w:tcPr>
          <w:p w14:paraId="47169014">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0.12</w:t>
            </w:r>
          </w:p>
        </w:tc>
        <w:tc>
          <w:tcPr>
            <w:tcW w:w="414" w:type="pct"/>
            <w:noWrap w:val="0"/>
            <w:tcMar>
              <w:left w:w="0" w:type="dxa"/>
              <w:right w:w="0" w:type="dxa"/>
            </w:tcMar>
            <w:vAlign w:val="center"/>
          </w:tcPr>
          <w:p w14:paraId="795139D3">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0.06</w:t>
            </w:r>
          </w:p>
        </w:tc>
        <w:tc>
          <w:tcPr>
            <w:tcW w:w="368" w:type="pct"/>
            <w:noWrap w:val="0"/>
            <w:tcMar>
              <w:left w:w="0" w:type="dxa"/>
              <w:right w:w="0" w:type="dxa"/>
            </w:tcMar>
            <w:vAlign w:val="center"/>
          </w:tcPr>
          <w:p w14:paraId="1CF40B27">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0.001932</w:t>
            </w:r>
          </w:p>
        </w:tc>
        <w:tc>
          <w:tcPr>
            <w:tcW w:w="410" w:type="pct"/>
            <w:noWrap w:val="0"/>
            <w:tcMar>
              <w:left w:w="0" w:type="dxa"/>
              <w:right w:w="0" w:type="dxa"/>
            </w:tcMar>
            <w:vAlign w:val="top"/>
          </w:tcPr>
          <w:p w14:paraId="44897EC5">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0.00003</w:t>
            </w:r>
          </w:p>
        </w:tc>
        <w:tc>
          <w:tcPr>
            <w:tcW w:w="428" w:type="pct"/>
            <w:noWrap w:val="0"/>
            <w:tcMar>
              <w:left w:w="0" w:type="dxa"/>
              <w:right w:w="0" w:type="dxa"/>
            </w:tcMar>
            <w:vAlign w:val="center"/>
          </w:tcPr>
          <w:p w14:paraId="7D0462AB">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0.0000006</w:t>
            </w:r>
          </w:p>
        </w:tc>
        <w:tc>
          <w:tcPr>
            <w:tcW w:w="443" w:type="pct"/>
            <w:noWrap w:val="0"/>
            <w:tcMar>
              <w:left w:w="0" w:type="dxa"/>
              <w:right w:w="0" w:type="dxa"/>
            </w:tcMar>
            <w:vAlign w:val="top"/>
          </w:tcPr>
          <w:p w14:paraId="38CD950B">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0.0000408</w:t>
            </w:r>
          </w:p>
        </w:tc>
      </w:tr>
      <w:tr w14:paraId="102F4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 w:type="pct"/>
            <w:noWrap w:val="0"/>
            <w:tcMar>
              <w:left w:w="0" w:type="dxa"/>
              <w:right w:w="0" w:type="dxa"/>
            </w:tcMar>
            <w:vAlign w:val="center"/>
          </w:tcPr>
          <w:p w14:paraId="4EAC98D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w:t>
            </w:r>
          </w:p>
        </w:tc>
        <w:tc>
          <w:tcPr>
            <w:tcW w:w="499" w:type="pct"/>
            <w:noWrap w:val="0"/>
            <w:tcMar>
              <w:left w:w="0" w:type="dxa"/>
              <w:right w:w="0" w:type="dxa"/>
            </w:tcMar>
            <w:vAlign w:val="center"/>
          </w:tcPr>
          <w:p w14:paraId="460F5B36">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恒丰锌业-</w:t>
            </w:r>
            <w:r>
              <w:t>G1-</w:t>
            </w:r>
            <w:r>
              <w:rPr>
                <w:rFonts w:hint="eastAsia"/>
              </w:rPr>
              <w:t>2</w:t>
            </w:r>
          </w:p>
        </w:tc>
        <w:tc>
          <w:tcPr>
            <w:tcW w:w="187" w:type="pct"/>
            <w:noWrap w:val="0"/>
            <w:tcMar>
              <w:left w:w="0" w:type="dxa"/>
              <w:right w:w="0" w:type="dxa"/>
            </w:tcMar>
            <w:vAlign w:val="center"/>
          </w:tcPr>
          <w:p w14:paraId="6B9C014C">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15</w:t>
            </w:r>
          </w:p>
        </w:tc>
        <w:tc>
          <w:tcPr>
            <w:tcW w:w="235" w:type="pct"/>
            <w:noWrap w:val="0"/>
            <w:tcMar>
              <w:left w:w="0" w:type="dxa"/>
              <w:right w:w="0" w:type="dxa"/>
            </w:tcMar>
            <w:vAlign w:val="center"/>
          </w:tcPr>
          <w:p w14:paraId="57A82BF8">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0.75</w:t>
            </w:r>
          </w:p>
        </w:tc>
        <w:tc>
          <w:tcPr>
            <w:tcW w:w="293" w:type="pct"/>
            <w:noWrap w:val="0"/>
            <w:tcMar>
              <w:left w:w="0" w:type="dxa"/>
              <w:right w:w="0" w:type="dxa"/>
            </w:tcMar>
            <w:vAlign w:val="center"/>
          </w:tcPr>
          <w:p w14:paraId="24E773E9">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2000</w:t>
            </w:r>
          </w:p>
        </w:tc>
        <w:tc>
          <w:tcPr>
            <w:tcW w:w="287" w:type="pct"/>
            <w:noWrap w:val="0"/>
            <w:tcMar>
              <w:left w:w="0" w:type="dxa"/>
              <w:right w:w="0" w:type="dxa"/>
            </w:tcMar>
            <w:vAlign w:val="center"/>
          </w:tcPr>
          <w:p w14:paraId="60B7C65D">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20</w:t>
            </w:r>
          </w:p>
        </w:tc>
        <w:tc>
          <w:tcPr>
            <w:tcW w:w="326" w:type="pct"/>
            <w:shd w:val="clear" w:color="auto" w:fill="auto"/>
            <w:noWrap w:val="0"/>
            <w:tcMar>
              <w:left w:w="0" w:type="dxa"/>
              <w:right w:w="0" w:type="dxa"/>
            </w:tcMar>
            <w:vAlign w:val="center"/>
          </w:tcPr>
          <w:p w14:paraId="002AE65C">
            <w:pPr>
              <w:autoSpaceDE w:val="0"/>
              <w:autoSpaceDN w:val="0"/>
              <w:spacing w:line="300" w:lineRule="exact"/>
              <w:jc w:val="center"/>
              <w:rPr>
                <w:rFonts w:hint="eastAsia"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正常</w:t>
            </w:r>
          </w:p>
        </w:tc>
        <w:tc>
          <w:tcPr>
            <w:tcW w:w="351" w:type="pct"/>
            <w:noWrap w:val="0"/>
            <w:tcMar>
              <w:left w:w="0" w:type="dxa"/>
              <w:right w:w="0" w:type="dxa"/>
            </w:tcMar>
            <w:vAlign w:val="center"/>
          </w:tcPr>
          <w:p w14:paraId="251FD2C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09" w:type="pct"/>
            <w:noWrap w:val="0"/>
            <w:tcMar>
              <w:left w:w="0" w:type="dxa"/>
              <w:right w:w="0" w:type="dxa"/>
            </w:tcMar>
            <w:vAlign w:val="center"/>
          </w:tcPr>
          <w:p w14:paraId="0F93020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65" w:type="pct"/>
            <w:noWrap w:val="0"/>
            <w:tcMar>
              <w:left w:w="0" w:type="dxa"/>
              <w:right w:w="0" w:type="dxa"/>
            </w:tcMar>
            <w:vAlign w:val="center"/>
          </w:tcPr>
          <w:p w14:paraId="583E183E">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0.2</w:t>
            </w:r>
          </w:p>
        </w:tc>
        <w:tc>
          <w:tcPr>
            <w:tcW w:w="414" w:type="pct"/>
            <w:noWrap w:val="0"/>
            <w:tcMar>
              <w:left w:w="0" w:type="dxa"/>
              <w:right w:w="0" w:type="dxa"/>
            </w:tcMar>
            <w:vAlign w:val="center"/>
          </w:tcPr>
          <w:p w14:paraId="4ADE1BE7">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0.1</w:t>
            </w:r>
          </w:p>
        </w:tc>
        <w:tc>
          <w:tcPr>
            <w:tcW w:w="368" w:type="pct"/>
            <w:noWrap w:val="0"/>
            <w:tcMar>
              <w:left w:w="0" w:type="dxa"/>
              <w:right w:w="0" w:type="dxa"/>
            </w:tcMar>
            <w:vAlign w:val="center"/>
          </w:tcPr>
          <w:p w14:paraId="15356D49">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0.00322</w:t>
            </w:r>
          </w:p>
        </w:tc>
        <w:tc>
          <w:tcPr>
            <w:tcW w:w="410" w:type="pct"/>
            <w:noWrap w:val="0"/>
            <w:tcMar>
              <w:left w:w="0" w:type="dxa"/>
              <w:right w:w="0" w:type="dxa"/>
            </w:tcMar>
            <w:vAlign w:val="top"/>
          </w:tcPr>
          <w:p w14:paraId="62FF0B92">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0.00005</w:t>
            </w:r>
          </w:p>
        </w:tc>
        <w:tc>
          <w:tcPr>
            <w:tcW w:w="428" w:type="pct"/>
            <w:noWrap w:val="0"/>
            <w:tcMar>
              <w:left w:w="0" w:type="dxa"/>
              <w:right w:w="0" w:type="dxa"/>
            </w:tcMar>
            <w:vAlign w:val="center"/>
          </w:tcPr>
          <w:p w14:paraId="7BE3AC32">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0.000001</w:t>
            </w:r>
          </w:p>
        </w:tc>
        <w:tc>
          <w:tcPr>
            <w:tcW w:w="443" w:type="pct"/>
            <w:noWrap w:val="0"/>
            <w:tcMar>
              <w:left w:w="0" w:type="dxa"/>
              <w:right w:w="0" w:type="dxa"/>
            </w:tcMar>
            <w:vAlign w:val="top"/>
          </w:tcPr>
          <w:p w14:paraId="7CF1F364">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0.000068</w:t>
            </w:r>
          </w:p>
        </w:tc>
      </w:tr>
      <w:tr w14:paraId="11C6F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noWrap w:val="0"/>
            <w:tcMar>
              <w:left w:w="0" w:type="dxa"/>
              <w:right w:w="0" w:type="dxa"/>
            </w:tcMar>
            <w:vAlign w:val="center"/>
          </w:tcPr>
          <w:p w14:paraId="61237F1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3</w:t>
            </w:r>
          </w:p>
        </w:tc>
        <w:tc>
          <w:tcPr>
            <w:tcW w:w="499" w:type="pct"/>
            <w:noWrap w:val="0"/>
            <w:tcMar>
              <w:left w:w="0" w:type="dxa"/>
              <w:right w:w="0" w:type="dxa"/>
            </w:tcMar>
            <w:vAlign w:val="center"/>
          </w:tcPr>
          <w:p w14:paraId="0EE5C41F">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恒丰锌业-</w:t>
            </w:r>
            <w:r>
              <w:t>G1-</w:t>
            </w:r>
            <w:r>
              <w:rPr>
                <w:rFonts w:hint="eastAsia"/>
              </w:rPr>
              <w:t>3</w:t>
            </w:r>
          </w:p>
        </w:tc>
        <w:tc>
          <w:tcPr>
            <w:tcW w:w="187" w:type="pct"/>
            <w:noWrap w:val="0"/>
            <w:tcMar>
              <w:left w:w="0" w:type="dxa"/>
              <w:right w:w="0" w:type="dxa"/>
            </w:tcMar>
            <w:vAlign w:val="center"/>
          </w:tcPr>
          <w:p w14:paraId="038C3EBD">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15</w:t>
            </w:r>
          </w:p>
        </w:tc>
        <w:tc>
          <w:tcPr>
            <w:tcW w:w="235" w:type="pct"/>
            <w:noWrap w:val="0"/>
            <w:tcMar>
              <w:left w:w="0" w:type="dxa"/>
              <w:right w:w="0" w:type="dxa"/>
            </w:tcMar>
            <w:vAlign w:val="center"/>
          </w:tcPr>
          <w:p w14:paraId="254E4C06">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0.75</w:t>
            </w:r>
          </w:p>
        </w:tc>
        <w:tc>
          <w:tcPr>
            <w:tcW w:w="293" w:type="pct"/>
            <w:noWrap w:val="0"/>
            <w:tcMar>
              <w:left w:w="0" w:type="dxa"/>
              <w:right w:w="0" w:type="dxa"/>
            </w:tcMar>
            <w:vAlign w:val="center"/>
          </w:tcPr>
          <w:p w14:paraId="45C9DBA1">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15000</w:t>
            </w:r>
          </w:p>
        </w:tc>
        <w:tc>
          <w:tcPr>
            <w:tcW w:w="287" w:type="pct"/>
            <w:noWrap w:val="0"/>
            <w:tcMar>
              <w:left w:w="0" w:type="dxa"/>
              <w:right w:w="0" w:type="dxa"/>
            </w:tcMar>
            <w:vAlign w:val="center"/>
          </w:tcPr>
          <w:p w14:paraId="26E68573">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20</w:t>
            </w:r>
          </w:p>
        </w:tc>
        <w:tc>
          <w:tcPr>
            <w:tcW w:w="326" w:type="pct"/>
            <w:shd w:val="clear" w:color="auto" w:fill="auto"/>
            <w:noWrap w:val="0"/>
            <w:tcMar>
              <w:left w:w="0" w:type="dxa"/>
              <w:right w:w="0" w:type="dxa"/>
            </w:tcMar>
            <w:vAlign w:val="center"/>
          </w:tcPr>
          <w:p w14:paraId="570CD7D6">
            <w:pPr>
              <w:autoSpaceDE w:val="0"/>
              <w:autoSpaceDN w:val="0"/>
              <w:spacing w:line="300" w:lineRule="exact"/>
              <w:jc w:val="center"/>
              <w:rPr>
                <w:rFonts w:hint="eastAsia"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正常</w:t>
            </w:r>
          </w:p>
        </w:tc>
        <w:tc>
          <w:tcPr>
            <w:tcW w:w="351" w:type="pct"/>
            <w:noWrap w:val="0"/>
            <w:tcMar>
              <w:left w:w="0" w:type="dxa"/>
              <w:right w:w="0" w:type="dxa"/>
            </w:tcMar>
            <w:vAlign w:val="center"/>
          </w:tcPr>
          <w:p w14:paraId="230648B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09" w:type="pct"/>
            <w:noWrap w:val="0"/>
            <w:tcMar>
              <w:left w:w="0" w:type="dxa"/>
              <w:right w:w="0" w:type="dxa"/>
            </w:tcMar>
            <w:vAlign w:val="center"/>
          </w:tcPr>
          <w:p w14:paraId="5DA79E5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65" w:type="pct"/>
            <w:noWrap w:val="0"/>
            <w:tcMar>
              <w:left w:w="0" w:type="dxa"/>
              <w:right w:w="0" w:type="dxa"/>
            </w:tcMar>
            <w:vAlign w:val="center"/>
          </w:tcPr>
          <w:p w14:paraId="50B5442B">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0.15</w:t>
            </w:r>
          </w:p>
        </w:tc>
        <w:tc>
          <w:tcPr>
            <w:tcW w:w="414" w:type="pct"/>
            <w:noWrap w:val="0"/>
            <w:tcMar>
              <w:left w:w="0" w:type="dxa"/>
              <w:right w:w="0" w:type="dxa"/>
            </w:tcMar>
            <w:vAlign w:val="center"/>
          </w:tcPr>
          <w:p w14:paraId="61798108">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0.075</w:t>
            </w:r>
          </w:p>
        </w:tc>
        <w:tc>
          <w:tcPr>
            <w:tcW w:w="368" w:type="pct"/>
            <w:noWrap w:val="0"/>
            <w:tcMar>
              <w:left w:w="0" w:type="dxa"/>
              <w:right w:w="0" w:type="dxa"/>
            </w:tcMar>
            <w:vAlign w:val="center"/>
          </w:tcPr>
          <w:p w14:paraId="210B260F">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0.002415</w:t>
            </w:r>
          </w:p>
        </w:tc>
        <w:tc>
          <w:tcPr>
            <w:tcW w:w="410" w:type="pct"/>
            <w:noWrap w:val="0"/>
            <w:tcMar>
              <w:left w:w="0" w:type="dxa"/>
              <w:right w:w="0" w:type="dxa"/>
            </w:tcMar>
            <w:vAlign w:val="top"/>
          </w:tcPr>
          <w:p w14:paraId="37E8328E">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0.0000375</w:t>
            </w:r>
          </w:p>
        </w:tc>
        <w:tc>
          <w:tcPr>
            <w:tcW w:w="428" w:type="pct"/>
            <w:noWrap w:val="0"/>
            <w:tcMar>
              <w:left w:w="0" w:type="dxa"/>
              <w:right w:w="0" w:type="dxa"/>
            </w:tcMar>
            <w:vAlign w:val="center"/>
          </w:tcPr>
          <w:p w14:paraId="3FCEC177">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0.00000075</w:t>
            </w:r>
          </w:p>
        </w:tc>
        <w:tc>
          <w:tcPr>
            <w:tcW w:w="443" w:type="pct"/>
            <w:noWrap w:val="0"/>
            <w:tcMar>
              <w:left w:w="0" w:type="dxa"/>
              <w:right w:w="0" w:type="dxa"/>
            </w:tcMar>
            <w:vAlign w:val="top"/>
          </w:tcPr>
          <w:p w14:paraId="3BEFEDAB">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0.000051</w:t>
            </w:r>
          </w:p>
        </w:tc>
      </w:tr>
      <w:tr w14:paraId="43B4B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78" w:type="pct"/>
            <w:noWrap w:val="0"/>
            <w:tcMar>
              <w:left w:w="0" w:type="dxa"/>
              <w:right w:w="0" w:type="dxa"/>
            </w:tcMar>
            <w:vAlign w:val="center"/>
          </w:tcPr>
          <w:p w14:paraId="41C8B63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4</w:t>
            </w:r>
          </w:p>
        </w:tc>
        <w:tc>
          <w:tcPr>
            <w:tcW w:w="499" w:type="pct"/>
            <w:noWrap w:val="0"/>
            <w:tcMar>
              <w:left w:w="0" w:type="dxa"/>
              <w:right w:w="0" w:type="dxa"/>
            </w:tcMar>
            <w:vAlign w:val="center"/>
          </w:tcPr>
          <w:p w14:paraId="6D0189C7">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恒丰锌业-</w:t>
            </w:r>
            <w:r>
              <w:t>G1-</w:t>
            </w:r>
            <w:r>
              <w:rPr>
                <w:rFonts w:hint="eastAsia"/>
              </w:rPr>
              <w:t>5</w:t>
            </w:r>
          </w:p>
        </w:tc>
        <w:tc>
          <w:tcPr>
            <w:tcW w:w="187" w:type="pct"/>
            <w:noWrap w:val="0"/>
            <w:tcMar>
              <w:left w:w="0" w:type="dxa"/>
              <w:right w:w="0" w:type="dxa"/>
            </w:tcMar>
            <w:vAlign w:val="center"/>
          </w:tcPr>
          <w:p w14:paraId="67BFC3EF">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15</w:t>
            </w:r>
          </w:p>
        </w:tc>
        <w:tc>
          <w:tcPr>
            <w:tcW w:w="235" w:type="pct"/>
            <w:noWrap w:val="0"/>
            <w:tcMar>
              <w:left w:w="0" w:type="dxa"/>
              <w:right w:w="0" w:type="dxa"/>
            </w:tcMar>
            <w:vAlign w:val="center"/>
          </w:tcPr>
          <w:p w14:paraId="24F21E73">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0.8</w:t>
            </w:r>
          </w:p>
        </w:tc>
        <w:tc>
          <w:tcPr>
            <w:tcW w:w="293" w:type="pct"/>
            <w:noWrap w:val="0"/>
            <w:tcMar>
              <w:left w:w="0" w:type="dxa"/>
              <w:right w:w="0" w:type="dxa"/>
            </w:tcMar>
            <w:vAlign w:val="center"/>
          </w:tcPr>
          <w:p w14:paraId="3E49D0EB">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21500</w:t>
            </w:r>
          </w:p>
        </w:tc>
        <w:tc>
          <w:tcPr>
            <w:tcW w:w="287" w:type="pct"/>
            <w:noWrap w:val="0"/>
            <w:tcMar>
              <w:left w:w="0" w:type="dxa"/>
              <w:right w:w="0" w:type="dxa"/>
            </w:tcMar>
            <w:vAlign w:val="center"/>
          </w:tcPr>
          <w:p w14:paraId="6D632D31">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25</w:t>
            </w:r>
          </w:p>
        </w:tc>
        <w:tc>
          <w:tcPr>
            <w:tcW w:w="326" w:type="pct"/>
            <w:shd w:val="clear" w:color="auto" w:fill="auto"/>
            <w:noWrap w:val="0"/>
            <w:tcMar>
              <w:left w:w="0" w:type="dxa"/>
              <w:right w:w="0" w:type="dxa"/>
            </w:tcMar>
            <w:vAlign w:val="center"/>
          </w:tcPr>
          <w:p w14:paraId="6B515BDE">
            <w:pPr>
              <w:autoSpaceDE w:val="0"/>
              <w:autoSpaceDN w:val="0"/>
              <w:spacing w:line="300" w:lineRule="exact"/>
              <w:jc w:val="center"/>
              <w:rPr>
                <w:rFonts w:hint="eastAsia"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正常</w:t>
            </w:r>
          </w:p>
        </w:tc>
        <w:tc>
          <w:tcPr>
            <w:tcW w:w="351" w:type="pct"/>
            <w:noWrap w:val="0"/>
            <w:tcMar>
              <w:left w:w="0" w:type="dxa"/>
              <w:right w:w="0" w:type="dxa"/>
            </w:tcMar>
            <w:vAlign w:val="center"/>
          </w:tcPr>
          <w:p w14:paraId="3EBA283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09" w:type="pct"/>
            <w:noWrap w:val="0"/>
            <w:tcMar>
              <w:left w:w="0" w:type="dxa"/>
              <w:right w:w="0" w:type="dxa"/>
            </w:tcMar>
            <w:vAlign w:val="center"/>
          </w:tcPr>
          <w:p w14:paraId="658A71B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65" w:type="pct"/>
            <w:noWrap w:val="0"/>
            <w:tcMar>
              <w:left w:w="0" w:type="dxa"/>
              <w:right w:w="0" w:type="dxa"/>
            </w:tcMar>
            <w:vAlign w:val="center"/>
          </w:tcPr>
          <w:p w14:paraId="628C40AC">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0.215</w:t>
            </w:r>
          </w:p>
        </w:tc>
        <w:tc>
          <w:tcPr>
            <w:tcW w:w="414" w:type="pct"/>
            <w:noWrap w:val="0"/>
            <w:tcMar>
              <w:left w:w="0" w:type="dxa"/>
              <w:right w:w="0" w:type="dxa"/>
            </w:tcMar>
            <w:vAlign w:val="center"/>
          </w:tcPr>
          <w:p w14:paraId="61C3B2B1">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0.1075</w:t>
            </w:r>
          </w:p>
        </w:tc>
        <w:tc>
          <w:tcPr>
            <w:tcW w:w="368" w:type="pct"/>
            <w:noWrap w:val="0"/>
            <w:tcMar>
              <w:left w:w="0" w:type="dxa"/>
              <w:right w:w="0" w:type="dxa"/>
            </w:tcMar>
            <w:vAlign w:val="center"/>
          </w:tcPr>
          <w:p w14:paraId="7CAFBD11">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0.004</w:t>
            </w:r>
          </w:p>
        </w:tc>
        <w:tc>
          <w:tcPr>
            <w:tcW w:w="410" w:type="pct"/>
            <w:noWrap w:val="0"/>
            <w:tcMar>
              <w:left w:w="0" w:type="dxa"/>
              <w:right w:w="0" w:type="dxa"/>
            </w:tcMar>
            <w:vAlign w:val="top"/>
          </w:tcPr>
          <w:p w14:paraId="7587F433">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0.0000616</w:t>
            </w:r>
          </w:p>
        </w:tc>
        <w:tc>
          <w:tcPr>
            <w:tcW w:w="428" w:type="pct"/>
            <w:noWrap w:val="0"/>
            <w:tcMar>
              <w:left w:w="0" w:type="dxa"/>
              <w:right w:w="0" w:type="dxa"/>
            </w:tcMar>
            <w:vAlign w:val="center"/>
          </w:tcPr>
          <w:p w14:paraId="21A0A7F9">
            <w:pPr>
              <w:pStyle w:val="21"/>
              <w:ind w:firstLine="0" w:firstLineChars="0"/>
              <w:rPr>
                <w:rFonts w:hint="eastAsia" w:ascii="Times New Roman" w:hAnsi="Times New Roman" w:cs="Times New Roman" w:eastAsiaTheme="minorEastAsia"/>
                <w:szCs w:val="21"/>
                <w:highlight w:val="none"/>
                <w:lang w:val="en-US" w:eastAsia="zh-CN"/>
              </w:rPr>
            </w:pPr>
            <w:r>
              <w:rPr>
                <w:rFonts w:hint="eastAsia"/>
                <w:lang w:val="en-US" w:eastAsia="zh-CN"/>
              </w:rPr>
              <w:t>/</w:t>
            </w:r>
          </w:p>
        </w:tc>
        <w:tc>
          <w:tcPr>
            <w:tcW w:w="443" w:type="pct"/>
            <w:noWrap w:val="0"/>
            <w:tcMar>
              <w:left w:w="0" w:type="dxa"/>
              <w:right w:w="0" w:type="dxa"/>
            </w:tcMar>
            <w:vAlign w:val="top"/>
          </w:tcPr>
          <w:p w14:paraId="4BE8A8A5">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0.0000838</w:t>
            </w:r>
          </w:p>
        </w:tc>
      </w:tr>
      <w:tr w14:paraId="4CE17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noWrap w:val="0"/>
            <w:tcMar>
              <w:left w:w="0" w:type="dxa"/>
              <w:right w:w="0" w:type="dxa"/>
            </w:tcMar>
            <w:vAlign w:val="center"/>
          </w:tcPr>
          <w:p w14:paraId="023411B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w:t>
            </w:r>
          </w:p>
        </w:tc>
        <w:tc>
          <w:tcPr>
            <w:tcW w:w="499" w:type="pct"/>
            <w:noWrap w:val="0"/>
            <w:tcMar>
              <w:left w:w="0" w:type="dxa"/>
              <w:right w:w="0" w:type="dxa"/>
            </w:tcMar>
            <w:vAlign w:val="center"/>
          </w:tcPr>
          <w:p w14:paraId="539C8B43">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恒丰锌业-</w:t>
            </w:r>
            <w:r>
              <w:t>G1-</w:t>
            </w:r>
            <w:r>
              <w:rPr>
                <w:rFonts w:hint="eastAsia"/>
              </w:rPr>
              <w:t>6</w:t>
            </w:r>
          </w:p>
        </w:tc>
        <w:tc>
          <w:tcPr>
            <w:tcW w:w="187" w:type="pct"/>
            <w:noWrap w:val="0"/>
            <w:tcMar>
              <w:left w:w="0" w:type="dxa"/>
              <w:right w:w="0" w:type="dxa"/>
            </w:tcMar>
            <w:vAlign w:val="center"/>
          </w:tcPr>
          <w:p w14:paraId="58EA81EA">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15</w:t>
            </w:r>
          </w:p>
        </w:tc>
        <w:tc>
          <w:tcPr>
            <w:tcW w:w="235" w:type="pct"/>
            <w:noWrap w:val="0"/>
            <w:tcMar>
              <w:left w:w="0" w:type="dxa"/>
              <w:right w:w="0" w:type="dxa"/>
            </w:tcMar>
            <w:vAlign w:val="center"/>
          </w:tcPr>
          <w:p w14:paraId="1D99AFC8">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0.8</w:t>
            </w:r>
          </w:p>
        </w:tc>
        <w:tc>
          <w:tcPr>
            <w:tcW w:w="293" w:type="pct"/>
            <w:noWrap w:val="0"/>
            <w:tcMar>
              <w:left w:w="0" w:type="dxa"/>
              <w:right w:w="0" w:type="dxa"/>
            </w:tcMar>
            <w:vAlign w:val="center"/>
          </w:tcPr>
          <w:p w14:paraId="64844843">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21000</w:t>
            </w:r>
          </w:p>
        </w:tc>
        <w:tc>
          <w:tcPr>
            <w:tcW w:w="287" w:type="pct"/>
            <w:noWrap w:val="0"/>
            <w:tcMar>
              <w:left w:w="0" w:type="dxa"/>
              <w:right w:w="0" w:type="dxa"/>
            </w:tcMar>
            <w:vAlign w:val="center"/>
          </w:tcPr>
          <w:p w14:paraId="5212AA30">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20</w:t>
            </w:r>
          </w:p>
        </w:tc>
        <w:tc>
          <w:tcPr>
            <w:tcW w:w="326" w:type="pct"/>
            <w:noWrap w:val="0"/>
            <w:tcMar>
              <w:left w:w="0" w:type="dxa"/>
              <w:right w:w="0" w:type="dxa"/>
            </w:tcMar>
            <w:vAlign w:val="center"/>
          </w:tcPr>
          <w:p w14:paraId="1CAC9ABF">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正常</w:t>
            </w:r>
          </w:p>
        </w:tc>
        <w:tc>
          <w:tcPr>
            <w:tcW w:w="351" w:type="pct"/>
            <w:noWrap w:val="0"/>
            <w:tcMar>
              <w:left w:w="0" w:type="dxa"/>
              <w:right w:w="0" w:type="dxa"/>
            </w:tcMar>
            <w:vAlign w:val="center"/>
          </w:tcPr>
          <w:p w14:paraId="02031714">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1.04</w:t>
            </w:r>
          </w:p>
        </w:tc>
        <w:tc>
          <w:tcPr>
            <w:tcW w:w="309" w:type="pct"/>
            <w:noWrap w:val="0"/>
            <w:tcMar>
              <w:left w:w="0" w:type="dxa"/>
              <w:right w:w="0" w:type="dxa"/>
            </w:tcMar>
            <w:vAlign w:val="center"/>
          </w:tcPr>
          <w:p w14:paraId="54F1B4C4">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0.234</w:t>
            </w:r>
          </w:p>
        </w:tc>
        <w:tc>
          <w:tcPr>
            <w:tcW w:w="365" w:type="pct"/>
            <w:noWrap w:val="0"/>
            <w:tcMar>
              <w:left w:w="0" w:type="dxa"/>
              <w:right w:w="0" w:type="dxa"/>
            </w:tcMar>
            <w:vAlign w:val="center"/>
          </w:tcPr>
          <w:p w14:paraId="45D705D9">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0.21</w:t>
            </w:r>
          </w:p>
        </w:tc>
        <w:tc>
          <w:tcPr>
            <w:tcW w:w="414" w:type="pct"/>
            <w:noWrap w:val="0"/>
            <w:tcMar>
              <w:left w:w="0" w:type="dxa"/>
              <w:right w:w="0" w:type="dxa"/>
            </w:tcMar>
            <w:vAlign w:val="center"/>
          </w:tcPr>
          <w:p w14:paraId="55552947">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0.105</w:t>
            </w:r>
          </w:p>
        </w:tc>
        <w:tc>
          <w:tcPr>
            <w:tcW w:w="368" w:type="pct"/>
            <w:noWrap w:val="0"/>
            <w:tcMar>
              <w:left w:w="0" w:type="dxa"/>
              <w:right w:w="0" w:type="dxa"/>
            </w:tcMar>
            <w:vAlign w:val="center"/>
          </w:tcPr>
          <w:p w14:paraId="03A28036">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0.00387</w:t>
            </w:r>
          </w:p>
        </w:tc>
        <w:tc>
          <w:tcPr>
            <w:tcW w:w="410" w:type="pct"/>
            <w:noWrap w:val="0"/>
            <w:tcMar>
              <w:left w:w="0" w:type="dxa"/>
              <w:right w:w="0" w:type="dxa"/>
            </w:tcMar>
            <w:vAlign w:val="top"/>
          </w:tcPr>
          <w:p w14:paraId="0942FDE9">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0.00006</w:t>
            </w:r>
          </w:p>
        </w:tc>
        <w:tc>
          <w:tcPr>
            <w:tcW w:w="428" w:type="pct"/>
            <w:noWrap w:val="0"/>
            <w:tcMar>
              <w:left w:w="0" w:type="dxa"/>
              <w:right w:w="0" w:type="dxa"/>
            </w:tcMar>
            <w:vAlign w:val="center"/>
          </w:tcPr>
          <w:p w14:paraId="5D81E74B">
            <w:pPr>
              <w:pStyle w:val="21"/>
              <w:ind w:firstLine="0" w:firstLineChars="0"/>
              <w:rPr>
                <w:rFonts w:hint="eastAsia" w:ascii="Times New Roman" w:hAnsi="Times New Roman" w:cs="Times New Roman" w:eastAsiaTheme="minorEastAsia"/>
                <w:szCs w:val="21"/>
                <w:highlight w:val="none"/>
                <w:lang w:val="en-US" w:eastAsia="zh-CN"/>
              </w:rPr>
            </w:pPr>
            <w:r>
              <w:rPr>
                <w:rFonts w:hint="eastAsia"/>
                <w:lang w:val="en-US" w:eastAsia="zh-CN"/>
              </w:rPr>
              <w:t>/</w:t>
            </w:r>
          </w:p>
        </w:tc>
        <w:tc>
          <w:tcPr>
            <w:tcW w:w="443" w:type="pct"/>
            <w:noWrap w:val="0"/>
            <w:tcMar>
              <w:left w:w="0" w:type="dxa"/>
              <w:right w:w="0" w:type="dxa"/>
            </w:tcMar>
            <w:vAlign w:val="top"/>
          </w:tcPr>
          <w:p w14:paraId="3CE6C09E">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0.0000819</w:t>
            </w:r>
          </w:p>
        </w:tc>
      </w:tr>
      <w:tr w14:paraId="0B1BE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noWrap w:val="0"/>
            <w:tcMar>
              <w:left w:w="0" w:type="dxa"/>
              <w:right w:w="0" w:type="dxa"/>
            </w:tcMar>
            <w:vAlign w:val="center"/>
          </w:tcPr>
          <w:p w14:paraId="23AC824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6</w:t>
            </w:r>
          </w:p>
        </w:tc>
        <w:tc>
          <w:tcPr>
            <w:tcW w:w="499" w:type="pct"/>
            <w:noWrap w:val="0"/>
            <w:tcMar>
              <w:left w:w="0" w:type="dxa"/>
              <w:right w:w="0" w:type="dxa"/>
            </w:tcMar>
            <w:vAlign w:val="center"/>
          </w:tcPr>
          <w:p w14:paraId="2061B334">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恒丰锌业-</w:t>
            </w:r>
            <w:r>
              <w:t>G1-</w:t>
            </w:r>
            <w:r>
              <w:rPr>
                <w:rFonts w:hint="eastAsia"/>
              </w:rPr>
              <w:t>7</w:t>
            </w:r>
          </w:p>
        </w:tc>
        <w:tc>
          <w:tcPr>
            <w:tcW w:w="187" w:type="pct"/>
            <w:noWrap w:val="0"/>
            <w:tcMar>
              <w:left w:w="0" w:type="dxa"/>
              <w:right w:w="0" w:type="dxa"/>
            </w:tcMar>
            <w:vAlign w:val="center"/>
          </w:tcPr>
          <w:p w14:paraId="4B67BFE2">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15</w:t>
            </w:r>
          </w:p>
        </w:tc>
        <w:tc>
          <w:tcPr>
            <w:tcW w:w="235" w:type="pct"/>
            <w:noWrap w:val="0"/>
            <w:tcMar>
              <w:left w:w="0" w:type="dxa"/>
              <w:right w:w="0" w:type="dxa"/>
            </w:tcMar>
            <w:vAlign w:val="center"/>
          </w:tcPr>
          <w:p w14:paraId="5DAA29F5">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0.3</w:t>
            </w:r>
          </w:p>
        </w:tc>
        <w:tc>
          <w:tcPr>
            <w:tcW w:w="293" w:type="pct"/>
            <w:noWrap w:val="0"/>
            <w:tcMar>
              <w:left w:w="0" w:type="dxa"/>
              <w:right w:w="0" w:type="dxa"/>
            </w:tcMar>
            <w:vAlign w:val="center"/>
          </w:tcPr>
          <w:p w14:paraId="65D0AF25">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2000</w:t>
            </w:r>
          </w:p>
        </w:tc>
        <w:tc>
          <w:tcPr>
            <w:tcW w:w="287" w:type="pct"/>
            <w:noWrap w:val="0"/>
            <w:tcMar>
              <w:left w:w="0" w:type="dxa"/>
              <w:right w:w="0" w:type="dxa"/>
            </w:tcMar>
            <w:vAlign w:val="center"/>
          </w:tcPr>
          <w:p w14:paraId="04638D44">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20</w:t>
            </w:r>
          </w:p>
        </w:tc>
        <w:tc>
          <w:tcPr>
            <w:tcW w:w="326" w:type="pct"/>
            <w:noWrap w:val="0"/>
            <w:tcMar>
              <w:left w:w="0" w:type="dxa"/>
              <w:right w:w="0" w:type="dxa"/>
            </w:tcMar>
            <w:vAlign w:val="center"/>
          </w:tcPr>
          <w:p w14:paraId="20A56968">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正常</w:t>
            </w:r>
          </w:p>
        </w:tc>
        <w:tc>
          <w:tcPr>
            <w:tcW w:w="351" w:type="pct"/>
            <w:noWrap w:val="0"/>
            <w:tcMar>
              <w:left w:w="0" w:type="dxa"/>
              <w:right w:w="0" w:type="dxa"/>
            </w:tcMar>
            <w:vAlign w:val="center"/>
          </w:tcPr>
          <w:p w14:paraId="54D660D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09" w:type="pct"/>
            <w:noWrap w:val="0"/>
            <w:tcMar>
              <w:left w:w="0" w:type="dxa"/>
              <w:right w:w="0" w:type="dxa"/>
            </w:tcMar>
            <w:vAlign w:val="center"/>
          </w:tcPr>
          <w:p w14:paraId="081CD6B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65" w:type="pct"/>
            <w:noWrap w:val="0"/>
            <w:tcMar>
              <w:left w:w="0" w:type="dxa"/>
              <w:right w:w="0" w:type="dxa"/>
            </w:tcMar>
            <w:vAlign w:val="center"/>
          </w:tcPr>
          <w:p w14:paraId="559AACEC">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0.02</w:t>
            </w:r>
          </w:p>
        </w:tc>
        <w:tc>
          <w:tcPr>
            <w:tcW w:w="414" w:type="pct"/>
            <w:noWrap w:val="0"/>
            <w:tcMar>
              <w:left w:w="0" w:type="dxa"/>
              <w:right w:w="0" w:type="dxa"/>
            </w:tcMar>
            <w:vAlign w:val="center"/>
          </w:tcPr>
          <w:p w14:paraId="3E6C58B2">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0.01</w:t>
            </w:r>
          </w:p>
        </w:tc>
        <w:tc>
          <w:tcPr>
            <w:tcW w:w="368" w:type="pct"/>
            <w:noWrap w:val="0"/>
            <w:tcMar>
              <w:left w:w="0" w:type="dxa"/>
              <w:right w:w="0" w:type="dxa"/>
            </w:tcMar>
            <w:vAlign w:val="center"/>
          </w:tcPr>
          <w:p w14:paraId="2D20AB75">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0.000369</w:t>
            </w:r>
          </w:p>
        </w:tc>
        <w:tc>
          <w:tcPr>
            <w:tcW w:w="410" w:type="pct"/>
            <w:noWrap w:val="0"/>
            <w:tcMar>
              <w:left w:w="0" w:type="dxa"/>
              <w:right w:w="0" w:type="dxa"/>
            </w:tcMar>
            <w:vAlign w:val="top"/>
          </w:tcPr>
          <w:p w14:paraId="66345AE7">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0.00000573</w:t>
            </w:r>
          </w:p>
        </w:tc>
        <w:tc>
          <w:tcPr>
            <w:tcW w:w="428" w:type="pct"/>
            <w:noWrap w:val="0"/>
            <w:tcMar>
              <w:left w:w="0" w:type="dxa"/>
              <w:right w:w="0" w:type="dxa"/>
            </w:tcMar>
            <w:vAlign w:val="center"/>
          </w:tcPr>
          <w:p w14:paraId="30848442">
            <w:pPr>
              <w:pStyle w:val="21"/>
              <w:ind w:firstLine="0" w:firstLineChars="0"/>
              <w:rPr>
                <w:rFonts w:hint="eastAsia" w:ascii="Times New Roman" w:hAnsi="Times New Roman" w:cs="Times New Roman" w:eastAsiaTheme="minorEastAsia"/>
                <w:szCs w:val="21"/>
                <w:highlight w:val="none"/>
                <w:lang w:val="en-US" w:eastAsia="zh-CN"/>
              </w:rPr>
            </w:pPr>
            <w:r>
              <w:rPr>
                <w:rFonts w:hint="eastAsia"/>
                <w:lang w:val="en-US" w:eastAsia="zh-CN"/>
              </w:rPr>
              <w:t>/</w:t>
            </w:r>
          </w:p>
        </w:tc>
        <w:tc>
          <w:tcPr>
            <w:tcW w:w="443" w:type="pct"/>
            <w:noWrap w:val="0"/>
            <w:tcMar>
              <w:left w:w="0" w:type="dxa"/>
              <w:right w:w="0" w:type="dxa"/>
            </w:tcMar>
            <w:vAlign w:val="top"/>
          </w:tcPr>
          <w:p w14:paraId="20034848">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0.0000078</w:t>
            </w:r>
          </w:p>
        </w:tc>
      </w:tr>
      <w:tr w14:paraId="4ED46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noWrap w:val="0"/>
            <w:tcMar>
              <w:left w:w="0" w:type="dxa"/>
              <w:right w:w="0" w:type="dxa"/>
            </w:tcMar>
            <w:vAlign w:val="center"/>
          </w:tcPr>
          <w:p w14:paraId="1DAD189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7</w:t>
            </w:r>
          </w:p>
        </w:tc>
        <w:tc>
          <w:tcPr>
            <w:tcW w:w="499" w:type="pct"/>
            <w:noWrap w:val="0"/>
            <w:tcMar>
              <w:left w:w="0" w:type="dxa"/>
              <w:right w:w="0" w:type="dxa"/>
            </w:tcMar>
            <w:vAlign w:val="center"/>
          </w:tcPr>
          <w:p w14:paraId="0045E6A2">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恒丰锌业-</w:t>
            </w:r>
            <w:r>
              <w:t>G</w:t>
            </w:r>
            <w:r>
              <w:rPr>
                <w:rFonts w:hint="eastAsia"/>
              </w:rPr>
              <w:t>2-1</w:t>
            </w:r>
          </w:p>
        </w:tc>
        <w:tc>
          <w:tcPr>
            <w:tcW w:w="187" w:type="pct"/>
            <w:noWrap w:val="0"/>
            <w:tcMar>
              <w:left w:w="0" w:type="dxa"/>
              <w:right w:w="0" w:type="dxa"/>
            </w:tcMar>
            <w:vAlign w:val="center"/>
          </w:tcPr>
          <w:p w14:paraId="7030F02F">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15</w:t>
            </w:r>
          </w:p>
        </w:tc>
        <w:tc>
          <w:tcPr>
            <w:tcW w:w="235" w:type="pct"/>
            <w:noWrap w:val="0"/>
            <w:tcMar>
              <w:left w:w="0" w:type="dxa"/>
              <w:right w:w="0" w:type="dxa"/>
            </w:tcMar>
            <w:vAlign w:val="center"/>
          </w:tcPr>
          <w:p w14:paraId="5874481D">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0.5</w:t>
            </w:r>
          </w:p>
        </w:tc>
        <w:tc>
          <w:tcPr>
            <w:tcW w:w="293" w:type="pct"/>
            <w:noWrap w:val="0"/>
            <w:tcMar>
              <w:left w:w="0" w:type="dxa"/>
              <w:right w:w="0" w:type="dxa"/>
            </w:tcMar>
            <w:vAlign w:val="center"/>
          </w:tcPr>
          <w:p w14:paraId="73F0A831">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5000</w:t>
            </w:r>
          </w:p>
        </w:tc>
        <w:tc>
          <w:tcPr>
            <w:tcW w:w="287" w:type="pct"/>
            <w:noWrap w:val="0"/>
            <w:tcMar>
              <w:left w:w="0" w:type="dxa"/>
              <w:right w:w="0" w:type="dxa"/>
            </w:tcMar>
            <w:vAlign w:val="center"/>
          </w:tcPr>
          <w:p w14:paraId="082913F5">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20</w:t>
            </w:r>
          </w:p>
        </w:tc>
        <w:tc>
          <w:tcPr>
            <w:tcW w:w="326" w:type="pct"/>
            <w:noWrap w:val="0"/>
            <w:tcMar>
              <w:left w:w="0" w:type="dxa"/>
              <w:right w:w="0" w:type="dxa"/>
            </w:tcMar>
            <w:vAlign w:val="center"/>
          </w:tcPr>
          <w:p w14:paraId="572A4B3E">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正常</w:t>
            </w:r>
          </w:p>
        </w:tc>
        <w:tc>
          <w:tcPr>
            <w:tcW w:w="351" w:type="pct"/>
            <w:noWrap w:val="0"/>
            <w:tcMar>
              <w:left w:w="0" w:type="dxa"/>
              <w:right w:w="0" w:type="dxa"/>
            </w:tcMar>
            <w:vAlign w:val="center"/>
          </w:tcPr>
          <w:p w14:paraId="729AADC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09" w:type="pct"/>
            <w:noWrap w:val="0"/>
            <w:tcMar>
              <w:left w:w="0" w:type="dxa"/>
              <w:right w:w="0" w:type="dxa"/>
            </w:tcMar>
            <w:vAlign w:val="center"/>
          </w:tcPr>
          <w:p w14:paraId="27E9E79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65" w:type="pct"/>
            <w:noWrap w:val="0"/>
            <w:tcMar>
              <w:left w:w="0" w:type="dxa"/>
              <w:right w:w="0" w:type="dxa"/>
            </w:tcMar>
            <w:vAlign w:val="center"/>
          </w:tcPr>
          <w:p w14:paraId="2D53E192">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0.05</w:t>
            </w:r>
          </w:p>
        </w:tc>
        <w:tc>
          <w:tcPr>
            <w:tcW w:w="414" w:type="pct"/>
            <w:noWrap w:val="0"/>
            <w:tcMar>
              <w:left w:w="0" w:type="dxa"/>
              <w:right w:w="0" w:type="dxa"/>
            </w:tcMar>
            <w:vAlign w:val="center"/>
          </w:tcPr>
          <w:p w14:paraId="223A2B11">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0.025</w:t>
            </w:r>
          </w:p>
        </w:tc>
        <w:tc>
          <w:tcPr>
            <w:tcW w:w="368" w:type="pct"/>
            <w:noWrap w:val="0"/>
            <w:tcMar>
              <w:left w:w="0" w:type="dxa"/>
              <w:right w:w="0" w:type="dxa"/>
            </w:tcMar>
            <w:vAlign w:val="center"/>
          </w:tcPr>
          <w:p w14:paraId="34FE2F6B">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0.000924</w:t>
            </w:r>
          </w:p>
        </w:tc>
        <w:tc>
          <w:tcPr>
            <w:tcW w:w="410" w:type="pct"/>
            <w:noWrap w:val="0"/>
            <w:tcMar>
              <w:left w:w="0" w:type="dxa"/>
              <w:right w:w="0" w:type="dxa"/>
            </w:tcMar>
            <w:vAlign w:val="top"/>
          </w:tcPr>
          <w:p w14:paraId="00F2C357">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0.00001</w:t>
            </w:r>
          </w:p>
        </w:tc>
        <w:tc>
          <w:tcPr>
            <w:tcW w:w="428" w:type="pct"/>
            <w:noWrap w:val="0"/>
            <w:tcMar>
              <w:left w:w="0" w:type="dxa"/>
              <w:right w:w="0" w:type="dxa"/>
            </w:tcMar>
            <w:vAlign w:val="center"/>
          </w:tcPr>
          <w:p w14:paraId="51D54E97">
            <w:pPr>
              <w:pStyle w:val="21"/>
              <w:ind w:firstLine="0" w:firstLineChars="0"/>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43" w:type="pct"/>
            <w:noWrap w:val="0"/>
            <w:tcMar>
              <w:left w:w="0" w:type="dxa"/>
              <w:right w:w="0" w:type="dxa"/>
            </w:tcMar>
            <w:vAlign w:val="top"/>
          </w:tcPr>
          <w:p w14:paraId="53E1DF48">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0.0000195</w:t>
            </w:r>
          </w:p>
        </w:tc>
      </w:tr>
      <w:tr w14:paraId="34158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 w:type="pct"/>
            <w:noWrap w:val="0"/>
            <w:tcMar>
              <w:left w:w="0" w:type="dxa"/>
              <w:right w:w="0" w:type="dxa"/>
            </w:tcMar>
            <w:vAlign w:val="center"/>
          </w:tcPr>
          <w:p w14:paraId="0EF7BF0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8</w:t>
            </w:r>
          </w:p>
        </w:tc>
        <w:tc>
          <w:tcPr>
            <w:tcW w:w="499" w:type="pct"/>
            <w:noWrap w:val="0"/>
            <w:tcMar>
              <w:left w:w="0" w:type="dxa"/>
              <w:right w:w="0" w:type="dxa"/>
            </w:tcMar>
            <w:vAlign w:val="center"/>
          </w:tcPr>
          <w:p w14:paraId="2EB29B0B">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恒丰锌业-</w:t>
            </w:r>
            <w:r>
              <w:t>G</w:t>
            </w:r>
            <w:r>
              <w:rPr>
                <w:rFonts w:hint="eastAsia"/>
              </w:rPr>
              <w:t>2-2</w:t>
            </w:r>
          </w:p>
        </w:tc>
        <w:tc>
          <w:tcPr>
            <w:tcW w:w="187" w:type="pct"/>
            <w:noWrap w:val="0"/>
            <w:tcMar>
              <w:left w:w="0" w:type="dxa"/>
              <w:right w:w="0" w:type="dxa"/>
            </w:tcMar>
            <w:vAlign w:val="center"/>
          </w:tcPr>
          <w:p w14:paraId="236124B4">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15</w:t>
            </w:r>
          </w:p>
        </w:tc>
        <w:tc>
          <w:tcPr>
            <w:tcW w:w="235" w:type="pct"/>
            <w:noWrap w:val="0"/>
            <w:tcMar>
              <w:left w:w="0" w:type="dxa"/>
              <w:right w:w="0" w:type="dxa"/>
            </w:tcMar>
            <w:vAlign w:val="center"/>
          </w:tcPr>
          <w:p w14:paraId="2CFEE781">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0.5</w:t>
            </w:r>
          </w:p>
        </w:tc>
        <w:tc>
          <w:tcPr>
            <w:tcW w:w="293" w:type="pct"/>
            <w:noWrap w:val="0"/>
            <w:tcMar>
              <w:left w:w="0" w:type="dxa"/>
              <w:right w:w="0" w:type="dxa"/>
            </w:tcMar>
            <w:vAlign w:val="center"/>
          </w:tcPr>
          <w:p w14:paraId="506A2B31">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5000</w:t>
            </w:r>
          </w:p>
        </w:tc>
        <w:tc>
          <w:tcPr>
            <w:tcW w:w="287" w:type="pct"/>
            <w:noWrap w:val="0"/>
            <w:tcMar>
              <w:left w:w="0" w:type="dxa"/>
              <w:right w:w="0" w:type="dxa"/>
            </w:tcMar>
            <w:vAlign w:val="center"/>
          </w:tcPr>
          <w:p w14:paraId="4F1A1500">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20</w:t>
            </w:r>
          </w:p>
        </w:tc>
        <w:tc>
          <w:tcPr>
            <w:tcW w:w="326" w:type="pct"/>
            <w:noWrap w:val="0"/>
            <w:tcMar>
              <w:left w:w="0" w:type="dxa"/>
              <w:right w:w="0" w:type="dxa"/>
            </w:tcMar>
            <w:vAlign w:val="center"/>
          </w:tcPr>
          <w:p w14:paraId="643780F0">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正常</w:t>
            </w:r>
          </w:p>
        </w:tc>
        <w:tc>
          <w:tcPr>
            <w:tcW w:w="351" w:type="pct"/>
            <w:noWrap w:val="0"/>
            <w:tcMar>
              <w:left w:w="0" w:type="dxa"/>
              <w:right w:w="0" w:type="dxa"/>
            </w:tcMar>
            <w:vAlign w:val="center"/>
          </w:tcPr>
          <w:p w14:paraId="6744C59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09" w:type="pct"/>
            <w:noWrap w:val="0"/>
            <w:tcMar>
              <w:left w:w="0" w:type="dxa"/>
              <w:right w:w="0" w:type="dxa"/>
            </w:tcMar>
            <w:vAlign w:val="center"/>
          </w:tcPr>
          <w:p w14:paraId="09D4BD5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65" w:type="pct"/>
            <w:noWrap w:val="0"/>
            <w:tcMar>
              <w:left w:w="0" w:type="dxa"/>
              <w:right w:w="0" w:type="dxa"/>
            </w:tcMar>
            <w:vAlign w:val="center"/>
          </w:tcPr>
          <w:p w14:paraId="77435DF5">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0.05</w:t>
            </w:r>
          </w:p>
        </w:tc>
        <w:tc>
          <w:tcPr>
            <w:tcW w:w="414" w:type="pct"/>
            <w:noWrap w:val="0"/>
            <w:tcMar>
              <w:left w:w="0" w:type="dxa"/>
              <w:right w:w="0" w:type="dxa"/>
            </w:tcMar>
            <w:vAlign w:val="center"/>
          </w:tcPr>
          <w:p w14:paraId="75DC07B5">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0.025</w:t>
            </w:r>
          </w:p>
        </w:tc>
        <w:tc>
          <w:tcPr>
            <w:tcW w:w="368" w:type="pct"/>
            <w:noWrap w:val="0"/>
            <w:tcMar>
              <w:left w:w="0" w:type="dxa"/>
              <w:right w:w="0" w:type="dxa"/>
            </w:tcMar>
            <w:vAlign w:val="center"/>
          </w:tcPr>
          <w:p w14:paraId="6E75F36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10" w:type="pct"/>
            <w:noWrap w:val="0"/>
            <w:tcMar>
              <w:left w:w="0" w:type="dxa"/>
              <w:right w:w="0" w:type="dxa"/>
            </w:tcMar>
            <w:vAlign w:val="center"/>
          </w:tcPr>
          <w:p w14:paraId="57E312B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28" w:type="pct"/>
            <w:noWrap w:val="0"/>
            <w:tcMar>
              <w:left w:w="0" w:type="dxa"/>
              <w:right w:w="0" w:type="dxa"/>
            </w:tcMar>
            <w:vAlign w:val="center"/>
          </w:tcPr>
          <w:p w14:paraId="3443271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43" w:type="pct"/>
            <w:noWrap w:val="0"/>
            <w:tcMar>
              <w:left w:w="0" w:type="dxa"/>
              <w:right w:w="0" w:type="dxa"/>
            </w:tcMar>
            <w:vAlign w:val="center"/>
          </w:tcPr>
          <w:p w14:paraId="083B14B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r>
      <w:tr w14:paraId="151FE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noWrap w:val="0"/>
            <w:tcMar>
              <w:left w:w="0" w:type="dxa"/>
              <w:right w:w="0" w:type="dxa"/>
            </w:tcMar>
            <w:vAlign w:val="center"/>
          </w:tcPr>
          <w:p w14:paraId="6D59DB8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9</w:t>
            </w:r>
          </w:p>
        </w:tc>
        <w:tc>
          <w:tcPr>
            <w:tcW w:w="499" w:type="pct"/>
            <w:noWrap w:val="0"/>
            <w:tcMar>
              <w:left w:w="0" w:type="dxa"/>
              <w:right w:w="0" w:type="dxa"/>
            </w:tcMar>
            <w:vAlign w:val="center"/>
          </w:tcPr>
          <w:p w14:paraId="1EB737E5">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恒丰锌业-</w:t>
            </w:r>
            <w:r>
              <w:t>G</w:t>
            </w:r>
            <w:r>
              <w:rPr>
                <w:rFonts w:hint="eastAsia"/>
              </w:rPr>
              <w:t>5-2</w:t>
            </w:r>
          </w:p>
        </w:tc>
        <w:tc>
          <w:tcPr>
            <w:tcW w:w="187" w:type="pct"/>
            <w:noWrap w:val="0"/>
            <w:tcMar>
              <w:left w:w="0" w:type="dxa"/>
              <w:right w:w="0" w:type="dxa"/>
            </w:tcMar>
            <w:vAlign w:val="center"/>
          </w:tcPr>
          <w:p w14:paraId="4A28AEF5">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15</w:t>
            </w:r>
          </w:p>
        </w:tc>
        <w:tc>
          <w:tcPr>
            <w:tcW w:w="235" w:type="pct"/>
            <w:noWrap w:val="0"/>
            <w:tcMar>
              <w:left w:w="0" w:type="dxa"/>
              <w:right w:w="0" w:type="dxa"/>
            </w:tcMar>
            <w:vAlign w:val="center"/>
          </w:tcPr>
          <w:p w14:paraId="0F56F333">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0.5</w:t>
            </w:r>
          </w:p>
        </w:tc>
        <w:tc>
          <w:tcPr>
            <w:tcW w:w="293" w:type="pct"/>
            <w:noWrap w:val="0"/>
            <w:tcMar>
              <w:left w:w="0" w:type="dxa"/>
              <w:right w:w="0" w:type="dxa"/>
            </w:tcMar>
            <w:vAlign w:val="center"/>
          </w:tcPr>
          <w:p w14:paraId="0CCF8F9B">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5000</w:t>
            </w:r>
          </w:p>
        </w:tc>
        <w:tc>
          <w:tcPr>
            <w:tcW w:w="287" w:type="pct"/>
            <w:noWrap w:val="0"/>
            <w:tcMar>
              <w:left w:w="0" w:type="dxa"/>
              <w:right w:w="0" w:type="dxa"/>
            </w:tcMar>
            <w:vAlign w:val="center"/>
          </w:tcPr>
          <w:p w14:paraId="4074F023">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20</w:t>
            </w:r>
          </w:p>
        </w:tc>
        <w:tc>
          <w:tcPr>
            <w:tcW w:w="326" w:type="pct"/>
            <w:noWrap w:val="0"/>
            <w:tcMar>
              <w:left w:w="0" w:type="dxa"/>
              <w:right w:w="0" w:type="dxa"/>
            </w:tcMar>
            <w:vAlign w:val="center"/>
          </w:tcPr>
          <w:p w14:paraId="5AD2665D">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正常</w:t>
            </w:r>
          </w:p>
        </w:tc>
        <w:tc>
          <w:tcPr>
            <w:tcW w:w="351" w:type="pct"/>
            <w:noWrap w:val="0"/>
            <w:tcMar>
              <w:left w:w="0" w:type="dxa"/>
              <w:right w:w="0" w:type="dxa"/>
            </w:tcMar>
            <w:vAlign w:val="center"/>
          </w:tcPr>
          <w:p w14:paraId="6556A8D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09" w:type="pct"/>
            <w:noWrap w:val="0"/>
            <w:tcMar>
              <w:left w:w="0" w:type="dxa"/>
              <w:right w:w="0" w:type="dxa"/>
            </w:tcMar>
            <w:vAlign w:val="center"/>
          </w:tcPr>
          <w:p w14:paraId="51BA55E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65" w:type="pct"/>
            <w:noWrap w:val="0"/>
            <w:tcMar>
              <w:left w:w="0" w:type="dxa"/>
              <w:right w:w="0" w:type="dxa"/>
            </w:tcMar>
            <w:vAlign w:val="center"/>
          </w:tcPr>
          <w:p w14:paraId="113A80C0">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0.005</w:t>
            </w:r>
          </w:p>
        </w:tc>
        <w:tc>
          <w:tcPr>
            <w:tcW w:w="414" w:type="pct"/>
            <w:noWrap w:val="0"/>
            <w:tcMar>
              <w:left w:w="0" w:type="dxa"/>
              <w:right w:w="0" w:type="dxa"/>
            </w:tcMar>
            <w:vAlign w:val="center"/>
          </w:tcPr>
          <w:p w14:paraId="164D39B3">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0.0025</w:t>
            </w:r>
          </w:p>
        </w:tc>
        <w:tc>
          <w:tcPr>
            <w:tcW w:w="368" w:type="pct"/>
            <w:noWrap w:val="0"/>
            <w:tcMar>
              <w:left w:w="0" w:type="dxa"/>
              <w:right w:w="0" w:type="dxa"/>
            </w:tcMar>
            <w:vAlign w:val="center"/>
          </w:tcPr>
          <w:p w14:paraId="38D99F20">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0.00005</w:t>
            </w:r>
          </w:p>
        </w:tc>
        <w:tc>
          <w:tcPr>
            <w:tcW w:w="410" w:type="pct"/>
            <w:noWrap w:val="0"/>
            <w:tcMar>
              <w:left w:w="0" w:type="dxa"/>
              <w:right w:w="0" w:type="dxa"/>
            </w:tcMar>
            <w:vAlign w:val="top"/>
          </w:tcPr>
          <w:p w14:paraId="4914A235">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0.000000025</w:t>
            </w:r>
          </w:p>
        </w:tc>
        <w:tc>
          <w:tcPr>
            <w:tcW w:w="428" w:type="pct"/>
            <w:noWrap w:val="0"/>
            <w:tcMar>
              <w:left w:w="0" w:type="dxa"/>
              <w:right w:w="0" w:type="dxa"/>
            </w:tcMar>
            <w:vAlign w:val="center"/>
          </w:tcPr>
          <w:p w14:paraId="2A4056AB">
            <w:pPr>
              <w:pStyle w:val="21"/>
              <w:ind w:firstLine="0" w:firstLineChars="0"/>
              <w:rPr>
                <w:rFonts w:hint="eastAsia" w:ascii="Times New Roman" w:hAnsi="Times New Roman" w:cs="Times New Roman" w:eastAsiaTheme="minorEastAsia"/>
                <w:szCs w:val="21"/>
                <w:highlight w:val="none"/>
                <w:lang w:val="en-US" w:eastAsia="zh-CN"/>
              </w:rPr>
            </w:pPr>
            <w:r>
              <w:rPr>
                <w:rFonts w:hint="eastAsia"/>
                <w:lang w:val="en-US" w:eastAsia="zh-CN"/>
              </w:rPr>
              <w:t>/</w:t>
            </w:r>
          </w:p>
        </w:tc>
        <w:tc>
          <w:tcPr>
            <w:tcW w:w="443" w:type="pct"/>
            <w:noWrap w:val="0"/>
            <w:tcMar>
              <w:left w:w="0" w:type="dxa"/>
              <w:right w:w="0" w:type="dxa"/>
            </w:tcMar>
            <w:vAlign w:val="top"/>
          </w:tcPr>
          <w:p w14:paraId="3CF0E1ED">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0.00000001</w:t>
            </w:r>
          </w:p>
        </w:tc>
      </w:tr>
      <w:tr w14:paraId="5822C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noWrap w:val="0"/>
            <w:tcMar>
              <w:left w:w="0" w:type="dxa"/>
              <w:right w:w="0" w:type="dxa"/>
            </w:tcMar>
            <w:vAlign w:val="center"/>
          </w:tcPr>
          <w:p w14:paraId="1E61BA8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10</w:t>
            </w:r>
          </w:p>
        </w:tc>
        <w:tc>
          <w:tcPr>
            <w:tcW w:w="499" w:type="pct"/>
            <w:noWrap w:val="0"/>
            <w:tcMar>
              <w:left w:w="0" w:type="dxa"/>
              <w:right w:w="0" w:type="dxa"/>
            </w:tcMar>
            <w:vAlign w:val="center"/>
          </w:tcPr>
          <w:p w14:paraId="682B2F04">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恒丰锌业-</w:t>
            </w:r>
            <w:r>
              <w:t>G</w:t>
            </w:r>
            <w:r>
              <w:rPr>
                <w:rFonts w:hint="eastAsia"/>
              </w:rPr>
              <w:t>6-1</w:t>
            </w:r>
          </w:p>
        </w:tc>
        <w:tc>
          <w:tcPr>
            <w:tcW w:w="187" w:type="pct"/>
            <w:noWrap w:val="0"/>
            <w:tcMar>
              <w:left w:w="0" w:type="dxa"/>
              <w:right w:w="0" w:type="dxa"/>
            </w:tcMar>
            <w:vAlign w:val="center"/>
          </w:tcPr>
          <w:p w14:paraId="51B0B315">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15</w:t>
            </w:r>
          </w:p>
        </w:tc>
        <w:tc>
          <w:tcPr>
            <w:tcW w:w="235" w:type="pct"/>
            <w:noWrap w:val="0"/>
            <w:tcMar>
              <w:left w:w="0" w:type="dxa"/>
              <w:right w:w="0" w:type="dxa"/>
            </w:tcMar>
            <w:vAlign w:val="center"/>
          </w:tcPr>
          <w:p w14:paraId="30119C04">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0.5</w:t>
            </w:r>
          </w:p>
        </w:tc>
        <w:tc>
          <w:tcPr>
            <w:tcW w:w="293" w:type="pct"/>
            <w:noWrap w:val="0"/>
            <w:tcMar>
              <w:left w:w="0" w:type="dxa"/>
              <w:right w:w="0" w:type="dxa"/>
            </w:tcMar>
            <w:vAlign w:val="center"/>
          </w:tcPr>
          <w:p w14:paraId="1B1CF35D">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19000</w:t>
            </w:r>
          </w:p>
        </w:tc>
        <w:tc>
          <w:tcPr>
            <w:tcW w:w="287" w:type="pct"/>
            <w:noWrap w:val="0"/>
            <w:tcMar>
              <w:left w:w="0" w:type="dxa"/>
              <w:right w:w="0" w:type="dxa"/>
            </w:tcMar>
            <w:vAlign w:val="center"/>
          </w:tcPr>
          <w:p w14:paraId="2C16422D">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20</w:t>
            </w:r>
          </w:p>
        </w:tc>
        <w:tc>
          <w:tcPr>
            <w:tcW w:w="326" w:type="pct"/>
            <w:noWrap w:val="0"/>
            <w:tcMar>
              <w:left w:w="0" w:type="dxa"/>
              <w:right w:w="0" w:type="dxa"/>
            </w:tcMar>
            <w:vAlign w:val="center"/>
          </w:tcPr>
          <w:p w14:paraId="0CFD7D86">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正常</w:t>
            </w:r>
          </w:p>
        </w:tc>
        <w:tc>
          <w:tcPr>
            <w:tcW w:w="351" w:type="pct"/>
            <w:noWrap w:val="0"/>
            <w:tcMar>
              <w:left w:w="0" w:type="dxa"/>
              <w:right w:w="0" w:type="dxa"/>
            </w:tcMar>
            <w:vAlign w:val="center"/>
          </w:tcPr>
          <w:p w14:paraId="2CA33DED">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0.035</w:t>
            </w:r>
          </w:p>
        </w:tc>
        <w:tc>
          <w:tcPr>
            <w:tcW w:w="309" w:type="pct"/>
            <w:noWrap w:val="0"/>
            <w:tcMar>
              <w:left w:w="0" w:type="dxa"/>
              <w:right w:w="0" w:type="dxa"/>
            </w:tcMar>
            <w:vAlign w:val="center"/>
          </w:tcPr>
          <w:p w14:paraId="59438AD6">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0.05</w:t>
            </w:r>
          </w:p>
        </w:tc>
        <w:tc>
          <w:tcPr>
            <w:tcW w:w="365" w:type="pct"/>
            <w:noWrap w:val="0"/>
            <w:tcMar>
              <w:left w:w="0" w:type="dxa"/>
              <w:right w:w="0" w:type="dxa"/>
            </w:tcMar>
            <w:vAlign w:val="center"/>
          </w:tcPr>
          <w:p w14:paraId="2428073E">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0.19</w:t>
            </w:r>
          </w:p>
        </w:tc>
        <w:tc>
          <w:tcPr>
            <w:tcW w:w="414" w:type="pct"/>
            <w:noWrap w:val="0"/>
            <w:tcMar>
              <w:left w:w="0" w:type="dxa"/>
              <w:right w:w="0" w:type="dxa"/>
            </w:tcMar>
            <w:vAlign w:val="center"/>
          </w:tcPr>
          <w:p w14:paraId="734D3DC9">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0.095</w:t>
            </w:r>
          </w:p>
        </w:tc>
        <w:tc>
          <w:tcPr>
            <w:tcW w:w="368" w:type="pct"/>
            <w:noWrap w:val="0"/>
            <w:tcMar>
              <w:left w:w="0" w:type="dxa"/>
              <w:right w:w="0" w:type="dxa"/>
            </w:tcMar>
            <w:vAlign w:val="center"/>
          </w:tcPr>
          <w:p w14:paraId="0D791E6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10" w:type="pct"/>
            <w:noWrap w:val="0"/>
            <w:tcMar>
              <w:left w:w="0" w:type="dxa"/>
              <w:right w:w="0" w:type="dxa"/>
            </w:tcMar>
            <w:vAlign w:val="center"/>
          </w:tcPr>
          <w:p w14:paraId="060400B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28" w:type="pct"/>
            <w:noWrap w:val="0"/>
            <w:tcMar>
              <w:left w:w="0" w:type="dxa"/>
              <w:right w:w="0" w:type="dxa"/>
            </w:tcMar>
            <w:vAlign w:val="center"/>
          </w:tcPr>
          <w:p w14:paraId="000F017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43" w:type="pct"/>
            <w:noWrap w:val="0"/>
            <w:tcMar>
              <w:left w:w="0" w:type="dxa"/>
              <w:right w:w="0" w:type="dxa"/>
            </w:tcMar>
            <w:vAlign w:val="center"/>
          </w:tcPr>
          <w:p w14:paraId="38D95C2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r>
      <w:tr w14:paraId="13581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noWrap w:val="0"/>
            <w:tcMar>
              <w:left w:w="0" w:type="dxa"/>
              <w:right w:w="0" w:type="dxa"/>
            </w:tcMar>
            <w:vAlign w:val="center"/>
          </w:tcPr>
          <w:p w14:paraId="7EAA9FA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11</w:t>
            </w:r>
          </w:p>
        </w:tc>
        <w:tc>
          <w:tcPr>
            <w:tcW w:w="499" w:type="pct"/>
            <w:noWrap w:val="0"/>
            <w:tcMar>
              <w:left w:w="0" w:type="dxa"/>
              <w:right w:w="0" w:type="dxa"/>
            </w:tcMar>
            <w:vAlign w:val="center"/>
          </w:tcPr>
          <w:p w14:paraId="66C3BCCB">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恒丰锌业-</w:t>
            </w:r>
            <w:r>
              <w:t>G</w:t>
            </w:r>
            <w:r>
              <w:rPr>
                <w:rFonts w:hint="eastAsia"/>
              </w:rPr>
              <w:t>7-1</w:t>
            </w:r>
          </w:p>
        </w:tc>
        <w:tc>
          <w:tcPr>
            <w:tcW w:w="187" w:type="pct"/>
            <w:noWrap w:val="0"/>
            <w:tcMar>
              <w:left w:w="0" w:type="dxa"/>
              <w:right w:w="0" w:type="dxa"/>
            </w:tcMar>
            <w:vAlign w:val="center"/>
          </w:tcPr>
          <w:p w14:paraId="78A1BD4D">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15</w:t>
            </w:r>
          </w:p>
        </w:tc>
        <w:tc>
          <w:tcPr>
            <w:tcW w:w="235" w:type="pct"/>
            <w:noWrap w:val="0"/>
            <w:tcMar>
              <w:left w:w="0" w:type="dxa"/>
              <w:right w:w="0" w:type="dxa"/>
            </w:tcMar>
            <w:vAlign w:val="center"/>
          </w:tcPr>
          <w:p w14:paraId="7A7DA0A7">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0.8</w:t>
            </w:r>
          </w:p>
        </w:tc>
        <w:tc>
          <w:tcPr>
            <w:tcW w:w="293" w:type="pct"/>
            <w:noWrap w:val="0"/>
            <w:tcMar>
              <w:left w:w="0" w:type="dxa"/>
              <w:right w:w="0" w:type="dxa"/>
            </w:tcMar>
            <w:vAlign w:val="center"/>
          </w:tcPr>
          <w:p w14:paraId="7849BBE9">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10000</w:t>
            </w:r>
          </w:p>
        </w:tc>
        <w:tc>
          <w:tcPr>
            <w:tcW w:w="287" w:type="pct"/>
            <w:noWrap w:val="0"/>
            <w:tcMar>
              <w:left w:w="0" w:type="dxa"/>
              <w:right w:w="0" w:type="dxa"/>
            </w:tcMar>
            <w:vAlign w:val="center"/>
          </w:tcPr>
          <w:p w14:paraId="2357B2E8">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20</w:t>
            </w:r>
          </w:p>
        </w:tc>
        <w:tc>
          <w:tcPr>
            <w:tcW w:w="326" w:type="pct"/>
            <w:noWrap w:val="0"/>
            <w:tcMar>
              <w:left w:w="0" w:type="dxa"/>
              <w:right w:w="0" w:type="dxa"/>
            </w:tcMar>
            <w:vAlign w:val="center"/>
          </w:tcPr>
          <w:p w14:paraId="67E7713D">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正常</w:t>
            </w:r>
          </w:p>
        </w:tc>
        <w:tc>
          <w:tcPr>
            <w:tcW w:w="351" w:type="pct"/>
            <w:noWrap w:val="0"/>
            <w:tcMar>
              <w:left w:w="0" w:type="dxa"/>
              <w:right w:w="0" w:type="dxa"/>
            </w:tcMar>
            <w:vAlign w:val="center"/>
          </w:tcPr>
          <w:p w14:paraId="58803C2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09" w:type="pct"/>
            <w:noWrap w:val="0"/>
            <w:tcMar>
              <w:left w:w="0" w:type="dxa"/>
              <w:right w:w="0" w:type="dxa"/>
            </w:tcMar>
            <w:vAlign w:val="center"/>
          </w:tcPr>
          <w:p w14:paraId="43BEEC2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65" w:type="pct"/>
            <w:noWrap w:val="0"/>
            <w:tcMar>
              <w:left w:w="0" w:type="dxa"/>
              <w:right w:w="0" w:type="dxa"/>
            </w:tcMar>
            <w:vAlign w:val="center"/>
          </w:tcPr>
          <w:p w14:paraId="20DD3302">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0.03</w:t>
            </w:r>
          </w:p>
        </w:tc>
        <w:tc>
          <w:tcPr>
            <w:tcW w:w="414" w:type="pct"/>
            <w:noWrap w:val="0"/>
            <w:tcMar>
              <w:left w:w="0" w:type="dxa"/>
              <w:right w:w="0" w:type="dxa"/>
            </w:tcMar>
            <w:vAlign w:val="center"/>
          </w:tcPr>
          <w:p w14:paraId="2A6A7FEE">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0.015</w:t>
            </w:r>
          </w:p>
        </w:tc>
        <w:tc>
          <w:tcPr>
            <w:tcW w:w="368" w:type="pct"/>
            <w:noWrap w:val="0"/>
            <w:tcMar>
              <w:left w:w="0" w:type="dxa"/>
              <w:right w:w="0" w:type="dxa"/>
            </w:tcMar>
            <w:vAlign w:val="center"/>
          </w:tcPr>
          <w:p w14:paraId="52E55FE2">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0.000546</w:t>
            </w:r>
          </w:p>
        </w:tc>
        <w:tc>
          <w:tcPr>
            <w:tcW w:w="410" w:type="pct"/>
            <w:noWrap w:val="0"/>
            <w:tcMar>
              <w:left w:w="0" w:type="dxa"/>
              <w:right w:w="0" w:type="dxa"/>
            </w:tcMar>
            <w:vAlign w:val="top"/>
          </w:tcPr>
          <w:p w14:paraId="4C4F10A1">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0.00000277</w:t>
            </w:r>
          </w:p>
        </w:tc>
        <w:tc>
          <w:tcPr>
            <w:tcW w:w="428" w:type="pct"/>
            <w:noWrap w:val="0"/>
            <w:tcMar>
              <w:left w:w="0" w:type="dxa"/>
              <w:right w:w="0" w:type="dxa"/>
            </w:tcMar>
            <w:vAlign w:val="center"/>
          </w:tcPr>
          <w:p w14:paraId="53EE01D8">
            <w:pPr>
              <w:pStyle w:val="21"/>
              <w:ind w:firstLine="0" w:firstLineChars="0"/>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43" w:type="pct"/>
            <w:noWrap w:val="0"/>
            <w:tcMar>
              <w:left w:w="0" w:type="dxa"/>
              <w:right w:w="0" w:type="dxa"/>
            </w:tcMar>
            <w:vAlign w:val="top"/>
          </w:tcPr>
          <w:p w14:paraId="03BFC85C">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0.000009</w:t>
            </w:r>
          </w:p>
        </w:tc>
      </w:tr>
      <w:tr w14:paraId="3CCAF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noWrap w:val="0"/>
            <w:tcMar>
              <w:left w:w="0" w:type="dxa"/>
              <w:right w:w="0" w:type="dxa"/>
            </w:tcMar>
            <w:vAlign w:val="center"/>
          </w:tcPr>
          <w:p w14:paraId="3A0E0F8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12</w:t>
            </w:r>
          </w:p>
        </w:tc>
        <w:tc>
          <w:tcPr>
            <w:tcW w:w="499" w:type="pct"/>
            <w:noWrap w:val="0"/>
            <w:tcMar>
              <w:left w:w="0" w:type="dxa"/>
              <w:right w:w="0" w:type="dxa"/>
            </w:tcMar>
            <w:vAlign w:val="center"/>
          </w:tcPr>
          <w:p w14:paraId="34AC0B11">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恒丰锌业-</w:t>
            </w:r>
            <w:r>
              <w:t>G</w:t>
            </w:r>
            <w:r>
              <w:rPr>
                <w:rFonts w:hint="eastAsia"/>
              </w:rPr>
              <w:t>7-2</w:t>
            </w:r>
          </w:p>
        </w:tc>
        <w:tc>
          <w:tcPr>
            <w:tcW w:w="187" w:type="pct"/>
            <w:noWrap w:val="0"/>
            <w:tcMar>
              <w:left w:w="0" w:type="dxa"/>
              <w:right w:w="0" w:type="dxa"/>
            </w:tcMar>
            <w:vAlign w:val="center"/>
          </w:tcPr>
          <w:p w14:paraId="5B33CE5F">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15</w:t>
            </w:r>
          </w:p>
        </w:tc>
        <w:tc>
          <w:tcPr>
            <w:tcW w:w="235" w:type="pct"/>
            <w:noWrap w:val="0"/>
            <w:tcMar>
              <w:left w:w="0" w:type="dxa"/>
              <w:right w:w="0" w:type="dxa"/>
            </w:tcMar>
            <w:vAlign w:val="center"/>
          </w:tcPr>
          <w:p w14:paraId="2600F756">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0.8</w:t>
            </w:r>
          </w:p>
        </w:tc>
        <w:tc>
          <w:tcPr>
            <w:tcW w:w="293" w:type="pct"/>
            <w:noWrap w:val="0"/>
            <w:tcMar>
              <w:left w:w="0" w:type="dxa"/>
              <w:right w:w="0" w:type="dxa"/>
            </w:tcMar>
            <w:vAlign w:val="center"/>
          </w:tcPr>
          <w:p w14:paraId="72FD3BE0">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10000</w:t>
            </w:r>
          </w:p>
        </w:tc>
        <w:tc>
          <w:tcPr>
            <w:tcW w:w="287" w:type="pct"/>
            <w:noWrap w:val="0"/>
            <w:tcMar>
              <w:left w:w="0" w:type="dxa"/>
              <w:right w:w="0" w:type="dxa"/>
            </w:tcMar>
            <w:vAlign w:val="center"/>
          </w:tcPr>
          <w:p w14:paraId="12B81121">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20</w:t>
            </w:r>
          </w:p>
        </w:tc>
        <w:tc>
          <w:tcPr>
            <w:tcW w:w="326" w:type="pct"/>
            <w:noWrap w:val="0"/>
            <w:tcMar>
              <w:left w:w="0" w:type="dxa"/>
              <w:right w:w="0" w:type="dxa"/>
            </w:tcMar>
            <w:vAlign w:val="center"/>
          </w:tcPr>
          <w:p w14:paraId="178078EF">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正常</w:t>
            </w:r>
          </w:p>
        </w:tc>
        <w:tc>
          <w:tcPr>
            <w:tcW w:w="351" w:type="pct"/>
            <w:noWrap w:val="0"/>
            <w:tcMar>
              <w:left w:w="0" w:type="dxa"/>
              <w:right w:w="0" w:type="dxa"/>
            </w:tcMar>
            <w:vAlign w:val="center"/>
          </w:tcPr>
          <w:p w14:paraId="558ABF0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09" w:type="pct"/>
            <w:noWrap w:val="0"/>
            <w:tcMar>
              <w:left w:w="0" w:type="dxa"/>
              <w:right w:w="0" w:type="dxa"/>
            </w:tcMar>
            <w:vAlign w:val="center"/>
          </w:tcPr>
          <w:p w14:paraId="0645DE4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65" w:type="pct"/>
            <w:noWrap w:val="0"/>
            <w:tcMar>
              <w:left w:w="0" w:type="dxa"/>
              <w:right w:w="0" w:type="dxa"/>
            </w:tcMar>
            <w:vAlign w:val="center"/>
          </w:tcPr>
          <w:p w14:paraId="0415736A">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0.03</w:t>
            </w:r>
          </w:p>
        </w:tc>
        <w:tc>
          <w:tcPr>
            <w:tcW w:w="414" w:type="pct"/>
            <w:noWrap w:val="0"/>
            <w:tcMar>
              <w:left w:w="0" w:type="dxa"/>
              <w:right w:w="0" w:type="dxa"/>
            </w:tcMar>
            <w:vAlign w:val="center"/>
          </w:tcPr>
          <w:p w14:paraId="49B82FFD">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0.015</w:t>
            </w:r>
          </w:p>
        </w:tc>
        <w:tc>
          <w:tcPr>
            <w:tcW w:w="368" w:type="pct"/>
            <w:noWrap w:val="0"/>
            <w:tcMar>
              <w:left w:w="0" w:type="dxa"/>
              <w:right w:w="0" w:type="dxa"/>
            </w:tcMar>
            <w:vAlign w:val="center"/>
          </w:tcPr>
          <w:p w14:paraId="395F486C">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0.000546</w:t>
            </w:r>
          </w:p>
        </w:tc>
        <w:tc>
          <w:tcPr>
            <w:tcW w:w="410" w:type="pct"/>
            <w:noWrap w:val="0"/>
            <w:tcMar>
              <w:left w:w="0" w:type="dxa"/>
              <w:right w:w="0" w:type="dxa"/>
            </w:tcMar>
            <w:vAlign w:val="top"/>
          </w:tcPr>
          <w:p w14:paraId="0FF79017">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0.00000277</w:t>
            </w:r>
          </w:p>
        </w:tc>
        <w:tc>
          <w:tcPr>
            <w:tcW w:w="428" w:type="pct"/>
            <w:noWrap w:val="0"/>
            <w:tcMar>
              <w:left w:w="0" w:type="dxa"/>
              <w:right w:w="0" w:type="dxa"/>
            </w:tcMar>
            <w:vAlign w:val="center"/>
          </w:tcPr>
          <w:p w14:paraId="0E37A65F">
            <w:pPr>
              <w:pStyle w:val="21"/>
              <w:ind w:firstLine="0" w:firstLineChars="0"/>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43" w:type="pct"/>
            <w:noWrap w:val="0"/>
            <w:tcMar>
              <w:left w:w="0" w:type="dxa"/>
              <w:right w:w="0" w:type="dxa"/>
            </w:tcMar>
            <w:vAlign w:val="top"/>
          </w:tcPr>
          <w:p w14:paraId="67A4FEF9">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0.000009</w:t>
            </w:r>
          </w:p>
        </w:tc>
      </w:tr>
      <w:tr w14:paraId="17165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noWrap w:val="0"/>
            <w:tcMar>
              <w:left w:w="0" w:type="dxa"/>
              <w:right w:w="0" w:type="dxa"/>
            </w:tcMar>
            <w:vAlign w:val="center"/>
          </w:tcPr>
          <w:p w14:paraId="3CEDC74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13</w:t>
            </w:r>
          </w:p>
        </w:tc>
        <w:tc>
          <w:tcPr>
            <w:tcW w:w="499" w:type="pct"/>
            <w:noWrap w:val="0"/>
            <w:tcMar>
              <w:left w:w="0" w:type="dxa"/>
              <w:right w:w="0" w:type="dxa"/>
            </w:tcMar>
            <w:vAlign w:val="center"/>
          </w:tcPr>
          <w:p w14:paraId="79BA9DE9">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恒丰锌业-</w:t>
            </w:r>
            <w:r>
              <w:t>G</w:t>
            </w:r>
            <w:r>
              <w:rPr>
                <w:rFonts w:hint="eastAsia"/>
              </w:rPr>
              <w:t>7-3</w:t>
            </w:r>
          </w:p>
        </w:tc>
        <w:tc>
          <w:tcPr>
            <w:tcW w:w="187" w:type="pct"/>
            <w:noWrap w:val="0"/>
            <w:tcMar>
              <w:left w:w="0" w:type="dxa"/>
              <w:right w:w="0" w:type="dxa"/>
            </w:tcMar>
            <w:vAlign w:val="center"/>
          </w:tcPr>
          <w:p w14:paraId="27A494C4">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50</w:t>
            </w:r>
          </w:p>
        </w:tc>
        <w:tc>
          <w:tcPr>
            <w:tcW w:w="235" w:type="pct"/>
            <w:noWrap w:val="0"/>
            <w:tcMar>
              <w:left w:w="0" w:type="dxa"/>
              <w:right w:w="0" w:type="dxa"/>
            </w:tcMar>
            <w:vAlign w:val="center"/>
          </w:tcPr>
          <w:p w14:paraId="51416EA9">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1.6</w:t>
            </w:r>
          </w:p>
        </w:tc>
        <w:tc>
          <w:tcPr>
            <w:tcW w:w="293" w:type="pct"/>
            <w:noWrap w:val="0"/>
            <w:tcMar>
              <w:left w:w="0" w:type="dxa"/>
              <w:right w:w="0" w:type="dxa"/>
            </w:tcMar>
            <w:vAlign w:val="center"/>
          </w:tcPr>
          <w:p w14:paraId="0D751595">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87471</w:t>
            </w:r>
          </w:p>
        </w:tc>
        <w:tc>
          <w:tcPr>
            <w:tcW w:w="287" w:type="pct"/>
            <w:noWrap w:val="0"/>
            <w:tcMar>
              <w:left w:w="0" w:type="dxa"/>
              <w:right w:w="0" w:type="dxa"/>
            </w:tcMar>
            <w:vAlign w:val="center"/>
          </w:tcPr>
          <w:p w14:paraId="27EF7E6B">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20</w:t>
            </w:r>
          </w:p>
        </w:tc>
        <w:tc>
          <w:tcPr>
            <w:tcW w:w="326" w:type="pct"/>
            <w:noWrap w:val="0"/>
            <w:tcMar>
              <w:left w:w="0" w:type="dxa"/>
              <w:right w:w="0" w:type="dxa"/>
            </w:tcMar>
            <w:vAlign w:val="center"/>
          </w:tcPr>
          <w:p w14:paraId="08D25098">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正常</w:t>
            </w:r>
          </w:p>
        </w:tc>
        <w:tc>
          <w:tcPr>
            <w:tcW w:w="351" w:type="pct"/>
            <w:noWrap w:val="0"/>
            <w:tcMar>
              <w:left w:w="0" w:type="dxa"/>
              <w:right w:w="0" w:type="dxa"/>
            </w:tcMar>
            <w:vAlign w:val="center"/>
          </w:tcPr>
          <w:p w14:paraId="5EAA300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09" w:type="pct"/>
            <w:noWrap w:val="0"/>
            <w:tcMar>
              <w:left w:w="0" w:type="dxa"/>
              <w:right w:w="0" w:type="dxa"/>
            </w:tcMar>
            <w:vAlign w:val="center"/>
          </w:tcPr>
          <w:p w14:paraId="1A62A9C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65" w:type="pct"/>
            <w:noWrap w:val="0"/>
            <w:tcMar>
              <w:left w:w="0" w:type="dxa"/>
              <w:right w:w="0" w:type="dxa"/>
            </w:tcMar>
            <w:vAlign w:val="center"/>
          </w:tcPr>
          <w:p w14:paraId="101F054E">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0.81893</w:t>
            </w:r>
          </w:p>
        </w:tc>
        <w:tc>
          <w:tcPr>
            <w:tcW w:w="414" w:type="pct"/>
            <w:noWrap w:val="0"/>
            <w:tcMar>
              <w:left w:w="0" w:type="dxa"/>
              <w:right w:w="0" w:type="dxa"/>
            </w:tcMar>
            <w:vAlign w:val="center"/>
          </w:tcPr>
          <w:p w14:paraId="42B85462">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0.40946</w:t>
            </w:r>
          </w:p>
        </w:tc>
        <w:tc>
          <w:tcPr>
            <w:tcW w:w="368" w:type="pct"/>
            <w:noWrap w:val="0"/>
            <w:tcMar>
              <w:left w:w="0" w:type="dxa"/>
              <w:right w:w="0" w:type="dxa"/>
            </w:tcMar>
            <w:vAlign w:val="center"/>
          </w:tcPr>
          <w:p w14:paraId="151BC861">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0.123</w:t>
            </w:r>
          </w:p>
        </w:tc>
        <w:tc>
          <w:tcPr>
            <w:tcW w:w="410" w:type="pct"/>
            <w:noWrap w:val="0"/>
            <w:tcMar>
              <w:left w:w="0" w:type="dxa"/>
              <w:right w:w="0" w:type="dxa"/>
            </w:tcMar>
            <w:vAlign w:val="top"/>
          </w:tcPr>
          <w:p w14:paraId="71E9B1F7">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0.0000624</w:t>
            </w:r>
          </w:p>
        </w:tc>
        <w:tc>
          <w:tcPr>
            <w:tcW w:w="428" w:type="pct"/>
            <w:noWrap w:val="0"/>
            <w:tcMar>
              <w:left w:w="0" w:type="dxa"/>
              <w:right w:w="0" w:type="dxa"/>
            </w:tcMar>
            <w:vAlign w:val="center"/>
          </w:tcPr>
          <w:p w14:paraId="59891FC5">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0.0000656</w:t>
            </w:r>
          </w:p>
        </w:tc>
        <w:tc>
          <w:tcPr>
            <w:tcW w:w="443" w:type="pct"/>
            <w:noWrap w:val="0"/>
            <w:tcMar>
              <w:left w:w="0" w:type="dxa"/>
              <w:right w:w="0" w:type="dxa"/>
            </w:tcMar>
            <w:vAlign w:val="top"/>
          </w:tcPr>
          <w:p w14:paraId="12E62259">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0.000234</w:t>
            </w:r>
          </w:p>
        </w:tc>
      </w:tr>
      <w:tr w14:paraId="29F0F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noWrap w:val="0"/>
            <w:tcMar>
              <w:left w:w="0" w:type="dxa"/>
              <w:right w:w="0" w:type="dxa"/>
            </w:tcMar>
            <w:vAlign w:val="center"/>
          </w:tcPr>
          <w:p w14:paraId="7F5C773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14</w:t>
            </w:r>
          </w:p>
        </w:tc>
        <w:tc>
          <w:tcPr>
            <w:tcW w:w="499" w:type="pct"/>
            <w:noWrap w:val="0"/>
            <w:tcMar>
              <w:left w:w="0" w:type="dxa"/>
              <w:right w:w="0" w:type="dxa"/>
            </w:tcMar>
            <w:vAlign w:val="center"/>
          </w:tcPr>
          <w:p w14:paraId="544C2803">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恒丰锌业-</w:t>
            </w:r>
            <w:r>
              <w:t>G</w:t>
            </w:r>
            <w:r>
              <w:rPr>
                <w:rFonts w:hint="eastAsia"/>
              </w:rPr>
              <w:t>7-4</w:t>
            </w:r>
          </w:p>
        </w:tc>
        <w:tc>
          <w:tcPr>
            <w:tcW w:w="187" w:type="pct"/>
            <w:noWrap w:val="0"/>
            <w:tcMar>
              <w:left w:w="0" w:type="dxa"/>
              <w:right w:w="0" w:type="dxa"/>
            </w:tcMar>
            <w:vAlign w:val="center"/>
          </w:tcPr>
          <w:p w14:paraId="154263C9">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50</w:t>
            </w:r>
          </w:p>
        </w:tc>
        <w:tc>
          <w:tcPr>
            <w:tcW w:w="235" w:type="pct"/>
            <w:noWrap w:val="0"/>
            <w:tcMar>
              <w:left w:w="0" w:type="dxa"/>
              <w:right w:w="0" w:type="dxa"/>
            </w:tcMar>
            <w:vAlign w:val="center"/>
          </w:tcPr>
          <w:p w14:paraId="13A6CC44">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1.6</w:t>
            </w:r>
          </w:p>
        </w:tc>
        <w:tc>
          <w:tcPr>
            <w:tcW w:w="293" w:type="pct"/>
            <w:noWrap w:val="0"/>
            <w:tcMar>
              <w:left w:w="0" w:type="dxa"/>
              <w:right w:w="0" w:type="dxa"/>
            </w:tcMar>
            <w:vAlign w:val="center"/>
          </w:tcPr>
          <w:p w14:paraId="259585E3">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87471</w:t>
            </w:r>
          </w:p>
        </w:tc>
        <w:tc>
          <w:tcPr>
            <w:tcW w:w="287" w:type="pct"/>
            <w:noWrap w:val="0"/>
            <w:tcMar>
              <w:left w:w="0" w:type="dxa"/>
              <w:right w:w="0" w:type="dxa"/>
            </w:tcMar>
            <w:vAlign w:val="center"/>
          </w:tcPr>
          <w:p w14:paraId="362FCAA7">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20</w:t>
            </w:r>
          </w:p>
        </w:tc>
        <w:tc>
          <w:tcPr>
            <w:tcW w:w="326" w:type="pct"/>
            <w:noWrap w:val="0"/>
            <w:tcMar>
              <w:left w:w="0" w:type="dxa"/>
              <w:right w:w="0" w:type="dxa"/>
            </w:tcMar>
            <w:vAlign w:val="center"/>
          </w:tcPr>
          <w:p w14:paraId="3EA130F6">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正常</w:t>
            </w:r>
          </w:p>
        </w:tc>
        <w:tc>
          <w:tcPr>
            <w:tcW w:w="351" w:type="pct"/>
            <w:noWrap w:val="0"/>
            <w:tcMar>
              <w:left w:w="0" w:type="dxa"/>
              <w:right w:w="0" w:type="dxa"/>
            </w:tcMar>
            <w:vAlign w:val="center"/>
          </w:tcPr>
          <w:p w14:paraId="5801DFDC">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15.794</w:t>
            </w:r>
          </w:p>
        </w:tc>
        <w:tc>
          <w:tcPr>
            <w:tcW w:w="309" w:type="pct"/>
            <w:noWrap w:val="0"/>
            <w:tcMar>
              <w:left w:w="0" w:type="dxa"/>
              <w:right w:w="0" w:type="dxa"/>
            </w:tcMar>
            <w:vAlign w:val="center"/>
          </w:tcPr>
          <w:p w14:paraId="3C22EC05">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7.872</w:t>
            </w:r>
          </w:p>
        </w:tc>
        <w:tc>
          <w:tcPr>
            <w:tcW w:w="365" w:type="pct"/>
            <w:noWrap w:val="0"/>
            <w:tcMar>
              <w:left w:w="0" w:type="dxa"/>
              <w:right w:w="0" w:type="dxa"/>
            </w:tcMar>
            <w:vAlign w:val="center"/>
          </w:tcPr>
          <w:p w14:paraId="05814C0C">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0.81893</w:t>
            </w:r>
          </w:p>
        </w:tc>
        <w:tc>
          <w:tcPr>
            <w:tcW w:w="414" w:type="pct"/>
            <w:noWrap w:val="0"/>
            <w:tcMar>
              <w:left w:w="0" w:type="dxa"/>
              <w:right w:w="0" w:type="dxa"/>
            </w:tcMar>
            <w:vAlign w:val="center"/>
          </w:tcPr>
          <w:p w14:paraId="7BA25071">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0.40946</w:t>
            </w:r>
          </w:p>
        </w:tc>
        <w:tc>
          <w:tcPr>
            <w:tcW w:w="368" w:type="pct"/>
            <w:noWrap w:val="0"/>
            <w:tcMar>
              <w:left w:w="0" w:type="dxa"/>
              <w:right w:w="0" w:type="dxa"/>
            </w:tcMar>
            <w:vAlign w:val="center"/>
          </w:tcPr>
          <w:p w14:paraId="1CE054DF">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0.123</w:t>
            </w:r>
          </w:p>
        </w:tc>
        <w:tc>
          <w:tcPr>
            <w:tcW w:w="410" w:type="pct"/>
            <w:noWrap w:val="0"/>
            <w:tcMar>
              <w:left w:w="0" w:type="dxa"/>
              <w:right w:w="0" w:type="dxa"/>
            </w:tcMar>
            <w:vAlign w:val="top"/>
          </w:tcPr>
          <w:p w14:paraId="5AFC3B30">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0.0000624</w:t>
            </w:r>
          </w:p>
        </w:tc>
        <w:tc>
          <w:tcPr>
            <w:tcW w:w="428" w:type="pct"/>
            <w:noWrap w:val="0"/>
            <w:tcMar>
              <w:left w:w="0" w:type="dxa"/>
              <w:right w:w="0" w:type="dxa"/>
            </w:tcMar>
            <w:vAlign w:val="center"/>
          </w:tcPr>
          <w:p w14:paraId="5A55E43E">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0.0000656</w:t>
            </w:r>
          </w:p>
        </w:tc>
        <w:tc>
          <w:tcPr>
            <w:tcW w:w="443" w:type="pct"/>
            <w:noWrap w:val="0"/>
            <w:tcMar>
              <w:left w:w="0" w:type="dxa"/>
              <w:right w:w="0" w:type="dxa"/>
            </w:tcMar>
            <w:vAlign w:val="top"/>
          </w:tcPr>
          <w:p w14:paraId="72AFCDE2">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0.000234</w:t>
            </w:r>
          </w:p>
        </w:tc>
      </w:tr>
      <w:tr w14:paraId="32FDC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noWrap w:val="0"/>
            <w:tcMar>
              <w:left w:w="0" w:type="dxa"/>
              <w:right w:w="0" w:type="dxa"/>
            </w:tcMar>
            <w:vAlign w:val="center"/>
          </w:tcPr>
          <w:p w14:paraId="1F274AB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15</w:t>
            </w:r>
          </w:p>
        </w:tc>
        <w:tc>
          <w:tcPr>
            <w:tcW w:w="499" w:type="pct"/>
            <w:noWrap w:val="0"/>
            <w:tcMar>
              <w:left w:w="0" w:type="dxa"/>
              <w:right w:w="0" w:type="dxa"/>
            </w:tcMar>
            <w:vAlign w:val="center"/>
          </w:tcPr>
          <w:p w14:paraId="2AB2DC7A">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恒丰锌业-</w:t>
            </w:r>
            <w:r>
              <w:t>G</w:t>
            </w:r>
            <w:r>
              <w:rPr>
                <w:rFonts w:hint="eastAsia"/>
              </w:rPr>
              <w:t>8-1</w:t>
            </w:r>
          </w:p>
        </w:tc>
        <w:tc>
          <w:tcPr>
            <w:tcW w:w="187" w:type="pct"/>
            <w:noWrap w:val="0"/>
            <w:tcMar>
              <w:left w:w="0" w:type="dxa"/>
              <w:right w:w="0" w:type="dxa"/>
            </w:tcMar>
            <w:vAlign w:val="center"/>
          </w:tcPr>
          <w:p w14:paraId="38BB629D">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50</w:t>
            </w:r>
          </w:p>
        </w:tc>
        <w:tc>
          <w:tcPr>
            <w:tcW w:w="235" w:type="pct"/>
            <w:noWrap w:val="0"/>
            <w:tcMar>
              <w:left w:w="0" w:type="dxa"/>
              <w:right w:w="0" w:type="dxa"/>
            </w:tcMar>
            <w:vAlign w:val="center"/>
          </w:tcPr>
          <w:p w14:paraId="7778D353">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1.8</w:t>
            </w:r>
          </w:p>
        </w:tc>
        <w:tc>
          <w:tcPr>
            <w:tcW w:w="293" w:type="pct"/>
            <w:noWrap w:val="0"/>
            <w:tcMar>
              <w:left w:w="0" w:type="dxa"/>
              <w:right w:w="0" w:type="dxa"/>
            </w:tcMar>
            <w:vAlign w:val="center"/>
          </w:tcPr>
          <w:p w14:paraId="30344034">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76000</w:t>
            </w:r>
          </w:p>
        </w:tc>
        <w:tc>
          <w:tcPr>
            <w:tcW w:w="287" w:type="pct"/>
            <w:noWrap w:val="0"/>
            <w:tcMar>
              <w:left w:w="0" w:type="dxa"/>
              <w:right w:w="0" w:type="dxa"/>
            </w:tcMar>
            <w:vAlign w:val="center"/>
          </w:tcPr>
          <w:p w14:paraId="331CCCDD">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20</w:t>
            </w:r>
          </w:p>
        </w:tc>
        <w:tc>
          <w:tcPr>
            <w:tcW w:w="326" w:type="pct"/>
            <w:noWrap w:val="0"/>
            <w:tcMar>
              <w:left w:w="0" w:type="dxa"/>
              <w:right w:w="0" w:type="dxa"/>
            </w:tcMar>
            <w:vAlign w:val="center"/>
          </w:tcPr>
          <w:p w14:paraId="5800322C">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正常</w:t>
            </w:r>
          </w:p>
        </w:tc>
        <w:tc>
          <w:tcPr>
            <w:tcW w:w="351" w:type="pct"/>
            <w:noWrap w:val="0"/>
            <w:tcMar>
              <w:left w:w="0" w:type="dxa"/>
              <w:right w:w="0" w:type="dxa"/>
            </w:tcMar>
            <w:vAlign w:val="center"/>
          </w:tcPr>
          <w:p w14:paraId="3075705A">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15.794</w:t>
            </w:r>
          </w:p>
        </w:tc>
        <w:tc>
          <w:tcPr>
            <w:tcW w:w="309" w:type="pct"/>
            <w:noWrap w:val="0"/>
            <w:tcMar>
              <w:left w:w="0" w:type="dxa"/>
              <w:right w:w="0" w:type="dxa"/>
            </w:tcMar>
            <w:vAlign w:val="center"/>
          </w:tcPr>
          <w:p w14:paraId="2B39F6EF">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7.872</w:t>
            </w:r>
          </w:p>
        </w:tc>
        <w:tc>
          <w:tcPr>
            <w:tcW w:w="365" w:type="pct"/>
            <w:noWrap w:val="0"/>
            <w:tcMar>
              <w:left w:w="0" w:type="dxa"/>
              <w:right w:w="0" w:type="dxa"/>
            </w:tcMar>
            <w:vAlign w:val="center"/>
          </w:tcPr>
          <w:p w14:paraId="7B6B5C0E">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0.8189</w:t>
            </w:r>
          </w:p>
        </w:tc>
        <w:tc>
          <w:tcPr>
            <w:tcW w:w="414" w:type="pct"/>
            <w:noWrap w:val="0"/>
            <w:tcMar>
              <w:left w:w="0" w:type="dxa"/>
              <w:right w:w="0" w:type="dxa"/>
            </w:tcMar>
            <w:vAlign w:val="center"/>
          </w:tcPr>
          <w:p w14:paraId="5F3FC7EF">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0.4095</w:t>
            </w:r>
          </w:p>
        </w:tc>
        <w:tc>
          <w:tcPr>
            <w:tcW w:w="368" w:type="pct"/>
            <w:noWrap w:val="0"/>
            <w:tcMar>
              <w:left w:w="0" w:type="dxa"/>
              <w:right w:w="0" w:type="dxa"/>
            </w:tcMar>
            <w:vAlign w:val="center"/>
          </w:tcPr>
          <w:p w14:paraId="39FF9A3C">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0.0123</w:t>
            </w:r>
          </w:p>
        </w:tc>
        <w:tc>
          <w:tcPr>
            <w:tcW w:w="410" w:type="pct"/>
            <w:noWrap w:val="0"/>
            <w:tcMar>
              <w:left w:w="0" w:type="dxa"/>
              <w:right w:w="0" w:type="dxa"/>
            </w:tcMar>
            <w:vAlign w:val="top"/>
          </w:tcPr>
          <w:p w14:paraId="52DDC26B">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0.0000624</w:t>
            </w:r>
          </w:p>
        </w:tc>
        <w:tc>
          <w:tcPr>
            <w:tcW w:w="428" w:type="pct"/>
            <w:noWrap w:val="0"/>
            <w:tcMar>
              <w:left w:w="0" w:type="dxa"/>
              <w:right w:w="0" w:type="dxa"/>
            </w:tcMar>
            <w:vAlign w:val="center"/>
          </w:tcPr>
          <w:p w14:paraId="36A83FC1">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0.0000656</w:t>
            </w:r>
          </w:p>
        </w:tc>
        <w:tc>
          <w:tcPr>
            <w:tcW w:w="443" w:type="pct"/>
            <w:noWrap w:val="0"/>
            <w:tcMar>
              <w:left w:w="0" w:type="dxa"/>
              <w:right w:w="0" w:type="dxa"/>
            </w:tcMar>
            <w:vAlign w:val="top"/>
          </w:tcPr>
          <w:p w14:paraId="09AEA701">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0.000234</w:t>
            </w:r>
          </w:p>
        </w:tc>
      </w:tr>
      <w:tr w14:paraId="20E39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noWrap w:val="0"/>
            <w:tcMar>
              <w:left w:w="0" w:type="dxa"/>
              <w:right w:w="0" w:type="dxa"/>
            </w:tcMar>
            <w:vAlign w:val="center"/>
          </w:tcPr>
          <w:p w14:paraId="5F0115F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16</w:t>
            </w:r>
          </w:p>
        </w:tc>
        <w:tc>
          <w:tcPr>
            <w:tcW w:w="499" w:type="pct"/>
            <w:noWrap w:val="0"/>
            <w:tcMar>
              <w:left w:w="0" w:type="dxa"/>
              <w:right w:w="0" w:type="dxa"/>
            </w:tcMar>
            <w:vAlign w:val="center"/>
          </w:tcPr>
          <w:p w14:paraId="44A74F8D">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恒丰锌业-</w:t>
            </w:r>
            <w:r>
              <w:t>G</w:t>
            </w:r>
            <w:r>
              <w:rPr>
                <w:rFonts w:hint="eastAsia"/>
              </w:rPr>
              <w:t>9-1</w:t>
            </w:r>
          </w:p>
        </w:tc>
        <w:tc>
          <w:tcPr>
            <w:tcW w:w="187" w:type="pct"/>
            <w:noWrap w:val="0"/>
            <w:tcMar>
              <w:left w:w="0" w:type="dxa"/>
              <w:right w:w="0" w:type="dxa"/>
            </w:tcMar>
            <w:vAlign w:val="center"/>
          </w:tcPr>
          <w:p w14:paraId="24BFAA06">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15</w:t>
            </w:r>
          </w:p>
        </w:tc>
        <w:tc>
          <w:tcPr>
            <w:tcW w:w="235" w:type="pct"/>
            <w:noWrap w:val="0"/>
            <w:tcMar>
              <w:left w:w="0" w:type="dxa"/>
              <w:right w:w="0" w:type="dxa"/>
            </w:tcMar>
            <w:vAlign w:val="center"/>
          </w:tcPr>
          <w:p w14:paraId="22AB25CD">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0.3</w:t>
            </w:r>
          </w:p>
        </w:tc>
        <w:tc>
          <w:tcPr>
            <w:tcW w:w="293" w:type="pct"/>
            <w:noWrap w:val="0"/>
            <w:tcMar>
              <w:left w:w="0" w:type="dxa"/>
              <w:right w:w="0" w:type="dxa"/>
            </w:tcMar>
            <w:vAlign w:val="center"/>
          </w:tcPr>
          <w:p w14:paraId="3BEFAA15">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1500</w:t>
            </w:r>
          </w:p>
        </w:tc>
        <w:tc>
          <w:tcPr>
            <w:tcW w:w="287" w:type="pct"/>
            <w:noWrap w:val="0"/>
            <w:tcMar>
              <w:left w:w="0" w:type="dxa"/>
              <w:right w:w="0" w:type="dxa"/>
            </w:tcMar>
            <w:vAlign w:val="center"/>
          </w:tcPr>
          <w:p w14:paraId="0377B066">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20</w:t>
            </w:r>
          </w:p>
        </w:tc>
        <w:tc>
          <w:tcPr>
            <w:tcW w:w="326" w:type="pct"/>
            <w:noWrap w:val="0"/>
            <w:tcMar>
              <w:left w:w="0" w:type="dxa"/>
              <w:right w:w="0" w:type="dxa"/>
            </w:tcMar>
            <w:vAlign w:val="center"/>
          </w:tcPr>
          <w:p w14:paraId="5A04A581">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正常</w:t>
            </w:r>
          </w:p>
        </w:tc>
        <w:tc>
          <w:tcPr>
            <w:tcW w:w="351" w:type="pct"/>
            <w:noWrap w:val="0"/>
            <w:tcMar>
              <w:left w:w="0" w:type="dxa"/>
              <w:right w:w="0" w:type="dxa"/>
            </w:tcMar>
            <w:vAlign w:val="center"/>
          </w:tcPr>
          <w:p w14:paraId="131F5681">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7.3128</w:t>
            </w:r>
          </w:p>
        </w:tc>
        <w:tc>
          <w:tcPr>
            <w:tcW w:w="309" w:type="pct"/>
            <w:noWrap w:val="0"/>
            <w:tcMar>
              <w:left w:w="0" w:type="dxa"/>
              <w:right w:w="0" w:type="dxa"/>
            </w:tcMar>
            <w:vAlign w:val="center"/>
          </w:tcPr>
          <w:p w14:paraId="6E8713DE">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6.08</w:t>
            </w:r>
          </w:p>
        </w:tc>
        <w:tc>
          <w:tcPr>
            <w:tcW w:w="365" w:type="pct"/>
            <w:noWrap w:val="0"/>
            <w:tcMar>
              <w:left w:w="0" w:type="dxa"/>
              <w:right w:w="0" w:type="dxa"/>
            </w:tcMar>
            <w:vAlign w:val="center"/>
          </w:tcPr>
          <w:p w14:paraId="33F0199F">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0.0045</w:t>
            </w:r>
          </w:p>
        </w:tc>
        <w:tc>
          <w:tcPr>
            <w:tcW w:w="414" w:type="pct"/>
            <w:noWrap w:val="0"/>
            <w:tcMar>
              <w:left w:w="0" w:type="dxa"/>
              <w:right w:w="0" w:type="dxa"/>
            </w:tcMar>
            <w:vAlign w:val="center"/>
          </w:tcPr>
          <w:p w14:paraId="2A178218">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0.00225</w:t>
            </w:r>
          </w:p>
        </w:tc>
        <w:tc>
          <w:tcPr>
            <w:tcW w:w="368" w:type="pct"/>
            <w:noWrap w:val="0"/>
            <w:tcMar>
              <w:left w:w="0" w:type="dxa"/>
              <w:right w:w="0" w:type="dxa"/>
            </w:tcMar>
            <w:vAlign w:val="center"/>
          </w:tcPr>
          <w:p w14:paraId="3289881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10" w:type="pct"/>
            <w:noWrap w:val="0"/>
            <w:tcMar>
              <w:left w:w="0" w:type="dxa"/>
              <w:right w:w="0" w:type="dxa"/>
            </w:tcMar>
            <w:vAlign w:val="center"/>
          </w:tcPr>
          <w:p w14:paraId="41C4D5E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28" w:type="pct"/>
            <w:noWrap w:val="0"/>
            <w:tcMar>
              <w:left w:w="0" w:type="dxa"/>
              <w:right w:w="0" w:type="dxa"/>
            </w:tcMar>
            <w:vAlign w:val="center"/>
          </w:tcPr>
          <w:p w14:paraId="7C2C8EC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43" w:type="pct"/>
            <w:noWrap w:val="0"/>
            <w:tcMar>
              <w:left w:w="0" w:type="dxa"/>
              <w:right w:w="0" w:type="dxa"/>
            </w:tcMar>
            <w:vAlign w:val="center"/>
          </w:tcPr>
          <w:p w14:paraId="7DFAF6A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r>
      <w:tr w14:paraId="301CC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noWrap w:val="0"/>
            <w:tcMar>
              <w:left w:w="0" w:type="dxa"/>
              <w:right w:w="0" w:type="dxa"/>
            </w:tcMar>
            <w:vAlign w:val="center"/>
          </w:tcPr>
          <w:p w14:paraId="61418C4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17</w:t>
            </w:r>
          </w:p>
        </w:tc>
        <w:tc>
          <w:tcPr>
            <w:tcW w:w="499" w:type="pct"/>
            <w:noWrap w:val="0"/>
            <w:tcMar>
              <w:left w:w="0" w:type="dxa"/>
              <w:right w:w="0" w:type="dxa"/>
            </w:tcMar>
            <w:vAlign w:val="center"/>
          </w:tcPr>
          <w:p w14:paraId="3C6F6CE5">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恒丰锌业-</w:t>
            </w:r>
            <w:r>
              <w:t>G</w:t>
            </w:r>
            <w:r>
              <w:rPr>
                <w:rFonts w:hint="eastAsia"/>
              </w:rPr>
              <w:t>9-2</w:t>
            </w:r>
          </w:p>
        </w:tc>
        <w:tc>
          <w:tcPr>
            <w:tcW w:w="187" w:type="pct"/>
            <w:noWrap w:val="0"/>
            <w:tcMar>
              <w:left w:w="0" w:type="dxa"/>
              <w:right w:w="0" w:type="dxa"/>
            </w:tcMar>
            <w:vAlign w:val="center"/>
          </w:tcPr>
          <w:p w14:paraId="5FE6851B">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15</w:t>
            </w:r>
          </w:p>
        </w:tc>
        <w:tc>
          <w:tcPr>
            <w:tcW w:w="235" w:type="pct"/>
            <w:noWrap w:val="0"/>
            <w:tcMar>
              <w:left w:w="0" w:type="dxa"/>
              <w:right w:w="0" w:type="dxa"/>
            </w:tcMar>
            <w:vAlign w:val="center"/>
          </w:tcPr>
          <w:p w14:paraId="41FD4AC9">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0.3</w:t>
            </w:r>
          </w:p>
        </w:tc>
        <w:tc>
          <w:tcPr>
            <w:tcW w:w="293" w:type="pct"/>
            <w:noWrap w:val="0"/>
            <w:tcMar>
              <w:left w:w="0" w:type="dxa"/>
              <w:right w:w="0" w:type="dxa"/>
            </w:tcMar>
            <w:vAlign w:val="center"/>
          </w:tcPr>
          <w:p w14:paraId="3EBA1F2A">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200000</w:t>
            </w:r>
          </w:p>
        </w:tc>
        <w:tc>
          <w:tcPr>
            <w:tcW w:w="287" w:type="pct"/>
            <w:noWrap w:val="0"/>
            <w:tcMar>
              <w:left w:w="0" w:type="dxa"/>
              <w:right w:w="0" w:type="dxa"/>
            </w:tcMar>
            <w:vAlign w:val="center"/>
          </w:tcPr>
          <w:p w14:paraId="057CFC7A">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20</w:t>
            </w:r>
          </w:p>
        </w:tc>
        <w:tc>
          <w:tcPr>
            <w:tcW w:w="326" w:type="pct"/>
            <w:noWrap w:val="0"/>
            <w:tcMar>
              <w:left w:w="0" w:type="dxa"/>
              <w:right w:w="0" w:type="dxa"/>
            </w:tcMar>
            <w:vAlign w:val="center"/>
          </w:tcPr>
          <w:p w14:paraId="0E6954F9">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正常</w:t>
            </w:r>
          </w:p>
        </w:tc>
        <w:tc>
          <w:tcPr>
            <w:tcW w:w="351" w:type="pct"/>
            <w:noWrap w:val="0"/>
            <w:tcMar>
              <w:left w:w="0" w:type="dxa"/>
              <w:right w:w="0" w:type="dxa"/>
            </w:tcMar>
            <w:vAlign w:val="center"/>
          </w:tcPr>
          <w:p w14:paraId="6F5A51D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09" w:type="pct"/>
            <w:noWrap w:val="0"/>
            <w:tcMar>
              <w:left w:w="0" w:type="dxa"/>
              <w:right w:w="0" w:type="dxa"/>
            </w:tcMar>
            <w:vAlign w:val="center"/>
          </w:tcPr>
          <w:p w14:paraId="4657491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65" w:type="pct"/>
            <w:noWrap w:val="0"/>
            <w:tcMar>
              <w:left w:w="0" w:type="dxa"/>
              <w:right w:w="0" w:type="dxa"/>
            </w:tcMar>
            <w:vAlign w:val="center"/>
          </w:tcPr>
          <w:p w14:paraId="6183281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14" w:type="pct"/>
            <w:noWrap w:val="0"/>
            <w:tcMar>
              <w:left w:w="0" w:type="dxa"/>
              <w:right w:w="0" w:type="dxa"/>
            </w:tcMar>
            <w:vAlign w:val="center"/>
          </w:tcPr>
          <w:p w14:paraId="19042ED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68" w:type="pct"/>
            <w:noWrap w:val="0"/>
            <w:tcMar>
              <w:left w:w="0" w:type="dxa"/>
              <w:right w:w="0" w:type="dxa"/>
            </w:tcMar>
            <w:vAlign w:val="center"/>
          </w:tcPr>
          <w:p w14:paraId="26D84D8F">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0.001932</w:t>
            </w:r>
          </w:p>
        </w:tc>
        <w:tc>
          <w:tcPr>
            <w:tcW w:w="410" w:type="pct"/>
            <w:noWrap w:val="0"/>
            <w:tcMar>
              <w:left w:w="0" w:type="dxa"/>
              <w:right w:w="0" w:type="dxa"/>
            </w:tcMar>
            <w:vAlign w:val="top"/>
          </w:tcPr>
          <w:p w14:paraId="7F562E51">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0.00003</w:t>
            </w:r>
          </w:p>
        </w:tc>
        <w:tc>
          <w:tcPr>
            <w:tcW w:w="428" w:type="pct"/>
            <w:noWrap w:val="0"/>
            <w:tcMar>
              <w:left w:w="0" w:type="dxa"/>
              <w:right w:w="0" w:type="dxa"/>
            </w:tcMar>
            <w:vAlign w:val="center"/>
          </w:tcPr>
          <w:p w14:paraId="37DDB52F">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0.0000006</w:t>
            </w:r>
          </w:p>
        </w:tc>
        <w:tc>
          <w:tcPr>
            <w:tcW w:w="443" w:type="pct"/>
            <w:noWrap w:val="0"/>
            <w:tcMar>
              <w:left w:w="0" w:type="dxa"/>
              <w:right w:w="0" w:type="dxa"/>
            </w:tcMar>
            <w:vAlign w:val="top"/>
          </w:tcPr>
          <w:p w14:paraId="6E456D41">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0.0000408</w:t>
            </w:r>
          </w:p>
        </w:tc>
      </w:tr>
      <w:tr w14:paraId="2E6AA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15"/>
            <w:noWrap w:val="0"/>
            <w:tcMar>
              <w:left w:w="0" w:type="dxa"/>
              <w:right w:w="0" w:type="dxa"/>
            </w:tcMar>
            <w:vAlign w:val="center"/>
          </w:tcPr>
          <w:p w14:paraId="176F907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无组织面源</w:t>
            </w:r>
          </w:p>
        </w:tc>
      </w:tr>
      <w:tr w14:paraId="16E69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vMerge w:val="restart"/>
            <w:noWrap w:val="0"/>
            <w:tcMar>
              <w:left w:w="0" w:type="dxa"/>
              <w:right w:w="0" w:type="dxa"/>
            </w:tcMar>
            <w:vAlign w:val="center"/>
          </w:tcPr>
          <w:p w14:paraId="621C9D5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面源</w:t>
            </w:r>
          </w:p>
        </w:tc>
        <w:tc>
          <w:tcPr>
            <w:tcW w:w="499" w:type="pct"/>
            <w:vMerge w:val="restart"/>
            <w:noWrap w:val="0"/>
            <w:tcMar>
              <w:left w:w="0" w:type="dxa"/>
              <w:right w:w="0" w:type="dxa"/>
            </w:tcMar>
            <w:vAlign w:val="center"/>
          </w:tcPr>
          <w:p w14:paraId="3EB11904">
            <w:pPr>
              <w:pStyle w:val="21"/>
              <w:ind w:firstLine="0" w:firstLineChars="0"/>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面源</w:t>
            </w:r>
          </w:p>
          <w:p w14:paraId="4DCB2EFA">
            <w:pPr>
              <w:pStyle w:val="21"/>
              <w:ind w:firstLine="0" w:firstLineChars="0"/>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名称</w:t>
            </w:r>
          </w:p>
        </w:tc>
        <w:tc>
          <w:tcPr>
            <w:tcW w:w="187" w:type="pct"/>
            <w:vMerge w:val="restart"/>
            <w:noWrap w:val="0"/>
            <w:tcMar>
              <w:left w:w="0" w:type="dxa"/>
              <w:right w:w="0" w:type="dxa"/>
            </w:tcMar>
            <w:vAlign w:val="center"/>
          </w:tcPr>
          <w:p w14:paraId="2793355F">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面源</w:t>
            </w:r>
            <w:r>
              <w:rPr>
                <w:rFonts w:hint="eastAsia" w:ascii="Times New Roman" w:hAnsi="Times New Roman" w:cs="Times New Roman"/>
                <w:szCs w:val="21"/>
                <w:highlight w:val="none"/>
                <w:lang w:val="en-US" w:eastAsia="zh-CN"/>
              </w:rPr>
              <w:t>海拔</w:t>
            </w:r>
            <w:r>
              <w:rPr>
                <w:rFonts w:hint="eastAsia" w:ascii="Times New Roman" w:hAnsi="Times New Roman" w:cs="Times New Roman" w:eastAsiaTheme="minorEastAsia"/>
                <w:szCs w:val="21"/>
                <w:highlight w:val="none"/>
                <w:lang w:val="en-US" w:eastAsia="zh-CN"/>
              </w:rPr>
              <w:t>/m</w:t>
            </w:r>
          </w:p>
        </w:tc>
        <w:tc>
          <w:tcPr>
            <w:tcW w:w="235" w:type="pct"/>
            <w:vMerge w:val="restart"/>
            <w:noWrap w:val="0"/>
            <w:tcMar>
              <w:left w:w="0" w:type="dxa"/>
              <w:right w:w="0" w:type="dxa"/>
            </w:tcMar>
            <w:vAlign w:val="center"/>
          </w:tcPr>
          <w:p w14:paraId="2065EC5A">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面源</w:t>
            </w:r>
          </w:p>
          <w:p w14:paraId="2A57853C">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长度/m</w:t>
            </w:r>
          </w:p>
        </w:tc>
        <w:tc>
          <w:tcPr>
            <w:tcW w:w="293" w:type="pct"/>
            <w:vMerge w:val="restart"/>
            <w:noWrap w:val="0"/>
            <w:tcMar>
              <w:left w:w="0" w:type="dxa"/>
              <w:right w:w="0" w:type="dxa"/>
            </w:tcMar>
            <w:vAlign w:val="center"/>
          </w:tcPr>
          <w:p w14:paraId="7D72A38D">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面源</w:t>
            </w:r>
          </w:p>
          <w:p w14:paraId="6EF81F81">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宽度/m</w:t>
            </w:r>
          </w:p>
        </w:tc>
        <w:tc>
          <w:tcPr>
            <w:tcW w:w="287" w:type="pct"/>
            <w:vMerge w:val="restart"/>
            <w:noWrap w:val="0"/>
            <w:tcMar>
              <w:left w:w="0" w:type="dxa"/>
              <w:right w:w="0" w:type="dxa"/>
            </w:tcMar>
            <w:vAlign w:val="center"/>
          </w:tcPr>
          <w:p w14:paraId="171F1812">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与正北向</w:t>
            </w:r>
          </w:p>
          <w:p w14:paraId="1C98E786">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夹角/°</w:t>
            </w:r>
          </w:p>
        </w:tc>
        <w:tc>
          <w:tcPr>
            <w:tcW w:w="326" w:type="pct"/>
            <w:vMerge w:val="restart"/>
            <w:noWrap w:val="0"/>
            <w:tcMar>
              <w:left w:w="0" w:type="dxa"/>
              <w:right w:w="0" w:type="dxa"/>
            </w:tcMar>
            <w:vAlign w:val="center"/>
          </w:tcPr>
          <w:p w14:paraId="65BE94BE">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面源有效</w:t>
            </w:r>
          </w:p>
          <w:p w14:paraId="2D4A720F">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排放高度</w:t>
            </w:r>
          </w:p>
          <w:p w14:paraId="665A68CA">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/m</w:t>
            </w:r>
          </w:p>
        </w:tc>
        <w:tc>
          <w:tcPr>
            <w:tcW w:w="3091" w:type="pct"/>
            <w:gridSpan w:val="8"/>
            <w:noWrap w:val="0"/>
            <w:tcMar>
              <w:left w:w="0" w:type="dxa"/>
              <w:right w:w="0" w:type="dxa"/>
            </w:tcMar>
            <w:vAlign w:val="center"/>
          </w:tcPr>
          <w:p w14:paraId="37376FEA">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污染物排放速率（kg/h）</w:t>
            </w:r>
          </w:p>
        </w:tc>
      </w:tr>
      <w:tr w14:paraId="4477A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vMerge w:val="continue"/>
            <w:noWrap w:val="0"/>
            <w:tcMar>
              <w:left w:w="0" w:type="dxa"/>
              <w:right w:w="0" w:type="dxa"/>
            </w:tcMar>
            <w:vAlign w:val="center"/>
          </w:tcPr>
          <w:p w14:paraId="77BD5C35">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499" w:type="pct"/>
            <w:vMerge w:val="continue"/>
            <w:noWrap w:val="0"/>
            <w:tcMar>
              <w:left w:w="0" w:type="dxa"/>
              <w:right w:w="0" w:type="dxa"/>
            </w:tcMar>
            <w:vAlign w:val="center"/>
          </w:tcPr>
          <w:p w14:paraId="12F441AF">
            <w:pPr>
              <w:pStyle w:val="21"/>
              <w:ind w:firstLine="0" w:firstLineChars="0"/>
              <w:jc w:val="center"/>
              <w:rPr>
                <w:rFonts w:hint="eastAsia" w:ascii="Times New Roman" w:hAnsi="Times New Roman" w:cs="Times New Roman" w:eastAsiaTheme="minorEastAsia"/>
                <w:szCs w:val="21"/>
                <w:highlight w:val="none"/>
                <w:lang w:val="en-US" w:eastAsia="zh-CN"/>
              </w:rPr>
            </w:pPr>
          </w:p>
        </w:tc>
        <w:tc>
          <w:tcPr>
            <w:tcW w:w="187" w:type="pct"/>
            <w:vMerge w:val="continue"/>
            <w:noWrap w:val="0"/>
            <w:tcMar>
              <w:left w:w="0" w:type="dxa"/>
              <w:right w:w="0" w:type="dxa"/>
            </w:tcMar>
            <w:vAlign w:val="center"/>
          </w:tcPr>
          <w:p w14:paraId="5FC922FB">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235" w:type="pct"/>
            <w:vMerge w:val="continue"/>
            <w:noWrap w:val="0"/>
            <w:tcMar>
              <w:left w:w="0" w:type="dxa"/>
              <w:right w:w="0" w:type="dxa"/>
            </w:tcMar>
            <w:vAlign w:val="center"/>
          </w:tcPr>
          <w:p w14:paraId="3819A3C3">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293" w:type="pct"/>
            <w:vMerge w:val="continue"/>
            <w:noWrap w:val="0"/>
            <w:tcMar>
              <w:left w:w="0" w:type="dxa"/>
              <w:right w:w="0" w:type="dxa"/>
            </w:tcMar>
            <w:vAlign w:val="center"/>
          </w:tcPr>
          <w:p w14:paraId="3DB0A83D">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287" w:type="pct"/>
            <w:vMerge w:val="continue"/>
            <w:noWrap w:val="0"/>
            <w:tcMar>
              <w:left w:w="0" w:type="dxa"/>
              <w:right w:w="0" w:type="dxa"/>
            </w:tcMar>
            <w:vAlign w:val="center"/>
          </w:tcPr>
          <w:p w14:paraId="1471544A">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326" w:type="pct"/>
            <w:vMerge w:val="continue"/>
            <w:noWrap w:val="0"/>
            <w:tcMar>
              <w:left w:w="0" w:type="dxa"/>
              <w:right w:w="0" w:type="dxa"/>
            </w:tcMar>
            <w:vAlign w:val="center"/>
          </w:tcPr>
          <w:p w14:paraId="2F447927">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351" w:type="pct"/>
            <w:shd w:val="clear" w:color="auto" w:fill="auto"/>
            <w:noWrap w:val="0"/>
            <w:tcMar>
              <w:left w:w="0" w:type="dxa"/>
              <w:right w:w="0" w:type="dxa"/>
            </w:tcMar>
            <w:vAlign w:val="center"/>
          </w:tcPr>
          <w:p w14:paraId="31AAEAB2">
            <w:pPr>
              <w:pStyle w:val="21"/>
              <w:ind w:firstLine="0" w:firstLineChars="0"/>
              <w:jc w:val="center"/>
              <w:rPr>
                <w:rFonts w:hint="eastAsia" w:cs="Times New Roman" w:asciiTheme="minorHAnsi" w:hAnsiTheme="minorHAnsi" w:eastAsiaTheme="minorEastAsia"/>
                <w:kern w:val="2"/>
                <w:sz w:val="21"/>
                <w:szCs w:val="21"/>
                <w:lang w:val="en-US" w:eastAsia="zh-CN" w:bidi="ar-SA"/>
              </w:rPr>
            </w:pPr>
            <w:r>
              <w:t>SO</w:t>
            </w:r>
            <w:r>
              <w:rPr>
                <w:vertAlign w:val="subscript"/>
              </w:rPr>
              <w:t>2</w:t>
            </w:r>
          </w:p>
        </w:tc>
        <w:tc>
          <w:tcPr>
            <w:tcW w:w="309" w:type="pct"/>
            <w:shd w:val="clear" w:color="auto" w:fill="auto"/>
            <w:noWrap w:val="0"/>
            <w:tcMar>
              <w:left w:w="0" w:type="dxa"/>
              <w:right w:w="0" w:type="dxa"/>
            </w:tcMar>
            <w:vAlign w:val="center"/>
          </w:tcPr>
          <w:p w14:paraId="77E17641">
            <w:pPr>
              <w:pStyle w:val="21"/>
              <w:ind w:firstLine="0" w:firstLineChars="0"/>
              <w:jc w:val="center"/>
              <w:rPr>
                <w:rFonts w:hint="eastAsia" w:cs="Times New Roman" w:asciiTheme="minorHAnsi" w:hAnsiTheme="minorHAnsi" w:eastAsiaTheme="minorEastAsia"/>
                <w:kern w:val="2"/>
                <w:sz w:val="21"/>
                <w:szCs w:val="21"/>
                <w:lang w:val="en-US" w:eastAsia="zh-CN" w:bidi="ar-SA"/>
              </w:rPr>
            </w:pPr>
            <w:r>
              <w:t>NO</w:t>
            </w:r>
            <w:r>
              <w:rPr>
                <w:vertAlign w:val="subscript"/>
              </w:rPr>
              <w:t>2</w:t>
            </w:r>
          </w:p>
        </w:tc>
        <w:tc>
          <w:tcPr>
            <w:tcW w:w="365" w:type="pct"/>
            <w:shd w:val="clear" w:color="auto" w:fill="auto"/>
            <w:noWrap w:val="0"/>
            <w:tcMar>
              <w:left w:w="0" w:type="dxa"/>
              <w:right w:w="0" w:type="dxa"/>
            </w:tcMar>
            <w:vAlign w:val="center"/>
          </w:tcPr>
          <w:p w14:paraId="0C9AC571">
            <w:pPr>
              <w:pStyle w:val="21"/>
              <w:ind w:firstLine="0" w:firstLineChars="0"/>
              <w:jc w:val="center"/>
              <w:rPr>
                <w:rFonts w:hint="default" w:cs="Times New Roman" w:asciiTheme="minorHAnsi" w:hAnsiTheme="minorHAnsi" w:eastAsiaTheme="minorEastAsia"/>
                <w:kern w:val="2"/>
                <w:sz w:val="21"/>
                <w:szCs w:val="21"/>
                <w:lang w:val="en-US" w:eastAsia="zh-CN" w:bidi="ar-SA"/>
              </w:rPr>
            </w:pPr>
            <w:r>
              <w:rPr>
                <w:rFonts w:hint="eastAsia" w:cs="Times New Roman"/>
                <w:kern w:val="2"/>
                <w:sz w:val="21"/>
                <w:szCs w:val="21"/>
                <w:lang w:val="en-US" w:eastAsia="zh-CN" w:bidi="ar-SA"/>
              </w:rPr>
              <w:t>TSP</w:t>
            </w:r>
          </w:p>
        </w:tc>
        <w:tc>
          <w:tcPr>
            <w:tcW w:w="414" w:type="pct"/>
            <w:shd w:val="clear" w:color="auto" w:fill="auto"/>
            <w:noWrap w:val="0"/>
            <w:tcMar>
              <w:left w:w="0" w:type="dxa"/>
              <w:right w:w="0" w:type="dxa"/>
            </w:tcMar>
            <w:vAlign w:val="center"/>
          </w:tcPr>
          <w:p w14:paraId="2C768434">
            <w:pPr>
              <w:pStyle w:val="21"/>
              <w:ind w:firstLine="0" w:firstLineChars="0"/>
              <w:jc w:val="center"/>
              <w:rPr>
                <w:rFonts w:hint="eastAsia" w:cs="Times New Roman" w:asciiTheme="minorHAnsi" w:hAnsiTheme="minorHAnsi" w:eastAsiaTheme="minorEastAsia"/>
                <w:kern w:val="2"/>
                <w:sz w:val="21"/>
                <w:szCs w:val="21"/>
                <w:lang w:val="en-US" w:eastAsia="zh-CN" w:bidi="ar-SA"/>
              </w:rPr>
            </w:pPr>
            <w:r>
              <w:rPr>
                <w:rFonts w:hint="eastAsia"/>
              </w:rPr>
              <w:t>铅</w:t>
            </w:r>
          </w:p>
        </w:tc>
        <w:tc>
          <w:tcPr>
            <w:tcW w:w="368" w:type="pct"/>
            <w:shd w:val="clear" w:color="auto" w:fill="auto"/>
            <w:noWrap w:val="0"/>
            <w:tcMar>
              <w:left w:w="0" w:type="dxa"/>
              <w:right w:w="0" w:type="dxa"/>
            </w:tcMar>
            <w:vAlign w:val="center"/>
          </w:tcPr>
          <w:p w14:paraId="4E109AA7">
            <w:pPr>
              <w:pStyle w:val="21"/>
              <w:ind w:firstLine="0" w:firstLineChars="0"/>
              <w:jc w:val="center"/>
              <w:rPr>
                <w:rFonts w:hint="eastAsia" w:cs="Times New Roman" w:asciiTheme="minorHAnsi" w:hAnsiTheme="minorHAnsi" w:eastAsiaTheme="minorEastAsia"/>
                <w:kern w:val="2"/>
                <w:sz w:val="21"/>
                <w:szCs w:val="21"/>
                <w:lang w:val="en-US" w:eastAsia="zh-CN" w:bidi="ar-SA"/>
              </w:rPr>
            </w:pPr>
            <w:r>
              <w:rPr>
                <w:rFonts w:hint="eastAsia"/>
              </w:rPr>
              <w:t>镉</w:t>
            </w:r>
          </w:p>
        </w:tc>
        <w:tc>
          <w:tcPr>
            <w:tcW w:w="410" w:type="pct"/>
            <w:shd w:val="clear" w:color="auto" w:fill="auto"/>
            <w:noWrap w:val="0"/>
            <w:tcMar>
              <w:left w:w="0" w:type="dxa"/>
              <w:right w:w="0" w:type="dxa"/>
            </w:tcMar>
            <w:vAlign w:val="center"/>
          </w:tcPr>
          <w:p w14:paraId="55C9C431">
            <w:pPr>
              <w:pStyle w:val="21"/>
              <w:ind w:firstLine="0" w:firstLineChars="0"/>
              <w:jc w:val="center"/>
              <w:rPr>
                <w:rFonts w:hint="eastAsia" w:cs="Times New Roman" w:asciiTheme="minorHAnsi" w:hAnsiTheme="minorHAnsi" w:eastAsiaTheme="minorEastAsia"/>
                <w:kern w:val="2"/>
                <w:sz w:val="21"/>
                <w:szCs w:val="21"/>
                <w:lang w:val="en-US" w:eastAsia="zh-CN" w:bidi="ar-SA"/>
              </w:rPr>
            </w:pPr>
            <w:r>
              <w:rPr>
                <w:rFonts w:hint="eastAsia"/>
              </w:rPr>
              <w:t>汞</w:t>
            </w:r>
          </w:p>
        </w:tc>
        <w:tc>
          <w:tcPr>
            <w:tcW w:w="428" w:type="pct"/>
            <w:noWrap w:val="0"/>
            <w:tcMar>
              <w:left w:w="0" w:type="dxa"/>
              <w:right w:w="0" w:type="dxa"/>
            </w:tcMar>
            <w:vAlign w:val="center"/>
          </w:tcPr>
          <w:p w14:paraId="4C7A5D63">
            <w:pPr>
              <w:pStyle w:val="21"/>
              <w:ind w:firstLine="0" w:firstLineChars="0"/>
              <w:jc w:val="center"/>
              <w:rPr>
                <w:rFonts w:hint="eastAsia" w:ascii="Times New Roman" w:hAnsi="Times New Roman" w:cs="Times New Roman" w:eastAsiaTheme="minorEastAsia"/>
                <w:szCs w:val="21"/>
                <w:highlight w:val="none"/>
                <w:lang w:val="en-US" w:eastAsia="zh-CN"/>
              </w:rPr>
            </w:pPr>
            <w:r>
              <w:rPr>
                <w:rFonts w:hint="eastAsia"/>
              </w:rPr>
              <w:t>砷</w:t>
            </w:r>
          </w:p>
        </w:tc>
        <w:tc>
          <w:tcPr>
            <w:tcW w:w="443" w:type="pct"/>
            <w:noWrap w:val="0"/>
            <w:tcMar>
              <w:left w:w="0" w:type="dxa"/>
              <w:right w:w="0" w:type="dxa"/>
            </w:tcMar>
            <w:vAlign w:val="center"/>
          </w:tcPr>
          <w:p w14:paraId="5E91C54B">
            <w:pPr>
              <w:pStyle w:val="21"/>
              <w:ind w:firstLine="0" w:firstLineChars="0"/>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r>
      <w:tr w14:paraId="5FB5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noWrap w:val="0"/>
            <w:tcMar>
              <w:left w:w="0" w:type="dxa"/>
              <w:right w:w="0" w:type="dxa"/>
            </w:tcMar>
            <w:vAlign w:val="center"/>
          </w:tcPr>
          <w:p w14:paraId="77F3DCE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18</w:t>
            </w:r>
          </w:p>
        </w:tc>
        <w:tc>
          <w:tcPr>
            <w:tcW w:w="499" w:type="pct"/>
            <w:noWrap w:val="0"/>
            <w:tcMar>
              <w:left w:w="0" w:type="dxa"/>
              <w:right w:w="0" w:type="dxa"/>
            </w:tcMar>
            <w:vAlign w:val="center"/>
          </w:tcPr>
          <w:p w14:paraId="4171A11B">
            <w:pPr>
              <w:pStyle w:val="21"/>
              <w:ind w:firstLine="0" w:firstLineChars="0"/>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锌精矿仓</w:t>
            </w:r>
          </w:p>
        </w:tc>
        <w:tc>
          <w:tcPr>
            <w:tcW w:w="187" w:type="pct"/>
            <w:noWrap w:val="0"/>
            <w:tcMar>
              <w:left w:w="0" w:type="dxa"/>
              <w:right w:w="0" w:type="dxa"/>
            </w:tcMar>
            <w:vAlign w:val="center"/>
          </w:tcPr>
          <w:p w14:paraId="226DF13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1281</w:t>
            </w:r>
          </w:p>
        </w:tc>
        <w:tc>
          <w:tcPr>
            <w:tcW w:w="235" w:type="pct"/>
            <w:noWrap w:val="0"/>
            <w:tcMar>
              <w:left w:w="0" w:type="dxa"/>
              <w:right w:w="0" w:type="dxa"/>
            </w:tcMar>
            <w:vAlign w:val="center"/>
          </w:tcPr>
          <w:p w14:paraId="6A6A7BF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78</w:t>
            </w:r>
          </w:p>
        </w:tc>
        <w:tc>
          <w:tcPr>
            <w:tcW w:w="293" w:type="pct"/>
            <w:noWrap w:val="0"/>
            <w:tcMar>
              <w:left w:w="0" w:type="dxa"/>
              <w:right w:w="0" w:type="dxa"/>
            </w:tcMar>
            <w:vAlign w:val="center"/>
          </w:tcPr>
          <w:p w14:paraId="545F1F2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24</w:t>
            </w:r>
          </w:p>
        </w:tc>
        <w:tc>
          <w:tcPr>
            <w:tcW w:w="287" w:type="pct"/>
            <w:noWrap w:val="0"/>
            <w:tcMar>
              <w:left w:w="0" w:type="dxa"/>
              <w:right w:w="0" w:type="dxa"/>
            </w:tcMar>
            <w:vAlign w:val="center"/>
          </w:tcPr>
          <w:p w14:paraId="055F389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w:t>
            </w:r>
          </w:p>
        </w:tc>
        <w:tc>
          <w:tcPr>
            <w:tcW w:w="326" w:type="pct"/>
            <w:noWrap w:val="0"/>
            <w:tcMar>
              <w:left w:w="0" w:type="dxa"/>
              <w:right w:w="0" w:type="dxa"/>
            </w:tcMar>
            <w:vAlign w:val="center"/>
          </w:tcPr>
          <w:p w14:paraId="0EE23AD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15</w:t>
            </w:r>
          </w:p>
        </w:tc>
        <w:tc>
          <w:tcPr>
            <w:tcW w:w="351" w:type="pct"/>
            <w:noWrap w:val="0"/>
            <w:tcMar>
              <w:left w:w="0" w:type="dxa"/>
              <w:right w:w="0" w:type="dxa"/>
            </w:tcMar>
            <w:vAlign w:val="center"/>
          </w:tcPr>
          <w:p w14:paraId="1A571FB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09" w:type="pct"/>
            <w:noWrap w:val="0"/>
            <w:tcMar>
              <w:left w:w="0" w:type="dxa"/>
              <w:right w:w="0" w:type="dxa"/>
            </w:tcMar>
            <w:vAlign w:val="center"/>
          </w:tcPr>
          <w:p w14:paraId="38C0674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65" w:type="pct"/>
            <w:noWrap w:val="0"/>
            <w:tcMar>
              <w:left w:w="0" w:type="dxa"/>
              <w:right w:w="0" w:type="dxa"/>
            </w:tcMar>
            <w:vAlign w:val="center"/>
          </w:tcPr>
          <w:p w14:paraId="6B1158B8">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0.0126</w:t>
            </w:r>
          </w:p>
        </w:tc>
        <w:tc>
          <w:tcPr>
            <w:tcW w:w="414" w:type="pct"/>
            <w:noWrap w:val="0"/>
            <w:tcMar>
              <w:left w:w="0" w:type="dxa"/>
              <w:right w:w="0" w:type="dxa"/>
            </w:tcMar>
            <w:vAlign w:val="center"/>
          </w:tcPr>
          <w:p w14:paraId="6A558BA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rPr>
              <w:t>0.000203</w:t>
            </w:r>
          </w:p>
        </w:tc>
        <w:tc>
          <w:tcPr>
            <w:tcW w:w="368" w:type="pct"/>
            <w:noWrap w:val="0"/>
            <w:tcMar>
              <w:left w:w="0" w:type="dxa"/>
              <w:right w:w="0" w:type="dxa"/>
            </w:tcMar>
            <w:vAlign w:val="center"/>
          </w:tcPr>
          <w:p w14:paraId="1B0C0335">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10" w:type="pct"/>
            <w:noWrap w:val="0"/>
            <w:tcMar>
              <w:left w:w="0" w:type="dxa"/>
              <w:right w:w="0" w:type="dxa"/>
            </w:tcMar>
            <w:vAlign w:val="center"/>
          </w:tcPr>
          <w:p w14:paraId="7A8138B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rPr>
              <w:t>0.000000063</w:t>
            </w:r>
          </w:p>
        </w:tc>
        <w:tc>
          <w:tcPr>
            <w:tcW w:w="428" w:type="pct"/>
            <w:noWrap w:val="0"/>
            <w:tcMar>
              <w:left w:w="0" w:type="dxa"/>
              <w:right w:w="0" w:type="dxa"/>
            </w:tcMar>
            <w:vAlign w:val="center"/>
          </w:tcPr>
          <w:p w14:paraId="179DE095">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43" w:type="pct"/>
            <w:noWrap w:val="0"/>
            <w:tcMar>
              <w:left w:w="0" w:type="dxa"/>
              <w:right w:w="0" w:type="dxa"/>
            </w:tcMar>
            <w:vAlign w:val="center"/>
          </w:tcPr>
          <w:p w14:paraId="6BE64B4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r>
      <w:tr w14:paraId="70F3D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 w:type="pct"/>
            <w:noWrap w:val="0"/>
            <w:tcMar>
              <w:left w:w="0" w:type="dxa"/>
              <w:right w:w="0" w:type="dxa"/>
            </w:tcMar>
            <w:vAlign w:val="center"/>
          </w:tcPr>
          <w:p w14:paraId="34759FC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19</w:t>
            </w:r>
          </w:p>
        </w:tc>
        <w:tc>
          <w:tcPr>
            <w:tcW w:w="499" w:type="pct"/>
            <w:noWrap w:val="0"/>
            <w:tcMar>
              <w:left w:w="0" w:type="dxa"/>
              <w:right w:w="0" w:type="dxa"/>
            </w:tcMar>
            <w:vAlign w:val="center"/>
          </w:tcPr>
          <w:p w14:paraId="3662594A">
            <w:pPr>
              <w:pStyle w:val="21"/>
              <w:ind w:firstLine="0" w:firstLineChars="0"/>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焙烧加料厂房</w:t>
            </w:r>
          </w:p>
        </w:tc>
        <w:tc>
          <w:tcPr>
            <w:tcW w:w="187" w:type="pct"/>
            <w:noWrap w:val="0"/>
            <w:tcMar>
              <w:left w:w="0" w:type="dxa"/>
              <w:right w:w="0" w:type="dxa"/>
            </w:tcMar>
            <w:vAlign w:val="center"/>
          </w:tcPr>
          <w:p w14:paraId="1AEBF63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1280</w:t>
            </w:r>
          </w:p>
        </w:tc>
        <w:tc>
          <w:tcPr>
            <w:tcW w:w="235" w:type="pct"/>
            <w:noWrap w:val="0"/>
            <w:tcMar>
              <w:left w:w="0" w:type="dxa"/>
              <w:right w:w="0" w:type="dxa"/>
            </w:tcMar>
            <w:vAlign w:val="center"/>
          </w:tcPr>
          <w:p w14:paraId="7B44F6C3">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24</w:t>
            </w:r>
          </w:p>
        </w:tc>
        <w:tc>
          <w:tcPr>
            <w:tcW w:w="293" w:type="pct"/>
            <w:noWrap w:val="0"/>
            <w:tcMar>
              <w:left w:w="0" w:type="dxa"/>
              <w:right w:w="0" w:type="dxa"/>
            </w:tcMar>
            <w:vAlign w:val="center"/>
          </w:tcPr>
          <w:p w14:paraId="3888D69B">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10</w:t>
            </w:r>
          </w:p>
        </w:tc>
        <w:tc>
          <w:tcPr>
            <w:tcW w:w="287" w:type="pct"/>
            <w:noWrap w:val="0"/>
            <w:tcMar>
              <w:left w:w="0" w:type="dxa"/>
              <w:right w:w="0" w:type="dxa"/>
            </w:tcMar>
            <w:vAlign w:val="center"/>
          </w:tcPr>
          <w:p w14:paraId="19CB3503">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0</w:t>
            </w:r>
          </w:p>
        </w:tc>
        <w:tc>
          <w:tcPr>
            <w:tcW w:w="326" w:type="pct"/>
            <w:noWrap w:val="0"/>
            <w:tcMar>
              <w:left w:w="0" w:type="dxa"/>
              <w:right w:w="0" w:type="dxa"/>
            </w:tcMar>
            <w:vAlign w:val="center"/>
          </w:tcPr>
          <w:p w14:paraId="3A7911FD">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15</w:t>
            </w:r>
          </w:p>
        </w:tc>
        <w:tc>
          <w:tcPr>
            <w:tcW w:w="351" w:type="pct"/>
            <w:noWrap w:val="0"/>
            <w:tcMar>
              <w:left w:w="0" w:type="dxa"/>
              <w:right w:w="0" w:type="dxa"/>
            </w:tcMar>
            <w:vAlign w:val="center"/>
          </w:tcPr>
          <w:p w14:paraId="47711B9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09" w:type="pct"/>
            <w:noWrap w:val="0"/>
            <w:tcMar>
              <w:left w:w="0" w:type="dxa"/>
              <w:right w:w="0" w:type="dxa"/>
            </w:tcMar>
            <w:vAlign w:val="center"/>
          </w:tcPr>
          <w:p w14:paraId="4C5AB3D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65" w:type="pct"/>
            <w:noWrap w:val="0"/>
            <w:tcMar>
              <w:left w:w="0" w:type="dxa"/>
              <w:right w:w="0" w:type="dxa"/>
            </w:tcMar>
            <w:vAlign w:val="center"/>
          </w:tcPr>
          <w:p w14:paraId="4A57BEAC">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0.0157</w:t>
            </w:r>
          </w:p>
        </w:tc>
        <w:tc>
          <w:tcPr>
            <w:tcW w:w="414" w:type="pct"/>
            <w:noWrap w:val="0"/>
            <w:tcMar>
              <w:left w:w="0" w:type="dxa"/>
              <w:right w:w="0" w:type="dxa"/>
            </w:tcMar>
            <w:vAlign w:val="center"/>
          </w:tcPr>
          <w:p w14:paraId="563B5004">
            <w:pPr>
              <w:pStyle w:val="21"/>
              <w:ind w:firstLine="0" w:firstLineChars="0"/>
              <w:rPr>
                <w:rFonts w:hint="default" w:ascii="Times New Roman" w:hAnsi="Times New Roman" w:cs="Times New Roman" w:eastAsiaTheme="minorEastAsia"/>
                <w:szCs w:val="21"/>
                <w:highlight w:val="none"/>
                <w:lang w:val="en-US" w:eastAsia="zh-CN"/>
              </w:rPr>
            </w:pPr>
            <w:r>
              <w:rPr>
                <w:rFonts w:hint="eastAsia"/>
              </w:rPr>
              <w:t>0.000253</w:t>
            </w:r>
          </w:p>
        </w:tc>
        <w:tc>
          <w:tcPr>
            <w:tcW w:w="368" w:type="pct"/>
            <w:noWrap w:val="0"/>
            <w:tcMar>
              <w:left w:w="0" w:type="dxa"/>
              <w:right w:w="0" w:type="dxa"/>
            </w:tcMar>
            <w:vAlign w:val="center"/>
          </w:tcPr>
          <w:p w14:paraId="3E7AC8DB">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10" w:type="pct"/>
            <w:noWrap w:val="0"/>
            <w:tcMar>
              <w:left w:w="0" w:type="dxa"/>
              <w:right w:w="0" w:type="dxa"/>
            </w:tcMar>
            <w:vAlign w:val="center"/>
          </w:tcPr>
          <w:p w14:paraId="35744DC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28" w:type="pct"/>
            <w:noWrap w:val="0"/>
            <w:tcMar>
              <w:left w:w="0" w:type="dxa"/>
              <w:right w:w="0" w:type="dxa"/>
            </w:tcMar>
            <w:vAlign w:val="center"/>
          </w:tcPr>
          <w:p w14:paraId="2D2F57B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43" w:type="pct"/>
            <w:noWrap w:val="0"/>
            <w:tcMar>
              <w:left w:w="0" w:type="dxa"/>
              <w:right w:w="0" w:type="dxa"/>
            </w:tcMar>
            <w:vAlign w:val="center"/>
          </w:tcPr>
          <w:p w14:paraId="12B0B98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r>
      <w:tr w14:paraId="57700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78" w:type="pct"/>
            <w:noWrap w:val="0"/>
            <w:tcMar>
              <w:left w:w="0" w:type="dxa"/>
              <w:right w:w="0" w:type="dxa"/>
            </w:tcMar>
            <w:vAlign w:val="center"/>
          </w:tcPr>
          <w:p w14:paraId="08DD6E9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20</w:t>
            </w:r>
          </w:p>
        </w:tc>
        <w:tc>
          <w:tcPr>
            <w:tcW w:w="499" w:type="pct"/>
            <w:noWrap w:val="0"/>
            <w:tcMar>
              <w:left w:w="0" w:type="dxa"/>
              <w:right w:w="0" w:type="dxa"/>
            </w:tcMar>
            <w:vAlign w:val="center"/>
          </w:tcPr>
          <w:p w14:paraId="58A3973E">
            <w:pPr>
              <w:pStyle w:val="21"/>
              <w:ind w:firstLine="0" w:firstLineChars="0"/>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锌粉制造车间</w:t>
            </w:r>
          </w:p>
        </w:tc>
        <w:tc>
          <w:tcPr>
            <w:tcW w:w="187" w:type="pct"/>
            <w:noWrap w:val="0"/>
            <w:tcMar>
              <w:left w:w="0" w:type="dxa"/>
              <w:right w:w="0" w:type="dxa"/>
            </w:tcMar>
            <w:vAlign w:val="center"/>
          </w:tcPr>
          <w:p w14:paraId="669665E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1280</w:t>
            </w:r>
          </w:p>
        </w:tc>
        <w:tc>
          <w:tcPr>
            <w:tcW w:w="235" w:type="pct"/>
            <w:noWrap w:val="0"/>
            <w:tcMar>
              <w:left w:w="0" w:type="dxa"/>
              <w:right w:w="0" w:type="dxa"/>
            </w:tcMar>
            <w:vAlign w:val="center"/>
          </w:tcPr>
          <w:p w14:paraId="29104F2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54</w:t>
            </w:r>
          </w:p>
        </w:tc>
        <w:tc>
          <w:tcPr>
            <w:tcW w:w="293" w:type="pct"/>
            <w:noWrap w:val="0"/>
            <w:tcMar>
              <w:left w:w="0" w:type="dxa"/>
              <w:right w:w="0" w:type="dxa"/>
            </w:tcMar>
            <w:vAlign w:val="center"/>
          </w:tcPr>
          <w:p w14:paraId="3678952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38</w:t>
            </w:r>
          </w:p>
        </w:tc>
        <w:tc>
          <w:tcPr>
            <w:tcW w:w="287" w:type="pct"/>
            <w:noWrap w:val="0"/>
            <w:tcMar>
              <w:left w:w="0" w:type="dxa"/>
              <w:right w:w="0" w:type="dxa"/>
            </w:tcMar>
            <w:vAlign w:val="center"/>
          </w:tcPr>
          <w:p w14:paraId="623DACF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w:t>
            </w:r>
          </w:p>
        </w:tc>
        <w:tc>
          <w:tcPr>
            <w:tcW w:w="326" w:type="pct"/>
            <w:noWrap w:val="0"/>
            <w:tcMar>
              <w:left w:w="0" w:type="dxa"/>
              <w:right w:w="0" w:type="dxa"/>
            </w:tcMar>
            <w:vAlign w:val="center"/>
          </w:tcPr>
          <w:p w14:paraId="06D0ECB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15</w:t>
            </w:r>
          </w:p>
        </w:tc>
        <w:tc>
          <w:tcPr>
            <w:tcW w:w="351" w:type="pct"/>
            <w:noWrap w:val="0"/>
            <w:tcMar>
              <w:left w:w="0" w:type="dxa"/>
              <w:right w:w="0" w:type="dxa"/>
            </w:tcMar>
            <w:vAlign w:val="center"/>
          </w:tcPr>
          <w:p w14:paraId="13A0A2E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09" w:type="pct"/>
            <w:noWrap w:val="0"/>
            <w:tcMar>
              <w:left w:w="0" w:type="dxa"/>
              <w:right w:w="0" w:type="dxa"/>
            </w:tcMar>
            <w:vAlign w:val="center"/>
          </w:tcPr>
          <w:p w14:paraId="0FF14FF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65" w:type="pct"/>
            <w:noWrap w:val="0"/>
            <w:tcMar>
              <w:left w:w="0" w:type="dxa"/>
              <w:right w:w="0" w:type="dxa"/>
            </w:tcMar>
            <w:vAlign w:val="center"/>
          </w:tcPr>
          <w:p w14:paraId="54392535">
            <w:pPr>
              <w:pStyle w:val="21"/>
              <w:ind w:firstLine="0" w:firstLineChars="0"/>
              <w:rPr>
                <w:rFonts w:hint="eastAsia" w:ascii="Times New Roman" w:hAnsi="Times New Roman" w:cs="Times New Roman" w:eastAsiaTheme="minorEastAsia"/>
                <w:szCs w:val="21"/>
                <w:highlight w:val="none"/>
                <w:lang w:val="en-US" w:eastAsia="zh-CN"/>
              </w:rPr>
            </w:pPr>
            <w:r>
              <w:rPr>
                <w:rFonts w:hint="eastAsia"/>
              </w:rPr>
              <w:t>0.015</w:t>
            </w:r>
          </w:p>
        </w:tc>
        <w:tc>
          <w:tcPr>
            <w:tcW w:w="414" w:type="pct"/>
            <w:noWrap w:val="0"/>
            <w:tcMar>
              <w:left w:w="0" w:type="dxa"/>
              <w:right w:w="0" w:type="dxa"/>
            </w:tcMar>
            <w:vAlign w:val="center"/>
          </w:tcPr>
          <w:p w14:paraId="03B12B88">
            <w:pPr>
              <w:pStyle w:val="21"/>
              <w:ind w:firstLine="0" w:firstLineChars="0"/>
              <w:rPr>
                <w:rFonts w:hint="default" w:ascii="Times New Roman" w:hAnsi="Times New Roman" w:cs="Times New Roman" w:eastAsiaTheme="minorEastAsia"/>
                <w:szCs w:val="21"/>
                <w:highlight w:val="none"/>
                <w:lang w:val="en-US" w:eastAsia="zh-CN"/>
              </w:rPr>
            </w:pPr>
            <w:r>
              <w:rPr>
                <w:rFonts w:hint="eastAsia"/>
              </w:rPr>
              <w:t>0.000277</w:t>
            </w:r>
          </w:p>
        </w:tc>
        <w:tc>
          <w:tcPr>
            <w:tcW w:w="368" w:type="pct"/>
            <w:noWrap w:val="0"/>
            <w:tcMar>
              <w:left w:w="0" w:type="dxa"/>
              <w:right w:w="0" w:type="dxa"/>
            </w:tcMar>
            <w:vAlign w:val="center"/>
          </w:tcPr>
          <w:p w14:paraId="40E8FD89">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10" w:type="pct"/>
            <w:noWrap w:val="0"/>
            <w:tcMar>
              <w:left w:w="0" w:type="dxa"/>
              <w:right w:w="0" w:type="dxa"/>
            </w:tcMar>
            <w:vAlign w:val="center"/>
          </w:tcPr>
          <w:p w14:paraId="3061EC3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28" w:type="pct"/>
            <w:noWrap w:val="0"/>
            <w:tcMar>
              <w:left w:w="0" w:type="dxa"/>
              <w:right w:w="0" w:type="dxa"/>
            </w:tcMar>
            <w:vAlign w:val="center"/>
          </w:tcPr>
          <w:p w14:paraId="484236C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443" w:type="pct"/>
            <w:noWrap w:val="0"/>
            <w:tcMar>
              <w:left w:w="0" w:type="dxa"/>
              <w:right w:w="0" w:type="dxa"/>
            </w:tcMar>
            <w:vAlign w:val="center"/>
          </w:tcPr>
          <w:p w14:paraId="735472A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r>
    </w:tbl>
    <w:p w14:paraId="48B21759">
      <w:pPr>
        <w:pStyle w:val="17"/>
        <w:jc w:val="both"/>
        <w:rPr>
          <w:rFonts w:hint="default" w:ascii="Times New Roman" w:hAnsi="Times New Roman" w:cs="Times New Roman" w:eastAsiaTheme="minorEastAsia"/>
          <w:snapToGrid w:val="0"/>
          <w:color w:val="000000" w:themeColor="text1"/>
          <w:spacing w:val="0"/>
          <w:kern w:val="0"/>
          <w:position w:val="0"/>
          <w:sz w:val="24"/>
          <w:szCs w:val="24"/>
          <w:lang w:val="en-US" w:eastAsia="en-US" w:bidi="ar-SA"/>
          <w14:textFill>
            <w14:solidFill>
              <w14:schemeClr w14:val="tx1"/>
            </w14:solidFill>
          </w14:textFill>
        </w:rPr>
      </w:pPr>
    </w:p>
    <w:p w14:paraId="1A246F40">
      <w:pPr>
        <w:rPr>
          <w:rFonts w:hint="default" w:ascii="Times New Roman" w:hAnsi="Times New Roman" w:cs="Times New Roman" w:eastAsiaTheme="minorEastAsia"/>
          <w:snapToGrid w:val="0"/>
          <w:color w:val="000000" w:themeColor="text1"/>
          <w:spacing w:val="0"/>
          <w:kern w:val="0"/>
          <w:position w:val="0"/>
          <w:sz w:val="24"/>
          <w:szCs w:val="24"/>
          <w:lang w:val="en-US" w:eastAsia="en-US" w:bidi="ar-SA"/>
          <w14:textFill>
            <w14:solidFill>
              <w14:schemeClr w14:val="tx1"/>
            </w14:solidFill>
          </w14:textFill>
        </w:rPr>
      </w:pPr>
    </w:p>
    <w:p w14:paraId="32282ECF">
      <w:pPr>
        <w:pStyle w:val="17"/>
        <w:rPr>
          <w:rFonts w:hint="default"/>
          <w:lang w:val="en-US" w:eastAsia="en-US"/>
        </w:rPr>
        <w:sectPr>
          <w:pgSz w:w="16839" w:h="11907" w:orient="landscape"/>
          <w:pgMar w:top="1533" w:right="1106" w:bottom="1425" w:left="1245" w:header="829" w:footer="991" w:gutter="0"/>
          <w:pgBorders>
            <w:top w:val="none" w:sz="0" w:space="0"/>
            <w:left w:val="none" w:sz="0" w:space="0"/>
            <w:bottom w:val="none" w:sz="0" w:space="0"/>
            <w:right w:val="none" w:sz="0" w:space="0"/>
          </w:pgBorders>
          <w:pgNumType w:fmt="decimal"/>
          <w:cols w:space="720" w:num="1"/>
        </w:sectPr>
      </w:pPr>
    </w:p>
    <w:p w14:paraId="53B51C0C">
      <w:pPr>
        <w:pStyle w:val="4"/>
        <w:spacing w:before="120" w:after="120" w:line="500" w:lineRule="exact"/>
        <w:rPr>
          <w:rFonts w:hint="default" w:ascii="Times New Roman" w:hAnsi="Times New Roman" w:cs="Times New Roman" w:eastAsiaTheme="minorEastAsia"/>
          <w:kern w:val="0"/>
          <w:sz w:val="24"/>
          <w:szCs w:val="24"/>
          <w:lang w:val="en-US" w:eastAsia="en-US"/>
        </w:rPr>
      </w:pPr>
      <w:bookmarkStart w:id="214" w:name="_Toc32092"/>
      <w:r>
        <w:rPr>
          <w:rFonts w:hint="default" w:ascii="Times New Roman" w:hAnsi="Times New Roman" w:cs="Times New Roman" w:eastAsiaTheme="minorEastAsia"/>
          <w:kern w:val="0"/>
          <w:sz w:val="24"/>
          <w:szCs w:val="24"/>
          <w:lang w:val="en-US" w:eastAsia="en-US"/>
        </w:rPr>
        <w:t>5.2.</w:t>
      </w:r>
      <w:r>
        <w:rPr>
          <w:rFonts w:hint="eastAsia" w:ascii="Times New Roman" w:hAnsi="Times New Roman" w:cs="Times New Roman" w:eastAsiaTheme="minorEastAsia"/>
          <w:kern w:val="0"/>
          <w:sz w:val="24"/>
          <w:szCs w:val="24"/>
          <w:lang w:val="en-US" w:eastAsia="zh-CN"/>
        </w:rPr>
        <w:t>2</w:t>
      </w:r>
      <w:r>
        <w:rPr>
          <w:rFonts w:hint="default" w:ascii="Times New Roman" w:hAnsi="Times New Roman" w:cs="Times New Roman" w:eastAsiaTheme="minorEastAsia"/>
          <w:kern w:val="0"/>
          <w:sz w:val="24"/>
          <w:szCs w:val="24"/>
          <w:lang w:val="en-US" w:eastAsia="en-US"/>
        </w:rPr>
        <w:t xml:space="preserve"> 大气污染物浓度预测结果</w:t>
      </w:r>
      <w:bookmarkEnd w:id="214"/>
    </w:p>
    <w:p w14:paraId="66F8E319">
      <w:pPr>
        <w:adjustRightInd w:val="0"/>
        <w:snapToGrid w:val="0"/>
        <w:spacing w:line="500" w:lineRule="exact"/>
        <w:jc w:val="left"/>
        <w:rPr>
          <w:rFonts w:hint="default" w:ascii="Times New Roman" w:hAnsi="Times New Roman" w:cs="Times New Roman" w:eastAsiaTheme="minorEastAsia"/>
          <w:b/>
          <w:bCs/>
          <w:sz w:val="24"/>
          <w:highlight w:val="none"/>
          <w:lang w:val="en-US" w:eastAsia="en-US"/>
        </w:rPr>
      </w:pPr>
      <w:r>
        <w:rPr>
          <w:rFonts w:hint="default" w:ascii="Times New Roman" w:hAnsi="Times New Roman" w:cs="Times New Roman" w:eastAsiaTheme="minorEastAsia"/>
          <w:b/>
          <w:bCs/>
          <w:sz w:val="24"/>
          <w:highlight w:val="none"/>
          <w:lang w:val="en-US" w:eastAsia="en-US"/>
        </w:rPr>
        <w:t>5.2.</w:t>
      </w:r>
      <w:r>
        <w:rPr>
          <w:rFonts w:hint="eastAsia" w:ascii="Times New Roman" w:hAnsi="Times New Roman" w:cs="Times New Roman" w:eastAsiaTheme="minorEastAsia"/>
          <w:b/>
          <w:bCs/>
          <w:sz w:val="24"/>
          <w:highlight w:val="none"/>
          <w:lang w:val="en-US" w:eastAsia="zh-CN"/>
        </w:rPr>
        <w:t>2</w:t>
      </w:r>
      <w:r>
        <w:rPr>
          <w:rFonts w:hint="default" w:ascii="Times New Roman" w:hAnsi="Times New Roman" w:cs="Times New Roman" w:eastAsiaTheme="minorEastAsia"/>
          <w:b/>
          <w:bCs/>
          <w:sz w:val="24"/>
          <w:highlight w:val="none"/>
          <w:lang w:val="en-US" w:eastAsia="en-US"/>
        </w:rPr>
        <w:t>.1 正常工况预测结果分析</w:t>
      </w:r>
    </w:p>
    <w:p w14:paraId="6131B77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en-US"/>
        </w:rPr>
      </w:pPr>
      <w:r>
        <w:rPr>
          <w:rFonts w:hint="default" w:ascii="Times New Roman" w:hAnsi="Times New Roman" w:cs="Times New Roman" w:eastAsiaTheme="minorEastAsia"/>
          <w:sz w:val="24"/>
          <w:lang w:val="en-US" w:eastAsia="zh-CN"/>
        </w:rPr>
        <w:t>（1）</w:t>
      </w:r>
      <w:r>
        <w:rPr>
          <w:rFonts w:hint="default" w:ascii="Times New Roman" w:hAnsi="Times New Roman" w:cs="Times New Roman" w:eastAsiaTheme="minorEastAsia"/>
          <w:sz w:val="24"/>
          <w:lang w:val="en-US" w:eastAsia="en-US"/>
        </w:rPr>
        <w:t>本工程贡献质量浓度预测</w:t>
      </w:r>
    </w:p>
    <w:p w14:paraId="0E6962AC">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en-US"/>
        </w:rPr>
      </w:pPr>
      <w:r>
        <w:rPr>
          <w:rFonts w:hint="eastAsia" w:ascii="Times New Roman" w:hAnsi="Times New Roman" w:cs="Times New Roman" w:eastAsiaTheme="minorEastAsia"/>
          <w:sz w:val="24"/>
          <w:lang w:val="en-US" w:eastAsia="zh-CN"/>
        </w:rPr>
        <w:t>由于项目位于二类不达标区域，因此对贡献值进行预测。</w:t>
      </w:r>
      <w:r>
        <w:rPr>
          <w:rFonts w:hint="default" w:ascii="Times New Roman" w:hAnsi="Times New Roman" w:cs="Times New Roman" w:eastAsiaTheme="minorEastAsia"/>
          <w:sz w:val="24"/>
          <w:lang w:val="en-US" w:eastAsia="en-US"/>
        </w:rPr>
        <w:t>根据</w:t>
      </w:r>
      <w:r>
        <w:rPr>
          <w:rFonts w:hint="eastAsia" w:ascii="Times New Roman" w:hAnsi="Times New Roman" w:cs="Times New Roman" w:eastAsiaTheme="minorEastAsia"/>
          <w:sz w:val="24"/>
          <w:lang w:val="en-US" w:eastAsia="zh-CN"/>
        </w:rPr>
        <w:t>莎车县</w:t>
      </w:r>
      <w:r>
        <w:rPr>
          <w:rFonts w:hint="default" w:ascii="Times New Roman" w:hAnsi="Times New Roman" w:cs="Times New Roman" w:eastAsiaTheme="minorEastAsia"/>
          <w:sz w:val="24"/>
          <w:lang w:val="en-US" w:eastAsia="en-US"/>
        </w:rPr>
        <w:t>气象站</w:t>
      </w:r>
      <w:r>
        <w:rPr>
          <w:rFonts w:hint="default" w:ascii="Times New Roman" w:hAnsi="Times New Roman" w:cs="Times New Roman" w:eastAsiaTheme="minorEastAsia"/>
          <w:sz w:val="24"/>
          <w:lang w:val="en-US" w:eastAsia="zh-CN"/>
        </w:rPr>
        <w:t>202</w:t>
      </w:r>
      <w:r>
        <w:rPr>
          <w:rFonts w:hint="eastAsia" w:ascii="Times New Roman" w:hAnsi="Times New Roman" w:cs="Times New Roman" w:eastAsiaTheme="minorEastAsia"/>
          <w:sz w:val="24"/>
          <w:lang w:val="en-US" w:eastAsia="zh-CN"/>
        </w:rPr>
        <w:t>5</w:t>
      </w:r>
      <w:r>
        <w:rPr>
          <w:rFonts w:hint="default" w:ascii="Times New Roman" w:hAnsi="Times New Roman" w:cs="Times New Roman" w:eastAsiaTheme="minorEastAsia"/>
          <w:sz w:val="24"/>
          <w:lang w:val="en-US" w:eastAsia="en-US"/>
        </w:rPr>
        <w:t>年逐日气象数据进行预测，各污染物最大落地浓度贡献值、出现时间及占标率情况，见表5</w:t>
      </w:r>
      <w:r>
        <w:rPr>
          <w:rFonts w:hint="default"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en-US"/>
        </w:rPr>
        <w:t>2-1</w:t>
      </w:r>
      <w:r>
        <w:rPr>
          <w:rFonts w:hint="eastAsia" w:ascii="Times New Roman" w:hAnsi="Times New Roman" w:cs="Times New Roman" w:eastAsiaTheme="minorEastAsia"/>
          <w:sz w:val="24"/>
          <w:lang w:val="en-US" w:eastAsia="zh-CN"/>
        </w:rPr>
        <w:t>1</w:t>
      </w:r>
      <w:r>
        <w:rPr>
          <w:rFonts w:hint="default" w:ascii="Times New Roman" w:hAnsi="Times New Roman" w:cs="Times New Roman" w:eastAsiaTheme="minorEastAsia"/>
          <w:sz w:val="24"/>
          <w:lang w:val="en-US" w:eastAsia="en-US"/>
        </w:rPr>
        <w:t>。</w:t>
      </w:r>
    </w:p>
    <w:p w14:paraId="3ABE45F4">
      <w:pPr>
        <w:adjustRightInd w:val="0"/>
        <w:snapToGrid w:val="0"/>
        <w:spacing w:before="250" w:beforeLines="50"/>
        <w:ind w:firstLine="422" w:firstLineChars="200"/>
        <w:jc w:val="center"/>
        <w:rPr>
          <w:rFonts w:hint="default" w:ascii="Times New Roman" w:hAnsi="Times New Roman" w:cs="Times New Roman" w:eastAsiaTheme="minorEastAsia"/>
          <w:b/>
          <w:szCs w:val="21"/>
          <w:lang w:val="en-US" w:eastAsia="en-US"/>
        </w:rPr>
      </w:pPr>
      <w:r>
        <w:rPr>
          <w:rFonts w:hint="default" w:ascii="Times New Roman" w:hAnsi="Times New Roman" w:cs="Times New Roman" w:eastAsiaTheme="minorEastAsia"/>
          <w:b/>
          <w:szCs w:val="21"/>
          <w:lang w:val="en-US" w:eastAsia="en-US"/>
        </w:rPr>
        <w:t>表5</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2-1</w:t>
      </w:r>
      <w:r>
        <w:rPr>
          <w:rFonts w:hint="eastAsia" w:ascii="Times New Roman" w:hAnsi="Times New Roman" w:cs="Times New Roman"/>
          <w:b/>
          <w:szCs w:val="21"/>
          <w:lang w:val="en-US" w:eastAsia="zh-CN"/>
        </w:rPr>
        <w:t>1</w:t>
      </w:r>
      <w:r>
        <w:rPr>
          <w:rFonts w:hint="default" w:ascii="Times New Roman" w:hAnsi="Times New Roman" w:cs="Times New Roman" w:eastAsiaTheme="minorEastAsia"/>
          <w:b/>
          <w:szCs w:val="21"/>
          <w:lang w:val="en-US" w:eastAsia="zh-CN"/>
        </w:rPr>
        <w:t xml:space="preserve">  </w:t>
      </w:r>
      <w:r>
        <w:rPr>
          <w:rFonts w:hint="default" w:ascii="Times New Roman" w:hAnsi="Times New Roman" w:cs="Times New Roman" w:eastAsiaTheme="minorEastAsia"/>
          <w:b/>
          <w:szCs w:val="21"/>
          <w:lang w:val="en-US" w:eastAsia="en-US"/>
        </w:rPr>
        <w:t>本工程污染物浓度贡献预测结果表</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2412"/>
        <w:gridCol w:w="1457"/>
        <w:gridCol w:w="1236"/>
        <w:gridCol w:w="1181"/>
        <w:gridCol w:w="1231"/>
        <w:gridCol w:w="867"/>
      </w:tblGrid>
      <w:tr w14:paraId="3556B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tcBorders>
              <w:tl2br w:val="nil"/>
              <w:tr2bl w:val="nil"/>
            </w:tcBorders>
            <w:shd w:val="clear" w:color="auto" w:fill="auto"/>
            <w:vAlign w:val="center"/>
          </w:tcPr>
          <w:p w14:paraId="0DFE107A">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污染物</w:t>
            </w:r>
          </w:p>
        </w:tc>
        <w:tc>
          <w:tcPr>
            <w:tcW w:w="1315" w:type="pct"/>
            <w:tcBorders>
              <w:tl2br w:val="nil"/>
              <w:tr2bl w:val="nil"/>
            </w:tcBorders>
            <w:shd w:val="clear" w:color="auto" w:fill="auto"/>
            <w:vAlign w:val="center"/>
          </w:tcPr>
          <w:p w14:paraId="161487C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预测点</w:t>
            </w:r>
          </w:p>
        </w:tc>
        <w:tc>
          <w:tcPr>
            <w:tcW w:w="794" w:type="pct"/>
            <w:tcBorders>
              <w:tl2br w:val="nil"/>
              <w:tr2bl w:val="nil"/>
            </w:tcBorders>
            <w:shd w:val="clear" w:color="auto" w:fill="auto"/>
            <w:vAlign w:val="center"/>
          </w:tcPr>
          <w:p w14:paraId="6448371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浓度类型</w:t>
            </w:r>
          </w:p>
        </w:tc>
        <w:tc>
          <w:tcPr>
            <w:tcW w:w="674" w:type="pct"/>
            <w:tcBorders>
              <w:tl2br w:val="nil"/>
              <w:tr2bl w:val="nil"/>
            </w:tcBorders>
            <w:shd w:val="clear" w:color="auto" w:fill="auto"/>
            <w:vAlign w:val="center"/>
          </w:tcPr>
          <w:p w14:paraId="6D1B3E0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最大贡献值（μg/m</w:t>
            </w:r>
            <w:r>
              <w:rPr>
                <w:rFonts w:hint="default" w:ascii="Times New Roman" w:hAnsi="Times New Roman" w:cs="Times New Roman" w:eastAsiaTheme="minorEastAsia"/>
                <w:szCs w:val="21"/>
                <w:highlight w:val="none"/>
                <w:vertAlign w:val="superscript"/>
                <w:lang w:val="en-US" w:eastAsia="zh-CN"/>
              </w:rPr>
              <w:t>3</w:t>
            </w:r>
            <w:r>
              <w:rPr>
                <w:rFonts w:hint="default" w:ascii="Times New Roman" w:hAnsi="Times New Roman" w:cs="Times New Roman" w:eastAsiaTheme="minorEastAsia"/>
                <w:szCs w:val="21"/>
                <w:highlight w:val="none"/>
                <w:lang w:val="en-US" w:eastAsia="zh-CN"/>
              </w:rPr>
              <w:t>）</w:t>
            </w:r>
          </w:p>
        </w:tc>
        <w:tc>
          <w:tcPr>
            <w:tcW w:w="644" w:type="pct"/>
            <w:tcBorders>
              <w:tl2br w:val="nil"/>
              <w:tr2bl w:val="nil"/>
            </w:tcBorders>
            <w:shd w:val="clear" w:color="auto" w:fill="auto"/>
            <w:vAlign w:val="center"/>
          </w:tcPr>
          <w:p w14:paraId="288C743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出现时间</w:t>
            </w:r>
          </w:p>
        </w:tc>
        <w:tc>
          <w:tcPr>
            <w:tcW w:w="671" w:type="pct"/>
            <w:tcBorders>
              <w:tl2br w:val="nil"/>
              <w:tr2bl w:val="nil"/>
            </w:tcBorders>
            <w:shd w:val="clear" w:color="auto" w:fill="auto"/>
            <w:vAlign w:val="center"/>
          </w:tcPr>
          <w:p w14:paraId="6332F59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占标率%</w:t>
            </w:r>
          </w:p>
        </w:tc>
        <w:tc>
          <w:tcPr>
            <w:tcW w:w="472" w:type="pct"/>
            <w:tcBorders>
              <w:tl2br w:val="nil"/>
              <w:tr2bl w:val="nil"/>
            </w:tcBorders>
            <w:shd w:val="clear" w:color="auto" w:fill="auto"/>
            <w:vAlign w:val="center"/>
          </w:tcPr>
          <w:p w14:paraId="4D45EE62">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达标情况</w:t>
            </w:r>
          </w:p>
        </w:tc>
      </w:tr>
      <w:tr w14:paraId="1D090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restart"/>
            <w:tcBorders>
              <w:tl2br w:val="nil"/>
              <w:tr2bl w:val="nil"/>
            </w:tcBorders>
            <w:vAlign w:val="center"/>
          </w:tcPr>
          <w:p w14:paraId="4B0F7BC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NOx</w:t>
            </w:r>
          </w:p>
        </w:tc>
        <w:tc>
          <w:tcPr>
            <w:tcW w:w="1315" w:type="pct"/>
            <w:vMerge w:val="restart"/>
            <w:tcBorders>
              <w:tl2br w:val="nil"/>
              <w:tr2bl w:val="nil"/>
            </w:tcBorders>
            <w:vAlign w:val="center"/>
          </w:tcPr>
          <w:p w14:paraId="762D142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兰干村居民区</w:t>
            </w:r>
          </w:p>
        </w:tc>
        <w:tc>
          <w:tcPr>
            <w:tcW w:w="794" w:type="pct"/>
            <w:tcBorders>
              <w:tl2br w:val="nil"/>
              <w:tr2bl w:val="nil"/>
            </w:tcBorders>
            <w:vAlign w:val="center"/>
          </w:tcPr>
          <w:p w14:paraId="6975267A">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日平均</w:t>
            </w:r>
          </w:p>
        </w:tc>
        <w:tc>
          <w:tcPr>
            <w:tcW w:w="674" w:type="pct"/>
            <w:tcBorders>
              <w:tl2br w:val="nil"/>
              <w:tr2bl w:val="nil"/>
            </w:tcBorders>
            <w:vAlign w:val="center"/>
          </w:tcPr>
          <w:p w14:paraId="35D2780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0.00</w:t>
            </w:r>
          </w:p>
        </w:tc>
        <w:tc>
          <w:tcPr>
            <w:tcW w:w="644" w:type="pct"/>
            <w:tcBorders>
              <w:tl2br w:val="nil"/>
              <w:tr2bl w:val="nil"/>
            </w:tcBorders>
            <w:vAlign w:val="center"/>
          </w:tcPr>
          <w:p w14:paraId="3FFB920A">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250409</w:t>
            </w:r>
          </w:p>
        </w:tc>
        <w:tc>
          <w:tcPr>
            <w:tcW w:w="671" w:type="pct"/>
            <w:tcBorders>
              <w:tl2br w:val="nil"/>
              <w:tr2bl w:val="nil"/>
            </w:tcBorders>
            <w:vAlign w:val="center"/>
          </w:tcPr>
          <w:p w14:paraId="3166F728">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highlight w:val="none"/>
              </w:rPr>
              <w:t>0.0</w:t>
            </w:r>
            <w:r>
              <w:rPr>
                <w:rFonts w:hint="eastAsia"/>
                <w:highlight w:val="none"/>
                <w:lang w:val="en-US" w:eastAsia="zh-CN"/>
              </w:rPr>
              <w:t>0</w:t>
            </w:r>
          </w:p>
        </w:tc>
        <w:tc>
          <w:tcPr>
            <w:tcW w:w="472" w:type="pct"/>
            <w:tcBorders>
              <w:tl2br w:val="nil"/>
              <w:tr2bl w:val="nil"/>
            </w:tcBorders>
            <w:vAlign w:val="center"/>
          </w:tcPr>
          <w:p w14:paraId="36DFF278">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r>
      <w:tr w14:paraId="4609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35F42E2E">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vMerge w:val="continue"/>
            <w:tcBorders>
              <w:tl2br w:val="nil"/>
              <w:tr2bl w:val="nil"/>
            </w:tcBorders>
            <w:vAlign w:val="center"/>
          </w:tcPr>
          <w:p w14:paraId="603105C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94" w:type="pct"/>
            <w:tcBorders>
              <w:tl2br w:val="nil"/>
              <w:tr2bl w:val="nil"/>
            </w:tcBorders>
            <w:vAlign w:val="center"/>
          </w:tcPr>
          <w:p w14:paraId="38AFB54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674" w:type="pct"/>
            <w:tcBorders>
              <w:tl2br w:val="nil"/>
              <w:tr2bl w:val="nil"/>
            </w:tcBorders>
            <w:vAlign w:val="center"/>
          </w:tcPr>
          <w:p w14:paraId="4934128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0.00</w:t>
            </w:r>
          </w:p>
        </w:tc>
        <w:tc>
          <w:tcPr>
            <w:tcW w:w="644" w:type="pct"/>
            <w:tcBorders>
              <w:tl2br w:val="nil"/>
              <w:tr2bl w:val="nil"/>
            </w:tcBorders>
            <w:vAlign w:val="center"/>
          </w:tcPr>
          <w:p w14:paraId="051F9E1F">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平均值</w:t>
            </w:r>
          </w:p>
        </w:tc>
        <w:tc>
          <w:tcPr>
            <w:tcW w:w="671" w:type="pct"/>
            <w:tcBorders>
              <w:tl2br w:val="nil"/>
              <w:tr2bl w:val="nil"/>
            </w:tcBorders>
            <w:vAlign w:val="center"/>
          </w:tcPr>
          <w:p w14:paraId="34D2090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0.00</w:t>
            </w:r>
          </w:p>
        </w:tc>
        <w:tc>
          <w:tcPr>
            <w:tcW w:w="472" w:type="pct"/>
            <w:tcBorders>
              <w:tl2br w:val="nil"/>
              <w:tr2bl w:val="nil"/>
            </w:tcBorders>
            <w:vAlign w:val="center"/>
          </w:tcPr>
          <w:p w14:paraId="1F42C48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r>
      <w:tr w14:paraId="74942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57C495FE">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vMerge w:val="restart"/>
            <w:tcBorders>
              <w:tl2br w:val="nil"/>
              <w:tr2bl w:val="nil"/>
            </w:tcBorders>
            <w:vAlign w:val="center"/>
          </w:tcPr>
          <w:p w14:paraId="3F63B0E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萨依巴格村居民区</w:t>
            </w:r>
          </w:p>
        </w:tc>
        <w:tc>
          <w:tcPr>
            <w:tcW w:w="794" w:type="pct"/>
            <w:tcBorders>
              <w:tl2br w:val="nil"/>
              <w:tr2bl w:val="nil"/>
            </w:tcBorders>
            <w:vAlign w:val="center"/>
          </w:tcPr>
          <w:p w14:paraId="49C2E5FA">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日平均</w:t>
            </w:r>
          </w:p>
        </w:tc>
        <w:tc>
          <w:tcPr>
            <w:tcW w:w="674" w:type="pct"/>
            <w:tcBorders>
              <w:tl2br w:val="nil"/>
              <w:tr2bl w:val="nil"/>
            </w:tcBorders>
            <w:vAlign w:val="center"/>
          </w:tcPr>
          <w:p w14:paraId="4AE270D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0.02</w:t>
            </w:r>
          </w:p>
        </w:tc>
        <w:tc>
          <w:tcPr>
            <w:tcW w:w="644" w:type="pct"/>
            <w:tcBorders>
              <w:tl2br w:val="nil"/>
              <w:tr2bl w:val="nil"/>
            </w:tcBorders>
            <w:vAlign w:val="center"/>
          </w:tcPr>
          <w:p w14:paraId="0290A1A6">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250619</w:t>
            </w:r>
          </w:p>
        </w:tc>
        <w:tc>
          <w:tcPr>
            <w:tcW w:w="671" w:type="pct"/>
            <w:tcBorders>
              <w:tl2br w:val="nil"/>
              <w:tr2bl w:val="nil"/>
            </w:tcBorders>
            <w:vAlign w:val="center"/>
          </w:tcPr>
          <w:p w14:paraId="26CDE9D0">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highlight w:val="none"/>
              </w:rPr>
              <w:t>0.0</w:t>
            </w:r>
            <w:r>
              <w:rPr>
                <w:rFonts w:hint="eastAsia"/>
                <w:highlight w:val="none"/>
                <w:lang w:val="en-US" w:eastAsia="zh-CN"/>
              </w:rPr>
              <w:t>3</w:t>
            </w:r>
          </w:p>
        </w:tc>
        <w:tc>
          <w:tcPr>
            <w:tcW w:w="472" w:type="pct"/>
            <w:tcBorders>
              <w:tl2br w:val="nil"/>
              <w:tr2bl w:val="nil"/>
            </w:tcBorders>
            <w:vAlign w:val="center"/>
          </w:tcPr>
          <w:p w14:paraId="15C11B2F">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r>
      <w:tr w14:paraId="06C7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6" w:type="pct"/>
            <w:vMerge w:val="continue"/>
            <w:tcBorders>
              <w:tl2br w:val="nil"/>
              <w:tr2bl w:val="nil"/>
            </w:tcBorders>
            <w:vAlign w:val="center"/>
          </w:tcPr>
          <w:p w14:paraId="6852A778">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vMerge w:val="continue"/>
            <w:tcBorders>
              <w:tl2br w:val="nil"/>
              <w:tr2bl w:val="nil"/>
            </w:tcBorders>
            <w:vAlign w:val="center"/>
          </w:tcPr>
          <w:p w14:paraId="2E5D5D7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94" w:type="pct"/>
            <w:tcBorders>
              <w:tl2br w:val="nil"/>
              <w:tr2bl w:val="nil"/>
            </w:tcBorders>
            <w:vAlign w:val="center"/>
          </w:tcPr>
          <w:p w14:paraId="653BCBD4">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年平均</w:t>
            </w:r>
          </w:p>
        </w:tc>
        <w:tc>
          <w:tcPr>
            <w:tcW w:w="674" w:type="pct"/>
            <w:tcBorders>
              <w:tl2br w:val="nil"/>
              <w:tr2bl w:val="nil"/>
            </w:tcBorders>
            <w:vAlign w:val="center"/>
          </w:tcPr>
          <w:p w14:paraId="6F0D70C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0.00</w:t>
            </w:r>
          </w:p>
        </w:tc>
        <w:tc>
          <w:tcPr>
            <w:tcW w:w="644" w:type="pct"/>
            <w:tcBorders>
              <w:tl2br w:val="nil"/>
              <w:tr2bl w:val="nil"/>
            </w:tcBorders>
            <w:vAlign w:val="center"/>
          </w:tcPr>
          <w:p w14:paraId="5177F4E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平均值</w:t>
            </w:r>
          </w:p>
        </w:tc>
        <w:tc>
          <w:tcPr>
            <w:tcW w:w="671" w:type="pct"/>
            <w:tcBorders>
              <w:tl2br w:val="nil"/>
              <w:tr2bl w:val="nil"/>
            </w:tcBorders>
            <w:vAlign w:val="center"/>
          </w:tcPr>
          <w:p w14:paraId="3633D18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0.00</w:t>
            </w:r>
          </w:p>
        </w:tc>
        <w:tc>
          <w:tcPr>
            <w:tcW w:w="472" w:type="pct"/>
            <w:tcBorders>
              <w:tl2br w:val="nil"/>
              <w:tr2bl w:val="nil"/>
            </w:tcBorders>
            <w:vAlign w:val="center"/>
          </w:tcPr>
          <w:p w14:paraId="519CC9B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r>
      <w:tr w14:paraId="57CA8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6" w:type="pct"/>
            <w:vMerge w:val="continue"/>
            <w:tcBorders>
              <w:tl2br w:val="nil"/>
              <w:tr2bl w:val="nil"/>
            </w:tcBorders>
            <w:vAlign w:val="center"/>
          </w:tcPr>
          <w:p w14:paraId="7780316E">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vMerge w:val="restart"/>
            <w:tcBorders>
              <w:tl2br w:val="nil"/>
              <w:tr2bl w:val="nil"/>
            </w:tcBorders>
            <w:vAlign w:val="center"/>
          </w:tcPr>
          <w:p w14:paraId="0478201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帕特曼喀什村居民区</w:t>
            </w:r>
          </w:p>
        </w:tc>
        <w:tc>
          <w:tcPr>
            <w:tcW w:w="794" w:type="pct"/>
            <w:tcBorders>
              <w:tl2br w:val="nil"/>
              <w:tr2bl w:val="nil"/>
            </w:tcBorders>
            <w:vAlign w:val="center"/>
          </w:tcPr>
          <w:p w14:paraId="2D1127E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日平均</w:t>
            </w:r>
          </w:p>
        </w:tc>
        <w:tc>
          <w:tcPr>
            <w:tcW w:w="674" w:type="pct"/>
            <w:tcBorders>
              <w:tl2br w:val="nil"/>
              <w:tr2bl w:val="nil"/>
            </w:tcBorders>
            <w:vAlign w:val="center"/>
          </w:tcPr>
          <w:p w14:paraId="0A14960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0.01</w:t>
            </w:r>
          </w:p>
        </w:tc>
        <w:tc>
          <w:tcPr>
            <w:tcW w:w="644" w:type="pct"/>
            <w:tcBorders>
              <w:tl2br w:val="nil"/>
              <w:tr2bl w:val="nil"/>
            </w:tcBorders>
            <w:vAlign w:val="center"/>
          </w:tcPr>
          <w:p w14:paraId="66731A94">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251215</w:t>
            </w:r>
          </w:p>
        </w:tc>
        <w:tc>
          <w:tcPr>
            <w:tcW w:w="671" w:type="pct"/>
            <w:tcBorders>
              <w:tl2br w:val="nil"/>
              <w:tr2bl w:val="nil"/>
            </w:tcBorders>
            <w:vAlign w:val="center"/>
          </w:tcPr>
          <w:p w14:paraId="3FD11CA2">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highlight w:val="none"/>
              </w:rPr>
              <w:t>0.01</w:t>
            </w:r>
          </w:p>
        </w:tc>
        <w:tc>
          <w:tcPr>
            <w:tcW w:w="472" w:type="pct"/>
            <w:tcBorders>
              <w:tl2br w:val="nil"/>
              <w:tr2bl w:val="nil"/>
            </w:tcBorders>
            <w:vAlign w:val="center"/>
          </w:tcPr>
          <w:p w14:paraId="4067D743">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r>
      <w:tr w14:paraId="4EF27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23BED1C6">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vMerge w:val="continue"/>
            <w:tcBorders>
              <w:tl2br w:val="nil"/>
              <w:tr2bl w:val="nil"/>
            </w:tcBorders>
            <w:vAlign w:val="center"/>
          </w:tcPr>
          <w:p w14:paraId="1D467F9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94" w:type="pct"/>
            <w:tcBorders>
              <w:tl2br w:val="nil"/>
              <w:tr2bl w:val="nil"/>
            </w:tcBorders>
            <w:vAlign w:val="center"/>
          </w:tcPr>
          <w:p w14:paraId="688A912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年平均</w:t>
            </w:r>
          </w:p>
        </w:tc>
        <w:tc>
          <w:tcPr>
            <w:tcW w:w="674" w:type="pct"/>
            <w:tcBorders>
              <w:tl2br w:val="nil"/>
              <w:tr2bl w:val="nil"/>
            </w:tcBorders>
            <w:vAlign w:val="center"/>
          </w:tcPr>
          <w:p w14:paraId="7732EB5C">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0.00</w:t>
            </w:r>
          </w:p>
        </w:tc>
        <w:tc>
          <w:tcPr>
            <w:tcW w:w="644" w:type="pct"/>
            <w:tcBorders>
              <w:tl2br w:val="nil"/>
              <w:tr2bl w:val="nil"/>
            </w:tcBorders>
            <w:vAlign w:val="center"/>
          </w:tcPr>
          <w:p w14:paraId="3DAACC3A">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平均值</w:t>
            </w:r>
          </w:p>
        </w:tc>
        <w:tc>
          <w:tcPr>
            <w:tcW w:w="671" w:type="pct"/>
            <w:tcBorders>
              <w:tl2br w:val="nil"/>
              <w:tr2bl w:val="nil"/>
            </w:tcBorders>
            <w:vAlign w:val="center"/>
          </w:tcPr>
          <w:p w14:paraId="22329411">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0.00</w:t>
            </w:r>
          </w:p>
        </w:tc>
        <w:tc>
          <w:tcPr>
            <w:tcW w:w="472" w:type="pct"/>
            <w:tcBorders>
              <w:tl2br w:val="nil"/>
              <w:tr2bl w:val="nil"/>
            </w:tcBorders>
            <w:vAlign w:val="center"/>
          </w:tcPr>
          <w:p w14:paraId="6F61DD3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r>
      <w:tr w14:paraId="4FA18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6" w:type="pct"/>
            <w:vMerge w:val="continue"/>
            <w:tcBorders>
              <w:tl2br w:val="nil"/>
              <w:tr2bl w:val="nil"/>
            </w:tcBorders>
            <w:vAlign w:val="center"/>
          </w:tcPr>
          <w:p w14:paraId="4D76D881">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vMerge w:val="restart"/>
            <w:tcBorders>
              <w:tl2br w:val="nil"/>
              <w:tr2bl w:val="nil"/>
            </w:tcBorders>
            <w:vAlign w:val="center"/>
          </w:tcPr>
          <w:p w14:paraId="6217147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网格</w:t>
            </w:r>
          </w:p>
        </w:tc>
        <w:tc>
          <w:tcPr>
            <w:tcW w:w="794" w:type="pct"/>
            <w:tcBorders>
              <w:tl2br w:val="nil"/>
              <w:tr2bl w:val="nil"/>
            </w:tcBorders>
            <w:vAlign w:val="center"/>
          </w:tcPr>
          <w:p w14:paraId="0B802BDC">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日平均</w:t>
            </w:r>
          </w:p>
        </w:tc>
        <w:tc>
          <w:tcPr>
            <w:tcW w:w="674" w:type="pct"/>
            <w:tcBorders>
              <w:tl2br w:val="nil"/>
              <w:tr2bl w:val="nil"/>
            </w:tcBorders>
            <w:vAlign w:val="center"/>
          </w:tcPr>
          <w:p w14:paraId="293714DA">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0.49</w:t>
            </w:r>
          </w:p>
        </w:tc>
        <w:tc>
          <w:tcPr>
            <w:tcW w:w="644" w:type="pct"/>
            <w:tcBorders>
              <w:tl2br w:val="nil"/>
              <w:tr2bl w:val="nil"/>
            </w:tcBorders>
            <w:vAlign w:val="center"/>
          </w:tcPr>
          <w:p w14:paraId="2683F214">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250927</w:t>
            </w:r>
          </w:p>
        </w:tc>
        <w:tc>
          <w:tcPr>
            <w:tcW w:w="671" w:type="pct"/>
            <w:tcBorders>
              <w:tl2br w:val="nil"/>
              <w:tr2bl w:val="nil"/>
            </w:tcBorders>
            <w:vAlign w:val="center"/>
          </w:tcPr>
          <w:p w14:paraId="1084F377">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highlight w:val="none"/>
              </w:rPr>
              <w:t>0.6</w:t>
            </w:r>
            <w:r>
              <w:rPr>
                <w:rFonts w:hint="eastAsia"/>
                <w:highlight w:val="none"/>
                <w:lang w:val="en-US" w:eastAsia="zh-CN"/>
              </w:rPr>
              <w:t>1</w:t>
            </w:r>
          </w:p>
        </w:tc>
        <w:tc>
          <w:tcPr>
            <w:tcW w:w="472" w:type="pct"/>
            <w:tcBorders>
              <w:tl2br w:val="nil"/>
              <w:tr2bl w:val="nil"/>
            </w:tcBorders>
            <w:vAlign w:val="center"/>
          </w:tcPr>
          <w:p w14:paraId="2AC4341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r>
      <w:tr w14:paraId="6D90D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62AB2D39">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vMerge w:val="continue"/>
            <w:tcBorders>
              <w:tl2br w:val="nil"/>
              <w:tr2bl w:val="nil"/>
            </w:tcBorders>
            <w:vAlign w:val="center"/>
          </w:tcPr>
          <w:p w14:paraId="5CCB885A">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94" w:type="pct"/>
            <w:tcBorders>
              <w:tl2br w:val="nil"/>
              <w:tr2bl w:val="nil"/>
            </w:tcBorders>
            <w:vAlign w:val="center"/>
          </w:tcPr>
          <w:p w14:paraId="280BCC38">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年平均</w:t>
            </w:r>
          </w:p>
        </w:tc>
        <w:tc>
          <w:tcPr>
            <w:tcW w:w="674" w:type="pct"/>
            <w:tcBorders>
              <w:tl2br w:val="nil"/>
              <w:tr2bl w:val="nil"/>
            </w:tcBorders>
            <w:vAlign w:val="center"/>
          </w:tcPr>
          <w:p w14:paraId="3F3FA8AA">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highlight w:val="none"/>
              </w:rPr>
              <w:t>0.1</w:t>
            </w:r>
            <w:r>
              <w:rPr>
                <w:rFonts w:hint="eastAsia"/>
                <w:highlight w:val="none"/>
                <w:lang w:val="en-US" w:eastAsia="zh-CN"/>
              </w:rPr>
              <w:t>2</w:t>
            </w:r>
          </w:p>
        </w:tc>
        <w:tc>
          <w:tcPr>
            <w:tcW w:w="644" w:type="pct"/>
            <w:tcBorders>
              <w:tl2br w:val="nil"/>
              <w:tr2bl w:val="nil"/>
            </w:tcBorders>
            <w:vAlign w:val="center"/>
          </w:tcPr>
          <w:p w14:paraId="0817CF6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平均值</w:t>
            </w:r>
          </w:p>
        </w:tc>
        <w:tc>
          <w:tcPr>
            <w:tcW w:w="671" w:type="pct"/>
            <w:tcBorders>
              <w:tl2br w:val="nil"/>
              <w:tr2bl w:val="nil"/>
            </w:tcBorders>
            <w:vAlign w:val="center"/>
          </w:tcPr>
          <w:p w14:paraId="76D9343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highlight w:val="none"/>
              </w:rPr>
              <w:t>0.</w:t>
            </w:r>
            <w:r>
              <w:rPr>
                <w:rFonts w:hint="eastAsia"/>
                <w:highlight w:val="none"/>
                <w:lang w:val="en-US" w:eastAsia="zh-CN"/>
              </w:rPr>
              <w:t>31</w:t>
            </w:r>
          </w:p>
        </w:tc>
        <w:tc>
          <w:tcPr>
            <w:tcW w:w="472" w:type="pct"/>
            <w:tcBorders>
              <w:tl2br w:val="nil"/>
              <w:tr2bl w:val="nil"/>
            </w:tcBorders>
            <w:vAlign w:val="center"/>
          </w:tcPr>
          <w:p w14:paraId="19D0D5C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r>
      <w:tr w14:paraId="485E4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6" w:type="pct"/>
            <w:vMerge w:val="restart"/>
            <w:tcBorders>
              <w:tl2br w:val="nil"/>
              <w:tr2bl w:val="nil"/>
            </w:tcBorders>
            <w:vAlign w:val="center"/>
          </w:tcPr>
          <w:p w14:paraId="2CA4991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PM</w:t>
            </w:r>
            <w:r>
              <w:rPr>
                <w:rFonts w:hint="eastAsia" w:ascii="Times New Roman" w:hAnsi="Times New Roman" w:cs="Times New Roman"/>
                <w:szCs w:val="21"/>
                <w:vertAlign w:val="subscript"/>
                <w:lang w:val="en-US" w:eastAsia="zh-CN"/>
              </w:rPr>
              <w:t>10</w:t>
            </w:r>
          </w:p>
        </w:tc>
        <w:tc>
          <w:tcPr>
            <w:tcW w:w="1315" w:type="pct"/>
            <w:vMerge w:val="restart"/>
            <w:tcBorders>
              <w:tl2br w:val="nil"/>
              <w:tr2bl w:val="nil"/>
            </w:tcBorders>
            <w:vAlign w:val="center"/>
          </w:tcPr>
          <w:p w14:paraId="18280E8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兰干村居民区</w:t>
            </w:r>
          </w:p>
        </w:tc>
        <w:tc>
          <w:tcPr>
            <w:tcW w:w="794" w:type="pct"/>
            <w:tcBorders>
              <w:tl2br w:val="nil"/>
              <w:tr2bl w:val="nil"/>
            </w:tcBorders>
            <w:vAlign w:val="center"/>
          </w:tcPr>
          <w:p w14:paraId="2A33B14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日平均</w:t>
            </w:r>
          </w:p>
        </w:tc>
        <w:tc>
          <w:tcPr>
            <w:tcW w:w="1236" w:type="dxa"/>
            <w:tcBorders>
              <w:tl2br w:val="nil"/>
              <w:tr2bl w:val="nil"/>
            </w:tcBorders>
            <w:vAlign w:val="center"/>
          </w:tcPr>
          <w:p w14:paraId="4C0CF95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highlight w:val="none"/>
              </w:rPr>
              <w:t>0.</w:t>
            </w:r>
            <w:r>
              <w:rPr>
                <w:rFonts w:hint="eastAsia"/>
                <w:highlight w:val="none"/>
                <w:lang w:val="en-US" w:eastAsia="zh-CN"/>
              </w:rPr>
              <w:t>00</w:t>
            </w:r>
          </w:p>
        </w:tc>
        <w:tc>
          <w:tcPr>
            <w:tcW w:w="1181" w:type="dxa"/>
            <w:tcBorders>
              <w:tl2br w:val="nil"/>
              <w:tr2bl w:val="nil"/>
            </w:tcBorders>
            <w:vAlign w:val="center"/>
          </w:tcPr>
          <w:p w14:paraId="67705918">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250106</w:t>
            </w:r>
          </w:p>
        </w:tc>
        <w:tc>
          <w:tcPr>
            <w:tcW w:w="1231" w:type="dxa"/>
            <w:tcBorders>
              <w:tl2br w:val="nil"/>
              <w:tr2bl w:val="nil"/>
            </w:tcBorders>
            <w:vAlign w:val="center"/>
          </w:tcPr>
          <w:p w14:paraId="778700A2">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highlight w:val="none"/>
              </w:rPr>
              <w:t>0.0</w:t>
            </w:r>
            <w:r>
              <w:rPr>
                <w:rFonts w:hint="eastAsia"/>
                <w:highlight w:val="none"/>
                <w:lang w:val="en-US" w:eastAsia="zh-CN"/>
              </w:rPr>
              <w:t>0</w:t>
            </w:r>
          </w:p>
        </w:tc>
        <w:tc>
          <w:tcPr>
            <w:tcW w:w="867" w:type="dxa"/>
            <w:tcBorders>
              <w:tl2br w:val="nil"/>
              <w:tr2bl w:val="nil"/>
            </w:tcBorders>
            <w:vAlign w:val="center"/>
          </w:tcPr>
          <w:p w14:paraId="2E1DE7CC">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r>
      <w:tr w14:paraId="4D974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6" w:type="pct"/>
            <w:vMerge w:val="continue"/>
            <w:tcBorders>
              <w:tl2br w:val="nil"/>
              <w:tr2bl w:val="nil"/>
            </w:tcBorders>
            <w:vAlign w:val="center"/>
          </w:tcPr>
          <w:p w14:paraId="346FDD3E">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vMerge w:val="continue"/>
            <w:tcBorders>
              <w:tl2br w:val="nil"/>
              <w:tr2bl w:val="nil"/>
            </w:tcBorders>
            <w:vAlign w:val="center"/>
          </w:tcPr>
          <w:p w14:paraId="373B5C21">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94" w:type="pct"/>
            <w:tcBorders>
              <w:tl2br w:val="nil"/>
              <w:tr2bl w:val="nil"/>
            </w:tcBorders>
            <w:vAlign w:val="center"/>
          </w:tcPr>
          <w:p w14:paraId="24BEAA1A">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年平均</w:t>
            </w:r>
          </w:p>
        </w:tc>
        <w:tc>
          <w:tcPr>
            <w:tcW w:w="1236" w:type="dxa"/>
            <w:tcBorders>
              <w:tl2br w:val="nil"/>
              <w:tr2bl w:val="nil"/>
            </w:tcBorders>
            <w:vAlign w:val="center"/>
          </w:tcPr>
          <w:p w14:paraId="4EB03056">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highlight w:val="none"/>
              </w:rPr>
              <w:t>0.0</w:t>
            </w:r>
            <w:r>
              <w:rPr>
                <w:rFonts w:hint="eastAsia"/>
                <w:highlight w:val="none"/>
                <w:lang w:val="en-US" w:eastAsia="zh-CN"/>
              </w:rPr>
              <w:t>0</w:t>
            </w:r>
          </w:p>
        </w:tc>
        <w:tc>
          <w:tcPr>
            <w:tcW w:w="1181" w:type="dxa"/>
            <w:tcBorders>
              <w:tl2br w:val="nil"/>
              <w:tr2bl w:val="nil"/>
            </w:tcBorders>
            <w:vAlign w:val="center"/>
          </w:tcPr>
          <w:p w14:paraId="78E2F593">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平均值</w:t>
            </w:r>
          </w:p>
        </w:tc>
        <w:tc>
          <w:tcPr>
            <w:tcW w:w="1231" w:type="dxa"/>
            <w:tcBorders>
              <w:tl2br w:val="nil"/>
              <w:tr2bl w:val="nil"/>
            </w:tcBorders>
            <w:vAlign w:val="center"/>
          </w:tcPr>
          <w:p w14:paraId="12BEDEB7">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highlight w:val="none"/>
              </w:rPr>
              <w:t>0.0</w:t>
            </w:r>
            <w:r>
              <w:rPr>
                <w:rFonts w:hint="eastAsia"/>
                <w:highlight w:val="none"/>
                <w:lang w:val="en-US" w:eastAsia="zh-CN"/>
              </w:rPr>
              <w:t>0</w:t>
            </w:r>
          </w:p>
        </w:tc>
        <w:tc>
          <w:tcPr>
            <w:tcW w:w="867" w:type="dxa"/>
            <w:tcBorders>
              <w:tl2br w:val="nil"/>
              <w:tr2bl w:val="nil"/>
            </w:tcBorders>
            <w:vAlign w:val="center"/>
          </w:tcPr>
          <w:p w14:paraId="262A3BA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r>
      <w:tr w14:paraId="2DED0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07B13BC9">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vMerge w:val="restart"/>
            <w:tcBorders>
              <w:tl2br w:val="nil"/>
              <w:tr2bl w:val="nil"/>
            </w:tcBorders>
            <w:vAlign w:val="center"/>
          </w:tcPr>
          <w:p w14:paraId="013A7F7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萨依巴格村居民区</w:t>
            </w:r>
          </w:p>
        </w:tc>
        <w:tc>
          <w:tcPr>
            <w:tcW w:w="794" w:type="pct"/>
            <w:tcBorders>
              <w:tl2br w:val="nil"/>
              <w:tr2bl w:val="nil"/>
            </w:tcBorders>
            <w:vAlign w:val="center"/>
          </w:tcPr>
          <w:p w14:paraId="4316AB82">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日平均</w:t>
            </w:r>
          </w:p>
        </w:tc>
        <w:tc>
          <w:tcPr>
            <w:tcW w:w="1236" w:type="dxa"/>
            <w:tcBorders>
              <w:tl2br w:val="nil"/>
              <w:tr2bl w:val="nil"/>
            </w:tcBorders>
            <w:vAlign w:val="center"/>
          </w:tcPr>
          <w:p w14:paraId="3D276A7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highlight w:val="none"/>
              </w:rPr>
              <w:t>0.</w:t>
            </w:r>
            <w:r>
              <w:rPr>
                <w:rFonts w:hint="eastAsia"/>
                <w:highlight w:val="none"/>
                <w:lang w:val="en-US" w:eastAsia="zh-CN"/>
              </w:rPr>
              <w:t>00</w:t>
            </w:r>
          </w:p>
        </w:tc>
        <w:tc>
          <w:tcPr>
            <w:tcW w:w="1181" w:type="dxa"/>
            <w:tcBorders>
              <w:tl2br w:val="nil"/>
              <w:tr2bl w:val="nil"/>
            </w:tcBorders>
            <w:vAlign w:val="center"/>
          </w:tcPr>
          <w:p w14:paraId="695035C1">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251225</w:t>
            </w:r>
          </w:p>
        </w:tc>
        <w:tc>
          <w:tcPr>
            <w:tcW w:w="1231" w:type="dxa"/>
            <w:tcBorders>
              <w:tl2br w:val="nil"/>
              <w:tr2bl w:val="nil"/>
            </w:tcBorders>
            <w:vAlign w:val="center"/>
          </w:tcPr>
          <w:p w14:paraId="66DB0D4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highlight w:val="none"/>
              </w:rPr>
              <w:t>0.</w:t>
            </w:r>
            <w:r>
              <w:rPr>
                <w:rFonts w:hint="eastAsia"/>
                <w:highlight w:val="none"/>
                <w:lang w:val="en-US" w:eastAsia="zh-CN"/>
              </w:rPr>
              <w:t>00</w:t>
            </w:r>
          </w:p>
        </w:tc>
        <w:tc>
          <w:tcPr>
            <w:tcW w:w="867" w:type="dxa"/>
            <w:tcBorders>
              <w:tl2br w:val="nil"/>
              <w:tr2bl w:val="nil"/>
            </w:tcBorders>
            <w:vAlign w:val="center"/>
          </w:tcPr>
          <w:p w14:paraId="57AFF1A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r>
      <w:tr w14:paraId="71742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3033A9F0">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vMerge w:val="continue"/>
            <w:tcBorders>
              <w:tl2br w:val="nil"/>
              <w:tr2bl w:val="nil"/>
            </w:tcBorders>
            <w:vAlign w:val="center"/>
          </w:tcPr>
          <w:p w14:paraId="74E2E111">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94" w:type="pct"/>
            <w:tcBorders>
              <w:tl2br w:val="nil"/>
              <w:tr2bl w:val="nil"/>
            </w:tcBorders>
            <w:vAlign w:val="center"/>
          </w:tcPr>
          <w:p w14:paraId="0D255FA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年平均</w:t>
            </w:r>
          </w:p>
        </w:tc>
        <w:tc>
          <w:tcPr>
            <w:tcW w:w="1236" w:type="dxa"/>
            <w:tcBorders>
              <w:tl2br w:val="nil"/>
              <w:tr2bl w:val="nil"/>
            </w:tcBorders>
            <w:vAlign w:val="center"/>
          </w:tcPr>
          <w:p w14:paraId="582B5320">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highlight w:val="none"/>
              </w:rPr>
              <w:t>0.0</w:t>
            </w:r>
            <w:r>
              <w:rPr>
                <w:rFonts w:hint="eastAsia"/>
                <w:highlight w:val="none"/>
                <w:lang w:val="en-US" w:eastAsia="zh-CN"/>
              </w:rPr>
              <w:t>0</w:t>
            </w:r>
          </w:p>
        </w:tc>
        <w:tc>
          <w:tcPr>
            <w:tcW w:w="1181" w:type="dxa"/>
            <w:tcBorders>
              <w:tl2br w:val="nil"/>
              <w:tr2bl w:val="nil"/>
            </w:tcBorders>
            <w:vAlign w:val="center"/>
          </w:tcPr>
          <w:p w14:paraId="0A0D2976">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平均值</w:t>
            </w:r>
          </w:p>
        </w:tc>
        <w:tc>
          <w:tcPr>
            <w:tcW w:w="1231" w:type="dxa"/>
            <w:tcBorders>
              <w:tl2br w:val="nil"/>
              <w:tr2bl w:val="nil"/>
            </w:tcBorders>
            <w:vAlign w:val="center"/>
          </w:tcPr>
          <w:p w14:paraId="5F52F815">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highlight w:val="none"/>
              </w:rPr>
              <w:t>0.0</w:t>
            </w:r>
            <w:r>
              <w:rPr>
                <w:rFonts w:hint="eastAsia"/>
                <w:highlight w:val="none"/>
                <w:lang w:val="en-US" w:eastAsia="zh-CN"/>
              </w:rPr>
              <w:t>0</w:t>
            </w:r>
          </w:p>
        </w:tc>
        <w:tc>
          <w:tcPr>
            <w:tcW w:w="867" w:type="dxa"/>
            <w:tcBorders>
              <w:tl2br w:val="nil"/>
              <w:tr2bl w:val="nil"/>
            </w:tcBorders>
            <w:vAlign w:val="center"/>
          </w:tcPr>
          <w:p w14:paraId="2123DDA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r>
      <w:tr w14:paraId="3E47D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1E3498B5">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vMerge w:val="restart"/>
            <w:tcBorders>
              <w:tl2br w:val="nil"/>
              <w:tr2bl w:val="nil"/>
            </w:tcBorders>
            <w:vAlign w:val="center"/>
          </w:tcPr>
          <w:p w14:paraId="07F75FF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帕特曼喀什村居民区</w:t>
            </w:r>
          </w:p>
        </w:tc>
        <w:tc>
          <w:tcPr>
            <w:tcW w:w="794" w:type="pct"/>
            <w:tcBorders>
              <w:tl2br w:val="nil"/>
              <w:tr2bl w:val="nil"/>
            </w:tcBorders>
            <w:vAlign w:val="center"/>
          </w:tcPr>
          <w:p w14:paraId="414A25F1">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日平均</w:t>
            </w:r>
          </w:p>
        </w:tc>
        <w:tc>
          <w:tcPr>
            <w:tcW w:w="1236" w:type="dxa"/>
            <w:tcBorders>
              <w:tl2br w:val="nil"/>
              <w:tr2bl w:val="nil"/>
            </w:tcBorders>
            <w:vAlign w:val="center"/>
          </w:tcPr>
          <w:p w14:paraId="31D3812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highlight w:val="none"/>
              </w:rPr>
              <w:t>0.</w:t>
            </w:r>
            <w:r>
              <w:rPr>
                <w:rFonts w:hint="eastAsia"/>
                <w:highlight w:val="none"/>
                <w:lang w:val="en-US" w:eastAsia="zh-CN"/>
              </w:rPr>
              <w:t>00</w:t>
            </w:r>
          </w:p>
        </w:tc>
        <w:tc>
          <w:tcPr>
            <w:tcW w:w="1181" w:type="dxa"/>
            <w:tcBorders>
              <w:tl2br w:val="nil"/>
              <w:tr2bl w:val="nil"/>
            </w:tcBorders>
            <w:vAlign w:val="center"/>
          </w:tcPr>
          <w:p w14:paraId="1E526EB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250907</w:t>
            </w:r>
          </w:p>
        </w:tc>
        <w:tc>
          <w:tcPr>
            <w:tcW w:w="1231" w:type="dxa"/>
            <w:tcBorders>
              <w:tl2br w:val="nil"/>
              <w:tr2bl w:val="nil"/>
            </w:tcBorders>
            <w:vAlign w:val="center"/>
          </w:tcPr>
          <w:p w14:paraId="36C2F7F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highlight w:val="none"/>
              </w:rPr>
              <w:t>0.</w:t>
            </w:r>
            <w:r>
              <w:rPr>
                <w:rFonts w:hint="eastAsia"/>
                <w:highlight w:val="none"/>
                <w:lang w:val="en-US" w:eastAsia="zh-CN"/>
              </w:rPr>
              <w:t>00</w:t>
            </w:r>
          </w:p>
        </w:tc>
        <w:tc>
          <w:tcPr>
            <w:tcW w:w="867" w:type="dxa"/>
            <w:tcBorders>
              <w:tl2br w:val="nil"/>
              <w:tr2bl w:val="nil"/>
            </w:tcBorders>
            <w:vAlign w:val="center"/>
          </w:tcPr>
          <w:p w14:paraId="0B7D672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r>
      <w:tr w14:paraId="61599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4F343416">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vMerge w:val="continue"/>
            <w:tcBorders>
              <w:tl2br w:val="nil"/>
              <w:tr2bl w:val="nil"/>
            </w:tcBorders>
            <w:vAlign w:val="center"/>
          </w:tcPr>
          <w:p w14:paraId="54BDDCD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94" w:type="pct"/>
            <w:tcBorders>
              <w:tl2br w:val="nil"/>
              <w:tr2bl w:val="nil"/>
            </w:tcBorders>
            <w:vAlign w:val="center"/>
          </w:tcPr>
          <w:p w14:paraId="3AB28E5A">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年平均</w:t>
            </w:r>
          </w:p>
        </w:tc>
        <w:tc>
          <w:tcPr>
            <w:tcW w:w="1236" w:type="dxa"/>
            <w:tcBorders>
              <w:tl2br w:val="nil"/>
              <w:tr2bl w:val="nil"/>
            </w:tcBorders>
            <w:vAlign w:val="center"/>
          </w:tcPr>
          <w:p w14:paraId="59D3B29C">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highlight w:val="none"/>
              </w:rPr>
              <w:t>0.0</w:t>
            </w:r>
            <w:r>
              <w:rPr>
                <w:rFonts w:hint="eastAsia"/>
                <w:highlight w:val="none"/>
                <w:lang w:val="en-US" w:eastAsia="zh-CN"/>
              </w:rPr>
              <w:t>0</w:t>
            </w:r>
          </w:p>
        </w:tc>
        <w:tc>
          <w:tcPr>
            <w:tcW w:w="1181" w:type="dxa"/>
            <w:tcBorders>
              <w:tl2br w:val="nil"/>
              <w:tr2bl w:val="nil"/>
            </w:tcBorders>
            <w:vAlign w:val="center"/>
          </w:tcPr>
          <w:p w14:paraId="25BAFE5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平均值</w:t>
            </w:r>
          </w:p>
        </w:tc>
        <w:tc>
          <w:tcPr>
            <w:tcW w:w="1231" w:type="dxa"/>
            <w:tcBorders>
              <w:tl2br w:val="nil"/>
              <w:tr2bl w:val="nil"/>
            </w:tcBorders>
            <w:vAlign w:val="center"/>
          </w:tcPr>
          <w:p w14:paraId="34D48FC5">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highlight w:val="none"/>
              </w:rPr>
              <w:t>0.0</w:t>
            </w:r>
            <w:r>
              <w:rPr>
                <w:rFonts w:hint="eastAsia"/>
                <w:highlight w:val="none"/>
                <w:lang w:val="en-US" w:eastAsia="zh-CN"/>
              </w:rPr>
              <w:t>0</w:t>
            </w:r>
          </w:p>
        </w:tc>
        <w:tc>
          <w:tcPr>
            <w:tcW w:w="867" w:type="dxa"/>
            <w:tcBorders>
              <w:tl2br w:val="nil"/>
              <w:tr2bl w:val="nil"/>
            </w:tcBorders>
            <w:vAlign w:val="center"/>
          </w:tcPr>
          <w:p w14:paraId="1CBE5DA6">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r>
      <w:tr w14:paraId="14C57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426" w:type="pct"/>
            <w:vMerge w:val="continue"/>
            <w:tcBorders>
              <w:tl2br w:val="nil"/>
              <w:tr2bl w:val="nil"/>
            </w:tcBorders>
            <w:vAlign w:val="center"/>
          </w:tcPr>
          <w:p w14:paraId="1950460C">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vMerge w:val="restart"/>
            <w:tcBorders>
              <w:tl2br w:val="nil"/>
              <w:tr2bl w:val="nil"/>
            </w:tcBorders>
            <w:vAlign w:val="center"/>
          </w:tcPr>
          <w:p w14:paraId="060FEF5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网格</w:t>
            </w:r>
          </w:p>
        </w:tc>
        <w:tc>
          <w:tcPr>
            <w:tcW w:w="794" w:type="pct"/>
            <w:tcBorders>
              <w:tl2br w:val="nil"/>
              <w:tr2bl w:val="nil"/>
            </w:tcBorders>
            <w:vAlign w:val="center"/>
          </w:tcPr>
          <w:p w14:paraId="1CAA6BB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日平均</w:t>
            </w:r>
          </w:p>
        </w:tc>
        <w:tc>
          <w:tcPr>
            <w:tcW w:w="1236" w:type="dxa"/>
            <w:tcBorders>
              <w:tl2br w:val="nil"/>
              <w:tr2bl w:val="nil"/>
            </w:tcBorders>
            <w:vAlign w:val="center"/>
          </w:tcPr>
          <w:p w14:paraId="0489089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highlight w:val="none"/>
                <w:lang w:val="en-US" w:eastAsia="zh-CN"/>
              </w:rPr>
              <w:t>0.06</w:t>
            </w:r>
          </w:p>
        </w:tc>
        <w:tc>
          <w:tcPr>
            <w:tcW w:w="1181" w:type="dxa"/>
            <w:tcBorders>
              <w:tl2br w:val="nil"/>
              <w:tr2bl w:val="nil"/>
            </w:tcBorders>
            <w:vAlign w:val="center"/>
          </w:tcPr>
          <w:p w14:paraId="1ABF6394">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251205</w:t>
            </w:r>
          </w:p>
        </w:tc>
        <w:tc>
          <w:tcPr>
            <w:tcW w:w="1231" w:type="dxa"/>
            <w:tcBorders>
              <w:tl2br w:val="nil"/>
              <w:tr2bl w:val="nil"/>
            </w:tcBorders>
            <w:vAlign w:val="center"/>
          </w:tcPr>
          <w:p w14:paraId="3C25C40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highlight w:val="none"/>
                <w:lang w:val="en-US" w:eastAsia="zh-CN"/>
              </w:rPr>
              <w:t>0.05</w:t>
            </w:r>
          </w:p>
        </w:tc>
        <w:tc>
          <w:tcPr>
            <w:tcW w:w="867" w:type="dxa"/>
            <w:tcBorders>
              <w:tl2br w:val="nil"/>
              <w:tr2bl w:val="nil"/>
            </w:tcBorders>
            <w:vAlign w:val="center"/>
          </w:tcPr>
          <w:p w14:paraId="319E599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r>
      <w:tr w14:paraId="61112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27530F8C">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vMerge w:val="continue"/>
            <w:tcBorders>
              <w:tl2br w:val="nil"/>
              <w:tr2bl w:val="nil"/>
            </w:tcBorders>
            <w:vAlign w:val="center"/>
          </w:tcPr>
          <w:p w14:paraId="14E66DFA">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94" w:type="pct"/>
            <w:tcBorders>
              <w:tl2br w:val="nil"/>
              <w:tr2bl w:val="nil"/>
            </w:tcBorders>
            <w:vAlign w:val="center"/>
          </w:tcPr>
          <w:p w14:paraId="3736C4F2">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年平均</w:t>
            </w:r>
          </w:p>
        </w:tc>
        <w:tc>
          <w:tcPr>
            <w:tcW w:w="1236" w:type="dxa"/>
            <w:tcBorders>
              <w:tl2br w:val="nil"/>
              <w:tr2bl w:val="nil"/>
            </w:tcBorders>
            <w:vAlign w:val="center"/>
          </w:tcPr>
          <w:p w14:paraId="308E97B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highlight w:val="none"/>
                <w:lang w:val="en-US" w:eastAsia="zh-CN"/>
              </w:rPr>
              <w:t>0.02</w:t>
            </w:r>
          </w:p>
        </w:tc>
        <w:tc>
          <w:tcPr>
            <w:tcW w:w="1181" w:type="dxa"/>
            <w:tcBorders>
              <w:tl2br w:val="nil"/>
              <w:tr2bl w:val="nil"/>
            </w:tcBorders>
            <w:vAlign w:val="center"/>
          </w:tcPr>
          <w:p w14:paraId="5FFF666A">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平均值</w:t>
            </w:r>
          </w:p>
        </w:tc>
        <w:tc>
          <w:tcPr>
            <w:tcW w:w="1231" w:type="dxa"/>
            <w:tcBorders>
              <w:tl2br w:val="nil"/>
              <w:tr2bl w:val="nil"/>
            </w:tcBorders>
            <w:vAlign w:val="center"/>
          </w:tcPr>
          <w:p w14:paraId="7A5439D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highlight w:val="none"/>
                <w:lang w:val="en-US" w:eastAsia="zh-CN"/>
              </w:rPr>
              <w:t>0.03</w:t>
            </w:r>
          </w:p>
        </w:tc>
        <w:tc>
          <w:tcPr>
            <w:tcW w:w="867" w:type="dxa"/>
            <w:tcBorders>
              <w:tl2br w:val="nil"/>
              <w:tr2bl w:val="nil"/>
            </w:tcBorders>
            <w:vAlign w:val="center"/>
          </w:tcPr>
          <w:p w14:paraId="01DBAF6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r>
      <w:tr w14:paraId="382CE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restart"/>
            <w:tcBorders>
              <w:tl2br w:val="nil"/>
              <w:tr2bl w:val="nil"/>
            </w:tcBorders>
            <w:vAlign w:val="center"/>
          </w:tcPr>
          <w:p w14:paraId="039704E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PM</w:t>
            </w:r>
            <w:r>
              <w:rPr>
                <w:rFonts w:hint="eastAsia" w:ascii="Times New Roman" w:hAnsi="Times New Roman" w:cs="Times New Roman"/>
                <w:szCs w:val="21"/>
                <w:highlight w:val="none"/>
                <w:vertAlign w:val="subscript"/>
                <w:lang w:val="en-US" w:eastAsia="zh-CN"/>
              </w:rPr>
              <w:t>2.5</w:t>
            </w:r>
          </w:p>
        </w:tc>
        <w:tc>
          <w:tcPr>
            <w:tcW w:w="1315" w:type="pct"/>
            <w:vMerge w:val="restart"/>
            <w:tcBorders>
              <w:tl2br w:val="nil"/>
              <w:tr2bl w:val="nil"/>
            </w:tcBorders>
            <w:shd w:val="clear" w:color="auto" w:fill="auto"/>
            <w:vAlign w:val="center"/>
          </w:tcPr>
          <w:p w14:paraId="0E75254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兰干村居民区</w:t>
            </w:r>
          </w:p>
        </w:tc>
        <w:tc>
          <w:tcPr>
            <w:tcW w:w="794" w:type="pct"/>
            <w:tcBorders>
              <w:tl2br w:val="nil"/>
              <w:tr2bl w:val="nil"/>
            </w:tcBorders>
            <w:vAlign w:val="center"/>
          </w:tcPr>
          <w:p w14:paraId="0413495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1236" w:type="dxa"/>
            <w:tcBorders>
              <w:tl2br w:val="nil"/>
              <w:tr2bl w:val="nil"/>
            </w:tcBorders>
            <w:vAlign w:val="center"/>
          </w:tcPr>
          <w:p w14:paraId="7D6DC731">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highlight w:val="none"/>
                <w:lang w:val="en-US" w:eastAsia="zh-CN"/>
              </w:rPr>
              <w:t>0.00</w:t>
            </w:r>
          </w:p>
        </w:tc>
        <w:tc>
          <w:tcPr>
            <w:tcW w:w="1181" w:type="dxa"/>
            <w:tcBorders>
              <w:tl2br w:val="nil"/>
              <w:tr2bl w:val="nil"/>
            </w:tcBorders>
            <w:vAlign w:val="center"/>
          </w:tcPr>
          <w:p w14:paraId="13F74B72">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250409</w:t>
            </w:r>
          </w:p>
        </w:tc>
        <w:tc>
          <w:tcPr>
            <w:tcW w:w="1231" w:type="dxa"/>
            <w:tcBorders>
              <w:tl2br w:val="nil"/>
              <w:tr2bl w:val="nil"/>
            </w:tcBorders>
            <w:vAlign w:val="center"/>
          </w:tcPr>
          <w:p w14:paraId="6EA12A37">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highlight w:val="none"/>
              </w:rPr>
              <w:t>0.09</w:t>
            </w:r>
          </w:p>
        </w:tc>
        <w:tc>
          <w:tcPr>
            <w:tcW w:w="867" w:type="dxa"/>
            <w:tcBorders>
              <w:tl2br w:val="nil"/>
              <w:tr2bl w:val="nil"/>
            </w:tcBorders>
            <w:vAlign w:val="center"/>
          </w:tcPr>
          <w:p w14:paraId="68FF644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r>
      <w:tr w14:paraId="7BE64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0E61159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15" w:type="pct"/>
            <w:vMerge w:val="continue"/>
            <w:tcBorders>
              <w:tl2br w:val="nil"/>
              <w:tr2bl w:val="nil"/>
            </w:tcBorders>
            <w:vAlign w:val="center"/>
          </w:tcPr>
          <w:p w14:paraId="2ABBAD2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94" w:type="pct"/>
            <w:tcBorders>
              <w:tl2br w:val="nil"/>
              <w:tr2bl w:val="nil"/>
            </w:tcBorders>
            <w:vAlign w:val="center"/>
          </w:tcPr>
          <w:p w14:paraId="4FD5FB1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1236" w:type="dxa"/>
            <w:tcBorders>
              <w:tl2br w:val="nil"/>
              <w:tr2bl w:val="nil"/>
            </w:tcBorders>
            <w:vAlign w:val="center"/>
          </w:tcPr>
          <w:p w14:paraId="6AD0A484">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highlight w:val="none"/>
              </w:rPr>
              <w:t>0.00</w:t>
            </w:r>
          </w:p>
        </w:tc>
        <w:tc>
          <w:tcPr>
            <w:tcW w:w="1181" w:type="dxa"/>
            <w:tcBorders>
              <w:tl2br w:val="nil"/>
              <w:tr2bl w:val="nil"/>
            </w:tcBorders>
            <w:vAlign w:val="center"/>
          </w:tcPr>
          <w:p w14:paraId="6F49213A">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平均值</w:t>
            </w:r>
          </w:p>
        </w:tc>
        <w:tc>
          <w:tcPr>
            <w:tcW w:w="1231" w:type="dxa"/>
            <w:tcBorders>
              <w:tl2br w:val="nil"/>
              <w:tr2bl w:val="nil"/>
            </w:tcBorders>
            <w:vAlign w:val="center"/>
          </w:tcPr>
          <w:p w14:paraId="6DFEDEA0">
            <w:pPr>
              <w:autoSpaceDE w:val="0"/>
              <w:autoSpaceDN w:val="0"/>
              <w:spacing w:line="300" w:lineRule="exact"/>
              <w:jc w:val="center"/>
              <w:rPr>
                <w:rFonts w:hint="eastAsia" w:ascii="Times New Roman" w:hAnsi="Times New Roman" w:cs="Times New Roman" w:eastAsiaTheme="minorEastAsia"/>
                <w:highlight w:val="none"/>
                <w:lang w:eastAsia="zh-CN"/>
              </w:rPr>
            </w:pPr>
            <w:r>
              <w:rPr>
                <w:rFonts w:hint="eastAsia"/>
                <w:highlight w:val="none"/>
              </w:rPr>
              <w:t>0.01</w:t>
            </w:r>
          </w:p>
        </w:tc>
        <w:tc>
          <w:tcPr>
            <w:tcW w:w="867" w:type="dxa"/>
            <w:tcBorders>
              <w:tl2br w:val="nil"/>
              <w:tr2bl w:val="nil"/>
            </w:tcBorders>
            <w:vAlign w:val="center"/>
          </w:tcPr>
          <w:p w14:paraId="7A503F8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r>
      <w:tr w14:paraId="75438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4943A4C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15" w:type="pct"/>
            <w:vMerge w:val="restart"/>
            <w:tcBorders>
              <w:tl2br w:val="nil"/>
              <w:tr2bl w:val="nil"/>
            </w:tcBorders>
            <w:shd w:val="clear" w:color="auto" w:fill="auto"/>
            <w:vAlign w:val="center"/>
          </w:tcPr>
          <w:p w14:paraId="19D3344A">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萨依巴格村居民区</w:t>
            </w:r>
          </w:p>
        </w:tc>
        <w:tc>
          <w:tcPr>
            <w:tcW w:w="794" w:type="pct"/>
            <w:tcBorders>
              <w:tl2br w:val="nil"/>
              <w:tr2bl w:val="nil"/>
            </w:tcBorders>
            <w:vAlign w:val="center"/>
          </w:tcPr>
          <w:p w14:paraId="03F291F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1236" w:type="dxa"/>
            <w:tcBorders>
              <w:tl2br w:val="nil"/>
              <w:tr2bl w:val="nil"/>
            </w:tcBorders>
            <w:vAlign w:val="center"/>
          </w:tcPr>
          <w:p w14:paraId="150F17F6">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highlight w:val="none"/>
                <w:lang w:val="en-US" w:eastAsia="zh-CN"/>
              </w:rPr>
              <w:t>0.00</w:t>
            </w:r>
          </w:p>
        </w:tc>
        <w:tc>
          <w:tcPr>
            <w:tcW w:w="1181" w:type="dxa"/>
            <w:tcBorders>
              <w:tl2br w:val="nil"/>
              <w:tr2bl w:val="nil"/>
            </w:tcBorders>
            <w:vAlign w:val="center"/>
          </w:tcPr>
          <w:p w14:paraId="7337ACEB">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highlight w:val="none"/>
              </w:rPr>
              <w:t>250619</w:t>
            </w:r>
          </w:p>
        </w:tc>
        <w:tc>
          <w:tcPr>
            <w:tcW w:w="1231" w:type="dxa"/>
            <w:tcBorders>
              <w:tl2br w:val="nil"/>
              <w:tr2bl w:val="nil"/>
            </w:tcBorders>
            <w:vAlign w:val="center"/>
          </w:tcPr>
          <w:p w14:paraId="51230BE5">
            <w:pPr>
              <w:autoSpaceDE w:val="0"/>
              <w:autoSpaceDN w:val="0"/>
              <w:spacing w:line="300" w:lineRule="exact"/>
              <w:jc w:val="center"/>
              <w:rPr>
                <w:rFonts w:hint="eastAsia" w:ascii="Times New Roman" w:hAnsi="Times New Roman" w:cs="Times New Roman" w:eastAsiaTheme="minorEastAsia"/>
                <w:highlight w:val="none"/>
                <w:lang w:eastAsia="zh-CN"/>
              </w:rPr>
            </w:pPr>
            <w:r>
              <w:rPr>
                <w:rFonts w:hint="eastAsia"/>
                <w:highlight w:val="none"/>
              </w:rPr>
              <w:t>0.15</w:t>
            </w:r>
          </w:p>
        </w:tc>
        <w:tc>
          <w:tcPr>
            <w:tcW w:w="867" w:type="dxa"/>
            <w:tcBorders>
              <w:tl2br w:val="nil"/>
              <w:tr2bl w:val="nil"/>
            </w:tcBorders>
            <w:vAlign w:val="center"/>
          </w:tcPr>
          <w:p w14:paraId="0A848B7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r>
      <w:tr w14:paraId="023AB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70DE552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15" w:type="pct"/>
            <w:vMerge w:val="continue"/>
            <w:tcBorders>
              <w:tl2br w:val="nil"/>
              <w:tr2bl w:val="nil"/>
            </w:tcBorders>
            <w:vAlign w:val="center"/>
          </w:tcPr>
          <w:p w14:paraId="10B52E88">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94" w:type="pct"/>
            <w:tcBorders>
              <w:tl2br w:val="nil"/>
              <w:tr2bl w:val="nil"/>
            </w:tcBorders>
            <w:vAlign w:val="center"/>
          </w:tcPr>
          <w:p w14:paraId="05CF8D4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1236" w:type="dxa"/>
            <w:tcBorders>
              <w:tl2br w:val="nil"/>
              <w:tr2bl w:val="nil"/>
            </w:tcBorders>
            <w:vAlign w:val="center"/>
          </w:tcPr>
          <w:p w14:paraId="0A752825">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highlight w:val="none"/>
                <w:lang w:val="en-US" w:eastAsia="zh-CN"/>
              </w:rPr>
              <w:t>0.00</w:t>
            </w:r>
          </w:p>
        </w:tc>
        <w:tc>
          <w:tcPr>
            <w:tcW w:w="1181" w:type="dxa"/>
            <w:tcBorders>
              <w:tl2br w:val="nil"/>
              <w:tr2bl w:val="nil"/>
            </w:tcBorders>
            <w:vAlign w:val="center"/>
          </w:tcPr>
          <w:p w14:paraId="50580D11">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平均值</w:t>
            </w:r>
          </w:p>
        </w:tc>
        <w:tc>
          <w:tcPr>
            <w:tcW w:w="1231" w:type="dxa"/>
            <w:tcBorders>
              <w:tl2br w:val="nil"/>
              <w:tr2bl w:val="nil"/>
            </w:tcBorders>
            <w:vAlign w:val="center"/>
          </w:tcPr>
          <w:p w14:paraId="5E196A50">
            <w:pPr>
              <w:autoSpaceDE w:val="0"/>
              <w:autoSpaceDN w:val="0"/>
              <w:spacing w:line="300" w:lineRule="exact"/>
              <w:jc w:val="center"/>
              <w:rPr>
                <w:rFonts w:hint="eastAsia" w:ascii="Times New Roman" w:hAnsi="Times New Roman" w:cs="Times New Roman" w:eastAsiaTheme="minorEastAsia"/>
                <w:highlight w:val="none"/>
                <w:lang w:eastAsia="zh-CN"/>
              </w:rPr>
            </w:pPr>
            <w:r>
              <w:rPr>
                <w:rFonts w:hint="eastAsia"/>
                <w:highlight w:val="none"/>
              </w:rPr>
              <w:t>0.04</w:t>
            </w:r>
          </w:p>
        </w:tc>
        <w:tc>
          <w:tcPr>
            <w:tcW w:w="867" w:type="dxa"/>
            <w:tcBorders>
              <w:tl2br w:val="nil"/>
              <w:tr2bl w:val="nil"/>
            </w:tcBorders>
            <w:vAlign w:val="center"/>
          </w:tcPr>
          <w:p w14:paraId="303DBB3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r>
      <w:tr w14:paraId="329E0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42462B32">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15" w:type="pct"/>
            <w:vMerge w:val="restart"/>
            <w:tcBorders>
              <w:tl2br w:val="nil"/>
              <w:tr2bl w:val="nil"/>
            </w:tcBorders>
            <w:shd w:val="clear" w:color="auto" w:fill="auto"/>
            <w:vAlign w:val="center"/>
          </w:tcPr>
          <w:p w14:paraId="123640C4">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帕特曼喀什村居民区</w:t>
            </w:r>
          </w:p>
        </w:tc>
        <w:tc>
          <w:tcPr>
            <w:tcW w:w="794" w:type="pct"/>
            <w:tcBorders>
              <w:tl2br w:val="nil"/>
              <w:tr2bl w:val="nil"/>
            </w:tcBorders>
            <w:vAlign w:val="center"/>
          </w:tcPr>
          <w:p w14:paraId="6A31BAA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1236" w:type="dxa"/>
            <w:tcBorders>
              <w:tl2br w:val="nil"/>
              <w:tr2bl w:val="nil"/>
            </w:tcBorders>
            <w:vAlign w:val="center"/>
          </w:tcPr>
          <w:p w14:paraId="7AFAB9E3">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highlight w:val="none"/>
                <w:lang w:val="en-US" w:eastAsia="zh-CN"/>
              </w:rPr>
              <w:t>0.00</w:t>
            </w:r>
          </w:p>
        </w:tc>
        <w:tc>
          <w:tcPr>
            <w:tcW w:w="1181" w:type="dxa"/>
            <w:tcBorders>
              <w:tl2br w:val="nil"/>
              <w:tr2bl w:val="nil"/>
            </w:tcBorders>
            <w:vAlign w:val="center"/>
          </w:tcPr>
          <w:p w14:paraId="35554CE1">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251215</w:t>
            </w:r>
          </w:p>
        </w:tc>
        <w:tc>
          <w:tcPr>
            <w:tcW w:w="1231" w:type="dxa"/>
            <w:tcBorders>
              <w:tl2br w:val="nil"/>
              <w:tr2bl w:val="nil"/>
            </w:tcBorders>
            <w:vAlign w:val="center"/>
          </w:tcPr>
          <w:p w14:paraId="76D3DAA8">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0.12</w:t>
            </w:r>
          </w:p>
        </w:tc>
        <w:tc>
          <w:tcPr>
            <w:tcW w:w="867" w:type="dxa"/>
            <w:tcBorders>
              <w:tl2br w:val="nil"/>
              <w:tr2bl w:val="nil"/>
            </w:tcBorders>
            <w:vAlign w:val="center"/>
          </w:tcPr>
          <w:p w14:paraId="4D86411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r>
      <w:tr w14:paraId="51F17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4546C904">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15" w:type="pct"/>
            <w:vMerge w:val="continue"/>
            <w:tcBorders>
              <w:tl2br w:val="nil"/>
              <w:tr2bl w:val="nil"/>
            </w:tcBorders>
            <w:vAlign w:val="center"/>
          </w:tcPr>
          <w:p w14:paraId="4911DF4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94" w:type="pct"/>
            <w:tcBorders>
              <w:tl2br w:val="nil"/>
              <w:tr2bl w:val="nil"/>
            </w:tcBorders>
            <w:vAlign w:val="center"/>
          </w:tcPr>
          <w:p w14:paraId="77B2C1C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1236" w:type="dxa"/>
            <w:tcBorders>
              <w:tl2br w:val="nil"/>
              <w:tr2bl w:val="nil"/>
            </w:tcBorders>
            <w:vAlign w:val="center"/>
          </w:tcPr>
          <w:p w14:paraId="3A7C37FC">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highlight w:val="none"/>
                <w:lang w:val="en-US" w:eastAsia="zh-CN"/>
              </w:rPr>
              <w:t>0.00</w:t>
            </w:r>
          </w:p>
        </w:tc>
        <w:tc>
          <w:tcPr>
            <w:tcW w:w="1181" w:type="dxa"/>
            <w:tcBorders>
              <w:tl2br w:val="nil"/>
              <w:tr2bl w:val="nil"/>
            </w:tcBorders>
            <w:vAlign w:val="center"/>
          </w:tcPr>
          <w:p w14:paraId="5A3CD7D4">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平均值</w:t>
            </w:r>
          </w:p>
        </w:tc>
        <w:tc>
          <w:tcPr>
            <w:tcW w:w="1231" w:type="dxa"/>
            <w:tcBorders>
              <w:tl2br w:val="nil"/>
              <w:tr2bl w:val="nil"/>
            </w:tcBorders>
            <w:vAlign w:val="center"/>
          </w:tcPr>
          <w:p w14:paraId="35CE73CB">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0.02</w:t>
            </w:r>
          </w:p>
        </w:tc>
        <w:tc>
          <w:tcPr>
            <w:tcW w:w="867" w:type="dxa"/>
            <w:tcBorders>
              <w:tl2br w:val="nil"/>
              <w:tr2bl w:val="nil"/>
            </w:tcBorders>
            <w:vAlign w:val="center"/>
          </w:tcPr>
          <w:p w14:paraId="7E4C8F4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r>
      <w:tr w14:paraId="34042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374BF7C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15" w:type="pct"/>
            <w:vMerge w:val="restart"/>
            <w:tcBorders>
              <w:tl2br w:val="nil"/>
              <w:tr2bl w:val="nil"/>
            </w:tcBorders>
            <w:shd w:val="clear" w:color="auto" w:fill="auto"/>
            <w:vAlign w:val="center"/>
          </w:tcPr>
          <w:p w14:paraId="3ED6F424">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en-US" w:bidi="ar-SA"/>
              </w:rPr>
            </w:pPr>
            <w:r>
              <w:rPr>
                <w:rFonts w:hint="default" w:ascii="Times New Roman" w:hAnsi="Times New Roman" w:cs="Times New Roman" w:eastAsiaTheme="minorEastAsia"/>
                <w:szCs w:val="21"/>
                <w:highlight w:val="none"/>
                <w:lang w:val="en-US" w:eastAsia="zh-CN"/>
              </w:rPr>
              <w:t>网格</w:t>
            </w:r>
          </w:p>
        </w:tc>
        <w:tc>
          <w:tcPr>
            <w:tcW w:w="794" w:type="pct"/>
            <w:tcBorders>
              <w:tl2br w:val="nil"/>
              <w:tr2bl w:val="nil"/>
            </w:tcBorders>
            <w:vAlign w:val="center"/>
          </w:tcPr>
          <w:p w14:paraId="236D9F1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1236" w:type="dxa"/>
            <w:tcBorders>
              <w:tl2br w:val="nil"/>
              <w:tr2bl w:val="nil"/>
            </w:tcBorders>
            <w:vAlign w:val="center"/>
          </w:tcPr>
          <w:p w14:paraId="4E7A51C9">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highlight w:val="none"/>
                <w:lang w:val="en-US" w:eastAsia="zh-CN"/>
              </w:rPr>
              <w:t>0.03</w:t>
            </w:r>
          </w:p>
        </w:tc>
        <w:tc>
          <w:tcPr>
            <w:tcW w:w="1181" w:type="dxa"/>
            <w:tcBorders>
              <w:tl2br w:val="nil"/>
              <w:tr2bl w:val="nil"/>
            </w:tcBorders>
            <w:vAlign w:val="center"/>
          </w:tcPr>
          <w:p w14:paraId="0463DA81">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250927</w:t>
            </w:r>
          </w:p>
        </w:tc>
        <w:tc>
          <w:tcPr>
            <w:tcW w:w="1231" w:type="dxa"/>
            <w:tcBorders>
              <w:tl2br w:val="nil"/>
              <w:tr2bl w:val="nil"/>
            </w:tcBorders>
            <w:vAlign w:val="center"/>
          </w:tcPr>
          <w:p w14:paraId="463AE751">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highlight w:val="none"/>
                <w:lang w:val="en-US" w:eastAsia="zh-CN"/>
              </w:rPr>
              <w:t>0.05</w:t>
            </w:r>
          </w:p>
        </w:tc>
        <w:tc>
          <w:tcPr>
            <w:tcW w:w="867" w:type="dxa"/>
            <w:tcBorders>
              <w:tl2br w:val="nil"/>
              <w:tr2bl w:val="nil"/>
            </w:tcBorders>
            <w:vAlign w:val="center"/>
          </w:tcPr>
          <w:p w14:paraId="4708A68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r>
      <w:tr w14:paraId="481DB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3ACD2094">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15" w:type="pct"/>
            <w:vMerge w:val="continue"/>
            <w:tcBorders>
              <w:tl2br w:val="nil"/>
              <w:tr2bl w:val="nil"/>
            </w:tcBorders>
            <w:vAlign w:val="center"/>
          </w:tcPr>
          <w:p w14:paraId="77A4687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94" w:type="pct"/>
            <w:tcBorders>
              <w:tl2br w:val="nil"/>
              <w:tr2bl w:val="nil"/>
            </w:tcBorders>
            <w:vAlign w:val="center"/>
          </w:tcPr>
          <w:p w14:paraId="493B81B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1236" w:type="dxa"/>
            <w:tcBorders>
              <w:tl2br w:val="nil"/>
              <w:tr2bl w:val="nil"/>
            </w:tcBorders>
            <w:vAlign w:val="center"/>
          </w:tcPr>
          <w:p w14:paraId="4EAC2E27">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highlight w:val="none"/>
                <w:lang w:val="en-US" w:eastAsia="zh-CN"/>
              </w:rPr>
              <w:t>0.01</w:t>
            </w:r>
          </w:p>
        </w:tc>
        <w:tc>
          <w:tcPr>
            <w:tcW w:w="1181" w:type="dxa"/>
            <w:tcBorders>
              <w:tl2br w:val="nil"/>
              <w:tr2bl w:val="nil"/>
            </w:tcBorders>
            <w:vAlign w:val="center"/>
          </w:tcPr>
          <w:p w14:paraId="74FE12B2">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平均值</w:t>
            </w:r>
          </w:p>
        </w:tc>
        <w:tc>
          <w:tcPr>
            <w:tcW w:w="1231" w:type="dxa"/>
            <w:tcBorders>
              <w:tl2br w:val="nil"/>
              <w:tr2bl w:val="nil"/>
            </w:tcBorders>
            <w:vAlign w:val="center"/>
          </w:tcPr>
          <w:p w14:paraId="744018BB">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highlight w:val="none"/>
                <w:lang w:val="en-US" w:eastAsia="zh-CN"/>
              </w:rPr>
              <w:t>0.03</w:t>
            </w:r>
          </w:p>
        </w:tc>
        <w:tc>
          <w:tcPr>
            <w:tcW w:w="867" w:type="dxa"/>
            <w:tcBorders>
              <w:tl2br w:val="nil"/>
              <w:tr2bl w:val="nil"/>
            </w:tcBorders>
            <w:vAlign w:val="center"/>
          </w:tcPr>
          <w:p w14:paraId="153AF6F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r>
      <w:tr w14:paraId="20809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restart"/>
            <w:tcBorders>
              <w:tl2br w:val="nil"/>
              <w:tr2bl w:val="nil"/>
            </w:tcBorders>
            <w:vAlign w:val="center"/>
          </w:tcPr>
          <w:p w14:paraId="12E718A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SO</w:t>
            </w:r>
            <w:r>
              <w:rPr>
                <w:rFonts w:hint="eastAsia" w:ascii="Times New Roman" w:hAnsi="Times New Roman" w:cs="Times New Roman"/>
                <w:szCs w:val="21"/>
                <w:vertAlign w:val="subscript"/>
                <w:lang w:val="en-US" w:eastAsia="zh-CN"/>
              </w:rPr>
              <w:t>2</w:t>
            </w:r>
          </w:p>
        </w:tc>
        <w:tc>
          <w:tcPr>
            <w:tcW w:w="1315" w:type="pct"/>
            <w:vMerge w:val="restart"/>
            <w:tcBorders>
              <w:tl2br w:val="nil"/>
              <w:tr2bl w:val="nil"/>
            </w:tcBorders>
            <w:shd w:val="clear" w:color="auto" w:fill="auto"/>
            <w:vAlign w:val="center"/>
          </w:tcPr>
          <w:p w14:paraId="1E54E1A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兰干村居民区</w:t>
            </w:r>
          </w:p>
        </w:tc>
        <w:tc>
          <w:tcPr>
            <w:tcW w:w="794" w:type="pct"/>
            <w:tcBorders>
              <w:tl2br w:val="nil"/>
              <w:tr2bl w:val="nil"/>
            </w:tcBorders>
            <w:vAlign w:val="center"/>
          </w:tcPr>
          <w:p w14:paraId="028E502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674" w:type="pct"/>
            <w:tcBorders>
              <w:tl2br w:val="nil"/>
              <w:tr2bl w:val="nil"/>
            </w:tcBorders>
            <w:vAlign w:val="center"/>
          </w:tcPr>
          <w:p w14:paraId="66FAD5E2">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0.00</w:t>
            </w:r>
          </w:p>
        </w:tc>
        <w:tc>
          <w:tcPr>
            <w:tcW w:w="644" w:type="pct"/>
            <w:tcBorders>
              <w:tl2br w:val="nil"/>
              <w:tr2bl w:val="nil"/>
            </w:tcBorders>
            <w:vAlign w:val="center"/>
          </w:tcPr>
          <w:p w14:paraId="65C71CF3">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250409</w:t>
            </w:r>
          </w:p>
        </w:tc>
        <w:tc>
          <w:tcPr>
            <w:tcW w:w="671" w:type="pct"/>
            <w:tcBorders>
              <w:tl2br w:val="nil"/>
              <w:tr2bl w:val="nil"/>
            </w:tcBorders>
            <w:vAlign w:val="center"/>
          </w:tcPr>
          <w:p w14:paraId="13290F9E">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0.00</w:t>
            </w:r>
          </w:p>
        </w:tc>
        <w:tc>
          <w:tcPr>
            <w:tcW w:w="472" w:type="pct"/>
            <w:tcBorders>
              <w:tl2br w:val="nil"/>
              <w:tr2bl w:val="nil"/>
            </w:tcBorders>
            <w:vAlign w:val="center"/>
          </w:tcPr>
          <w:p w14:paraId="24B2AEA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r>
      <w:tr w14:paraId="0414A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5AACF8C1">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vMerge w:val="continue"/>
            <w:tcBorders>
              <w:tl2br w:val="nil"/>
              <w:tr2bl w:val="nil"/>
            </w:tcBorders>
            <w:vAlign w:val="center"/>
          </w:tcPr>
          <w:p w14:paraId="0C9DB06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94" w:type="pct"/>
            <w:tcBorders>
              <w:tl2br w:val="nil"/>
              <w:tr2bl w:val="nil"/>
            </w:tcBorders>
            <w:vAlign w:val="center"/>
          </w:tcPr>
          <w:p w14:paraId="75756B2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674" w:type="pct"/>
            <w:tcBorders>
              <w:tl2br w:val="nil"/>
              <w:tr2bl w:val="nil"/>
            </w:tcBorders>
            <w:vAlign w:val="center"/>
          </w:tcPr>
          <w:p w14:paraId="5FC3AA4B">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0.00</w:t>
            </w:r>
          </w:p>
        </w:tc>
        <w:tc>
          <w:tcPr>
            <w:tcW w:w="644" w:type="pct"/>
            <w:tcBorders>
              <w:tl2br w:val="nil"/>
              <w:tr2bl w:val="nil"/>
            </w:tcBorders>
            <w:vAlign w:val="center"/>
          </w:tcPr>
          <w:p w14:paraId="51D2438F">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平均值</w:t>
            </w:r>
          </w:p>
        </w:tc>
        <w:tc>
          <w:tcPr>
            <w:tcW w:w="671" w:type="pct"/>
            <w:tcBorders>
              <w:tl2br w:val="nil"/>
              <w:tr2bl w:val="nil"/>
            </w:tcBorders>
            <w:vAlign w:val="center"/>
          </w:tcPr>
          <w:p w14:paraId="7F960090">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0.00</w:t>
            </w:r>
          </w:p>
        </w:tc>
        <w:tc>
          <w:tcPr>
            <w:tcW w:w="472" w:type="pct"/>
            <w:tcBorders>
              <w:tl2br w:val="nil"/>
              <w:tr2bl w:val="nil"/>
            </w:tcBorders>
            <w:vAlign w:val="center"/>
          </w:tcPr>
          <w:p w14:paraId="11E8806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r>
      <w:tr w14:paraId="352B3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770197B6">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vMerge w:val="restart"/>
            <w:tcBorders>
              <w:tl2br w:val="nil"/>
              <w:tr2bl w:val="nil"/>
            </w:tcBorders>
            <w:shd w:val="clear" w:color="auto" w:fill="auto"/>
            <w:vAlign w:val="center"/>
          </w:tcPr>
          <w:p w14:paraId="0E6AEA9C">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萨依巴格村居民区</w:t>
            </w:r>
          </w:p>
        </w:tc>
        <w:tc>
          <w:tcPr>
            <w:tcW w:w="794" w:type="pct"/>
            <w:tcBorders>
              <w:tl2br w:val="nil"/>
              <w:tr2bl w:val="nil"/>
            </w:tcBorders>
            <w:vAlign w:val="center"/>
          </w:tcPr>
          <w:p w14:paraId="4988A8A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674" w:type="pct"/>
            <w:tcBorders>
              <w:tl2br w:val="nil"/>
              <w:tr2bl w:val="nil"/>
            </w:tcBorders>
            <w:vAlign w:val="center"/>
          </w:tcPr>
          <w:p w14:paraId="3A3F2B97">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0.00</w:t>
            </w:r>
          </w:p>
        </w:tc>
        <w:tc>
          <w:tcPr>
            <w:tcW w:w="644" w:type="pct"/>
            <w:tcBorders>
              <w:tl2br w:val="nil"/>
              <w:tr2bl w:val="nil"/>
            </w:tcBorders>
            <w:vAlign w:val="center"/>
          </w:tcPr>
          <w:p w14:paraId="451A5697">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250619</w:t>
            </w:r>
          </w:p>
        </w:tc>
        <w:tc>
          <w:tcPr>
            <w:tcW w:w="671" w:type="pct"/>
            <w:tcBorders>
              <w:tl2br w:val="nil"/>
              <w:tr2bl w:val="nil"/>
            </w:tcBorders>
            <w:vAlign w:val="center"/>
          </w:tcPr>
          <w:p w14:paraId="7FE5D754">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0.00</w:t>
            </w:r>
          </w:p>
        </w:tc>
        <w:tc>
          <w:tcPr>
            <w:tcW w:w="472" w:type="pct"/>
            <w:tcBorders>
              <w:tl2br w:val="nil"/>
              <w:tr2bl w:val="nil"/>
            </w:tcBorders>
            <w:vAlign w:val="center"/>
          </w:tcPr>
          <w:p w14:paraId="4FE5EDA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r>
      <w:tr w14:paraId="45D1A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2622A78E">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vMerge w:val="continue"/>
            <w:tcBorders>
              <w:tl2br w:val="nil"/>
              <w:tr2bl w:val="nil"/>
            </w:tcBorders>
            <w:vAlign w:val="center"/>
          </w:tcPr>
          <w:p w14:paraId="140B0E53">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94" w:type="pct"/>
            <w:tcBorders>
              <w:tl2br w:val="nil"/>
              <w:tr2bl w:val="nil"/>
            </w:tcBorders>
            <w:vAlign w:val="center"/>
          </w:tcPr>
          <w:p w14:paraId="3DDF65D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674" w:type="pct"/>
            <w:tcBorders>
              <w:tl2br w:val="nil"/>
              <w:tr2bl w:val="nil"/>
            </w:tcBorders>
            <w:vAlign w:val="center"/>
          </w:tcPr>
          <w:p w14:paraId="74E5CBD7">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0.00</w:t>
            </w:r>
          </w:p>
        </w:tc>
        <w:tc>
          <w:tcPr>
            <w:tcW w:w="644" w:type="pct"/>
            <w:tcBorders>
              <w:tl2br w:val="nil"/>
              <w:tr2bl w:val="nil"/>
            </w:tcBorders>
            <w:vAlign w:val="center"/>
          </w:tcPr>
          <w:p w14:paraId="379367A2">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平均值</w:t>
            </w:r>
          </w:p>
        </w:tc>
        <w:tc>
          <w:tcPr>
            <w:tcW w:w="671" w:type="pct"/>
            <w:tcBorders>
              <w:tl2br w:val="nil"/>
              <w:tr2bl w:val="nil"/>
            </w:tcBorders>
            <w:vAlign w:val="center"/>
          </w:tcPr>
          <w:p w14:paraId="27A24342">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0.00</w:t>
            </w:r>
          </w:p>
        </w:tc>
        <w:tc>
          <w:tcPr>
            <w:tcW w:w="472" w:type="pct"/>
            <w:tcBorders>
              <w:tl2br w:val="nil"/>
              <w:tr2bl w:val="nil"/>
            </w:tcBorders>
            <w:vAlign w:val="center"/>
          </w:tcPr>
          <w:p w14:paraId="066ED74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r>
      <w:tr w14:paraId="1FCC5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47DB637A">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vMerge w:val="restart"/>
            <w:tcBorders>
              <w:tl2br w:val="nil"/>
              <w:tr2bl w:val="nil"/>
            </w:tcBorders>
            <w:shd w:val="clear" w:color="auto" w:fill="auto"/>
            <w:vAlign w:val="center"/>
          </w:tcPr>
          <w:p w14:paraId="0ADA8D0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帕特曼喀什村居民区</w:t>
            </w:r>
          </w:p>
        </w:tc>
        <w:tc>
          <w:tcPr>
            <w:tcW w:w="794" w:type="pct"/>
            <w:tcBorders>
              <w:tl2br w:val="nil"/>
              <w:tr2bl w:val="nil"/>
            </w:tcBorders>
            <w:vAlign w:val="center"/>
          </w:tcPr>
          <w:p w14:paraId="7E5C5B9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674" w:type="pct"/>
            <w:tcBorders>
              <w:tl2br w:val="nil"/>
              <w:tr2bl w:val="nil"/>
            </w:tcBorders>
            <w:vAlign w:val="center"/>
          </w:tcPr>
          <w:p w14:paraId="44E7F2E8">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0.00</w:t>
            </w:r>
          </w:p>
        </w:tc>
        <w:tc>
          <w:tcPr>
            <w:tcW w:w="644" w:type="pct"/>
            <w:tcBorders>
              <w:tl2br w:val="nil"/>
              <w:tr2bl w:val="nil"/>
            </w:tcBorders>
            <w:vAlign w:val="center"/>
          </w:tcPr>
          <w:p w14:paraId="1C0E2764">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251215</w:t>
            </w:r>
          </w:p>
        </w:tc>
        <w:tc>
          <w:tcPr>
            <w:tcW w:w="671" w:type="pct"/>
            <w:tcBorders>
              <w:tl2br w:val="nil"/>
              <w:tr2bl w:val="nil"/>
            </w:tcBorders>
            <w:vAlign w:val="center"/>
          </w:tcPr>
          <w:p w14:paraId="1CF3C15B">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0.00</w:t>
            </w:r>
          </w:p>
        </w:tc>
        <w:tc>
          <w:tcPr>
            <w:tcW w:w="472" w:type="pct"/>
            <w:tcBorders>
              <w:tl2br w:val="nil"/>
              <w:tr2bl w:val="nil"/>
            </w:tcBorders>
            <w:vAlign w:val="center"/>
          </w:tcPr>
          <w:p w14:paraId="0E639C0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r>
      <w:tr w14:paraId="46C13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145A5DC5">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vMerge w:val="continue"/>
            <w:tcBorders>
              <w:tl2br w:val="nil"/>
              <w:tr2bl w:val="nil"/>
            </w:tcBorders>
            <w:vAlign w:val="center"/>
          </w:tcPr>
          <w:p w14:paraId="4C90BD41">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94" w:type="pct"/>
            <w:tcBorders>
              <w:tl2br w:val="nil"/>
              <w:tr2bl w:val="nil"/>
            </w:tcBorders>
            <w:vAlign w:val="center"/>
          </w:tcPr>
          <w:p w14:paraId="5C6D7CC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674" w:type="pct"/>
            <w:tcBorders>
              <w:tl2br w:val="nil"/>
              <w:tr2bl w:val="nil"/>
            </w:tcBorders>
            <w:vAlign w:val="center"/>
          </w:tcPr>
          <w:p w14:paraId="32AC4080">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0.00</w:t>
            </w:r>
          </w:p>
        </w:tc>
        <w:tc>
          <w:tcPr>
            <w:tcW w:w="644" w:type="pct"/>
            <w:tcBorders>
              <w:tl2br w:val="nil"/>
              <w:tr2bl w:val="nil"/>
            </w:tcBorders>
            <w:vAlign w:val="center"/>
          </w:tcPr>
          <w:p w14:paraId="3E75CDE9">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平均值</w:t>
            </w:r>
          </w:p>
        </w:tc>
        <w:tc>
          <w:tcPr>
            <w:tcW w:w="671" w:type="pct"/>
            <w:tcBorders>
              <w:tl2br w:val="nil"/>
              <w:tr2bl w:val="nil"/>
            </w:tcBorders>
            <w:vAlign w:val="center"/>
          </w:tcPr>
          <w:p w14:paraId="28B0880D">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0.00</w:t>
            </w:r>
          </w:p>
        </w:tc>
        <w:tc>
          <w:tcPr>
            <w:tcW w:w="472" w:type="pct"/>
            <w:tcBorders>
              <w:tl2br w:val="nil"/>
              <w:tr2bl w:val="nil"/>
            </w:tcBorders>
            <w:vAlign w:val="center"/>
          </w:tcPr>
          <w:p w14:paraId="5358B29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r>
      <w:tr w14:paraId="26076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2B5BAE5B">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vMerge w:val="restart"/>
            <w:tcBorders>
              <w:tl2br w:val="nil"/>
              <w:tr2bl w:val="nil"/>
            </w:tcBorders>
            <w:shd w:val="clear" w:color="auto" w:fill="auto"/>
            <w:vAlign w:val="center"/>
          </w:tcPr>
          <w:p w14:paraId="63479FBB">
            <w:pPr>
              <w:autoSpaceDE w:val="0"/>
              <w:autoSpaceDN w:val="0"/>
              <w:spacing w:line="300" w:lineRule="exact"/>
              <w:jc w:val="center"/>
              <w:rPr>
                <w:rFonts w:hint="default" w:ascii="Times New Roman" w:hAnsi="Times New Roman" w:cs="Times New Roman" w:eastAsiaTheme="minorEastAsia"/>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cs="Times New Roman" w:eastAsiaTheme="minorEastAsia"/>
                <w:color w:val="000000" w:themeColor="text1"/>
                <w:szCs w:val="21"/>
                <w:highlight w:val="none"/>
                <w:lang w:val="en-US" w:eastAsia="zh-CN"/>
                <w14:textFill>
                  <w14:solidFill>
                    <w14:schemeClr w14:val="tx1"/>
                  </w14:solidFill>
                </w14:textFill>
              </w:rPr>
              <w:t>网格</w:t>
            </w:r>
          </w:p>
        </w:tc>
        <w:tc>
          <w:tcPr>
            <w:tcW w:w="794" w:type="pct"/>
            <w:tcBorders>
              <w:tl2br w:val="nil"/>
              <w:tr2bl w:val="nil"/>
            </w:tcBorders>
            <w:vAlign w:val="center"/>
          </w:tcPr>
          <w:p w14:paraId="5F21ACB3">
            <w:pPr>
              <w:autoSpaceDE w:val="0"/>
              <w:autoSpaceDN w:val="0"/>
              <w:spacing w:line="300" w:lineRule="exact"/>
              <w:jc w:val="center"/>
              <w:rPr>
                <w:rFonts w:hint="default" w:ascii="Times New Roman" w:hAnsi="Times New Roman" w:cs="Times New Roman" w:eastAsiaTheme="minorEastAsia"/>
                <w:color w:val="000000" w:themeColor="text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Cs w:val="21"/>
                <w:highlight w:val="none"/>
                <w:lang w:val="en-US" w:eastAsia="en-US"/>
                <w14:textFill>
                  <w14:solidFill>
                    <w14:schemeClr w14:val="tx1"/>
                  </w14:solidFill>
                </w14:textFill>
              </w:rPr>
              <w:t>日平均</w:t>
            </w:r>
          </w:p>
        </w:tc>
        <w:tc>
          <w:tcPr>
            <w:tcW w:w="674" w:type="pct"/>
            <w:tcBorders>
              <w:tl2br w:val="nil"/>
              <w:tr2bl w:val="nil"/>
            </w:tcBorders>
            <w:vAlign w:val="center"/>
          </w:tcPr>
          <w:p w14:paraId="70D81E1E">
            <w:pPr>
              <w:autoSpaceDE w:val="0"/>
              <w:autoSpaceDN w:val="0"/>
              <w:spacing w:line="300" w:lineRule="exact"/>
              <w:jc w:val="center"/>
              <w:rPr>
                <w:rFonts w:hint="eastAsia" w:ascii="Times New Roman" w:hAnsi="Times New Roman" w:cs="Times New Roman" w:eastAsiaTheme="minorEastAsia"/>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0.0</w:t>
            </w:r>
            <w:r>
              <w:rPr>
                <w:rFonts w:hint="eastAsia"/>
                <w:color w:val="000000" w:themeColor="text1"/>
                <w:highlight w:val="none"/>
                <w:lang w:val="en-US" w:eastAsia="zh-CN"/>
                <w14:textFill>
                  <w14:solidFill>
                    <w14:schemeClr w14:val="tx1"/>
                  </w14:solidFill>
                </w14:textFill>
              </w:rPr>
              <w:t>8</w:t>
            </w:r>
          </w:p>
        </w:tc>
        <w:tc>
          <w:tcPr>
            <w:tcW w:w="644" w:type="pct"/>
            <w:tcBorders>
              <w:tl2br w:val="nil"/>
              <w:tr2bl w:val="nil"/>
            </w:tcBorders>
            <w:vAlign w:val="center"/>
          </w:tcPr>
          <w:p w14:paraId="0D0A547B">
            <w:pPr>
              <w:autoSpaceDE w:val="0"/>
              <w:autoSpaceDN w:val="0"/>
              <w:spacing w:line="300" w:lineRule="exact"/>
              <w:jc w:val="center"/>
              <w:rPr>
                <w:rFonts w:hint="default" w:ascii="Times New Roman" w:hAnsi="Times New Roman" w:cs="Times New Roman" w:eastAsiaTheme="minor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250927</w:t>
            </w:r>
          </w:p>
        </w:tc>
        <w:tc>
          <w:tcPr>
            <w:tcW w:w="671" w:type="pct"/>
            <w:tcBorders>
              <w:tl2br w:val="nil"/>
              <w:tr2bl w:val="nil"/>
            </w:tcBorders>
            <w:vAlign w:val="center"/>
          </w:tcPr>
          <w:p w14:paraId="17D46D5A">
            <w:pPr>
              <w:autoSpaceDE w:val="0"/>
              <w:autoSpaceDN w:val="0"/>
              <w:spacing w:line="300" w:lineRule="exact"/>
              <w:jc w:val="center"/>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0.06</w:t>
            </w:r>
          </w:p>
        </w:tc>
        <w:tc>
          <w:tcPr>
            <w:tcW w:w="472" w:type="pct"/>
            <w:tcBorders>
              <w:tl2br w:val="nil"/>
              <w:tr2bl w:val="nil"/>
            </w:tcBorders>
            <w:vAlign w:val="center"/>
          </w:tcPr>
          <w:p w14:paraId="18AF3C76">
            <w:pPr>
              <w:autoSpaceDE w:val="0"/>
              <w:autoSpaceDN w:val="0"/>
              <w:spacing w:line="300" w:lineRule="exact"/>
              <w:jc w:val="center"/>
              <w:rPr>
                <w:rFonts w:hint="default" w:ascii="Times New Roman" w:hAnsi="Times New Roman" w:cs="Times New Roman" w:eastAsiaTheme="minorEastAsia"/>
                <w:color w:val="000000" w:themeColor="text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达标</w:t>
            </w:r>
          </w:p>
        </w:tc>
      </w:tr>
      <w:tr w14:paraId="71BB0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647EDBF7">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vMerge w:val="continue"/>
            <w:tcBorders>
              <w:tl2br w:val="nil"/>
              <w:tr2bl w:val="nil"/>
            </w:tcBorders>
            <w:vAlign w:val="center"/>
          </w:tcPr>
          <w:p w14:paraId="12F4C177">
            <w:pPr>
              <w:autoSpaceDE w:val="0"/>
              <w:autoSpaceDN w:val="0"/>
              <w:spacing w:line="300" w:lineRule="exact"/>
              <w:jc w:val="center"/>
              <w:rPr>
                <w:rFonts w:hint="default" w:ascii="Times New Roman" w:hAnsi="Times New Roman" w:cs="Times New Roman" w:eastAsiaTheme="minorEastAsia"/>
                <w:color w:val="000000" w:themeColor="text1"/>
                <w:szCs w:val="21"/>
                <w:highlight w:val="none"/>
                <w:lang w:val="en-US" w:eastAsia="en-US"/>
                <w14:textFill>
                  <w14:solidFill>
                    <w14:schemeClr w14:val="tx1"/>
                  </w14:solidFill>
                </w14:textFill>
              </w:rPr>
            </w:pPr>
          </w:p>
        </w:tc>
        <w:tc>
          <w:tcPr>
            <w:tcW w:w="794" w:type="pct"/>
            <w:tcBorders>
              <w:tl2br w:val="nil"/>
              <w:tr2bl w:val="nil"/>
            </w:tcBorders>
            <w:vAlign w:val="center"/>
          </w:tcPr>
          <w:p w14:paraId="43498791">
            <w:pPr>
              <w:autoSpaceDE w:val="0"/>
              <w:autoSpaceDN w:val="0"/>
              <w:spacing w:line="300" w:lineRule="exact"/>
              <w:jc w:val="center"/>
              <w:rPr>
                <w:rFonts w:hint="default" w:ascii="Times New Roman" w:hAnsi="Times New Roman" w:cs="Times New Roman" w:eastAsiaTheme="minorEastAsia"/>
                <w:color w:val="000000" w:themeColor="text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Cs w:val="21"/>
                <w:highlight w:val="none"/>
                <w:lang w:val="en-US" w:eastAsia="zh-CN"/>
                <w14:textFill>
                  <w14:solidFill>
                    <w14:schemeClr w14:val="tx1"/>
                  </w14:solidFill>
                </w14:textFill>
              </w:rPr>
              <w:t>年平均</w:t>
            </w:r>
          </w:p>
        </w:tc>
        <w:tc>
          <w:tcPr>
            <w:tcW w:w="674" w:type="pct"/>
            <w:tcBorders>
              <w:tl2br w:val="nil"/>
              <w:tr2bl w:val="nil"/>
            </w:tcBorders>
            <w:vAlign w:val="center"/>
          </w:tcPr>
          <w:p w14:paraId="33FE9CED">
            <w:pPr>
              <w:autoSpaceDE w:val="0"/>
              <w:autoSpaceDN w:val="0"/>
              <w:spacing w:line="300" w:lineRule="exact"/>
              <w:jc w:val="center"/>
              <w:rPr>
                <w:rFonts w:hint="eastAsia" w:ascii="Times New Roman" w:hAnsi="Times New Roman" w:cs="Times New Roman" w:eastAsiaTheme="minorEastAsia"/>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0.0</w:t>
            </w:r>
            <w:r>
              <w:rPr>
                <w:rFonts w:hint="eastAsia"/>
                <w:color w:val="000000" w:themeColor="text1"/>
                <w:highlight w:val="none"/>
                <w:lang w:val="en-US" w:eastAsia="zh-CN"/>
                <w14:textFill>
                  <w14:solidFill>
                    <w14:schemeClr w14:val="tx1"/>
                  </w14:solidFill>
                </w14:textFill>
              </w:rPr>
              <w:t>3</w:t>
            </w:r>
          </w:p>
        </w:tc>
        <w:tc>
          <w:tcPr>
            <w:tcW w:w="644" w:type="pct"/>
            <w:tcBorders>
              <w:tl2br w:val="nil"/>
              <w:tr2bl w:val="nil"/>
            </w:tcBorders>
            <w:vAlign w:val="center"/>
          </w:tcPr>
          <w:p w14:paraId="4C0C688E">
            <w:pPr>
              <w:autoSpaceDE w:val="0"/>
              <w:autoSpaceDN w:val="0"/>
              <w:spacing w:line="300" w:lineRule="exact"/>
              <w:jc w:val="center"/>
              <w:rPr>
                <w:rFonts w:hint="default" w:ascii="Times New Roman" w:hAnsi="Times New Roman" w:cs="Times New Roman" w:eastAsiaTheme="minor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平均值</w:t>
            </w:r>
          </w:p>
        </w:tc>
        <w:tc>
          <w:tcPr>
            <w:tcW w:w="671" w:type="pct"/>
            <w:tcBorders>
              <w:tl2br w:val="nil"/>
              <w:tr2bl w:val="nil"/>
            </w:tcBorders>
            <w:vAlign w:val="center"/>
          </w:tcPr>
          <w:p w14:paraId="79E8ACF1">
            <w:pPr>
              <w:autoSpaceDE w:val="0"/>
              <w:autoSpaceDN w:val="0"/>
              <w:spacing w:line="300" w:lineRule="exact"/>
              <w:jc w:val="center"/>
              <w:rPr>
                <w:rFonts w:hint="default" w:ascii="Times New Roman" w:hAnsi="Times New Roman" w:cs="Times New Roman" w:eastAsiaTheme="minorEastAsia"/>
                <w:color w:val="000000" w:themeColor="text1"/>
                <w:highlight w:val="none"/>
                <w:lang w:val="en-US"/>
                <w14:textFill>
                  <w14:solidFill>
                    <w14:schemeClr w14:val="tx1"/>
                  </w14:solidFill>
                </w14:textFill>
              </w:rPr>
            </w:pPr>
            <w:r>
              <w:rPr>
                <w:rFonts w:hint="eastAsia"/>
                <w:color w:val="000000" w:themeColor="text1"/>
                <w:highlight w:val="none"/>
                <w:lang w:val="en-US" w:eastAsia="zh-CN"/>
                <w14:textFill>
                  <w14:solidFill>
                    <w14:schemeClr w14:val="tx1"/>
                  </w14:solidFill>
                </w14:textFill>
              </w:rPr>
              <w:t>0.05</w:t>
            </w:r>
          </w:p>
        </w:tc>
        <w:tc>
          <w:tcPr>
            <w:tcW w:w="472" w:type="pct"/>
            <w:tcBorders>
              <w:tl2br w:val="nil"/>
              <w:tr2bl w:val="nil"/>
            </w:tcBorders>
            <w:vAlign w:val="center"/>
          </w:tcPr>
          <w:p w14:paraId="7BF36829">
            <w:pPr>
              <w:autoSpaceDE w:val="0"/>
              <w:autoSpaceDN w:val="0"/>
              <w:spacing w:line="300" w:lineRule="exact"/>
              <w:jc w:val="center"/>
              <w:rPr>
                <w:rFonts w:hint="default" w:ascii="Times New Roman" w:hAnsi="Times New Roman" w:cs="Times New Roman" w:eastAsiaTheme="minorEastAsia"/>
                <w:color w:val="000000" w:themeColor="text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达标</w:t>
            </w:r>
          </w:p>
        </w:tc>
      </w:tr>
      <w:tr w14:paraId="3A3E3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restart"/>
            <w:tcBorders>
              <w:tl2br w:val="nil"/>
              <w:tr2bl w:val="nil"/>
            </w:tcBorders>
            <w:vAlign w:val="center"/>
          </w:tcPr>
          <w:p w14:paraId="452CD73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CO</w:t>
            </w:r>
          </w:p>
        </w:tc>
        <w:tc>
          <w:tcPr>
            <w:tcW w:w="1315" w:type="pct"/>
            <w:tcBorders>
              <w:tl2br w:val="nil"/>
              <w:tr2bl w:val="nil"/>
            </w:tcBorders>
            <w:vAlign w:val="center"/>
          </w:tcPr>
          <w:p w14:paraId="585ADD4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兰干村居民区</w:t>
            </w:r>
          </w:p>
        </w:tc>
        <w:tc>
          <w:tcPr>
            <w:tcW w:w="794" w:type="pct"/>
            <w:tcBorders>
              <w:tl2br w:val="nil"/>
              <w:tr2bl w:val="nil"/>
            </w:tcBorders>
            <w:vAlign w:val="center"/>
          </w:tcPr>
          <w:p w14:paraId="111DFAA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674" w:type="pct"/>
            <w:tcBorders>
              <w:tl2br w:val="nil"/>
              <w:tr2bl w:val="nil"/>
            </w:tcBorders>
            <w:vAlign w:val="center"/>
          </w:tcPr>
          <w:p w14:paraId="52E041C4">
            <w:pPr>
              <w:autoSpaceDE w:val="0"/>
              <w:autoSpaceDN w:val="0"/>
              <w:spacing w:line="300" w:lineRule="exact"/>
              <w:jc w:val="center"/>
              <w:rPr>
                <w:rFonts w:hint="eastAsia" w:eastAsiaTheme="minorEastAsia"/>
                <w:highlight w:val="none"/>
                <w:lang w:eastAsia="zh-CN"/>
              </w:rPr>
            </w:pPr>
            <w:r>
              <w:rPr>
                <w:rFonts w:hint="eastAsia"/>
                <w:highlight w:val="none"/>
              </w:rPr>
              <w:t>0.0</w:t>
            </w:r>
            <w:r>
              <w:rPr>
                <w:rFonts w:hint="eastAsia"/>
                <w:highlight w:val="none"/>
                <w:lang w:val="en-US" w:eastAsia="zh-CN"/>
              </w:rPr>
              <w:t>0</w:t>
            </w:r>
          </w:p>
        </w:tc>
        <w:tc>
          <w:tcPr>
            <w:tcW w:w="644" w:type="pct"/>
            <w:tcBorders>
              <w:tl2br w:val="nil"/>
              <w:tr2bl w:val="nil"/>
            </w:tcBorders>
            <w:vAlign w:val="center"/>
          </w:tcPr>
          <w:p w14:paraId="5B8739B0">
            <w:pPr>
              <w:autoSpaceDE w:val="0"/>
              <w:autoSpaceDN w:val="0"/>
              <w:spacing w:line="300" w:lineRule="exact"/>
              <w:jc w:val="center"/>
              <w:rPr>
                <w:rFonts w:hint="eastAsia"/>
                <w:highlight w:val="none"/>
              </w:rPr>
            </w:pPr>
            <w:r>
              <w:rPr>
                <w:rFonts w:hint="eastAsia"/>
                <w:highlight w:val="none"/>
              </w:rPr>
              <w:t>250409</w:t>
            </w:r>
          </w:p>
        </w:tc>
        <w:tc>
          <w:tcPr>
            <w:tcW w:w="671" w:type="pct"/>
            <w:tcBorders>
              <w:tl2br w:val="nil"/>
              <w:tr2bl w:val="nil"/>
            </w:tcBorders>
            <w:vAlign w:val="center"/>
          </w:tcPr>
          <w:p w14:paraId="7B035C6C">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0.00</w:t>
            </w:r>
          </w:p>
        </w:tc>
        <w:tc>
          <w:tcPr>
            <w:tcW w:w="472" w:type="pct"/>
            <w:tcBorders>
              <w:tl2br w:val="nil"/>
              <w:tr2bl w:val="nil"/>
            </w:tcBorders>
            <w:vAlign w:val="center"/>
          </w:tcPr>
          <w:p w14:paraId="196DE345">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552EC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5023471C">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15" w:type="pct"/>
            <w:tcBorders>
              <w:tl2br w:val="nil"/>
              <w:tr2bl w:val="nil"/>
            </w:tcBorders>
            <w:vAlign w:val="center"/>
          </w:tcPr>
          <w:p w14:paraId="10FABCF2">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萨依巴格村居民区</w:t>
            </w:r>
          </w:p>
        </w:tc>
        <w:tc>
          <w:tcPr>
            <w:tcW w:w="794" w:type="pct"/>
            <w:tcBorders>
              <w:tl2br w:val="nil"/>
              <w:tr2bl w:val="nil"/>
            </w:tcBorders>
            <w:vAlign w:val="center"/>
          </w:tcPr>
          <w:p w14:paraId="03F7F5C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674" w:type="pct"/>
            <w:tcBorders>
              <w:tl2br w:val="nil"/>
              <w:tr2bl w:val="nil"/>
            </w:tcBorders>
            <w:vAlign w:val="center"/>
          </w:tcPr>
          <w:p w14:paraId="25E42EE9">
            <w:pPr>
              <w:autoSpaceDE w:val="0"/>
              <w:autoSpaceDN w:val="0"/>
              <w:spacing w:line="300" w:lineRule="exact"/>
              <w:jc w:val="center"/>
              <w:rPr>
                <w:rFonts w:hint="eastAsia" w:eastAsiaTheme="minorEastAsia"/>
                <w:highlight w:val="none"/>
                <w:lang w:val="en-US" w:eastAsia="zh-CN"/>
              </w:rPr>
            </w:pPr>
            <w:r>
              <w:rPr>
                <w:rFonts w:hint="eastAsia"/>
                <w:highlight w:val="none"/>
              </w:rPr>
              <w:t>0.0</w:t>
            </w:r>
            <w:r>
              <w:rPr>
                <w:rFonts w:hint="eastAsia"/>
                <w:highlight w:val="none"/>
                <w:lang w:val="en-US" w:eastAsia="zh-CN"/>
              </w:rPr>
              <w:t>0</w:t>
            </w:r>
          </w:p>
        </w:tc>
        <w:tc>
          <w:tcPr>
            <w:tcW w:w="644" w:type="pct"/>
            <w:tcBorders>
              <w:tl2br w:val="nil"/>
              <w:tr2bl w:val="nil"/>
            </w:tcBorders>
            <w:vAlign w:val="center"/>
          </w:tcPr>
          <w:p w14:paraId="62DAC387">
            <w:pPr>
              <w:autoSpaceDE w:val="0"/>
              <w:autoSpaceDN w:val="0"/>
              <w:spacing w:line="300" w:lineRule="exact"/>
              <w:jc w:val="center"/>
              <w:rPr>
                <w:rFonts w:hint="eastAsia"/>
                <w:highlight w:val="none"/>
              </w:rPr>
            </w:pPr>
            <w:r>
              <w:rPr>
                <w:rFonts w:hint="eastAsia"/>
                <w:highlight w:val="none"/>
              </w:rPr>
              <w:t>250619</w:t>
            </w:r>
          </w:p>
        </w:tc>
        <w:tc>
          <w:tcPr>
            <w:tcW w:w="671" w:type="pct"/>
            <w:tcBorders>
              <w:tl2br w:val="nil"/>
              <w:tr2bl w:val="nil"/>
            </w:tcBorders>
            <w:vAlign w:val="center"/>
          </w:tcPr>
          <w:p w14:paraId="5A5F110E">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0.00</w:t>
            </w:r>
          </w:p>
        </w:tc>
        <w:tc>
          <w:tcPr>
            <w:tcW w:w="472" w:type="pct"/>
            <w:tcBorders>
              <w:tl2br w:val="nil"/>
              <w:tr2bl w:val="nil"/>
            </w:tcBorders>
            <w:vAlign w:val="center"/>
          </w:tcPr>
          <w:p w14:paraId="011159F0">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4D4D0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6224F62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15" w:type="pct"/>
            <w:tcBorders>
              <w:tl2br w:val="nil"/>
              <w:tr2bl w:val="nil"/>
            </w:tcBorders>
            <w:vAlign w:val="center"/>
          </w:tcPr>
          <w:p w14:paraId="5A0F428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帕特曼喀什村居民区</w:t>
            </w:r>
          </w:p>
        </w:tc>
        <w:tc>
          <w:tcPr>
            <w:tcW w:w="794" w:type="pct"/>
            <w:tcBorders>
              <w:tl2br w:val="nil"/>
              <w:tr2bl w:val="nil"/>
            </w:tcBorders>
            <w:vAlign w:val="center"/>
          </w:tcPr>
          <w:p w14:paraId="3AE666A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674" w:type="pct"/>
            <w:tcBorders>
              <w:tl2br w:val="nil"/>
              <w:tr2bl w:val="nil"/>
            </w:tcBorders>
            <w:vAlign w:val="center"/>
          </w:tcPr>
          <w:p w14:paraId="4DFFEC0E">
            <w:pPr>
              <w:autoSpaceDE w:val="0"/>
              <w:autoSpaceDN w:val="0"/>
              <w:spacing w:line="300" w:lineRule="exact"/>
              <w:jc w:val="center"/>
              <w:rPr>
                <w:rFonts w:hint="eastAsia" w:eastAsiaTheme="minorEastAsia"/>
                <w:highlight w:val="none"/>
                <w:lang w:eastAsia="zh-CN"/>
              </w:rPr>
            </w:pPr>
            <w:r>
              <w:rPr>
                <w:rFonts w:hint="eastAsia"/>
                <w:highlight w:val="none"/>
              </w:rPr>
              <w:t>0.0</w:t>
            </w:r>
            <w:r>
              <w:rPr>
                <w:rFonts w:hint="eastAsia"/>
                <w:highlight w:val="none"/>
                <w:lang w:val="en-US" w:eastAsia="zh-CN"/>
              </w:rPr>
              <w:t>0</w:t>
            </w:r>
          </w:p>
        </w:tc>
        <w:tc>
          <w:tcPr>
            <w:tcW w:w="644" w:type="pct"/>
            <w:tcBorders>
              <w:tl2br w:val="nil"/>
              <w:tr2bl w:val="nil"/>
            </w:tcBorders>
            <w:vAlign w:val="center"/>
          </w:tcPr>
          <w:p w14:paraId="657DA941">
            <w:pPr>
              <w:autoSpaceDE w:val="0"/>
              <w:autoSpaceDN w:val="0"/>
              <w:spacing w:line="300" w:lineRule="exact"/>
              <w:jc w:val="center"/>
              <w:rPr>
                <w:rFonts w:hint="eastAsia"/>
                <w:highlight w:val="none"/>
              </w:rPr>
            </w:pPr>
            <w:r>
              <w:rPr>
                <w:rFonts w:hint="eastAsia"/>
                <w:highlight w:val="none"/>
              </w:rPr>
              <w:t>251215</w:t>
            </w:r>
          </w:p>
        </w:tc>
        <w:tc>
          <w:tcPr>
            <w:tcW w:w="671" w:type="pct"/>
            <w:tcBorders>
              <w:tl2br w:val="nil"/>
              <w:tr2bl w:val="nil"/>
            </w:tcBorders>
            <w:vAlign w:val="center"/>
          </w:tcPr>
          <w:p w14:paraId="5D46FBD5">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0.00</w:t>
            </w:r>
          </w:p>
        </w:tc>
        <w:tc>
          <w:tcPr>
            <w:tcW w:w="472" w:type="pct"/>
            <w:tcBorders>
              <w:tl2br w:val="nil"/>
              <w:tr2bl w:val="nil"/>
            </w:tcBorders>
            <w:vAlign w:val="center"/>
          </w:tcPr>
          <w:p w14:paraId="2B342CAA">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7556A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7A1DBB56">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15" w:type="pct"/>
            <w:tcBorders>
              <w:tl2br w:val="nil"/>
              <w:tr2bl w:val="nil"/>
            </w:tcBorders>
            <w:vAlign w:val="center"/>
          </w:tcPr>
          <w:p w14:paraId="201C46D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网格</w:t>
            </w:r>
          </w:p>
        </w:tc>
        <w:tc>
          <w:tcPr>
            <w:tcW w:w="794" w:type="pct"/>
            <w:tcBorders>
              <w:tl2br w:val="nil"/>
              <w:tr2bl w:val="nil"/>
            </w:tcBorders>
            <w:vAlign w:val="center"/>
          </w:tcPr>
          <w:p w14:paraId="014A259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674" w:type="pct"/>
            <w:tcBorders>
              <w:tl2br w:val="nil"/>
              <w:tr2bl w:val="nil"/>
            </w:tcBorders>
            <w:vAlign w:val="center"/>
          </w:tcPr>
          <w:p w14:paraId="6F32D515">
            <w:pPr>
              <w:autoSpaceDE w:val="0"/>
              <w:autoSpaceDN w:val="0"/>
              <w:spacing w:line="300" w:lineRule="exact"/>
              <w:jc w:val="center"/>
              <w:rPr>
                <w:rFonts w:hint="default" w:eastAsiaTheme="minorEastAsia"/>
                <w:highlight w:val="none"/>
                <w:lang w:val="en-US" w:eastAsia="zh-CN"/>
              </w:rPr>
            </w:pPr>
            <w:r>
              <w:rPr>
                <w:rFonts w:hint="eastAsia"/>
                <w:highlight w:val="none"/>
              </w:rPr>
              <w:t>0.</w:t>
            </w:r>
            <w:r>
              <w:rPr>
                <w:rFonts w:hint="eastAsia"/>
                <w:highlight w:val="none"/>
                <w:lang w:val="en-US" w:eastAsia="zh-CN"/>
              </w:rPr>
              <w:t>00</w:t>
            </w:r>
          </w:p>
        </w:tc>
        <w:tc>
          <w:tcPr>
            <w:tcW w:w="644" w:type="pct"/>
            <w:tcBorders>
              <w:tl2br w:val="nil"/>
              <w:tr2bl w:val="nil"/>
            </w:tcBorders>
            <w:vAlign w:val="center"/>
          </w:tcPr>
          <w:p w14:paraId="18C70E59">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250927</w:t>
            </w:r>
          </w:p>
        </w:tc>
        <w:tc>
          <w:tcPr>
            <w:tcW w:w="671" w:type="pct"/>
            <w:tcBorders>
              <w:tl2br w:val="nil"/>
              <w:tr2bl w:val="nil"/>
            </w:tcBorders>
            <w:vAlign w:val="center"/>
          </w:tcPr>
          <w:p w14:paraId="7A84B969">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0.02</w:t>
            </w:r>
          </w:p>
        </w:tc>
        <w:tc>
          <w:tcPr>
            <w:tcW w:w="472" w:type="pct"/>
            <w:tcBorders>
              <w:tl2br w:val="nil"/>
              <w:tr2bl w:val="nil"/>
            </w:tcBorders>
            <w:vAlign w:val="center"/>
          </w:tcPr>
          <w:p w14:paraId="34C5BCD6">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1299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restart"/>
            <w:tcBorders>
              <w:tl2br w:val="nil"/>
              <w:tr2bl w:val="nil"/>
            </w:tcBorders>
            <w:vAlign w:val="center"/>
          </w:tcPr>
          <w:p w14:paraId="6BE4CD8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HCl</w:t>
            </w:r>
          </w:p>
        </w:tc>
        <w:tc>
          <w:tcPr>
            <w:tcW w:w="1315" w:type="pct"/>
            <w:tcBorders>
              <w:tl2br w:val="nil"/>
              <w:tr2bl w:val="nil"/>
            </w:tcBorders>
            <w:vAlign w:val="center"/>
          </w:tcPr>
          <w:p w14:paraId="0141A82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兰干村居民区</w:t>
            </w:r>
          </w:p>
        </w:tc>
        <w:tc>
          <w:tcPr>
            <w:tcW w:w="794" w:type="pct"/>
            <w:tcBorders>
              <w:tl2br w:val="nil"/>
              <w:tr2bl w:val="nil"/>
            </w:tcBorders>
            <w:vAlign w:val="center"/>
          </w:tcPr>
          <w:p w14:paraId="24E5CFE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674" w:type="pct"/>
            <w:tcBorders>
              <w:tl2br w:val="nil"/>
              <w:tr2bl w:val="nil"/>
            </w:tcBorders>
            <w:vAlign w:val="center"/>
          </w:tcPr>
          <w:p w14:paraId="7CF889D0">
            <w:pPr>
              <w:autoSpaceDE w:val="0"/>
              <w:autoSpaceDN w:val="0"/>
              <w:spacing w:line="300" w:lineRule="exact"/>
              <w:jc w:val="center"/>
              <w:rPr>
                <w:rFonts w:hint="eastAsia"/>
                <w:highlight w:val="none"/>
              </w:rPr>
            </w:pPr>
            <w:r>
              <w:rPr>
                <w:rFonts w:hint="eastAsia"/>
                <w:highlight w:val="none"/>
              </w:rPr>
              <w:t>0.00</w:t>
            </w:r>
          </w:p>
        </w:tc>
        <w:tc>
          <w:tcPr>
            <w:tcW w:w="644" w:type="pct"/>
            <w:tcBorders>
              <w:tl2br w:val="nil"/>
              <w:tr2bl w:val="nil"/>
            </w:tcBorders>
            <w:vAlign w:val="center"/>
          </w:tcPr>
          <w:p w14:paraId="21A9A388">
            <w:pPr>
              <w:autoSpaceDE w:val="0"/>
              <w:autoSpaceDN w:val="0"/>
              <w:spacing w:line="300" w:lineRule="exact"/>
              <w:jc w:val="center"/>
              <w:rPr>
                <w:rFonts w:hint="eastAsia"/>
                <w:highlight w:val="none"/>
              </w:rPr>
            </w:pPr>
            <w:r>
              <w:rPr>
                <w:rFonts w:hint="eastAsia"/>
                <w:highlight w:val="none"/>
              </w:rPr>
              <w:t>250409</w:t>
            </w:r>
          </w:p>
        </w:tc>
        <w:tc>
          <w:tcPr>
            <w:tcW w:w="671" w:type="pct"/>
            <w:tcBorders>
              <w:tl2br w:val="nil"/>
              <w:tr2bl w:val="nil"/>
            </w:tcBorders>
            <w:vAlign w:val="center"/>
          </w:tcPr>
          <w:p w14:paraId="5AC54E6C">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0.00</w:t>
            </w:r>
          </w:p>
        </w:tc>
        <w:tc>
          <w:tcPr>
            <w:tcW w:w="472" w:type="pct"/>
            <w:tcBorders>
              <w:tl2br w:val="nil"/>
              <w:tr2bl w:val="nil"/>
            </w:tcBorders>
            <w:vAlign w:val="center"/>
          </w:tcPr>
          <w:p w14:paraId="35D9642B">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48C1D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426" w:type="pct"/>
            <w:vMerge w:val="continue"/>
            <w:tcBorders>
              <w:tl2br w:val="nil"/>
              <w:tr2bl w:val="nil"/>
            </w:tcBorders>
            <w:vAlign w:val="center"/>
          </w:tcPr>
          <w:p w14:paraId="2627AC59">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tcBorders>
              <w:tl2br w:val="nil"/>
              <w:tr2bl w:val="nil"/>
            </w:tcBorders>
            <w:vAlign w:val="center"/>
          </w:tcPr>
          <w:p w14:paraId="6780024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萨依巴格村居民区</w:t>
            </w:r>
          </w:p>
        </w:tc>
        <w:tc>
          <w:tcPr>
            <w:tcW w:w="794" w:type="pct"/>
            <w:tcBorders>
              <w:tl2br w:val="nil"/>
              <w:tr2bl w:val="nil"/>
            </w:tcBorders>
            <w:vAlign w:val="center"/>
          </w:tcPr>
          <w:p w14:paraId="72CDC16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674" w:type="pct"/>
            <w:tcBorders>
              <w:tl2br w:val="nil"/>
              <w:tr2bl w:val="nil"/>
            </w:tcBorders>
            <w:vAlign w:val="center"/>
          </w:tcPr>
          <w:p w14:paraId="310E691F">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1.5×10</w:t>
            </w:r>
            <w:r>
              <w:rPr>
                <w:rFonts w:hint="eastAsia"/>
                <w:highlight w:val="none"/>
                <w:vertAlign w:val="superscript"/>
                <w:lang w:val="en-US" w:eastAsia="zh-CN"/>
              </w:rPr>
              <w:t>-3</w:t>
            </w:r>
          </w:p>
        </w:tc>
        <w:tc>
          <w:tcPr>
            <w:tcW w:w="644" w:type="pct"/>
            <w:tcBorders>
              <w:tl2br w:val="nil"/>
              <w:tr2bl w:val="nil"/>
            </w:tcBorders>
            <w:vAlign w:val="center"/>
          </w:tcPr>
          <w:p w14:paraId="0196F0DA">
            <w:pPr>
              <w:autoSpaceDE w:val="0"/>
              <w:autoSpaceDN w:val="0"/>
              <w:spacing w:line="300" w:lineRule="exact"/>
              <w:jc w:val="center"/>
              <w:rPr>
                <w:rFonts w:hint="eastAsia"/>
                <w:highlight w:val="none"/>
              </w:rPr>
            </w:pPr>
            <w:r>
              <w:rPr>
                <w:rFonts w:hint="eastAsia"/>
                <w:highlight w:val="none"/>
              </w:rPr>
              <w:t>250619</w:t>
            </w:r>
          </w:p>
        </w:tc>
        <w:tc>
          <w:tcPr>
            <w:tcW w:w="671" w:type="pct"/>
            <w:tcBorders>
              <w:tl2br w:val="nil"/>
              <w:tr2bl w:val="nil"/>
            </w:tcBorders>
            <w:vAlign w:val="center"/>
          </w:tcPr>
          <w:p w14:paraId="265F1A08">
            <w:pPr>
              <w:autoSpaceDE w:val="0"/>
              <w:autoSpaceDN w:val="0"/>
              <w:spacing w:line="300" w:lineRule="exact"/>
              <w:jc w:val="center"/>
              <w:rPr>
                <w:rFonts w:hint="eastAsia"/>
                <w:highlight w:val="none"/>
              </w:rPr>
            </w:pPr>
            <w:r>
              <w:rPr>
                <w:rFonts w:hint="eastAsia"/>
                <w:highlight w:val="none"/>
              </w:rPr>
              <w:t>0.01</w:t>
            </w:r>
          </w:p>
        </w:tc>
        <w:tc>
          <w:tcPr>
            <w:tcW w:w="472" w:type="pct"/>
            <w:tcBorders>
              <w:tl2br w:val="nil"/>
              <w:tr2bl w:val="nil"/>
            </w:tcBorders>
            <w:vAlign w:val="center"/>
          </w:tcPr>
          <w:p w14:paraId="3AE46FB9">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45169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65931383">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tcBorders>
              <w:tl2br w:val="nil"/>
              <w:tr2bl w:val="nil"/>
            </w:tcBorders>
            <w:vAlign w:val="center"/>
          </w:tcPr>
          <w:p w14:paraId="2AD068A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帕特曼喀什村居民区</w:t>
            </w:r>
          </w:p>
        </w:tc>
        <w:tc>
          <w:tcPr>
            <w:tcW w:w="794" w:type="pct"/>
            <w:tcBorders>
              <w:tl2br w:val="nil"/>
              <w:tr2bl w:val="nil"/>
            </w:tcBorders>
            <w:vAlign w:val="center"/>
          </w:tcPr>
          <w:p w14:paraId="181904A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674" w:type="pct"/>
            <w:tcBorders>
              <w:tl2br w:val="nil"/>
              <w:tr2bl w:val="nil"/>
            </w:tcBorders>
            <w:vAlign w:val="center"/>
          </w:tcPr>
          <w:p w14:paraId="50CF7095">
            <w:pPr>
              <w:autoSpaceDE w:val="0"/>
              <w:autoSpaceDN w:val="0"/>
              <w:spacing w:line="300" w:lineRule="exact"/>
              <w:jc w:val="center"/>
              <w:rPr>
                <w:rFonts w:hint="eastAsia"/>
                <w:highlight w:val="none"/>
              </w:rPr>
            </w:pPr>
            <w:r>
              <w:rPr>
                <w:rFonts w:hint="eastAsia"/>
                <w:highlight w:val="none"/>
                <w:lang w:val="en-US" w:eastAsia="zh-CN"/>
              </w:rPr>
              <w:t>1.5×10</w:t>
            </w:r>
            <w:r>
              <w:rPr>
                <w:rFonts w:hint="eastAsia"/>
                <w:highlight w:val="none"/>
                <w:vertAlign w:val="superscript"/>
                <w:lang w:val="en-US" w:eastAsia="zh-CN"/>
              </w:rPr>
              <w:t>-3</w:t>
            </w:r>
          </w:p>
        </w:tc>
        <w:tc>
          <w:tcPr>
            <w:tcW w:w="644" w:type="pct"/>
            <w:tcBorders>
              <w:tl2br w:val="nil"/>
              <w:tr2bl w:val="nil"/>
            </w:tcBorders>
            <w:vAlign w:val="center"/>
          </w:tcPr>
          <w:p w14:paraId="6901E554">
            <w:pPr>
              <w:autoSpaceDE w:val="0"/>
              <w:autoSpaceDN w:val="0"/>
              <w:spacing w:line="300" w:lineRule="exact"/>
              <w:jc w:val="center"/>
              <w:rPr>
                <w:rFonts w:hint="eastAsia"/>
                <w:highlight w:val="none"/>
              </w:rPr>
            </w:pPr>
            <w:r>
              <w:rPr>
                <w:rFonts w:hint="eastAsia"/>
                <w:highlight w:val="none"/>
              </w:rPr>
              <w:t>251215</w:t>
            </w:r>
          </w:p>
        </w:tc>
        <w:tc>
          <w:tcPr>
            <w:tcW w:w="671" w:type="pct"/>
            <w:tcBorders>
              <w:tl2br w:val="nil"/>
              <w:tr2bl w:val="nil"/>
            </w:tcBorders>
            <w:vAlign w:val="center"/>
          </w:tcPr>
          <w:p w14:paraId="603406DF">
            <w:pPr>
              <w:autoSpaceDE w:val="0"/>
              <w:autoSpaceDN w:val="0"/>
              <w:spacing w:line="300" w:lineRule="exact"/>
              <w:jc w:val="center"/>
              <w:rPr>
                <w:rFonts w:hint="eastAsia"/>
                <w:highlight w:val="none"/>
              </w:rPr>
            </w:pPr>
            <w:r>
              <w:rPr>
                <w:rFonts w:hint="eastAsia"/>
                <w:highlight w:val="none"/>
              </w:rPr>
              <w:t>0.01</w:t>
            </w:r>
          </w:p>
        </w:tc>
        <w:tc>
          <w:tcPr>
            <w:tcW w:w="472" w:type="pct"/>
            <w:tcBorders>
              <w:tl2br w:val="nil"/>
              <w:tr2bl w:val="nil"/>
            </w:tcBorders>
            <w:vAlign w:val="center"/>
          </w:tcPr>
          <w:p w14:paraId="0B47A4A4">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677F3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377BA9A9">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tcBorders>
              <w:tl2br w:val="nil"/>
              <w:tr2bl w:val="nil"/>
            </w:tcBorders>
            <w:vAlign w:val="center"/>
          </w:tcPr>
          <w:p w14:paraId="3F87492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网格</w:t>
            </w:r>
          </w:p>
        </w:tc>
        <w:tc>
          <w:tcPr>
            <w:tcW w:w="794" w:type="pct"/>
            <w:tcBorders>
              <w:tl2br w:val="nil"/>
              <w:tr2bl w:val="nil"/>
            </w:tcBorders>
            <w:vAlign w:val="center"/>
          </w:tcPr>
          <w:p w14:paraId="44917F5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674" w:type="pct"/>
            <w:tcBorders>
              <w:tl2br w:val="nil"/>
              <w:tr2bl w:val="nil"/>
            </w:tcBorders>
            <w:vAlign w:val="center"/>
          </w:tcPr>
          <w:p w14:paraId="1FC3DA8E">
            <w:pPr>
              <w:autoSpaceDE w:val="0"/>
              <w:autoSpaceDN w:val="0"/>
              <w:spacing w:line="300" w:lineRule="exact"/>
              <w:jc w:val="center"/>
              <w:rPr>
                <w:rFonts w:hint="eastAsia"/>
                <w:highlight w:val="none"/>
              </w:rPr>
            </w:pPr>
            <w:r>
              <w:rPr>
                <w:rFonts w:hint="eastAsia"/>
                <w:highlight w:val="none"/>
              </w:rPr>
              <w:t>0.06</w:t>
            </w:r>
          </w:p>
        </w:tc>
        <w:tc>
          <w:tcPr>
            <w:tcW w:w="644" w:type="pct"/>
            <w:tcBorders>
              <w:tl2br w:val="nil"/>
              <w:tr2bl w:val="nil"/>
            </w:tcBorders>
            <w:vAlign w:val="center"/>
          </w:tcPr>
          <w:p w14:paraId="64DB192C">
            <w:pPr>
              <w:autoSpaceDE w:val="0"/>
              <w:autoSpaceDN w:val="0"/>
              <w:spacing w:line="300" w:lineRule="exact"/>
              <w:jc w:val="center"/>
              <w:rPr>
                <w:rFonts w:hint="eastAsia"/>
                <w:highlight w:val="none"/>
              </w:rPr>
            </w:pPr>
            <w:r>
              <w:rPr>
                <w:rFonts w:hint="eastAsia"/>
                <w:highlight w:val="none"/>
                <w:lang w:val="en-US" w:eastAsia="zh-CN"/>
              </w:rPr>
              <w:t>250927</w:t>
            </w:r>
          </w:p>
        </w:tc>
        <w:tc>
          <w:tcPr>
            <w:tcW w:w="671" w:type="pct"/>
            <w:tcBorders>
              <w:tl2br w:val="nil"/>
              <w:tr2bl w:val="nil"/>
            </w:tcBorders>
            <w:vAlign w:val="center"/>
          </w:tcPr>
          <w:p w14:paraId="1ACFC7E4">
            <w:pPr>
              <w:autoSpaceDE w:val="0"/>
              <w:autoSpaceDN w:val="0"/>
              <w:spacing w:line="300" w:lineRule="exact"/>
              <w:jc w:val="center"/>
              <w:rPr>
                <w:rFonts w:hint="eastAsia"/>
                <w:highlight w:val="none"/>
              </w:rPr>
            </w:pPr>
            <w:r>
              <w:rPr>
                <w:rFonts w:hint="eastAsia"/>
                <w:highlight w:val="none"/>
              </w:rPr>
              <w:t>0.39</w:t>
            </w:r>
          </w:p>
        </w:tc>
        <w:tc>
          <w:tcPr>
            <w:tcW w:w="472" w:type="pct"/>
            <w:tcBorders>
              <w:tl2br w:val="nil"/>
              <w:tr2bl w:val="nil"/>
            </w:tcBorders>
            <w:vAlign w:val="center"/>
          </w:tcPr>
          <w:p w14:paraId="256D355D">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606D1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restart"/>
            <w:tcBorders>
              <w:tl2br w:val="nil"/>
              <w:tr2bl w:val="nil"/>
            </w:tcBorders>
            <w:vAlign w:val="center"/>
          </w:tcPr>
          <w:p w14:paraId="442F892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Hg</w:t>
            </w:r>
          </w:p>
        </w:tc>
        <w:tc>
          <w:tcPr>
            <w:tcW w:w="1315" w:type="pct"/>
            <w:tcBorders>
              <w:tl2br w:val="nil"/>
              <w:tr2bl w:val="nil"/>
            </w:tcBorders>
            <w:shd w:val="clear" w:color="auto" w:fill="auto"/>
            <w:vAlign w:val="center"/>
          </w:tcPr>
          <w:p w14:paraId="49B20E99">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en-US" w:bidi="ar-SA"/>
              </w:rPr>
            </w:pPr>
            <w:r>
              <w:rPr>
                <w:rFonts w:hint="eastAsia" w:ascii="Times New Roman" w:hAnsi="Times New Roman" w:cs="Times New Roman"/>
                <w:szCs w:val="21"/>
                <w:highlight w:val="none"/>
                <w:lang w:val="en-US" w:eastAsia="zh-CN"/>
              </w:rPr>
              <w:t>兰干村居民区</w:t>
            </w:r>
          </w:p>
        </w:tc>
        <w:tc>
          <w:tcPr>
            <w:tcW w:w="794" w:type="pct"/>
            <w:tcBorders>
              <w:tl2br w:val="nil"/>
              <w:tr2bl w:val="nil"/>
            </w:tcBorders>
            <w:vAlign w:val="center"/>
          </w:tcPr>
          <w:p w14:paraId="3E1D8288">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default" w:ascii="Times New Roman" w:hAnsi="Times New Roman" w:cs="Times New Roman" w:eastAsiaTheme="minorEastAsia"/>
                <w:szCs w:val="21"/>
                <w:highlight w:val="none"/>
                <w:lang w:val="en-US" w:eastAsia="zh-CN"/>
              </w:rPr>
              <w:t>年平均</w:t>
            </w:r>
          </w:p>
        </w:tc>
        <w:tc>
          <w:tcPr>
            <w:tcW w:w="674" w:type="pct"/>
            <w:tcBorders>
              <w:tl2br w:val="nil"/>
              <w:tr2bl w:val="nil"/>
            </w:tcBorders>
            <w:vAlign w:val="center"/>
          </w:tcPr>
          <w:p w14:paraId="69A35FB5">
            <w:pPr>
              <w:autoSpaceDE w:val="0"/>
              <w:autoSpaceDN w:val="0"/>
              <w:spacing w:line="300" w:lineRule="exact"/>
              <w:jc w:val="center"/>
              <w:rPr>
                <w:rFonts w:hint="eastAsia"/>
                <w:highlight w:val="yellow"/>
              </w:rPr>
            </w:pPr>
            <w:r>
              <w:rPr>
                <w:rFonts w:hint="eastAsia"/>
                <w:highlight w:val="none"/>
              </w:rPr>
              <w:t>0.00</w:t>
            </w:r>
          </w:p>
        </w:tc>
        <w:tc>
          <w:tcPr>
            <w:tcW w:w="644" w:type="pct"/>
            <w:tcBorders>
              <w:tl2br w:val="nil"/>
              <w:tr2bl w:val="nil"/>
            </w:tcBorders>
            <w:vAlign w:val="center"/>
          </w:tcPr>
          <w:p w14:paraId="73BB3EA2">
            <w:pPr>
              <w:autoSpaceDE w:val="0"/>
              <w:autoSpaceDN w:val="0"/>
              <w:spacing w:line="300" w:lineRule="exact"/>
              <w:jc w:val="center"/>
              <w:rPr>
                <w:rFonts w:hint="eastAsia"/>
                <w:highlight w:val="yellow"/>
              </w:rPr>
            </w:pPr>
            <w:r>
              <w:rPr>
                <w:rFonts w:hint="eastAsia"/>
                <w:highlight w:val="none"/>
              </w:rPr>
              <w:t>平均值</w:t>
            </w:r>
          </w:p>
        </w:tc>
        <w:tc>
          <w:tcPr>
            <w:tcW w:w="671" w:type="pct"/>
            <w:tcBorders>
              <w:tl2br w:val="nil"/>
              <w:tr2bl w:val="nil"/>
            </w:tcBorders>
            <w:vAlign w:val="center"/>
          </w:tcPr>
          <w:p w14:paraId="7D480CAC">
            <w:pPr>
              <w:autoSpaceDE w:val="0"/>
              <w:autoSpaceDN w:val="0"/>
              <w:spacing w:line="300" w:lineRule="exact"/>
              <w:jc w:val="center"/>
              <w:rPr>
                <w:rFonts w:hint="eastAsia"/>
                <w:highlight w:val="yellow"/>
              </w:rPr>
            </w:pPr>
            <w:r>
              <w:rPr>
                <w:rFonts w:hint="eastAsia"/>
                <w:highlight w:val="none"/>
              </w:rPr>
              <w:t>0.00</w:t>
            </w:r>
          </w:p>
        </w:tc>
        <w:tc>
          <w:tcPr>
            <w:tcW w:w="472" w:type="pct"/>
            <w:tcBorders>
              <w:tl2br w:val="nil"/>
              <w:tr2bl w:val="nil"/>
            </w:tcBorders>
            <w:vAlign w:val="center"/>
          </w:tcPr>
          <w:p w14:paraId="5C54404D">
            <w:pPr>
              <w:autoSpaceDE w:val="0"/>
              <w:autoSpaceDN w:val="0"/>
              <w:spacing w:line="300" w:lineRule="exact"/>
              <w:jc w:val="center"/>
              <w:rPr>
                <w:rFonts w:hint="default" w:ascii="Times New Roman" w:hAnsi="Times New Roman" w:cs="Times New Roman" w:eastAsiaTheme="minorEastAsia"/>
                <w:highlight w:val="yellow"/>
              </w:rPr>
            </w:pPr>
            <w:r>
              <w:rPr>
                <w:rFonts w:hint="default" w:ascii="Times New Roman" w:hAnsi="Times New Roman" w:cs="Times New Roman" w:eastAsiaTheme="minorEastAsia"/>
                <w:highlight w:val="none"/>
              </w:rPr>
              <w:t>达标</w:t>
            </w:r>
          </w:p>
        </w:tc>
      </w:tr>
      <w:tr w14:paraId="01B00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5A12988F">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tcBorders>
              <w:tl2br w:val="nil"/>
              <w:tr2bl w:val="nil"/>
            </w:tcBorders>
            <w:shd w:val="clear" w:color="auto" w:fill="auto"/>
            <w:vAlign w:val="center"/>
          </w:tcPr>
          <w:p w14:paraId="567CA547">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en-US" w:bidi="ar-SA"/>
              </w:rPr>
            </w:pPr>
            <w:r>
              <w:rPr>
                <w:rFonts w:hint="eastAsia" w:ascii="Times New Roman" w:hAnsi="Times New Roman" w:cs="Times New Roman"/>
                <w:szCs w:val="21"/>
                <w:highlight w:val="none"/>
                <w:lang w:val="en-US" w:eastAsia="zh-CN"/>
              </w:rPr>
              <w:t>萨依巴格村居民区</w:t>
            </w:r>
          </w:p>
        </w:tc>
        <w:tc>
          <w:tcPr>
            <w:tcW w:w="794" w:type="pct"/>
            <w:tcBorders>
              <w:tl2br w:val="nil"/>
              <w:tr2bl w:val="nil"/>
            </w:tcBorders>
            <w:vAlign w:val="center"/>
          </w:tcPr>
          <w:p w14:paraId="6B123728">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default" w:ascii="Times New Roman" w:hAnsi="Times New Roman" w:cs="Times New Roman" w:eastAsiaTheme="minorEastAsia"/>
                <w:szCs w:val="21"/>
                <w:highlight w:val="none"/>
                <w:lang w:val="en-US" w:eastAsia="zh-CN"/>
              </w:rPr>
              <w:t>年平均</w:t>
            </w:r>
          </w:p>
        </w:tc>
        <w:tc>
          <w:tcPr>
            <w:tcW w:w="674" w:type="pct"/>
            <w:tcBorders>
              <w:tl2br w:val="nil"/>
              <w:tr2bl w:val="nil"/>
            </w:tcBorders>
            <w:vAlign w:val="center"/>
          </w:tcPr>
          <w:p w14:paraId="667836DF">
            <w:pPr>
              <w:autoSpaceDE w:val="0"/>
              <w:autoSpaceDN w:val="0"/>
              <w:spacing w:line="300" w:lineRule="exact"/>
              <w:jc w:val="center"/>
              <w:rPr>
                <w:rFonts w:hint="eastAsia"/>
                <w:highlight w:val="yellow"/>
              </w:rPr>
            </w:pPr>
            <w:r>
              <w:rPr>
                <w:rFonts w:hint="eastAsia"/>
                <w:highlight w:val="none"/>
              </w:rPr>
              <w:t>0.00</w:t>
            </w:r>
          </w:p>
        </w:tc>
        <w:tc>
          <w:tcPr>
            <w:tcW w:w="644" w:type="pct"/>
            <w:tcBorders>
              <w:tl2br w:val="nil"/>
              <w:tr2bl w:val="nil"/>
            </w:tcBorders>
            <w:vAlign w:val="center"/>
          </w:tcPr>
          <w:p w14:paraId="0AF2BA81">
            <w:pPr>
              <w:autoSpaceDE w:val="0"/>
              <w:autoSpaceDN w:val="0"/>
              <w:spacing w:line="300" w:lineRule="exact"/>
              <w:jc w:val="center"/>
              <w:rPr>
                <w:rFonts w:hint="eastAsia"/>
                <w:highlight w:val="yellow"/>
              </w:rPr>
            </w:pPr>
            <w:r>
              <w:rPr>
                <w:rFonts w:hint="eastAsia"/>
                <w:highlight w:val="none"/>
              </w:rPr>
              <w:t>平均值</w:t>
            </w:r>
          </w:p>
        </w:tc>
        <w:tc>
          <w:tcPr>
            <w:tcW w:w="671" w:type="pct"/>
            <w:tcBorders>
              <w:tl2br w:val="nil"/>
              <w:tr2bl w:val="nil"/>
            </w:tcBorders>
            <w:vAlign w:val="center"/>
          </w:tcPr>
          <w:p w14:paraId="2A72CD11">
            <w:pPr>
              <w:autoSpaceDE w:val="0"/>
              <w:autoSpaceDN w:val="0"/>
              <w:spacing w:line="300" w:lineRule="exact"/>
              <w:jc w:val="center"/>
              <w:rPr>
                <w:rFonts w:hint="eastAsia"/>
                <w:highlight w:val="yellow"/>
              </w:rPr>
            </w:pPr>
            <w:r>
              <w:rPr>
                <w:rFonts w:hint="eastAsia"/>
                <w:highlight w:val="none"/>
              </w:rPr>
              <w:t>0.00</w:t>
            </w:r>
          </w:p>
        </w:tc>
        <w:tc>
          <w:tcPr>
            <w:tcW w:w="472" w:type="pct"/>
            <w:tcBorders>
              <w:tl2br w:val="nil"/>
              <w:tr2bl w:val="nil"/>
            </w:tcBorders>
            <w:vAlign w:val="center"/>
          </w:tcPr>
          <w:p w14:paraId="6FB7602C">
            <w:pPr>
              <w:autoSpaceDE w:val="0"/>
              <w:autoSpaceDN w:val="0"/>
              <w:spacing w:line="300" w:lineRule="exact"/>
              <w:jc w:val="center"/>
              <w:rPr>
                <w:rFonts w:hint="default" w:ascii="Times New Roman" w:hAnsi="Times New Roman" w:cs="Times New Roman" w:eastAsiaTheme="minorEastAsia"/>
                <w:highlight w:val="yellow"/>
              </w:rPr>
            </w:pPr>
            <w:r>
              <w:rPr>
                <w:rFonts w:hint="default" w:ascii="Times New Roman" w:hAnsi="Times New Roman" w:cs="Times New Roman" w:eastAsiaTheme="minorEastAsia"/>
                <w:highlight w:val="none"/>
              </w:rPr>
              <w:t>达标</w:t>
            </w:r>
          </w:p>
        </w:tc>
      </w:tr>
      <w:tr w14:paraId="5D605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7E7DB6B1">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tcBorders>
              <w:tl2br w:val="nil"/>
              <w:tr2bl w:val="nil"/>
            </w:tcBorders>
            <w:shd w:val="clear" w:color="auto" w:fill="auto"/>
            <w:vAlign w:val="center"/>
          </w:tcPr>
          <w:p w14:paraId="2A07F359">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en-US" w:bidi="ar-SA"/>
              </w:rPr>
            </w:pPr>
            <w:r>
              <w:rPr>
                <w:rFonts w:hint="eastAsia" w:ascii="Times New Roman" w:hAnsi="Times New Roman" w:cs="Times New Roman"/>
                <w:szCs w:val="21"/>
                <w:highlight w:val="none"/>
                <w:lang w:val="en-US" w:eastAsia="zh-CN"/>
              </w:rPr>
              <w:t>帕特曼喀什村居民区</w:t>
            </w:r>
          </w:p>
        </w:tc>
        <w:tc>
          <w:tcPr>
            <w:tcW w:w="794" w:type="pct"/>
            <w:tcBorders>
              <w:tl2br w:val="nil"/>
              <w:tr2bl w:val="nil"/>
            </w:tcBorders>
            <w:vAlign w:val="center"/>
          </w:tcPr>
          <w:p w14:paraId="1B346BA1">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default" w:ascii="Times New Roman" w:hAnsi="Times New Roman" w:cs="Times New Roman" w:eastAsiaTheme="minorEastAsia"/>
                <w:szCs w:val="21"/>
                <w:highlight w:val="none"/>
                <w:lang w:val="en-US" w:eastAsia="zh-CN"/>
              </w:rPr>
              <w:t>年平均</w:t>
            </w:r>
          </w:p>
        </w:tc>
        <w:tc>
          <w:tcPr>
            <w:tcW w:w="674" w:type="pct"/>
            <w:tcBorders>
              <w:tl2br w:val="nil"/>
              <w:tr2bl w:val="nil"/>
            </w:tcBorders>
            <w:vAlign w:val="center"/>
          </w:tcPr>
          <w:p w14:paraId="6AE7BB67">
            <w:pPr>
              <w:autoSpaceDE w:val="0"/>
              <w:autoSpaceDN w:val="0"/>
              <w:spacing w:line="300" w:lineRule="exact"/>
              <w:jc w:val="center"/>
              <w:rPr>
                <w:rFonts w:hint="eastAsia"/>
                <w:highlight w:val="yellow"/>
              </w:rPr>
            </w:pPr>
            <w:r>
              <w:rPr>
                <w:rFonts w:hint="eastAsia"/>
                <w:highlight w:val="none"/>
              </w:rPr>
              <w:t>0.00</w:t>
            </w:r>
          </w:p>
        </w:tc>
        <w:tc>
          <w:tcPr>
            <w:tcW w:w="644" w:type="pct"/>
            <w:tcBorders>
              <w:tl2br w:val="nil"/>
              <w:tr2bl w:val="nil"/>
            </w:tcBorders>
            <w:vAlign w:val="center"/>
          </w:tcPr>
          <w:p w14:paraId="6B5DF813">
            <w:pPr>
              <w:autoSpaceDE w:val="0"/>
              <w:autoSpaceDN w:val="0"/>
              <w:spacing w:line="300" w:lineRule="exact"/>
              <w:jc w:val="center"/>
              <w:rPr>
                <w:rFonts w:hint="eastAsia"/>
                <w:highlight w:val="yellow"/>
              </w:rPr>
            </w:pPr>
            <w:r>
              <w:rPr>
                <w:rFonts w:hint="eastAsia"/>
                <w:highlight w:val="none"/>
              </w:rPr>
              <w:t>平均值</w:t>
            </w:r>
          </w:p>
        </w:tc>
        <w:tc>
          <w:tcPr>
            <w:tcW w:w="671" w:type="pct"/>
            <w:tcBorders>
              <w:tl2br w:val="nil"/>
              <w:tr2bl w:val="nil"/>
            </w:tcBorders>
            <w:vAlign w:val="center"/>
          </w:tcPr>
          <w:p w14:paraId="29AC8AE7">
            <w:pPr>
              <w:autoSpaceDE w:val="0"/>
              <w:autoSpaceDN w:val="0"/>
              <w:spacing w:line="300" w:lineRule="exact"/>
              <w:jc w:val="center"/>
              <w:rPr>
                <w:rFonts w:hint="eastAsia"/>
                <w:highlight w:val="yellow"/>
              </w:rPr>
            </w:pPr>
            <w:r>
              <w:rPr>
                <w:rFonts w:hint="eastAsia"/>
                <w:highlight w:val="none"/>
              </w:rPr>
              <w:t>0.00</w:t>
            </w:r>
          </w:p>
        </w:tc>
        <w:tc>
          <w:tcPr>
            <w:tcW w:w="472" w:type="pct"/>
            <w:tcBorders>
              <w:tl2br w:val="nil"/>
              <w:tr2bl w:val="nil"/>
            </w:tcBorders>
            <w:vAlign w:val="center"/>
          </w:tcPr>
          <w:p w14:paraId="75A8A2CC">
            <w:pPr>
              <w:autoSpaceDE w:val="0"/>
              <w:autoSpaceDN w:val="0"/>
              <w:spacing w:line="300" w:lineRule="exact"/>
              <w:jc w:val="center"/>
              <w:rPr>
                <w:rFonts w:hint="default" w:ascii="Times New Roman" w:hAnsi="Times New Roman" w:cs="Times New Roman" w:eastAsiaTheme="minorEastAsia"/>
                <w:highlight w:val="yellow"/>
              </w:rPr>
            </w:pPr>
            <w:r>
              <w:rPr>
                <w:rFonts w:hint="default" w:ascii="Times New Roman" w:hAnsi="Times New Roman" w:cs="Times New Roman" w:eastAsiaTheme="minorEastAsia"/>
                <w:highlight w:val="none"/>
              </w:rPr>
              <w:t>达标</w:t>
            </w:r>
          </w:p>
        </w:tc>
      </w:tr>
      <w:tr w14:paraId="1D393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2300D9B9">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tcBorders>
              <w:tl2br w:val="nil"/>
              <w:tr2bl w:val="nil"/>
            </w:tcBorders>
            <w:shd w:val="clear" w:color="auto" w:fill="auto"/>
            <w:vAlign w:val="center"/>
          </w:tcPr>
          <w:p w14:paraId="0E16E3FA">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en-US" w:bidi="ar-SA"/>
              </w:rPr>
            </w:pPr>
            <w:r>
              <w:rPr>
                <w:rFonts w:hint="default" w:ascii="Times New Roman" w:hAnsi="Times New Roman" w:cs="Times New Roman" w:eastAsiaTheme="minorEastAsia"/>
                <w:szCs w:val="21"/>
                <w:highlight w:val="none"/>
                <w:lang w:val="en-US" w:eastAsia="zh-CN"/>
              </w:rPr>
              <w:t>网格</w:t>
            </w:r>
          </w:p>
        </w:tc>
        <w:tc>
          <w:tcPr>
            <w:tcW w:w="794" w:type="pct"/>
            <w:tcBorders>
              <w:tl2br w:val="nil"/>
              <w:tr2bl w:val="nil"/>
            </w:tcBorders>
            <w:vAlign w:val="center"/>
          </w:tcPr>
          <w:p w14:paraId="0AAC1DC7">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default" w:ascii="Times New Roman" w:hAnsi="Times New Roman" w:cs="Times New Roman" w:eastAsiaTheme="minorEastAsia"/>
                <w:szCs w:val="21"/>
                <w:highlight w:val="none"/>
                <w:lang w:val="en-US" w:eastAsia="zh-CN"/>
              </w:rPr>
              <w:t>年平均</w:t>
            </w:r>
          </w:p>
        </w:tc>
        <w:tc>
          <w:tcPr>
            <w:tcW w:w="674" w:type="pct"/>
            <w:tcBorders>
              <w:tl2br w:val="nil"/>
              <w:tr2bl w:val="nil"/>
            </w:tcBorders>
            <w:vAlign w:val="center"/>
          </w:tcPr>
          <w:p w14:paraId="327CFB45">
            <w:pPr>
              <w:autoSpaceDE w:val="0"/>
              <w:autoSpaceDN w:val="0"/>
              <w:spacing w:line="300" w:lineRule="exact"/>
              <w:jc w:val="center"/>
              <w:rPr>
                <w:rFonts w:hint="eastAsia"/>
                <w:highlight w:val="yellow"/>
              </w:rPr>
            </w:pPr>
            <w:r>
              <w:rPr>
                <w:rFonts w:hint="eastAsia"/>
                <w:highlight w:val="none"/>
              </w:rPr>
              <w:t>0.00</w:t>
            </w:r>
          </w:p>
        </w:tc>
        <w:tc>
          <w:tcPr>
            <w:tcW w:w="644" w:type="pct"/>
            <w:tcBorders>
              <w:tl2br w:val="nil"/>
              <w:tr2bl w:val="nil"/>
            </w:tcBorders>
            <w:vAlign w:val="center"/>
          </w:tcPr>
          <w:p w14:paraId="542DB068">
            <w:pPr>
              <w:autoSpaceDE w:val="0"/>
              <w:autoSpaceDN w:val="0"/>
              <w:spacing w:line="300" w:lineRule="exact"/>
              <w:jc w:val="center"/>
              <w:rPr>
                <w:rFonts w:hint="eastAsia"/>
                <w:highlight w:val="yellow"/>
              </w:rPr>
            </w:pPr>
            <w:r>
              <w:rPr>
                <w:rFonts w:hint="eastAsia"/>
                <w:highlight w:val="none"/>
              </w:rPr>
              <w:t>平均值</w:t>
            </w:r>
          </w:p>
        </w:tc>
        <w:tc>
          <w:tcPr>
            <w:tcW w:w="671" w:type="pct"/>
            <w:tcBorders>
              <w:tl2br w:val="nil"/>
              <w:tr2bl w:val="nil"/>
            </w:tcBorders>
            <w:vAlign w:val="center"/>
          </w:tcPr>
          <w:p w14:paraId="1041E0A1">
            <w:pPr>
              <w:autoSpaceDE w:val="0"/>
              <w:autoSpaceDN w:val="0"/>
              <w:spacing w:line="300" w:lineRule="exact"/>
              <w:jc w:val="center"/>
              <w:rPr>
                <w:rFonts w:hint="eastAsia"/>
                <w:highlight w:val="yellow"/>
              </w:rPr>
            </w:pPr>
            <w:r>
              <w:rPr>
                <w:rFonts w:hint="eastAsia"/>
                <w:highlight w:val="none"/>
              </w:rPr>
              <w:t>0.00</w:t>
            </w:r>
          </w:p>
        </w:tc>
        <w:tc>
          <w:tcPr>
            <w:tcW w:w="472" w:type="pct"/>
            <w:tcBorders>
              <w:tl2br w:val="nil"/>
              <w:tr2bl w:val="nil"/>
            </w:tcBorders>
            <w:vAlign w:val="center"/>
          </w:tcPr>
          <w:p w14:paraId="036C318D">
            <w:pPr>
              <w:autoSpaceDE w:val="0"/>
              <w:autoSpaceDN w:val="0"/>
              <w:spacing w:line="300" w:lineRule="exact"/>
              <w:jc w:val="center"/>
              <w:rPr>
                <w:rFonts w:hint="default" w:ascii="Times New Roman" w:hAnsi="Times New Roman" w:cs="Times New Roman" w:eastAsiaTheme="minorEastAsia"/>
                <w:highlight w:val="yellow"/>
              </w:rPr>
            </w:pPr>
            <w:r>
              <w:rPr>
                <w:rFonts w:hint="default" w:ascii="Times New Roman" w:hAnsi="Times New Roman" w:cs="Times New Roman" w:eastAsiaTheme="minorEastAsia"/>
                <w:highlight w:val="none"/>
              </w:rPr>
              <w:t>达标</w:t>
            </w:r>
          </w:p>
        </w:tc>
      </w:tr>
      <w:tr w14:paraId="05D9F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restart"/>
            <w:tcBorders>
              <w:tl2br w:val="nil"/>
              <w:tr2bl w:val="nil"/>
            </w:tcBorders>
            <w:vAlign w:val="center"/>
          </w:tcPr>
          <w:p w14:paraId="600A0A8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Pb</w:t>
            </w:r>
          </w:p>
        </w:tc>
        <w:tc>
          <w:tcPr>
            <w:tcW w:w="1315" w:type="pct"/>
            <w:tcBorders>
              <w:tl2br w:val="nil"/>
              <w:tr2bl w:val="nil"/>
            </w:tcBorders>
            <w:vAlign w:val="center"/>
          </w:tcPr>
          <w:p w14:paraId="5C23A177">
            <w:pPr>
              <w:autoSpaceDE w:val="0"/>
              <w:autoSpaceDN w:val="0"/>
              <w:spacing w:line="300" w:lineRule="exact"/>
              <w:jc w:val="center"/>
              <w:rPr>
                <w:rFonts w:hint="default" w:ascii="Times New Roman" w:hAnsi="Times New Roman" w:cs="Times New Roman" w:eastAsiaTheme="minorEastAsia"/>
                <w:szCs w:val="21"/>
                <w:highlight w:val="yellow"/>
                <w:lang w:val="en-US" w:eastAsia="en-US"/>
              </w:rPr>
            </w:pPr>
            <w:r>
              <w:rPr>
                <w:rFonts w:hint="eastAsia" w:ascii="Times New Roman" w:hAnsi="Times New Roman" w:cs="Times New Roman"/>
                <w:szCs w:val="21"/>
                <w:highlight w:val="none"/>
                <w:lang w:val="en-US" w:eastAsia="zh-CN"/>
              </w:rPr>
              <w:t>兰干村居民区</w:t>
            </w:r>
          </w:p>
        </w:tc>
        <w:tc>
          <w:tcPr>
            <w:tcW w:w="794" w:type="pct"/>
            <w:tcBorders>
              <w:tl2br w:val="nil"/>
              <w:tr2bl w:val="nil"/>
            </w:tcBorders>
            <w:vAlign w:val="center"/>
          </w:tcPr>
          <w:p w14:paraId="52A97DA1">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default" w:ascii="Times New Roman" w:hAnsi="Times New Roman" w:cs="Times New Roman" w:eastAsiaTheme="minorEastAsia"/>
                <w:szCs w:val="21"/>
                <w:highlight w:val="none"/>
                <w:lang w:val="en-US" w:eastAsia="zh-CN"/>
              </w:rPr>
              <w:t>年平均</w:t>
            </w:r>
          </w:p>
        </w:tc>
        <w:tc>
          <w:tcPr>
            <w:tcW w:w="674" w:type="pct"/>
            <w:tcBorders>
              <w:tl2br w:val="nil"/>
              <w:tr2bl w:val="nil"/>
            </w:tcBorders>
            <w:vAlign w:val="center"/>
          </w:tcPr>
          <w:p w14:paraId="60B21836">
            <w:pPr>
              <w:autoSpaceDE w:val="0"/>
              <w:autoSpaceDN w:val="0"/>
              <w:spacing w:line="300" w:lineRule="exact"/>
              <w:jc w:val="center"/>
              <w:rPr>
                <w:rFonts w:hint="eastAsia"/>
                <w:highlight w:val="yellow"/>
              </w:rPr>
            </w:pPr>
            <w:r>
              <w:rPr>
                <w:rFonts w:hint="eastAsia"/>
                <w:highlight w:val="none"/>
              </w:rPr>
              <w:t>0.00</w:t>
            </w:r>
          </w:p>
        </w:tc>
        <w:tc>
          <w:tcPr>
            <w:tcW w:w="644" w:type="pct"/>
            <w:tcBorders>
              <w:tl2br w:val="nil"/>
              <w:tr2bl w:val="nil"/>
            </w:tcBorders>
            <w:vAlign w:val="center"/>
          </w:tcPr>
          <w:p w14:paraId="45847898">
            <w:pPr>
              <w:autoSpaceDE w:val="0"/>
              <w:autoSpaceDN w:val="0"/>
              <w:spacing w:line="300" w:lineRule="exact"/>
              <w:jc w:val="center"/>
              <w:rPr>
                <w:rFonts w:hint="eastAsia"/>
                <w:highlight w:val="yellow"/>
              </w:rPr>
            </w:pPr>
            <w:r>
              <w:rPr>
                <w:rFonts w:hint="eastAsia"/>
                <w:highlight w:val="none"/>
              </w:rPr>
              <w:t>平均值</w:t>
            </w:r>
          </w:p>
        </w:tc>
        <w:tc>
          <w:tcPr>
            <w:tcW w:w="671" w:type="pct"/>
            <w:tcBorders>
              <w:tl2br w:val="nil"/>
              <w:tr2bl w:val="nil"/>
            </w:tcBorders>
            <w:vAlign w:val="center"/>
          </w:tcPr>
          <w:p w14:paraId="29B55B06">
            <w:pPr>
              <w:autoSpaceDE w:val="0"/>
              <w:autoSpaceDN w:val="0"/>
              <w:spacing w:line="300" w:lineRule="exact"/>
              <w:jc w:val="center"/>
              <w:rPr>
                <w:rFonts w:hint="eastAsia"/>
                <w:highlight w:val="yellow"/>
              </w:rPr>
            </w:pPr>
            <w:r>
              <w:rPr>
                <w:rFonts w:hint="eastAsia"/>
                <w:highlight w:val="none"/>
              </w:rPr>
              <w:t>0.00</w:t>
            </w:r>
          </w:p>
        </w:tc>
        <w:tc>
          <w:tcPr>
            <w:tcW w:w="472" w:type="pct"/>
            <w:tcBorders>
              <w:tl2br w:val="nil"/>
              <w:tr2bl w:val="nil"/>
            </w:tcBorders>
            <w:vAlign w:val="center"/>
          </w:tcPr>
          <w:p w14:paraId="450AAEBE">
            <w:pPr>
              <w:autoSpaceDE w:val="0"/>
              <w:autoSpaceDN w:val="0"/>
              <w:spacing w:line="300" w:lineRule="exact"/>
              <w:jc w:val="center"/>
              <w:rPr>
                <w:rFonts w:hint="default" w:ascii="Times New Roman" w:hAnsi="Times New Roman" w:cs="Times New Roman" w:eastAsiaTheme="minorEastAsia"/>
                <w:highlight w:val="yellow"/>
              </w:rPr>
            </w:pPr>
            <w:r>
              <w:rPr>
                <w:rFonts w:hint="default" w:ascii="Times New Roman" w:hAnsi="Times New Roman" w:cs="Times New Roman" w:eastAsiaTheme="minorEastAsia"/>
                <w:highlight w:val="none"/>
              </w:rPr>
              <w:t>达标</w:t>
            </w:r>
          </w:p>
        </w:tc>
      </w:tr>
      <w:tr w14:paraId="454CF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0335E99A">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tcBorders>
              <w:tl2br w:val="nil"/>
              <w:tr2bl w:val="nil"/>
            </w:tcBorders>
            <w:vAlign w:val="center"/>
          </w:tcPr>
          <w:p w14:paraId="10495745">
            <w:pPr>
              <w:autoSpaceDE w:val="0"/>
              <w:autoSpaceDN w:val="0"/>
              <w:spacing w:line="300" w:lineRule="exact"/>
              <w:jc w:val="center"/>
              <w:rPr>
                <w:rFonts w:hint="default" w:ascii="Times New Roman" w:hAnsi="Times New Roman" w:cs="Times New Roman" w:eastAsiaTheme="minorEastAsia"/>
                <w:szCs w:val="21"/>
                <w:highlight w:val="yellow"/>
                <w:lang w:val="en-US" w:eastAsia="en-US"/>
              </w:rPr>
            </w:pPr>
            <w:r>
              <w:rPr>
                <w:rFonts w:hint="eastAsia" w:ascii="Times New Roman" w:hAnsi="Times New Roman" w:cs="Times New Roman"/>
                <w:szCs w:val="21"/>
                <w:highlight w:val="none"/>
                <w:lang w:val="en-US" w:eastAsia="zh-CN"/>
              </w:rPr>
              <w:t>萨依巴格村居民区</w:t>
            </w:r>
          </w:p>
        </w:tc>
        <w:tc>
          <w:tcPr>
            <w:tcW w:w="794" w:type="pct"/>
            <w:tcBorders>
              <w:tl2br w:val="nil"/>
              <w:tr2bl w:val="nil"/>
            </w:tcBorders>
            <w:vAlign w:val="center"/>
          </w:tcPr>
          <w:p w14:paraId="4127209D">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default" w:ascii="Times New Roman" w:hAnsi="Times New Roman" w:cs="Times New Roman" w:eastAsiaTheme="minorEastAsia"/>
                <w:szCs w:val="21"/>
                <w:highlight w:val="none"/>
                <w:lang w:val="en-US" w:eastAsia="zh-CN"/>
              </w:rPr>
              <w:t>年平均</w:t>
            </w:r>
          </w:p>
        </w:tc>
        <w:tc>
          <w:tcPr>
            <w:tcW w:w="674" w:type="pct"/>
            <w:tcBorders>
              <w:tl2br w:val="nil"/>
              <w:tr2bl w:val="nil"/>
            </w:tcBorders>
            <w:vAlign w:val="center"/>
          </w:tcPr>
          <w:p w14:paraId="44249E32">
            <w:pPr>
              <w:autoSpaceDE w:val="0"/>
              <w:autoSpaceDN w:val="0"/>
              <w:spacing w:line="300" w:lineRule="exact"/>
              <w:jc w:val="center"/>
              <w:rPr>
                <w:rFonts w:hint="eastAsia"/>
                <w:highlight w:val="yellow"/>
              </w:rPr>
            </w:pPr>
            <w:r>
              <w:rPr>
                <w:rFonts w:hint="eastAsia"/>
                <w:highlight w:val="none"/>
              </w:rPr>
              <w:t>0.00</w:t>
            </w:r>
          </w:p>
        </w:tc>
        <w:tc>
          <w:tcPr>
            <w:tcW w:w="644" w:type="pct"/>
            <w:tcBorders>
              <w:tl2br w:val="nil"/>
              <w:tr2bl w:val="nil"/>
            </w:tcBorders>
            <w:vAlign w:val="center"/>
          </w:tcPr>
          <w:p w14:paraId="3CEC830F">
            <w:pPr>
              <w:autoSpaceDE w:val="0"/>
              <w:autoSpaceDN w:val="0"/>
              <w:spacing w:line="300" w:lineRule="exact"/>
              <w:jc w:val="center"/>
              <w:rPr>
                <w:rFonts w:hint="eastAsia"/>
                <w:highlight w:val="yellow"/>
              </w:rPr>
            </w:pPr>
            <w:r>
              <w:rPr>
                <w:rFonts w:hint="eastAsia"/>
                <w:highlight w:val="none"/>
              </w:rPr>
              <w:t>平均值</w:t>
            </w:r>
          </w:p>
        </w:tc>
        <w:tc>
          <w:tcPr>
            <w:tcW w:w="671" w:type="pct"/>
            <w:tcBorders>
              <w:tl2br w:val="nil"/>
              <w:tr2bl w:val="nil"/>
            </w:tcBorders>
            <w:vAlign w:val="center"/>
          </w:tcPr>
          <w:p w14:paraId="4B201010">
            <w:pPr>
              <w:autoSpaceDE w:val="0"/>
              <w:autoSpaceDN w:val="0"/>
              <w:spacing w:line="300" w:lineRule="exact"/>
              <w:jc w:val="center"/>
              <w:rPr>
                <w:rFonts w:hint="eastAsia"/>
                <w:highlight w:val="yellow"/>
              </w:rPr>
            </w:pPr>
            <w:r>
              <w:rPr>
                <w:rFonts w:hint="eastAsia"/>
                <w:highlight w:val="none"/>
              </w:rPr>
              <w:t>0.00</w:t>
            </w:r>
          </w:p>
        </w:tc>
        <w:tc>
          <w:tcPr>
            <w:tcW w:w="472" w:type="pct"/>
            <w:tcBorders>
              <w:tl2br w:val="nil"/>
              <w:tr2bl w:val="nil"/>
            </w:tcBorders>
            <w:vAlign w:val="center"/>
          </w:tcPr>
          <w:p w14:paraId="280A81C6">
            <w:pPr>
              <w:autoSpaceDE w:val="0"/>
              <w:autoSpaceDN w:val="0"/>
              <w:spacing w:line="300" w:lineRule="exact"/>
              <w:jc w:val="center"/>
              <w:rPr>
                <w:rFonts w:hint="default" w:ascii="Times New Roman" w:hAnsi="Times New Roman" w:cs="Times New Roman" w:eastAsiaTheme="minorEastAsia"/>
                <w:highlight w:val="yellow"/>
              </w:rPr>
            </w:pPr>
            <w:r>
              <w:rPr>
                <w:rFonts w:hint="default" w:ascii="Times New Roman" w:hAnsi="Times New Roman" w:cs="Times New Roman" w:eastAsiaTheme="minorEastAsia"/>
                <w:highlight w:val="none"/>
              </w:rPr>
              <w:t>达标</w:t>
            </w:r>
          </w:p>
        </w:tc>
      </w:tr>
      <w:tr w14:paraId="45140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5FE09D76">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tcBorders>
              <w:tl2br w:val="nil"/>
              <w:tr2bl w:val="nil"/>
            </w:tcBorders>
            <w:vAlign w:val="center"/>
          </w:tcPr>
          <w:p w14:paraId="6FB05ABE">
            <w:pPr>
              <w:autoSpaceDE w:val="0"/>
              <w:autoSpaceDN w:val="0"/>
              <w:spacing w:line="300" w:lineRule="exact"/>
              <w:jc w:val="center"/>
              <w:rPr>
                <w:rFonts w:hint="default" w:ascii="Times New Roman" w:hAnsi="Times New Roman" w:cs="Times New Roman" w:eastAsiaTheme="minorEastAsia"/>
                <w:szCs w:val="21"/>
                <w:highlight w:val="yellow"/>
                <w:lang w:val="en-US" w:eastAsia="en-US"/>
              </w:rPr>
            </w:pPr>
            <w:r>
              <w:rPr>
                <w:rFonts w:hint="eastAsia" w:ascii="Times New Roman" w:hAnsi="Times New Roman" w:cs="Times New Roman"/>
                <w:szCs w:val="21"/>
                <w:highlight w:val="none"/>
                <w:lang w:val="en-US" w:eastAsia="zh-CN"/>
              </w:rPr>
              <w:t>帕特曼喀什村居民区</w:t>
            </w:r>
          </w:p>
        </w:tc>
        <w:tc>
          <w:tcPr>
            <w:tcW w:w="794" w:type="pct"/>
            <w:tcBorders>
              <w:tl2br w:val="nil"/>
              <w:tr2bl w:val="nil"/>
            </w:tcBorders>
            <w:vAlign w:val="center"/>
          </w:tcPr>
          <w:p w14:paraId="7417880B">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default" w:ascii="Times New Roman" w:hAnsi="Times New Roman" w:cs="Times New Roman" w:eastAsiaTheme="minorEastAsia"/>
                <w:szCs w:val="21"/>
                <w:highlight w:val="none"/>
                <w:lang w:val="en-US" w:eastAsia="zh-CN"/>
              </w:rPr>
              <w:t>年平均</w:t>
            </w:r>
          </w:p>
        </w:tc>
        <w:tc>
          <w:tcPr>
            <w:tcW w:w="674" w:type="pct"/>
            <w:tcBorders>
              <w:tl2br w:val="nil"/>
              <w:tr2bl w:val="nil"/>
            </w:tcBorders>
            <w:vAlign w:val="center"/>
          </w:tcPr>
          <w:p w14:paraId="116EC087">
            <w:pPr>
              <w:autoSpaceDE w:val="0"/>
              <w:autoSpaceDN w:val="0"/>
              <w:spacing w:line="300" w:lineRule="exact"/>
              <w:jc w:val="center"/>
              <w:rPr>
                <w:rFonts w:hint="eastAsia"/>
                <w:highlight w:val="yellow"/>
              </w:rPr>
            </w:pPr>
            <w:r>
              <w:rPr>
                <w:rFonts w:hint="eastAsia"/>
                <w:highlight w:val="none"/>
              </w:rPr>
              <w:t>0.00</w:t>
            </w:r>
          </w:p>
        </w:tc>
        <w:tc>
          <w:tcPr>
            <w:tcW w:w="644" w:type="pct"/>
            <w:tcBorders>
              <w:tl2br w:val="nil"/>
              <w:tr2bl w:val="nil"/>
            </w:tcBorders>
            <w:vAlign w:val="center"/>
          </w:tcPr>
          <w:p w14:paraId="7ED68E9B">
            <w:pPr>
              <w:autoSpaceDE w:val="0"/>
              <w:autoSpaceDN w:val="0"/>
              <w:spacing w:line="300" w:lineRule="exact"/>
              <w:jc w:val="center"/>
              <w:rPr>
                <w:rFonts w:hint="eastAsia"/>
                <w:highlight w:val="yellow"/>
              </w:rPr>
            </w:pPr>
            <w:r>
              <w:rPr>
                <w:rFonts w:hint="eastAsia"/>
                <w:highlight w:val="none"/>
              </w:rPr>
              <w:t>平均值</w:t>
            </w:r>
          </w:p>
        </w:tc>
        <w:tc>
          <w:tcPr>
            <w:tcW w:w="671" w:type="pct"/>
            <w:tcBorders>
              <w:tl2br w:val="nil"/>
              <w:tr2bl w:val="nil"/>
            </w:tcBorders>
            <w:vAlign w:val="center"/>
          </w:tcPr>
          <w:p w14:paraId="5A89ED2A">
            <w:pPr>
              <w:autoSpaceDE w:val="0"/>
              <w:autoSpaceDN w:val="0"/>
              <w:spacing w:line="300" w:lineRule="exact"/>
              <w:jc w:val="center"/>
              <w:rPr>
                <w:rFonts w:hint="eastAsia"/>
                <w:highlight w:val="yellow"/>
              </w:rPr>
            </w:pPr>
            <w:r>
              <w:rPr>
                <w:rFonts w:hint="eastAsia"/>
                <w:highlight w:val="none"/>
              </w:rPr>
              <w:t>0.00</w:t>
            </w:r>
          </w:p>
        </w:tc>
        <w:tc>
          <w:tcPr>
            <w:tcW w:w="472" w:type="pct"/>
            <w:tcBorders>
              <w:tl2br w:val="nil"/>
              <w:tr2bl w:val="nil"/>
            </w:tcBorders>
            <w:vAlign w:val="center"/>
          </w:tcPr>
          <w:p w14:paraId="47DB2CD1">
            <w:pPr>
              <w:autoSpaceDE w:val="0"/>
              <w:autoSpaceDN w:val="0"/>
              <w:spacing w:line="300" w:lineRule="exact"/>
              <w:jc w:val="center"/>
              <w:rPr>
                <w:rFonts w:hint="default" w:ascii="Times New Roman" w:hAnsi="Times New Roman" w:cs="Times New Roman" w:eastAsiaTheme="minorEastAsia"/>
                <w:highlight w:val="yellow"/>
              </w:rPr>
            </w:pPr>
            <w:r>
              <w:rPr>
                <w:rFonts w:hint="default" w:ascii="Times New Roman" w:hAnsi="Times New Roman" w:cs="Times New Roman" w:eastAsiaTheme="minorEastAsia"/>
                <w:highlight w:val="none"/>
              </w:rPr>
              <w:t>达标</w:t>
            </w:r>
          </w:p>
        </w:tc>
      </w:tr>
      <w:tr w14:paraId="59D49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4ADB78B6">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tcBorders>
              <w:tl2br w:val="nil"/>
              <w:tr2bl w:val="nil"/>
            </w:tcBorders>
            <w:vAlign w:val="center"/>
          </w:tcPr>
          <w:p w14:paraId="082DE7B1">
            <w:pPr>
              <w:autoSpaceDE w:val="0"/>
              <w:autoSpaceDN w:val="0"/>
              <w:spacing w:line="300" w:lineRule="exact"/>
              <w:jc w:val="center"/>
              <w:rPr>
                <w:rFonts w:hint="default" w:ascii="Times New Roman" w:hAnsi="Times New Roman" w:cs="Times New Roman" w:eastAsiaTheme="minorEastAsia"/>
                <w:szCs w:val="21"/>
                <w:highlight w:val="yellow"/>
                <w:lang w:val="en-US" w:eastAsia="en-US"/>
              </w:rPr>
            </w:pPr>
            <w:r>
              <w:rPr>
                <w:rFonts w:hint="default" w:ascii="Times New Roman" w:hAnsi="Times New Roman" w:cs="Times New Roman" w:eastAsiaTheme="minorEastAsia"/>
                <w:szCs w:val="21"/>
                <w:highlight w:val="none"/>
                <w:lang w:val="en-US" w:eastAsia="zh-CN"/>
              </w:rPr>
              <w:t>网格</w:t>
            </w:r>
          </w:p>
        </w:tc>
        <w:tc>
          <w:tcPr>
            <w:tcW w:w="794" w:type="pct"/>
            <w:tcBorders>
              <w:tl2br w:val="nil"/>
              <w:tr2bl w:val="nil"/>
            </w:tcBorders>
            <w:vAlign w:val="center"/>
          </w:tcPr>
          <w:p w14:paraId="0B5F87CB">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default" w:ascii="Times New Roman" w:hAnsi="Times New Roman" w:cs="Times New Roman" w:eastAsiaTheme="minorEastAsia"/>
                <w:szCs w:val="21"/>
                <w:highlight w:val="none"/>
                <w:lang w:val="en-US" w:eastAsia="zh-CN"/>
              </w:rPr>
              <w:t>年平均</w:t>
            </w:r>
          </w:p>
        </w:tc>
        <w:tc>
          <w:tcPr>
            <w:tcW w:w="674" w:type="pct"/>
            <w:tcBorders>
              <w:tl2br w:val="nil"/>
              <w:tr2bl w:val="nil"/>
            </w:tcBorders>
            <w:vAlign w:val="center"/>
          </w:tcPr>
          <w:p w14:paraId="324CD363">
            <w:pPr>
              <w:autoSpaceDE w:val="0"/>
              <w:autoSpaceDN w:val="0"/>
              <w:spacing w:line="300" w:lineRule="exact"/>
              <w:jc w:val="center"/>
              <w:rPr>
                <w:rFonts w:hint="eastAsia"/>
                <w:highlight w:val="yellow"/>
              </w:rPr>
            </w:pPr>
            <w:r>
              <w:rPr>
                <w:rFonts w:hint="eastAsia"/>
                <w:highlight w:val="none"/>
              </w:rPr>
              <w:t>0.00</w:t>
            </w:r>
          </w:p>
        </w:tc>
        <w:tc>
          <w:tcPr>
            <w:tcW w:w="644" w:type="pct"/>
            <w:tcBorders>
              <w:tl2br w:val="nil"/>
              <w:tr2bl w:val="nil"/>
            </w:tcBorders>
            <w:vAlign w:val="center"/>
          </w:tcPr>
          <w:p w14:paraId="6596628C">
            <w:pPr>
              <w:autoSpaceDE w:val="0"/>
              <w:autoSpaceDN w:val="0"/>
              <w:spacing w:line="300" w:lineRule="exact"/>
              <w:jc w:val="center"/>
              <w:rPr>
                <w:rFonts w:hint="eastAsia"/>
                <w:highlight w:val="yellow"/>
              </w:rPr>
            </w:pPr>
            <w:r>
              <w:rPr>
                <w:rFonts w:hint="eastAsia"/>
                <w:highlight w:val="none"/>
              </w:rPr>
              <w:t>平均值</w:t>
            </w:r>
          </w:p>
        </w:tc>
        <w:tc>
          <w:tcPr>
            <w:tcW w:w="671" w:type="pct"/>
            <w:tcBorders>
              <w:tl2br w:val="nil"/>
              <w:tr2bl w:val="nil"/>
            </w:tcBorders>
            <w:vAlign w:val="center"/>
          </w:tcPr>
          <w:p w14:paraId="199777A9">
            <w:pPr>
              <w:autoSpaceDE w:val="0"/>
              <w:autoSpaceDN w:val="0"/>
              <w:spacing w:line="300" w:lineRule="exact"/>
              <w:jc w:val="center"/>
              <w:rPr>
                <w:rFonts w:hint="eastAsia"/>
                <w:highlight w:val="yellow"/>
              </w:rPr>
            </w:pPr>
            <w:r>
              <w:rPr>
                <w:rFonts w:hint="eastAsia"/>
                <w:highlight w:val="none"/>
              </w:rPr>
              <w:t>0.00</w:t>
            </w:r>
          </w:p>
        </w:tc>
        <w:tc>
          <w:tcPr>
            <w:tcW w:w="472" w:type="pct"/>
            <w:tcBorders>
              <w:tl2br w:val="nil"/>
              <w:tr2bl w:val="nil"/>
            </w:tcBorders>
            <w:vAlign w:val="center"/>
          </w:tcPr>
          <w:p w14:paraId="255DC309">
            <w:pPr>
              <w:autoSpaceDE w:val="0"/>
              <w:autoSpaceDN w:val="0"/>
              <w:spacing w:line="300" w:lineRule="exact"/>
              <w:jc w:val="center"/>
              <w:rPr>
                <w:rFonts w:hint="default" w:ascii="Times New Roman" w:hAnsi="Times New Roman" w:cs="Times New Roman" w:eastAsiaTheme="minorEastAsia"/>
                <w:highlight w:val="yellow"/>
              </w:rPr>
            </w:pPr>
            <w:r>
              <w:rPr>
                <w:rFonts w:hint="default" w:ascii="Times New Roman" w:hAnsi="Times New Roman" w:cs="Times New Roman" w:eastAsiaTheme="minorEastAsia"/>
                <w:highlight w:val="none"/>
              </w:rPr>
              <w:t>达标</w:t>
            </w:r>
          </w:p>
        </w:tc>
      </w:tr>
      <w:tr w14:paraId="7BD3E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restart"/>
            <w:tcBorders>
              <w:tl2br w:val="nil"/>
              <w:tr2bl w:val="nil"/>
            </w:tcBorders>
            <w:vAlign w:val="center"/>
          </w:tcPr>
          <w:p w14:paraId="5D9D3F7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As</w:t>
            </w:r>
          </w:p>
        </w:tc>
        <w:tc>
          <w:tcPr>
            <w:tcW w:w="1315" w:type="pct"/>
            <w:tcBorders>
              <w:tl2br w:val="nil"/>
              <w:tr2bl w:val="nil"/>
            </w:tcBorders>
            <w:vAlign w:val="center"/>
          </w:tcPr>
          <w:p w14:paraId="7EB4B896">
            <w:pPr>
              <w:autoSpaceDE w:val="0"/>
              <w:autoSpaceDN w:val="0"/>
              <w:spacing w:line="300" w:lineRule="exact"/>
              <w:jc w:val="center"/>
              <w:rPr>
                <w:rFonts w:hint="default" w:ascii="Times New Roman" w:hAnsi="Times New Roman" w:cs="Times New Roman" w:eastAsiaTheme="minorEastAsia"/>
                <w:szCs w:val="21"/>
                <w:highlight w:val="yellow"/>
                <w:lang w:val="en-US" w:eastAsia="en-US"/>
              </w:rPr>
            </w:pPr>
            <w:r>
              <w:rPr>
                <w:rFonts w:hint="eastAsia" w:ascii="Times New Roman" w:hAnsi="Times New Roman" w:cs="Times New Roman"/>
                <w:szCs w:val="21"/>
                <w:highlight w:val="none"/>
                <w:lang w:val="en-US" w:eastAsia="zh-CN"/>
              </w:rPr>
              <w:t>兰干村居民区</w:t>
            </w:r>
          </w:p>
        </w:tc>
        <w:tc>
          <w:tcPr>
            <w:tcW w:w="794" w:type="pct"/>
            <w:tcBorders>
              <w:tl2br w:val="nil"/>
              <w:tr2bl w:val="nil"/>
            </w:tcBorders>
            <w:vAlign w:val="center"/>
          </w:tcPr>
          <w:p w14:paraId="07159AD8">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default" w:ascii="Times New Roman" w:hAnsi="Times New Roman" w:cs="Times New Roman" w:eastAsiaTheme="minorEastAsia"/>
                <w:szCs w:val="21"/>
                <w:highlight w:val="none"/>
                <w:lang w:val="en-US" w:eastAsia="zh-CN"/>
              </w:rPr>
              <w:t>年平均</w:t>
            </w:r>
          </w:p>
        </w:tc>
        <w:tc>
          <w:tcPr>
            <w:tcW w:w="674" w:type="pct"/>
            <w:tcBorders>
              <w:tl2br w:val="nil"/>
              <w:tr2bl w:val="nil"/>
            </w:tcBorders>
            <w:vAlign w:val="center"/>
          </w:tcPr>
          <w:p w14:paraId="1A0E9898">
            <w:pPr>
              <w:autoSpaceDE w:val="0"/>
              <w:autoSpaceDN w:val="0"/>
              <w:spacing w:line="300" w:lineRule="exact"/>
              <w:jc w:val="center"/>
              <w:rPr>
                <w:rFonts w:hint="default" w:eastAsiaTheme="minorEastAsia"/>
                <w:highlight w:val="yellow"/>
                <w:lang w:val="en-US" w:eastAsia="zh-CN"/>
              </w:rPr>
            </w:pPr>
            <w:r>
              <w:rPr>
                <w:rFonts w:hint="eastAsia"/>
                <w:highlight w:val="none"/>
              </w:rPr>
              <w:t>0.00</w:t>
            </w:r>
            <w:r>
              <w:rPr>
                <w:rFonts w:hint="eastAsia"/>
                <w:highlight w:val="none"/>
                <w:lang w:val="en-US" w:eastAsia="zh-CN"/>
              </w:rPr>
              <w:t>00</w:t>
            </w:r>
          </w:p>
        </w:tc>
        <w:tc>
          <w:tcPr>
            <w:tcW w:w="644" w:type="pct"/>
            <w:tcBorders>
              <w:tl2br w:val="nil"/>
              <w:tr2bl w:val="nil"/>
            </w:tcBorders>
            <w:vAlign w:val="center"/>
          </w:tcPr>
          <w:p w14:paraId="4FDB0BAB">
            <w:pPr>
              <w:autoSpaceDE w:val="0"/>
              <w:autoSpaceDN w:val="0"/>
              <w:spacing w:line="300" w:lineRule="exact"/>
              <w:jc w:val="center"/>
              <w:rPr>
                <w:rFonts w:hint="eastAsia"/>
                <w:highlight w:val="yellow"/>
              </w:rPr>
            </w:pPr>
            <w:r>
              <w:rPr>
                <w:rFonts w:hint="eastAsia"/>
                <w:highlight w:val="none"/>
              </w:rPr>
              <w:t>平均值</w:t>
            </w:r>
          </w:p>
        </w:tc>
        <w:tc>
          <w:tcPr>
            <w:tcW w:w="671" w:type="pct"/>
            <w:tcBorders>
              <w:tl2br w:val="nil"/>
              <w:tr2bl w:val="nil"/>
            </w:tcBorders>
            <w:vAlign w:val="center"/>
          </w:tcPr>
          <w:p w14:paraId="562D78FE">
            <w:pPr>
              <w:autoSpaceDE w:val="0"/>
              <w:autoSpaceDN w:val="0"/>
              <w:spacing w:line="300" w:lineRule="exact"/>
              <w:jc w:val="center"/>
              <w:rPr>
                <w:rFonts w:hint="default" w:eastAsiaTheme="minorEastAsia"/>
                <w:highlight w:val="yellow"/>
                <w:lang w:val="en-US" w:eastAsia="zh-CN"/>
              </w:rPr>
            </w:pPr>
            <w:r>
              <w:rPr>
                <w:rFonts w:hint="eastAsia"/>
                <w:highlight w:val="none"/>
                <w:lang w:val="en-US" w:eastAsia="zh-CN"/>
              </w:rPr>
              <w:t>0.17</w:t>
            </w:r>
          </w:p>
        </w:tc>
        <w:tc>
          <w:tcPr>
            <w:tcW w:w="472" w:type="pct"/>
            <w:tcBorders>
              <w:tl2br w:val="nil"/>
              <w:tr2bl w:val="nil"/>
            </w:tcBorders>
            <w:vAlign w:val="center"/>
          </w:tcPr>
          <w:p w14:paraId="2FE39738">
            <w:pPr>
              <w:autoSpaceDE w:val="0"/>
              <w:autoSpaceDN w:val="0"/>
              <w:spacing w:line="300" w:lineRule="exact"/>
              <w:jc w:val="center"/>
              <w:rPr>
                <w:rFonts w:hint="default" w:ascii="Times New Roman" w:hAnsi="Times New Roman" w:cs="Times New Roman" w:eastAsiaTheme="minorEastAsia"/>
                <w:highlight w:val="yellow"/>
              </w:rPr>
            </w:pPr>
            <w:r>
              <w:rPr>
                <w:rFonts w:hint="default" w:ascii="Times New Roman" w:hAnsi="Times New Roman" w:cs="Times New Roman" w:eastAsiaTheme="minorEastAsia"/>
                <w:highlight w:val="none"/>
              </w:rPr>
              <w:t>达标</w:t>
            </w:r>
          </w:p>
        </w:tc>
      </w:tr>
      <w:tr w14:paraId="279D5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26" w:type="pct"/>
            <w:vMerge w:val="continue"/>
            <w:tcBorders>
              <w:tl2br w:val="nil"/>
              <w:tr2bl w:val="nil"/>
            </w:tcBorders>
            <w:vAlign w:val="center"/>
          </w:tcPr>
          <w:p w14:paraId="40CBF833">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tcBorders>
              <w:tl2br w:val="nil"/>
              <w:tr2bl w:val="nil"/>
            </w:tcBorders>
            <w:vAlign w:val="center"/>
          </w:tcPr>
          <w:p w14:paraId="404D12DB">
            <w:pPr>
              <w:autoSpaceDE w:val="0"/>
              <w:autoSpaceDN w:val="0"/>
              <w:spacing w:line="300" w:lineRule="exact"/>
              <w:jc w:val="center"/>
              <w:rPr>
                <w:rFonts w:hint="default" w:ascii="Times New Roman" w:hAnsi="Times New Roman" w:cs="Times New Roman" w:eastAsiaTheme="minorEastAsia"/>
                <w:szCs w:val="21"/>
                <w:highlight w:val="yellow"/>
                <w:lang w:val="en-US" w:eastAsia="en-US"/>
              </w:rPr>
            </w:pPr>
            <w:r>
              <w:rPr>
                <w:rFonts w:hint="eastAsia" w:ascii="Times New Roman" w:hAnsi="Times New Roman" w:cs="Times New Roman"/>
                <w:szCs w:val="21"/>
                <w:highlight w:val="none"/>
                <w:lang w:val="en-US" w:eastAsia="zh-CN"/>
              </w:rPr>
              <w:t>萨依巴格村居民区</w:t>
            </w:r>
          </w:p>
        </w:tc>
        <w:tc>
          <w:tcPr>
            <w:tcW w:w="794" w:type="pct"/>
            <w:tcBorders>
              <w:tl2br w:val="nil"/>
              <w:tr2bl w:val="nil"/>
            </w:tcBorders>
            <w:vAlign w:val="center"/>
          </w:tcPr>
          <w:p w14:paraId="2FD09AD6">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default" w:ascii="Times New Roman" w:hAnsi="Times New Roman" w:cs="Times New Roman" w:eastAsiaTheme="minorEastAsia"/>
                <w:szCs w:val="21"/>
                <w:highlight w:val="none"/>
                <w:lang w:val="en-US" w:eastAsia="zh-CN"/>
              </w:rPr>
              <w:t>年平均</w:t>
            </w:r>
          </w:p>
        </w:tc>
        <w:tc>
          <w:tcPr>
            <w:tcW w:w="674" w:type="pct"/>
            <w:tcBorders>
              <w:tl2br w:val="nil"/>
              <w:tr2bl w:val="nil"/>
            </w:tcBorders>
            <w:vAlign w:val="center"/>
          </w:tcPr>
          <w:p w14:paraId="203A6114">
            <w:pPr>
              <w:autoSpaceDE w:val="0"/>
              <w:autoSpaceDN w:val="0"/>
              <w:spacing w:line="300" w:lineRule="exact"/>
              <w:jc w:val="center"/>
              <w:rPr>
                <w:rFonts w:hint="default" w:eastAsiaTheme="minorEastAsia"/>
                <w:highlight w:val="yellow"/>
                <w:lang w:val="en-US" w:eastAsia="zh-CN"/>
              </w:rPr>
            </w:pPr>
            <w:r>
              <w:rPr>
                <w:rFonts w:hint="eastAsia"/>
                <w:highlight w:val="none"/>
              </w:rPr>
              <w:t>0.00</w:t>
            </w:r>
            <w:r>
              <w:rPr>
                <w:rFonts w:hint="eastAsia"/>
                <w:highlight w:val="none"/>
                <w:lang w:val="en-US" w:eastAsia="zh-CN"/>
              </w:rPr>
              <w:t>00</w:t>
            </w:r>
          </w:p>
        </w:tc>
        <w:tc>
          <w:tcPr>
            <w:tcW w:w="644" w:type="pct"/>
            <w:tcBorders>
              <w:tl2br w:val="nil"/>
              <w:tr2bl w:val="nil"/>
            </w:tcBorders>
            <w:vAlign w:val="center"/>
          </w:tcPr>
          <w:p w14:paraId="10F3A19A">
            <w:pPr>
              <w:autoSpaceDE w:val="0"/>
              <w:autoSpaceDN w:val="0"/>
              <w:spacing w:line="300" w:lineRule="exact"/>
              <w:jc w:val="center"/>
              <w:rPr>
                <w:rFonts w:hint="eastAsia"/>
                <w:highlight w:val="yellow"/>
              </w:rPr>
            </w:pPr>
            <w:r>
              <w:rPr>
                <w:rFonts w:hint="eastAsia"/>
                <w:highlight w:val="none"/>
              </w:rPr>
              <w:t>平均值</w:t>
            </w:r>
          </w:p>
        </w:tc>
        <w:tc>
          <w:tcPr>
            <w:tcW w:w="671" w:type="pct"/>
            <w:tcBorders>
              <w:tl2br w:val="nil"/>
              <w:tr2bl w:val="nil"/>
            </w:tcBorders>
            <w:vAlign w:val="center"/>
          </w:tcPr>
          <w:p w14:paraId="39FED3DB">
            <w:pPr>
              <w:autoSpaceDE w:val="0"/>
              <w:autoSpaceDN w:val="0"/>
              <w:spacing w:line="300" w:lineRule="exact"/>
              <w:jc w:val="center"/>
              <w:rPr>
                <w:rFonts w:hint="default" w:eastAsiaTheme="minorEastAsia"/>
                <w:highlight w:val="yellow"/>
                <w:lang w:val="en-US" w:eastAsia="zh-CN"/>
              </w:rPr>
            </w:pPr>
            <w:r>
              <w:rPr>
                <w:rFonts w:hint="eastAsia"/>
                <w:highlight w:val="none"/>
                <w:lang w:val="en-US" w:eastAsia="zh-CN"/>
              </w:rPr>
              <w:t>0.33</w:t>
            </w:r>
          </w:p>
        </w:tc>
        <w:tc>
          <w:tcPr>
            <w:tcW w:w="472" w:type="pct"/>
            <w:tcBorders>
              <w:tl2br w:val="nil"/>
              <w:tr2bl w:val="nil"/>
            </w:tcBorders>
            <w:vAlign w:val="center"/>
          </w:tcPr>
          <w:p w14:paraId="1CAF2DD5">
            <w:pPr>
              <w:autoSpaceDE w:val="0"/>
              <w:autoSpaceDN w:val="0"/>
              <w:spacing w:line="300" w:lineRule="exact"/>
              <w:jc w:val="center"/>
              <w:rPr>
                <w:rFonts w:hint="default" w:ascii="Times New Roman" w:hAnsi="Times New Roman" w:cs="Times New Roman" w:eastAsiaTheme="minorEastAsia"/>
                <w:highlight w:val="yellow"/>
              </w:rPr>
            </w:pPr>
            <w:r>
              <w:rPr>
                <w:rFonts w:hint="default" w:ascii="Times New Roman" w:hAnsi="Times New Roman" w:cs="Times New Roman" w:eastAsiaTheme="minorEastAsia"/>
                <w:highlight w:val="none"/>
              </w:rPr>
              <w:t>达标</w:t>
            </w:r>
          </w:p>
        </w:tc>
      </w:tr>
      <w:tr w14:paraId="7B086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60582869">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tcBorders>
              <w:tl2br w:val="nil"/>
              <w:tr2bl w:val="nil"/>
            </w:tcBorders>
            <w:vAlign w:val="center"/>
          </w:tcPr>
          <w:p w14:paraId="56809397">
            <w:pPr>
              <w:autoSpaceDE w:val="0"/>
              <w:autoSpaceDN w:val="0"/>
              <w:spacing w:line="300" w:lineRule="exact"/>
              <w:jc w:val="center"/>
              <w:rPr>
                <w:rFonts w:hint="default" w:ascii="Times New Roman" w:hAnsi="Times New Roman" w:cs="Times New Roman" w:eastAsiaTheme="minorEastAsia"/>
                <w:szCs w:val="21"/>
                <w:highlight w:val="yellow"/>
                <w:lang w:val="en-US" w:eastAsia="en-US"/>
              </w:rPr>
            </w:pPr>
            <w:r>
              <w:rPr>
                <w:rFonts w:hint="eastAsia" w:ascii="Times New Roman" w:hAnsi="Times New Roman" w:cs="Times New Roman"/>
                <w:szCs w:val="21"/>
                <w:highlight w:val="none"/>
                <w:lang w:val="en-US" w:eastAsia="zh-CN"/>
              </w:rPr>
              <w:t>帕特曼喀什村居民区</w:t>
            </w:r>
          </w:p>
        </w:tc>
        <w:tc>
          <w:tcPr>
            <w:tcW w:w="794" w:type="pct"/>
            <w:tcBorders>
              <w:tl2br w:val="nil"/>
              <w:tr2bl w:val="nil"/>
            </w:tcBorders>
            <w:vAlign w:val="center"/>
          </w:tcPr>
          <w:p w14:paraId="1C23F3DB">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default" w:ascii="Times New Roman" w:hAnsi="Times New Roman" w:cs="Times New Roman" w:eastAsiaTheme="minorEastAsia"/>
                <w:szCs w:val="21"/>
                <w:highlight w:val="none"/>
                <w:lang w:val="en-US" w:eastAsia="zh-CN"/>
              </w:rPr>
              <w:t>年平均</w:t>
            </w:r>
          </w:p>
        </w:tc>
        <w:tc>
          <w:tcPr>
            <w:tcW w:w="674" w:type="pct"/>
            <w:tcBorders>
              <w:tl2br w:val="nil"/>
              <w:tr2bl w:val="nil"/>
            </w:tcBorders>
            <w:vAlign w:val="center"/>
          </w:tcPr>
          <w:p w14:paraId="6C896293">
            <w:pPr>
              <w:autoSpaceDE w:val="0"/>
              <w:autoSpaceDN w:val="0"/>
              <w:spacing w:line="300" w:lineRule="exact"/>
              <w:jc w:val="center"/>
              <w:rPr>
                <w:rFonts w:hint="default" w:eastAsiaTheme="minorEastAsia"/>
                <w:highlight w:val="yellow"/>
                <w:lang w:val="en-US" w:eastAsia="zh-CN"/>
              </w:rPr>
            </w:pPr>
            <w:r>
              <w:rPr>
                <w:rFonts w:hint="eastAsia"/>
                <w:highlight w:val="none"/>
              </w:rPr>
              <w:t>0.00</w:t>
            </w:r>
            <w:r>
              <w:rPr>
                <w:rFonts w:hint="eastAsia"/>
                <w:highlight w:val="none"/>
                <w:lang w:val="en-US" w:eastAsia="zh-CN"/>
              </w:rPr>
              <w:t>00</w:t>
            </w:r>
          </w:p>
        </w:tc>
        <w:tc>
          <w:tcPr>
            <w:tcW w:w="644" w:type="pct"/>
            <w:tcBorders>
              <w:tl2br w:val="nil"/>
              <w:tr2bl w:val="nil"/>
            </w:tcBorders>
            <w:vAlign w:val="center"/>
          </w:tcPr>
          <w:p w14:paraId="21EE91C7">
            <w:pPr>
              <w:autoSpaceDE w:val="0"/>
              <w:autoSpaceDN w:val="0"/>
              <w:spacing w:line="300" w:lineRule="exact"/>
              <w:jc w:val="center"/>
              <w:rPr>
                <w:rFonts w:hint="eastAsia"/>
                <w:highlight w:val="yellow"/>
              </w:rPr>
            </w:pPr>
            <w:r>
              <w:rPr>
                <w:rFonts w:hint="eastAsia"/>
                <w:highlight w:val="none"/>
              </w:rPr>
              <w:t>平均值</w:t>
            </w:r>
          </w:p>
        </w:tc>
        <w:tc>
          <w:tcPr>
            <w:tcW w:w="671" w:type="pct"/>
            <w:tcBorders>
              <w:tl2br w:val="nil"/>
              <w:tr2bl w:val="nil"/>
            </w:tcBorders>
            <w:vAlign w:val="center"/>
          </w:tcPr>
          <w:p w14:paraId="03DDF4EF">
            <w:pPr>
              <w:autoSpaceDE w:val="0"/>
              <w:autoSpaceDN w:val="0"/>
              <w:spacing w:line="300" w:lineRule="exact"/>
              <w:jc w:val="center"/>
              <w:rPr>
                <w:rFonts w:hint="default" w:eastAsiaTheme="minorEastAsia"/>
                <w:highlight w:val="yellow"/>
                <w:lang w:val="en-US" w:eastAsia="zh-CN"/>
              </w:rPr>
            </w:pPr>
            <w:r>
              <w:rPr>
                <w:rFonts w:hint="eastAsia"/>
                <w:highlight w:val="none"/>
                <w:lang w:val="en-US" w:eastAsia="zh-CN"/>
              </w:rPr>
              <w:t>0.17</w:t>
            </w:r>
          </w:p>
        </w:tc>
        <w:tc>
          <w:tcPr>
            <w:tcW w:w="472" w:type="pct"/>
            <w:tcBorders>
              <w:tl2br w:val="nil"/>
              <w:tr2bl w:val="nil"/>
            </w:tcBorders>
            <w:vAlign w:val="center"/>
          </w:tcPr>
          <w:p w14:paraId="1BC458FB">
            <w:pPr>
              <w:autoSpaceDE w:val="0"/>
              <w:autoSpaceDN w:val="0"/>
              <w:spacing w:line="300" w:lineRule="exact"/>
              <w:jc w:val="center"/>
              <w:rPr>
                <w:rFonts w:hint="default" w:ascii="Times New Roman" w:hAnsi="Times New Roman" w:cs="Times New Roman" w:eastAsiaTheme="minorEastAsia"/>
                <w:highlight w:val="yellow"/>
              </w:rPr>
            </w:pPr>
            <w:r>
              <w:rPr>
                <w:rFonts w:hint="default" w:ascii="Times New Roman" w:hAnsi="Times New Roman" w:cs="Times New Roman" w:eastAsiaTheme="minorEastAsia"/>
                <w:highlight w:val="none"/>
              </w:rPr>
              <w:t>达标</w:t>
            </w:r>
          </w:p>
        </w:tc>
      </w:tr>
      <w:tr w14:paraId="65E3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0D73E4AC">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tcBorders>
              <w:tl2br w:val="nil"/>
              <w:tr2bl w:val="nil"/>
            </w:tcBorders>
            <w:vAlign w:val="center"/>
          </w:tcPr>
          <w:p w14:paraId="6DF5D7FE">
            <w:pPr>
              <w:autoSpaceDE w:val="0"/>
              <w:autoSpaceDN w:val="0"/>
              <w:spacing w:line="300" w:lineRule="exact"/>
              <w:jc w:val="center"/>
              <w:rPr>
                <w:rFonts w:hint="default" w:ascii="Times New Roman" w:hAnsi="Times New Roman" w:cs="Times New Roman" w:eastAsiaTheme="minorEastAsia"/>
                <w:szCs w:val="21"/>
                <w:highlight w:val="yellow"/>
                <w:lang w:val="en-US" w:eastAsia="en-US"/>
              </w:rPr>
            </w:pPr>
            <w:r>
              <w:rPr>
                <w:rFonts w:hint="default" w:ascii="Times New Roman" w:hAnsi="Times New Roman" w:cs="Times New Roman" w:eastAsiaTheme="minorEastAsia"/>
                <w:szCs w:val="21"/>
                <w:highlight w:val="none"/>
                <w:lang w:val="en-US" w:eastAsia="zh-CN"/>
              </w:rPr>
              <w:t>网格</w:t>
            </w:r>
          </w:p>
        </w:tc>
        <w:tc>
          <w:tcPr>
            <w:tcW w:w="794" w:type="pct"/>
            <w:tcBorders>
              <w:tl2br w:val="nil"/>
              <w:tr2bl w:val="nil"/>
            </w:tcBorders>
            <w:vAlign w:val="center"/>
          </w:tcPr>
          <w:p w14:paraId="66CB0691">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default" w:ascii="Times New Roman" w:hAnsi="Times New Roman" w:cs="Times New Roman" w:eastAsiaTheme="minorEastAsia"/>
                <w:szCs w:val="21"/>
                <w:highlight w:val="none"/>
                <w:lang w:val="en-US" w:eastAsia="zh-CN"/>
              </w:rPr>
              <w:t>年平均</w:t>
            </w:r>
          </w:p>
        </w:tc>
        <w:tc>
          <w:tcPr>
            <w:tcW w:w="674" w:type="pct"/>
            <w:tcBorders>
              <w:tl2br w:val="nil"/>
              <w:tr2bl w:val="nil"/>
            </w:tcBorders>
            <w:vAlign w:val="center"/>
          </w:tcPr>
          <w:p w14:paraId="6E86AAD6">
            <w:pPr>
              <w:autoSpaceDE w:val="0"/>
              <w:autoSpaceDN w:val="0"/>
              <w:spacing w:line="300" w:lineRule="exact"/>
              <w:jc w:val="center"/>
              <w:rPr>
                <w:rFonts w:hint="default" w:eastAsiaTheme="minorEastAsia"/>
                <w:highlight w:val="yellow"/>
                <w:lang w:val="en-US" w:eastAsia="zh-CN"/>
              </w:rPr>
            </w:pPr>
            <w:r>
              <w:rPr>
                <w:rFonts w:hint="eastAsia"/>
                <w:highlight w:val="none"/>
                <w:lang w:val="en-US" w:eastAsia="zh-CN"/>
              </w:rPr>
              <w:t>0.0014</w:t>
            </w:r>
          </w:p>
        </w:tc>
        <w:tc>
          <w:tcPr>
            <w:tcW w:w="644" w:type="pct"/>
            <w:tcBorders>
              <w:tl2br w:val="nil"/>
              <w:tr2bl w:val="nil"/>
            </w:tcBorders>
            <w:vAlign w:val="center"/>
          </w:tcPr>
          <w:p w14:paraId="664D3E60">
            <w:pPr>
              <w:autoSpaceDE w:val="0"/>
              <w:autoSpaceDN w:val="0"/>
              <w:spacing w:line="300" w:lineRule="exact"/>
              <w:jc w:val="center"/>
              <w:rPr>
                <w:rFonts w:hint="eastAsia"/>
                <w:highlight w:val="yellow"/>
              </w:rPr>
            </w:pPr>
            <w:r>
              <w:rPr>
                <w:rFonts w:hint="eastAsia"/>
                <w:highlight w:val="none"/>
              </w:rPr>
              <w:t>平均值</w:t>
            </w:r>
          </w:p>
        </w:tc>
        <w:tc>
          <w:tcPr>
            <w:tcW w:w="671" w:type="pct"/>
            <w:tcBorders>
              <w:tl2br w:val="nil"/>
              <w:tr2bl w:val="nil"/>
            </w:tcBorders>
            <w:vAlign w:val="center"/>
          </w:tcPr>
          <w:p w14:paraId="09AF5F09">
            <w:pPr>
              <w:autoSpaceDE w:val="0"/>
              <w:autoSpaceDN w:val="0"/>
              <w:spacing w:line="300" w:lineRule="exact"/>
              <w:jc w:val="center"/>
              <w:rPr>
                <w:rFonts w:hint="default" w:eastAsiaTheme="minorEastAsia"/>
                <w:highlight w:val="yellow"/>
                <w:lang w:val="en-US" w:eastAsia="zh-CN"/>
              </w:rPr>
            </w:pPr>
            <w:r>
              <w:rPr>
                <w:rFonts w:hint="eastAsia"/>
                <w:highlight w:val="none"/>
                <w:lang w:val="en-US" w:eastAsia="zh-CN"/>
              </w:rPr>
              <w:t>23.83</w:t>
            </w:r>
          </w:p>
        </w:tc>
        <w:tc>
          <w:tcPr>
            <w:tcW w:w="472" w:type="pct"/>
            <w:tcBorders>
              <w:tl2br w:val="nil"/>
              <w:tr2bl w:val="nil"/>
            </w:tcBorders>
            <w:vAlign w:val="center"/>
          </w:tcPr>
          <w:p w14:paraId="26AD55CD">
            <w:pPr>
              <w:autoSpaceDE w:val="0"/>
              <w:autoSpaceDN w:val="0"/>
              <w:spacing w:line="300" w:lineRule="exact"/>
              <w:jc w:val="center"/>
              <w:rPr>
                <w:rFonts w:hint="default" w:ascii="Times New Roman" w:hAnsi="Times New Roman" w:cs="Times New Roman" w:eastAsiaTheme="minorEastAsia"/>
                <w:highlight w:val="yellow"/>
              </w:rPr>
            </w:pPr>
            <w:r>
              <w:rPr>
                <w:rFonts w:hint="default" w:ascii="Times New Roman" w:hAnsi="Times New Roman" w:cs="Times New Roman" w:eastAsiaTheme="minorEastAsia"/>
                <w:highlight w:val="none"/>
              </w:rPr>
              <w:t>达标</w:t>
            </w:r>
          </w:p>
        </w:tc>
      </w:tr>
      <w:tr w14:paraId="52059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restart"/>
            <w:tcBorders>
              <w:tl2br w:val="nil"/>
              <w:tr2bl w:val="nil"/>
            </w:tcBorders>
            <w:vAlign w:val="center"/>
          </w:tcPr>
          <w:p w14:paraId="0E62027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Cd</w:t>
            </w:r>
          </w:p>
        </w:tc>
        <w:tc>
          <w:tcPr>
            <w:tcW w:w="1315" w:type="pct"/>
            <w:tcBorders>
              <w:tl2br w:val="nil"/>
              <w:tr2bl w:val="nil"/>
            </w:tcBorders>
            <w:vAlign w:val="center"/>
          </w:tcPr>
          <w:p w14:paraId="0B0735D6">
            <w:pPr>
              <w:autoSpaceDE w:val="0"/>
              <w:autoSpaceDN w:val="0"/>
              <w:spacing w:line="300" w:lineRule="exact"/>
              <w:jc w:val="center"/>
              <w:rPr>
                <w:rFonts w:hint="default" w:ascii="Times New Roman" w:hAnsi="Times New Roman" w:cs="Times New Roman" w:eastAsiaTheme="minorEastAsia"/>
                <w:szCs w:val="21"/>
                <w:highlight w:val="yellow"/>
                <w:lang w:val="en-US" w:eastAsia="en-US"/>
              </w:rPr>
            </w:pPr>
            <w:r>
              <w:rPr>
                <w:rFonts w:hint="eastAsia" w:ascii="Times New Roman" w:hAnsi="Times New Roman" w:cs="Times New Roman"/>
                <w:szCs w:val="21"/>
                <w:highlight w:val="none"/>
                <w:lang w:val="en-US" w:eastAsia="zh-CN"/>
              </w:rPr>
              <w:t>兰干村居民区</w:t>
            </w:r>
          </w:p>
        </w:tc>
        <w:tc>
          <w:tcPr>
            <w:tcW w:w="794" w:type="pct"/>
            <w:tcBorders>
              <w:tl2br w:val="nil"/>
              <w:tr2bl w:val="nil"/>
            </w:tcBorders>
            <w:vAlign w:val="center"/>
          </w:tcPr>
          <w:p w14:paraId="70CE8A2D">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default" w:ascii="Times New Roman" w:hAnsi="Times New Roman" w:cs="Times New Roman" w:eastAsiaTheme="minorEastAsia"/>
                <w:szCs w:val="21"/>
                <w:highlight w:val="none"/>
                <w:lang w:val="en-US" w:eastAsia="zh-CN"/>
              </w:rPr>
              <w:t>年平均</w:t>
            </w:r>
          </w:p>
        </w:tc>
        <w:tc>
          <w:tcPr>
            <w:tcW w:w="674" w:type="pct"/>
            <w:tcBorders>
              <w:tl2br w:val="nil"/>
              <w:tr2bl w:val="nil"/>
            </w:tcBorders>
            <w:vAlign w:val="center"/>
          </w:tcPr>
          <w:p w14:paraId="4B222824">
            <w:pPr>
              <w:autoSpaceDE w:val="0"/>
              <w:autoSpaceDN w:val="0"/>
              <w:spacing w:line="300" w:lineRule="exact"/>
              <w:jc w:val="center"/>
              <w:rPr>
                <w:rFonts w:hint="eastAsia"/>
                <w:highlight w:val="yellow"/>
              </w:rPr>
            </w:pPr>
            <w:r>
              <w:rPr>
                <w:rFonts w:hint="eastAsia"/>
                <w:highlight w:val="none"/>
              </w:rPr>
              <w:t>0.00</w:t>
            </w:r>
          </w:p>
        </w:tc>
        <w:tc>
          <w:tcPr>
            <w:tcW w:w="644" w:type="pct"/>
            <w:tcBorders>
              <w:tl2br w:val="nil"/>
              <w:tr2bl w:val="nil"/>
            </w:tcBorders>
            <w:vAlign w:val="center"/>
          </w:tcPr>
          <w:p w14:paraId="788B6699">
            <w:pPr>
              <w:autoSpaceDE w:val="0"/>
              <w:autoSpaceDN w:val="0"/>
              <w:spacing w:line="300" w:lineRule="exact"/>
              <w:jc w:val="center"/>
              <w:rPr>
                <w:rFonts w:hint="eastAsia"/>
                <w:highlight w:val="yellow"/>
              </w:rPr>
            </w:pPr>
            <w:r>
              <w:rPr>
                <w:rFonts w:hint="eastAsia"/>
                <w:highlight w:val="none"/>
              </w:rPr>
              <w:t>平均值</w:t>
            </w:r>
          </w:p>
        </w:tc>
        <w:tc>
          <w:tcPr>
            <w:tcW w:w="671" w:type="pct"/>
            <w:tcBorders>
              <w:tl2br w:val="nil"/>
              <w:tr2bl w:val="nil"/>
            </w:tcBorders>
            <w:vAlign w:val="center"/>
          </w:tcPr>
          <w:p w14:paraId="149691D8">
            <w:pPr>
              <w:autoSpaceDE w:val="0"/>
              <w:autoSpaceDN w:val="0"/>
              <w:spacing w:line="300" w:lineRule="exact"/>
              <w:jc w:val="center"/>
              <w:rPr>
                <w:rFonts w:hint="eastAsia"/>
                <w:highlight w:val="yellow"/>
              </w:rPr>
            </w:pPr>
            <w:r>
              <w:rPr>
                <w:rFonts w:hint="eastAsia"/>
                <w:highlight w:val="none"/>
              </w:rPr>
              <w:t>0.00</w:t>
            </w:r>
          </w:p>
        </w:tc>
        <w:tc>
          <w:tcPr>
            <w:tcW w:w="472" w:type="pct"/>
            <w:tcBorders>
              <w:tl2br w:val="nil"/>
              <w:tr2bl w:val="nil"/>
            </w:tcBorders>
            <w:vAlign w:val="center"/>
          </w:tcPr>
          <w:p w14:paraId="3CE5899E">
            <w:pPr>
              <w:autoSpaceDE w:val="0"/>
              <w:autoSpaceDN w:val="0"/>
              <w:spacing w:line="300" w:lineRule="exact"/>
              <w:jc w:val="center"/>
              <w:rPr>
                <w:rFonts w:hint="default" w:ascii="Times New Roman" w:hAnsi="Times New Roman" w:cs="Times New Roman" w:eastAsiaTheme="minorEastAsia"/>
                <w:highlight w:val="yellow"/>
              </w:rPr>
            </w:pPr>
            <w:r>
              <w:rPr>
                <w:rFonts w:hint="default" w:ascii="Times New Roman" w:hAnsi="Times New Roman" w:cs="Times New Roman" w:eastAsiaTheme="minorEastAsia"/>
                <w:highlight w:val="none"/>
              </w:rPr>
              <w:t>达标</w:t>
            </w:r>
          </w:p>
        </w:tc>
      </w:tr>
      <w:tr w14:paraId="53F0B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33785AC8">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tcBorders>
              <w:tl2br w:val="nil"/>
              <w:tr2bl w:val="nil"/>
            </w:tcBorders>
            <w:vAlign w:val="center"/>
          </w:tcPr>
          <w:p w14:paraId="185B8A53">
            <w:pPr>
              <w:autoSpaceDE w:val="0"/>
              <w:autoSpaceDN w:val="0"/>
              <w:spacing w:line="300" w:lineRule="exact"/>
              <w:jc w:val="center"/>
              <w:rPr>
                <w:rFonts w:hint="default" w:ascii="Times New Roman" w:hAnsi="Times New Roman" w:cs="Times New Roman" w:eastAsiaTheme="minorEastAsia"/>
                <w:szCs w:val="21"/>
                <w:highlight w:val="yellow"/>
                <w:lang w:val="en-US" w:eastAsia="en-US"/>
              </w:rPr>
            </w:pPr>
            <w:r>
              <w:rPr>
                <w:rFonts w:hint="eastAsia" w:ascii="Times New Roman" w:hAnsi="Times New Roman" w:cs="Times New Roman"/>
                <w:szCs w:val="21"/>
                <w:highlight w:val="none"/>
                <w:lang w:val="en-US" w:eastAsia="zh-CN"/>
              </w:rPr>
              <w:t>萨依巴格村居民区</w:t>
            </w:r>
          </w:p>
        </w:tc>
        <w:tc>
          <w:tcPr>
            <w:tcW w:w="794" w:type="pct"/>
            <w:tcBorders>
              <w:tl2br w:val="nil"/>
              <w:tr2bl w:val="nil"/>
            </w:tcBorders>
            <w:vAlign w:val="center"/>
          </w:tcPr>
          <w:p w14:paraId="328F414E">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default" w:ascii="Times New Roman" w:hAnsi="Times New Roman" w:cs="Times New Roman" w:eastAsiaTheme="minorEastAsia"/>
                <w:szCs w:val="21"/>
                <w:highlight w:val="none"/>
                <w:lang w:val="en-US" w:eastAsia="zh-CN"/>
              </w:rPr>
              <w:t>年平均</w:t>
            </w:r>
          </w:p>
        </w:tc>
        <w:tc>
          <w:tcPr>
            <w:tcW w:w="674" w:type="pct"/>
            <w:tcBorders>
              <w:tl2br w:val="nil"/>
              <w:tr2bl w:val="nil"/>
            </w:tcBorders>
            <w:vAlign w:val="center"/>
          </w:tcPr>
          <w:p w14:paraId="56A1BFDB">
            <w:pPr>
              <w:autoSpaceDE w:val="0"/>
              <w:autoSpaceDN w:val="0"/>
              <w:spacing w:line="300" w:lineRule="exact"/>
              <w:jc w:val="center"/>
              <w:rPr>
                <w:rFonts w:hint="eastAsia"/>
                <w:highlight w:val="yellow"/>
              </w:rPr>
            </w:pPr>
            <w:r>
              <w:rPr>
                <w:rFonts w:hint="eastAsia"/>
                <w:highlight w:val="none"/>
              </w:rPr>
              <w:t>0.00</w:t>
            </w:r>
          </w:p>
        </w:tc>
        <w:tc>
          <w:tcPr>
            <w:tcW w:w="644" w:type="pct"/>
            <w:tcBorders>
              <w:tl2br w:val="nil"/>
              <w:tr2bl w:val="nil"/>
            </w:tcBorders>
            <w:vAlign w:val="center"/>
          </w:tcPr>
          <w:p w14:paraId="467D12C4">
            <w:pPr>
              <w:autoSpaceDE w:val="0"/>
              <w:autoSpaceDN w:val="0"/>
              <w:spacing w:line="300" w:lineRule="exact"/>
              <w:jc w:val="center"/>
              <w:rPr>
                <w:rFonts w:hint="eastAsia"/>
                <w:highlight w:val="yellow"/>
              </w:rPr>
            </w:pPr>
            <w:r>
              <w:rPr>
                <w:rFonts w:hint="eastAsia"/>
                <w:highlight w:val="none"/>
              </w:rPr>
              <w:t>平均值</w:t>
            </w:r>
          </w:p>
        </w:tc>
        <w:tc>
          <w:tcPr>
            <w:tcW w:w="671" w:type="pct"/>
            <w:tcBorders>
              <w:tl2br w:val="nil"/>
              <w:tr2bl w:val="nil"/>
            </w:tcBorders>
            <w:vAlign w:val="center"/>
          </w:tcPr>
          <w:p w14:paraId="5E69D09A">
            <w:pPr>
              <w:autoSpaceDE w:val="0"/>
              <w:autoSpaceDN w:val="0"/>
              <w:spacing w:line="300" w:lineRule="exact"/>
              <w:jc w:val="center"/>
              <w:rPr>
                <w:rFonts w:hint="eastAsia"/>
                <w:highlight w:val="yellow"/>
              </w:rPr>
            </w:pPr>
            <w:r>
              <w:rPr>
                <w:rFonts w:hint="eastAsia"/>
                <w:highlight w:val="none"/>
              </w:rPr>
              <w:t>0.00</w:t>
            </w:r>
          </w:p>
        </w:tc>
        <w:tc>
          <w:tcPr>
            <w:tcW w:w="472" w:type="pct"/>
            <w:tcBorders>
              <w:tl2br w:val="nil"/>
              <w:tr2bl w:val="nil"/>
            </w:tcBorders>
            <w:vAlign w:val="center"/>
          </w:tcPr>
          <w:p w14:paraId="7580659F">
            <w:pPr>
              <w:autoSpaceDE w:val="0"/>
              <w:autoSpaceDN w:val="0"/>
              <w:spacing w:line="300" w:lineRule="exact"/>
              <w:jc w:val="center"/>
              <w:rPr>
                <w:rFonts w:hint="default" w:ascii="Times New Roman" w:hAnsi="Times New Roman" w:cs="Times New Roman" w:eastAsiaTheme="minorEastAsia"/>
                <w:highlight w:val="yellow"/>
              </w:rPr>
            </w:pPr>
            <w:r>
              <w:rPr>
                <w:rFonts w:hint="default" w:ascii="Times New Roman" w:hAnsi="Times New Roman" w:cs="Times New Roman" w:eastAsiaTheme="minorEastAsia"/>
                <w:highlight w:val="none"/>
              </w:rPr>
              <w:t>达标</w:t>
            </w:r>
          </w:p>
        </w:tc>
      </w:tr>
      <w:tr w14:paraId="2FAB4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143DB71F">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tcBorders>
              <w:tl2br w:val="nil"/>
              <w:tr2bl w:val="nil"/>
            </w:tcBorders>
            <w:vAlign w:val="center"/>
          </w:tcPr>
          <w:p w14:paraId="1ED217EF">
            <w:pPr>
              <w:autoSpaceDE w:val="0"/>
              <w:autoSpaceDN w:val="0"/>
              <w:spacing w:line="300" w:lineRule="exact"/>
              <w:jc w:val="center"/>
              <w:rPr>
                <w:rFonts w:hint="default" w:ascii="Times New Roman" w:hAnsi="Times New Roman" w:cs="Times New Roman" w:eastAsiaTheme="minorEastAsia"/>
                <w:szCs w:val="21"/>
                <w:highlight w:val="yellow"/>
                <w:lang w:val="en-US" w:eastAsia="en-US"/>
              </w:rPr>
            </w:pPr>
            <w:r>
              <w:rPr>
                <w:rFonts w:hint="eastAsia" w:ascii="Times New Roman" w:hAnsi="Times New Roman" w:cs="Times New Roman"/>
                <w:szCs w:val="21"/>
                <w:highlight w:val="none"/>
                <w:lang w:val="en-US" w:eastAsia="zh-CN"/>
              </w:rPr>
              <w:t>帕特曼喀什村居民区</w:t>
            </w:r>
          </w:p>
        </w:tc>
        <w:tc>
          <w:tcPr>
            <w:tcW w:w="794" w:type="pct"/>
            <w:tcBorders>
              <w:tl2br w:val="nil"/>
              <w:tr2bl w:val="nil"/>
            </w:tcBorders>
            <w:vAlign w:val="center"/>
          </w:tcPr>
          <w:p w14:paraId="139E5F12">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default" w:ascii="Times New Roman" w:hAnsi="Times New Roman" w:cs="Times New Roman" w:eastAsiaTheme="minorEastAsia"/>
                <w:szCs w:val="21"/>
                <w:highlight w:val="none"/>
                <w:lang w:val="en-US" w:eastAsia="zh-CN"/>
              </w:rPr>
              <w:t>年平均</w:t>
            </w:r>
          </w:p>
        </w:tc>
        <w:tc>
          <w:tcPr>
            <w:tcW w:w="674" w:type="pct"/>
            <w:tcBorders>
              <w:tl2br w:val="nil"/>
              <w:tr2bl w:val="nil"/>
            </w:tcBorders>
            <w:vAlign w:val="center"/>
          </w:tcPr>
          <w:p w14:paraId="2C6265D9">
            <w:pPr>
              <w:autoSpaceDE w:val="0"/>
              <w:autoSpaceDN w:val="0"/>
              <w:spacing w:line="300" w:lineRule="exact"/>
              <w:jc w:val="center"/>
              <w:rPr>
                <w:rFonts w:hint="eastAsia"/>
                <w:highlight w:val="yellow"/>
              </w:rPr>
            </w:pPr>
            <w:r>
              <w:rPr>
                <w:rFonts w:hint="eastAsia"/>
                <w:highlight w:val="none"/>
              </w:rPr>
              <w:t>0.00</w:t>
            </w:r>
          </w:p>
        </w:tc>
        <w:tc>
          <w:tcPr>
            <w:tcW w:w="644" w:type="pct"/>
            <w:tcBorders>
              <w:tl2br w:val="nil"/>
              <w:tr2bl w:val="nil"/>
            </w:tcBorders>
            <w:vAlign w:val="center"/>
          </w:tcPr>
          <w:p w14:paraId="245F6584">
            <w:pPr>
              <w:autoSpaceDE w:val="0"/>
              <w:autoSpaceDN w:val="0"/>
              <w:spacing w:line="300" w:lineRule="exact"/>
              <w:jc w:val="center"/>
              <w:rPr>
                <w:rFonts w:hint="eastAsia"/>
                <w:highlight w:val="yellow"/>
              </w:rPr>
            </w:pPr>
            <w:r>
              <w:rPr>
                <w:rFonts w:hint="eastAsia"/>
                <w:highlight w:val="none"/>
              </w:rPr>
              <w:t>平均值</w:t>
            </w:r>
          </w:p>
        </w:tc>
        <w:tc>
          <w:tcPr>
            <w:tcW w:w="671" w:type="pct"/>
            <w:tcBorders>
              <w:tl2br w:val="nil"/>
              <w:tr2bl w:val="nil"/>
            </w:tcBorders>
            <w:vAlign w:val="center"/>
          </w:tcPr>
          <w:p w14:paraId="73542BA8">
            <w:pPr>
              <w:autoSpaceDE w:val="0"/>
              <w:autoSpaceDN w:val="0"/>
              <w:spacing w:line="300" w:lineRule="exact"/>
              <w:jc w:val="center"/>
              <w:rPr>
                <w:rFonts w:hint="eastAsia"/>
                <w:highlight w:val="yellow"/>
              </w:rPr>
            </w:pPr>
            <w:r>
              <w:rPr>
                <w:rFonts w:hint="eastAsia"/>
                <w:highlight w:val="none"/>
              </w:rPr>
              <w:t>0.00</w:t>
            </w:r>
          </w:p>
        </w:tc>
        <w:tc>
          <w:tcPr>
            <w:tcW w:w="472" w:type="pct"/>
            <w:tcBorders>
              <w:tl2br w:val="nil"/>
              <w:tr2bl w:val="nil"/>
            </w:tcBorders>
            <w:vAlign w:val="center"/>
          </w:tcPr>
          <w:p w14:paraId="4F58BEEA">
            <w:pPr>
              <w:autoSpaceDE w:val="0"/>
              <w:autoSpaceDN w:val="0"/>
              <w:spacing w:line="300" w:lineRule="exact"/>
              <w:jc w:val="center"/>
              <w:rPr>
                <w:rFonts w:hint="default" w:ascii="Times New Roman" w:hAnsi="Times New Roman" w:cs="Times New Roman" w:eastAsiaTheme="minorEastAsia"/>
                <w:highlight w:val="yellow"/>
              </w:rPr>
            </w:pPr>
            <w:r>
              <w:rPr>
                <w:rFonts w:hint="default" w:ascii="Times New Roman" w:hAnsi="Times New Roman" w:cs="Times New Roman" w:eastAsiaTheme="minorEastAsia"/>
                <w:highlight w:val="none"/>
              </w:rPr>
              <w:t>达标</w:t>
            </w:r>
          </w:p>
        </w:tc>
      </w:tr>
      <w:tr w14:paraId="6EDA8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7255B412">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tcBorders>
              <w:tl2br w:val="nil"/>
              <w:tr2bl w:val="nil"/>
            </w:tcBorders>
            <w:vAlign w:val="center"/>
          </w:tcPr>
          <w:p w14:paraId="47867740">
            <w:pPr>
              <w:autoSpaceDE w:val="0"/>
              <w:autoSpaceDN w:val="0"/>
              <w:spacing w:line="300" w:lineRule="exact"/>
              <w:jc w:val="center"/>
              <w:rPr>
                <w:rFonts w:hint="default" w:ascii="Times New Roman" w:hAnsi="Times New Roman" w:cs="Times New Roman" w:eastAsiaTheme="minorEastAsia"/>
                <w:szCs w:val="21"/>
                <w:highlight w:val="yellow"/>
                <w:lang w:val="en-US" w:eastAsia="en-US"/>
              </w:rPr>
            </w:pPr>
            <w:r>
              <w:rPr>
                <w:rFonts w:hint="default" w:ascii="Times New Roman" w:hAnsi="Times New Roman" w:cs="Times New Roman" w:eastAsiaTheme="minorEastAsia"/>
                <w:szCs w:val="21"/>
                <w:highlight w:val="none"/>
                <w:lang w:val="en-US" w:eastAsia="zh-CN"/>
              </w:rPr>
              <w:t>网格</w:t>
            </w:r>
          </w:p>
        </w:tc>
        <w:tc>
          <w:tcPr>
            <w:tcW w:w="794" w:type="pct"/>
            <w:tcBorders>
              <w:tl2br w:val="nil"/>
              <w:tr2bl w:val="nil"/>
            </w:tcBorders>
            <w:vAlign w:val="center"/>
          </w:tcPr>
          <w:p w14:paraId="16A59644">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default" w:ascii="Times New Roman" w:hAnsi="Times New Roman" w:cs="Times New Roman" w:eastAsiaTheme="minorEastAsia"/>
                <w:szCs w:val="21"/>
                <w:highlight w:val="none"/>
                <w:lang w:val="en-US" w:eastAsia="zh-CN"/>
              </w:rPr>
              <w:t>年平均</w:t>
            </w:r>
          </w:p>
        </w:tc>
        <w:tc>
          <w:tcPr>
            <w:tcW w:w="674" w:type="pct"/>
            <w:tcBorders>
              <w:tl2br w:val="nil"/>
              <w:tr2bl w:val="nil"/>
            </w:tcBorders>
            <w:vAlign w:val="center"/>
          </w:tcPr>
          <w:p w14:paraId="4CBEDB60">
            <w:pPr>
              <w:autoSpaceDE w:val="0"/>
              <w:autoSpaceDN w:val="0"/>
              <w:spacing w:line="300" w:lineRule="exact"/>
              <w:jc w:val="center"/>
              <w:rPr>
                <w:rFonts w:hint="eastAsia"/>
                <w:highlight w:val="yellow"/>
              </w:rPr>
            </w:pPr>
            <w:r>
              <w:rPr>
                <w:rFonts w:hint="eastAsia"/>
                <w:highlight w:val="none"/>
              </w:rPr>
              <w:t>0.00</w:t>
            </w:r>
          </w:p>
        </w:tc>
        <w:tc>
          <w:tcPr>
            <w:tcW w:w="644" w:type="pct"/>
            <w:tcBorders>
              <w:tl2br w:val="nil"/>
              <w:tr2bl w:val="nil"/>
            </w:tcBorders>
            <w:vAlign w:val="center"/>
          </w:tcPr>
          <w:p w14:paraId="5788FA9E">
            <w:pPr>
              <w:autoSpaceDE w:val="0"/>
              <w:autoSpaceDN w:val="0"/>
              <w:spacing w:line="300" w:lineRule="exact"/>
              <w:jc w:val="center"/>
              <w:rPr>
                <w:rFonts w:hint="eastAsia"/>
                <w:highlight w:val="yellow"/>
              </w:rPr>
            </w:pPr>
            <w:r>
              <w:rPr>
                <w:rFonts w:hint="eastAsia"/>
                <w:highlight w:val="none"/>
              </w:rPr>
              <w:t>平均值</w:t>
            </w:r>
          </w:p>
        </w:tc>
        <w:tc>
          <w:tcPr>
            <w:tcW w:w="671" w:type="pct"/>
            <w:tcBorders>
              <w:tl2br w:val="nil"/>
              <w:tr2bl w:val="nil"/>
            </w:tcBorders>
            <w:vAlign w:val="center"/>
          </w:tcPr>
          <w:p w14:paraId="0EF4EF77">
            <w:pPr>
              <w:autoSpaceDE w:val="0"/>
              <w:autoSpaceDN w:val="0"/>
              <w:spacing w:line="300" w:lineRule="exact"/>
              <w:jc w:val="center"/>
              <w:rPr>
                <w:rFonts w:hint="eastAsia"/>
                <w:highlight w:val="yellow"/>
              </w:rPr>
            </w:pPr>
            <w:r>
              <w:rPr>
                <w:rFonts w:hint="eastAsia"/>
                <w:highlight w:val="none"/>
              </w:rPr>
              <w:t>0.00</w:t>
            </w:r>
          </w:p>
        </w:tc>
        <w:tc>
          <w:tcPr>
            <w:tcW w:w="472" w:type="pct"/>
            <w:tcBorders>
              <w:tl2br w:val="nil"/>
              <w:tr2bl w:val="nil"/>
            </w:tcBorders>
            <w:vAlign w:val="center"/>
          </w:tcPr>
          <w:p w14:paraId="510B4F7B">
            <w:pPr>
              <w:autoSpaceDE w:val="0"/>
              <w:autoSpaceDN w:val="0"/>
              <w:spacing w:line="300" w:lineRule="exact"/>
              <w:jc w:val="center"/>
              <w:rPr>
                <w:rFonts w:hint="default" w:ascii="Times New Roman" w:hAnsi="Times New Roman" w:cs="Times New Roman" w:eastAsiaTheme="minorEastAsia"/>
                <w:highlight w:val="yellow"/>
              </w:rPr>
            </w:pPr>
            <w:r>
              <w:rPr>
                <w:rFonts w:hint="default" w:ascii="Times New Roman" w:hAnsi="Times New Roman" w:cs="Times New Roman" w:eastAsiaTheme="minorEastAsia"/>
                <w:highlight w:val="none"/>
              </w:rPr>
              <w:t>达标</w:t>
            </w:r>
          </w:p>
        </w:tc>
      </w:tr>
      <w:tr w14:paraId="56798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restart"/>
            <w:tcBorders>
              <w:tl2br w:val="nil"/>
              <w:tr2bl w:val="nil"/>
            </w:tcBorders>
            <w:vAlign w:val="center"/>
          </w:tcPr>
          <w:p w14:paraId="27100F53">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二噁英</w:t>
            </w:r>
          </w:p>
        </w:tc>
        <w:tc>
          <w:tcPr>
            <w:tcW w:w="1315" w:type="pct"/>
            <w:tcBorders>
              <w:tl2br w:val="nil"/>
              <w:tr2bl w:val="nil"/>
            </w:tcBorders>
            <w:vAlign w:val="center"/>
          </w:tcPr>
          <w:p w14:paraId="11057292">
            <w:pPr>
              <w:autoSpaceDE w:val="0"/>
              <w:autoSpaceDN w:val="0"/>
              <w:spacing w:line="300" w:lineRule="exact"/>
              <w:jc w:val="center"/>
              <w:rPr>
                <w:rFonts w:hint="default" w:ascii="Times New Roman" w:hAnsi="Times New Roman" w:cs="Times New Roman" w:eastAsiaTheme="minorEastAsia"/>
                <w:szCs w:val="21"/>
                <w:highlight w:val="yellow"/>
                <w:lang w:val="en-US" w:eastAsia="en-US"/>
              </w:rPr>
            </w:pPr>
            <w:r>
              <w:rPr>
                <w:rFonts w:hint="eastAsia" w:ascii="Times New Roman" w:hAnsi="Times New Roman" w:cs="Times New Roman"/>
                <w:szCs w:val="21"/>
                <w:highlight w:val="none"/>
                <w:lang w:val="en-US" w:eastAsia="zh-CN"/>
              </w:rPr>
              <w:t>兰干村居民区</w:t>
            </w:r>
          </w:p>
        </w:tc>
        <w:tc>
          <w:tcPr>
            <w:tcW w:w="794" w:type="pct"/>
            <w:tcBorders>
              <w:tl2br w:val="nil"/>
              <w:tr2bl w:val="nil"/>
            </w:tcBorders>
            <w:vAlign w:val="center"/>
          </w:tcPr>
          <w:p w14:paraId="79941161">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eastAsia" w:ascii="Times New Roman" w:hAnsi="Times New Roman" w:cs="Times New Roman"/>
                <w:szCs w:val="21"/>
                <w:highlight w:val="none"/>
                <w:lang w:val="en-US" w:eastAsia="zh-CN"/>
              </w:rPr>
              <w:t>年</w:t>
            </w:r>
            <w:r>
              <w:rPr>
                <w:rFonts w:hint="default" w:ascii="Times New Roman" w:hAnsi="Times New Roman" w:cs="Times New Roman" w:eastAsiaTheme="minorEastAsia"/>
                <w:szCs w:val="21"/>
                <w:highlight w:val="none"/>
                <w:lang w:val="en-US" w:eastAsia="en-US"/>
              </w:rPr>
              <w:t>平均</w:t>
            </w:r>
          </w:p>
        </w:tc>
        <w:tc>
          <w:tcPr>
            <w:tcW w:w="674" w:type="pct"/>
            <w:tcBorders>
              <w:tl2br w:val="nil"/>
              <w:tr2bl w:val="nil"/>
            </w:tcBorders>
            <w:vAlign w:val="center"/>
          </w:tcPr>
          <w:p w14:paraId="3A00A66A">
            <w:pPr>
              <w:autoSpaceDE w:val="0"/>
              <w:autoSpaceDN w:val="0"/>
              <w:spacing w:line="300" w:lineRule="exact"/>
              <w:jc w:val="center"/>
              <w:rPr>
                <w:rFonts w:hint="eastAsia"/>
                <w:highlight w:val="yellow"/>
              </w:rPr>
            </w:pPr>
            <w:r>
              <w:rPr>
                <w:rFonts w:hint="eastAsia"/>
                <w:highlight w:val="none"/>
              </w:rPr>
              <w:t>0.00</w:t>
            </w:r>
          </w:p>
        </w:tc>
        <w:tc>
          <w:tcPr>
            <w:tcW w:w="1181" w:type="dxa"/>
            <w:tcBorders>
              <w:tl2br w:val="nil"/>
              <w:tr2bl w:val="nil"/>
            </w:tcBorders>
            <w:vAlign w:val="center"/>
          </w:tcPr>
          <w:p w14:paraId="20FD3013">
            <w:pPr>
              <w:autoSpaceDE w:val="0"/>
              <w:autoSpaceDN w:val="0"/>
              <w:spacing w:line="300" w:lineRule="exact"/>
              <w:jc w:val="center"/>
              <w:rPr>
                <w:rFonts w:hint="eastAsia"/>
                <w:highlight w:val="yellow"/>
              </w:rPr>
            </w:pPr>
            <w:r>
              <w:rPr>
                <w:rFonts w:hint="eastAsia"/>
                <w:highlight w:val="none"/>
              </w:rPr>
              <w:t>平均值</w:t>
            </w:r>
          </w:p>
        </w:tc>
        <w:tc>
          <w:tcPr>
            <w:tcW w:w="671" w:type="pct"/>
            <w:tcBorders>
              <w:tl2br w:val="nil"/>
              <w:tr2bl w:val="nil"/>
            </w:tcBorders>
            <w:vAlign w:val="center"/>
          </w:tcPr>
          <w:p w14:paraId="7A65154E">
            <w:pPr>
              <w:autoSpaceDE w:val="0"/>
              <w:autoSpaceDN w:val="0"/>
              <w:spacing w:line="300" w:lineRule="exact"/>
              <w:jc w:val="center"/>
              <w:rPr>
                <w:rFonts w:hint="eastAsia"/>
                <w:highlight w:val="yellow"/>
              </w:rPr>
            </w:pPr>
            <w:r>
              <w:rPr>
                <w:rFonts w:hint="eastAsia"/>
                <w:highlight w:val="none"/>
              </w:rPr>
              <w:t>0.00</w:t>
            </w:r>
          </w:p>
        </w:tc>
        <w:tc>
          <w:tcPr>
            <w:tcW w:w="472" w:type="pct"/>
            <w:tcBorders>
              <w:tl2br w:val="nil"/>
              <w:tr2bl w:val="nil"/>
            </w:tcBorders>
            <w:vAlign w:val="center"/>
          </w:tcPr>
          <w:p w14:paraId="0EEA19FA">
            <w:pPr>
              <w:autoSpaceDE w:val="0"/>
              <w:autoSpaceDN w:val="0"/>
              <w:spacing w:line="300" w:lineRule="exact"/>
              <w:jc w:val="center"/>
              <w:rPr>
                <w:rFonts w:hint="default" w:ascii="Times New Roman" w:hAnsi="Times New Roman" w:cs="Times New Roman" w:eastAsiaTheme="minorEastAsia"/>
                <w:highlight w:val="yellow"/>
              </w:rPr>
            </w:pPr>
            <w:r>
              <w:rPr>
                <w:rFonts w:hint="default" w:ascii="Times New Roman" w:hAnsi="Times New Roman" w:cs="Times New Roman" w:eastAsiaTheme="minorEastAsia"/>
                <w:highlight w:val="none"/>
              </w:rPr>
              <w:t>达标</w:t>
            </w:r>
          </w:p>
        </w:tc>
      </w:tr>
      <w:tr w14:paraId="35629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5E60DC68">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tcBorders>
              <w:tl2br w:val="nil"/>
              <w:tr2bl w:val="nil"/>
            </w:tcBorders>
            <w:vAlign w:val="center"/>
          </w:tcPr>
          <w:p w14:paraId="784D61AB">
            <w:pPr>
              <w:autoSpaceDE w:val="0"/>
              <w:autoSpaceDN w:val="0"/>
              <w:spacing w:line="300" w:lineRule="exact"/>
              <w:jc w:val="center"/>
              <w:rPr>
                <w:rFonts w:hint="default" w:ascii="Times New Roman" w:hAnsi="Times New Roman" w:cs="Times New Roman" w:eastAsiaTheme="minorEastAsia"/>
                <w:szCs w:val="21"/>
                <w:highlight w:val="yellow"/>
                <w:lang w:val="en-US" w:eastAsia="en-US"/>
              </w:rPr>
            </w:pPr>
            <w:r>
              <w:rPr>
                <w:rFonts w:hint="eastAsia" w:ascii="Times New Roman" w:hAnsi="Times New Roman" w:cs="Times New Roman"/>
                <w:szCs w:val="21"/>
                <w:highlight w:val="none"/>
                <w:lang w:val="en-US" w:eastAsia="zh-CN"/>
              </w:rPr>
              <w:t>萨依巴格村居民区</w:t>
            </w:r>
          </w:p>
        </w:tc>
        <w:tc>
          <w:tcPr>
            <w:tcW w:w="794" w:type="pct"/>
            <w:tcBorders>
              <w:tl2br w:val="nil"/>
              <w:tr2bl w:val="nil"/>
            </w:tcBorders>
            <w:vAlign w:val="center"/>
          </w:tcPr>
          <w:p w14:paraId="55D3F5CD">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eastAsia" w:ascii="Times New Roman" w:hAnsi="Times New Roman" w:cs="Times New Roman"/>
                <w:szCs w:val="21"/>
                <w:highlight w:val="none"/>
                <w:lang w:val="en-US" w:eastAsia="zh-CN"/>
              </w:rPr>
              <w:t>年</w:t>
            </w:r>
            <w:r>
              <w:rPr>
                <w:rFonts w:hint="default" w:ascii="Times New Roman" w:hAnsi="Times New Roman" w:cs="Times New Roman" w:eastAsiaTheme="minorEastAsia"/>
                <w:szCs w:val="21"/>
                <w:highlight w:val="none"/>
                <w:lang w:val="en-US" w:eastAsia="en-US"/>
              </w:rPr>
              <w:t>平均</w:t>
            </w:r>
          </w:p>
        </w:tc>
        <w:tc>
          <w:tcPr>
            <w:tcW w:w="674" w:type="pct"/>
            <w:tcBorders>
              <w:tl2br w:val="nil"/>
              <w:tr2bl w:val="nil"/>
            </w:tcBorders>
            <w:vAlign w:val="center"/>
          </w:tcPr>
          <w:p w14:paraId="4CE11F1A">
            <w:pPr>
              <w:autoSpaceDE w:val="0"/>
              <w:autoSpaceDN w:val="0"/>
              <w:spacing w:line="300" w:lineRule="exact"/>
              <w:jc w:val="center"/>
              <w:rPr>
                <w:rFonts w:hint="eastAsia"/>
                <w:highlight w:val="yellow"/>
              </w:rPr>
            </w:pPr>
            <w:r>
              <w:rPr>
                <w:rFonts w:hint="eastAsia"/>
                <w:highlight w:val="none"/>
              </w:rPr>
              <w:t>0.00</w:t>
            </w:r>
          </w:p>
        </w:tc>
        <w:tc>
          <w:tcPr>
            <w:tcW w:w="1181" w:type="dxa"/>
            <w:tcBorders>
              <w:tl2br w:val="nil"/>
              <w:tr2bl w:val="nil"/>
            </w:tcBorders>
            <w:vAlign w:val="center"/>
          </w:tcPr>
          <w:p w14:paraId="0DE148B2">
            <w:pPr>
              <w:autoSpaceDE w:val="0"/>
              <w:autoSpaceDN w:val="0"/>
              <w:spacing w:line="300" w:lineRule="exact"/>
              <w:jc w:val="center"/>
              <w:rPr>
                <w:rFonts w:hint="eastAsia"/>
                <w:highlight w:val="yellow"/>
              </w:rPr>
            </w:pPr>
            <w:r>
              <w:rPr>
                <w:rFonts w:hint="eastAsia"/>
                <w:highlight w:val="none"/>
              </w:rPr>
              <w:t>平均值</w:t>
            </w:r>
          </w:p>
        </w:tc>
        <w:tc>
          <w:tcPr>
            <w:tcW w:w="671" w:type="pct"/>
            <w:tcBorders>
              <w:tl2br w:val="nil"/>
              <w:tr2bl w:val="nil"/>
            </w:tcBorders>
            <w:vAlign w:val="center"/>
          </w:tcPr>
          <w:p w14:paraId="4D9F722A">
            <w:pPr>
              <w:autoSpaceDE w:val="0"/>
              <w:autoSpaceDN w:val="0"/>
              <w:spacing w:line="300" w:lineRule="exact"/>
              <w:jc w:val="center"/>
              <w:rPr>
                <w:rFonts w:hint="eastAsia"/>
                <w:highlight w:val="yellow"/>
              </w:rPr>
            </w:pPr>
            <w:r>
              <w:rPr>
                <w:rFonts w:hint="eastAsia"/>
                <w:highlight w:val="none"/>
              </w:rPr>
              <w:t>0.00</w:t>
            </w:r>
          </w:p>
        </w:tc>
        <w:tc>
          <w:tcPr>
            <w:tcW w:w="472" w:type="pct"/>
            <w:tcBorders>
              <w:tl2br w:val="nil"/>
              <w:tr2bl w:val="nil"/>
            </w:tcBorders>
            <w:vAlign w:val="center"/>
          </w:tcPr>
          <w:p w14:paraId="688EE20D">
            <w:pPr>
              <w:autoSpaceDE w:val="0"/>
              <w:autoSpaceDN w:val="0"/>
              <w:spacing w:line="300" w:lineRule="exact"/>
              <w:jc w:val="center"/>
              <w:rPr>
                <w:rFonts w:hint="default" w:ascii="Times New Roman" w:hAnsi="Times New Roman" w:cs="Times New Roman" w:eastAsiaTheme="minorEastAsia"/>
                <w:highlight w:val="yellow"/>
              </w:rPr>
            </w:pPr>
            <w:r>
              <w:rPr>
                <w:rFonts w:hint="default" w:ascii="Times New Roman" w:hAnsi="Times New Roman" w:cs="Times New Roman" w:eastAsiaTheme="minorEastAsia"/>
                <w:highlight w:val="none"/>
              </w:rPr>
              <w:t>达标</w:t>
            </w:r>
          </w:p>
        </w:tc>
      </w:tr>
      <w:tr w14:paraId="52B2C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426" w:type="pct"/>
            <w:vMerge w:val="continue"/>
            <w:tcBorders>
              <w:tl2br w:val="nil"/>
              <w:tr2bl w:val="nil"/>
            </w:tcBorders>
            <w:vAlign w:val="center"/>
          </w:tcPr>
          <w:p w14:paraId="71D253F8">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tcBorders>
              <w:tl2br w:val="nil"/>
              <w:tr2bl w:val="nil"/>
            </w:tcBorders>
            <w:vAlign w:val="center"/>
          </w:tcPr>
          <w:p w14:paraId="64FC32D1">
            <w:pPr>
              <w:autoSpaceDE w:val="0"/>
              <w:autoSpaceDN w:val="0"/>
              <w:spacing w:line="300" w:lineRule="exact"/>
              <w:jc w:val="center"/>
              <w:rPr>
                <w:rFonts w:hint="default" w:ascii="Times New Roman" w:hAnsi="Times New Roman" w:cs="Times New Roman" w:eastAsiaTheme="minorEastAsia"/>
                <w:szCs w:val="21"/>
                <w:highlight w:val="yellow"/>
                <w:lang w:val="en-US" w:eastAsia="en-US"/>
              </w:rPr>
            </w:pPr>
            <w:r>
              <w:rPr>
                <w:rFonts w:hint="eastAsia" w:ascii="Times New Roman" w:hAnsi="Times New Roman" w:cs="Times New Roman"/>
                <w:szCs w:val="21"/>
                <w:highlight w:val="none"/>
                <w:lang w:val="en-US" w:eastAsia="zh-CN"/>
              </w:rPr>
              <w:t>帕特曼喀什村居民区</w:t>
            </w:r>
          </w:p>
        </w:tc>
        <w:tc>
          <w:tcPr>
            <w:tcW w:w="794" w:type="pct"/>
            <w:tcBorders>
              <w:tl2br w:val="nil"/>
              <w:tr2bl w:val="nil"/>
            </w:tcBorders>
            <w:vAlign w:val="center"/>
          </w:tcPr>
          <w:p w14:paraId="42CB06CD">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eastAsia" w:ascii="Times New Roman" w:hAnsi="Times New Roman" w:cs="Times New Roman"/>
                <w:szCs w:val="21"/>
                <w:highlight w:val="none"/>
                <w:lang w:val="en-US" w:eastAsia="zh-CN"/>
              </w:rPr>
              <w:t>年</w:t>
            </w:r>
            <w:r>
              <w:rPr>
                <w:rFonts w:hint="default" w:ascii="Times New Roman" w:hAnsi="Times New Roman" w:cs="Times New Roman" w:eastAsiaTheme="minorEastAsia"/>
                <w:szCs w:val="21"/>
                <w:highlight w:val="none"/>
                <w:lang w:val="en-US" w:eastAsia="en-US"/>
              </w:rPr>
              <w:t>平均</w:t>
            </w:r>
          </w:p>
        </w:tc>
        <w:tc>
          <w:tcPr>
            <w:tcW w:w="674" w:type="pct"/>
            <w:tcBorders>
              <w:tl2br w:val="nil"/>
              <w:tr2bl w:val="nil"/>
            </w:tcBorders>
            <w:vAlign w:val="center"/>
          </w:tcPr>
          <w:p w14:paraId="6D0BE346">
            <w:pPr>
              <w:autoSpaceDE w:val="0"/>
              <w:autoSpaceDN w:val="0"/>
              <w:spacing w:line="300" w:lineRule="exact"/>
              <w:jc w:val="center"/>
              <w:rPr>
                <w:rFonts w:hint="eastAsia"/>
                <w:highlight w:val="yellow"/>
              </w:rPr>
            </w:pPr>
            <w:r>
              <w:rPr>
                <w:rFonts w:hint="eastAsia"/>
                <w:highlight w:val="none"/>
              </w:rPr>
              <w:t>0.00</w:t>
            </w:r>
          </w:p>
        </w:tc>
        <w:tc>
          <w:tcPr>
            <w:tcW w:w="1181" w:type="dxa"/>
            <w:tcBorders>
              <w:tl2br w:val="nil"/>
              <w:tr2bl w:val="nil"/>
            </w:tcBorders>
            <w:vAlign w:val="center"/>
          </w:tcPr>
          <w:p w14:paraId="7FED53C0">
            <w:pPr>
              <w:autoSpaceDE w:val="0"/>
              <w:autoSpaceDN w:val="0"/>
              <w:spacing w:line="300" w:lineRule="exact"/>
              <w:jc w:val="center"/>
              <w:rPr>
                <w:rFonts w:hint="eastAsia"/>
                <w:highlight w:val="yellow"/>
              </w:rPr>
            </w:pPr>
            <w:r>
              <w:rPr>
                <w:rFonts w:hint="eastAsia"/>
                <w:highlight w:val="none"/>
              </w:rPr>
              <w:t>平均值</w:t>
            </w:r>
          </w:p>
        </w:tc>
        <w:tc>
          <w:tcPr>
            <w:tcW w:w="671" w:type="pct"/>
            <w:tcBorders>
              <w:tl2br w:val="nil"/>
              <w:tr2bl w:val="nil"/>
            </w:tcBorders>
            <w:vAlign w:val="center"/>
          </w:tcPr>
          <w:p w14:paraId="0448C835">
            <w:pPr>
              <w:autoSpaceDE w:val="0"/>
              <w:autoSpaceDN w:val="0"/>
              <w:spacing w:line="300" w:lineRule="exact"/>
              <w:jc w:val="center"/>
              <w:rPr>
                <w:rFonts w:hint="eastAsia"/>
                <w:highlight w:val="yellow"/>
              </w:rPr>
            </w:pPr>
            <w:r>
              <w:rPr>
                <w:rFonts w:hint="eastAsia"/>
                <w:highlight w:val="none"/>
              </w:rPr>
              <w:t>0.00</w:t>
            </w:r>
          </w:p>
        </w:tc>
        <w:tc>
          <w:tcPr>
            <w:tcW w:w="472" w:type="pct"/>
            <w:tcBorders>
              <w:tl2br w:val="nil"/>
              <w:tr2bl w:val="nil"/>
            </w:tcBorders>
            <w:vAlign w:val="center"/>
          </w:tcPr>
          <w:p w14:paraId="5217BCE6">
            <w:pPr>
              <w:autoSpaceDE w:val="0"/>
              <w:autoSpaceDN w:val="0"/>
              <w:spacing w:line="300" w:lineRule="exact"/>
              <w:jc w:val="center"/>
              <w:rPr>
                <w:rFonts w:hint="default" w:ascii="Times New Roman" w:hAnsi="Times New Roman" w:cs="Times New Roman" w:eastAsiaTheme="minorEastAsia"/>
                <w:highlight w:val="yellow"/>
              </w:rPr>
            </w:pPr>
            <w:r>
              <w:rPr>
                <w:rFonts w:hint="default" w:ascii="Times New Roman" w:hAnsi="Times New Roman" w:cs="Times New Roman" w:eastAsiaTheme="minorEastAsia"/>
                <w:highlight w:val="none"/>
              </w:rPr>
              <w:t>达标</w:t>
            </w:r>
          </w:p>
        </w:tc>
      </w:tr>
      <w:tr w14:paraId="5AB5E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426" w:type="pct"/>
            <w:vMerge w:val="continue"/>
            <w:tcBorders>
              <w:tl2br w:val="nil"/>
              <w:tr2bl w:val="nil"/>
            </w:tcBorders>
            <w:vAlign w:val="center"/>
          </w:tcPr>
          <w:p w14:paraId="414BF723">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tcBorders>
              <w:tl2br w:val="nil"/>
              <w:tr2bl w:val="nil"/>
            </w:tcBorders>
            <w:vAlign w:val="center"/>
          </w:tcPr>
          <w:p w14:paraId="347DE3DD">
            <w:pPr>
              <w:autoSpaceDE w:val="0"/>
              <w:autoSpaceDN w:val="0"/>
              <w:spacing w:line="300" w:lineRule="exact"/>
              <w:jc w:val="center"/>
              <w:rPr>
                <w:rFonts w:hint="default" w:ascii="Times New Roman" w:hAnsi="Times New Roman" w:cs="Times New Roman" w:eastAsiaTheme="minorEastAsia"/>
                <w:szCs w:val="21"/>
                <w:highlight w:val="yellow"/>
                <w:lang w:val="en-US" w:eastAsia="en-US"/>
              </w:rPr>
            </w:pPr>
            <w:r>
              <w:rPr>
                <w:rFonts w:hint="default" w:ascii="Times New Roman" w:hAnsi="Times New Roman" w:cs="Times New Roman" w:eastAsiaTheme="minorEastAsia"/>
                <w:szCs w:val="21"/>
                <w:highlight w:val="none"/>
                <w:lang w:val="en-US" w:eastAsia="zh-CN"/>
              </w:rPr>
              <w:t>网格</w:t>
            </w:r>
          </w:p>
        </w:tc>
        <w:tc>
          <w:tcPr>
            <w:tcW w:w="794" w:type="pct"/>
            <w:tcBorders>
              <w:tl2br w:val="nil"/>
              <w:tr2bl w:val="nil"/>
            </w:tcBorders>
            <w:vAlign w:val="center"/>
          </w:tcPr>
          <w:p w14:paraId="7CD8D80A">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eastAsia" w:ascii="Times New Roman" w:hAnsi="Times New Roman" w:cs="Times New Roman"/>
                <w:szCs w:val="21"/>
                <w:highlight w:val="none"/>
                <w:lang w:val="en-US" w:eastAsia="zh-CN"/>
              </w:rPr>
              <w:t>年</w:t>
            </w:r>
            <w:r>
              <w:rPr>
                <w:rFonts w:hint="default" w:ascii="Times New Roman" w:hAnsi="Times New Roman" w:cs="Times New Roman" w:eastAsiaTheme="minorEastAsia"/>
                <w:szCs w:val="21"/>
                <w:highlight w:val="none"/>
                <w:lang w:val="en-US" w:eastAsia="en-US"/>
              </w:rPr>
              <w:t>平均</w:t>
            </w:r>
          </w:p>
        </w:tc>
        <w:tc>
          <w:tcPr>
            <w:tcW w:w="674" w:type="pct"/>
            <w:tcBorders>
              <w:tl2br w:val="nil"/>
              <w:tr2bl w:val="nil"/>
            </w:tcBorders>
            <w:vAlign w:val="center"/>
          </w:tcPr>
          <w:p w14:paraId="6344C34E">
            <w:pPr>
              <w:autoSpaceDE w:val="0"/>
              <w:autoSpaceDN w:val="0"/>
              <w:spacing w:line="300" w:lineRule="exact"/>
              <w:jc w:val="center"/>
              <w:rPr>
                <w:rFonts w:hint="eastAsia"/>
                <w:highlight w:val="yellow"/>
              </w:rPr>
            </w:pPr>
            <w:r>
              <w:rPr>
                <w:rFonts w:hint="eastAsia"/>
                <w:highlight w:val="none"/>
              </w:rPr>
              <w:t>0.00</w:t>
            </w:r>
          </w:p>
        </w:tc>
        <w:tc>
          <w:tcPr>
            <w:tcW w:w="1181" w:type="dxa"/>
            <w:tcBorders>
              <w:tl2br w:val="nil"/>
              <w:tr2bl w:val="nil"/>
            </w:tcBorders>
            <w:vAlign w:val="center"/>
          </w:tcPr>
          <w:p w14:paraId="2D869BC0">
            <w:pPr>
              <w:autoSpaceDE w:val="0"/>
              <w:autoSpaceDN w:val="0"/>
              <w:spacing w:line="300" w:lineRule="exact"/>
              <w:jc w:val="center"/>
              <w:rPr>
                <w:rFonts w:hint="eastAsia"/>
                <w:highlight w:val="yellow"/>
              </w:rPr>
            </w:pPr>
            <w:r>
              <w:rPr>
                <w:rFonts w:hint="eastAsia"/>
                <w:highlight w:val="none"/>
              </w:rPr>
              <w:t>平均值</w:t>
            </w:r>
          </w:p>
        </w:tc>
        <w:tc>
          <w:tcPr>
            <w:tcW w:w="671" w:type="pct"/>
            <w:tcBorders>
              <w:tl2br w:val="nil"/>
              <w:tr2bl w:val="nil"/>
            </w:tcBorders>
            <w:vAlign w:val="center"/>
          </w:tcPr>
          <w:p w14:paraId="5A97E6A8">
            <w:pPr>
              <w:autoSpaceDE w:val="0"/>
              <w:autoSpaceDN w:val="0"/>
              <w:spacing w:line="300" w:lineRule="exact"/>
              <w:jc w:val="center"/>
              <w:rPr>
                <w:rFonts w:hint="eastAsia"/>
                <w:highlight w:val="yellow"/>
              </w:rPr>
            </w:pPr>
            <w:r>
              <w:rPr>
                <w:rFonts w:hint="eastAsia"/>
                <w:highlight w:val="none"/>
              </w:rPr>
              <w:t>0.00</w:t>
            </w:r>
          </w:p>
        </w:tc>
        <w:tc>
          <w:tcPr>
            <w:tcW w:w="472" w:type="pct"/>
            <w:tcBorders>
              <w:tl2br w:val="nil"/>
              <w:tr2bl w:val="nil"/>
            </w:tcBorders>
            <w:vAlign w:val="center"/>
          </w:tcPr>
          <w:p w14:paraId="09A99A56">
            <w:pPr>
              <w:autoSpaceDE w:val="0"/>
              <w:autoSpaceDN w:val="0"/>
              <w:spacing w:line="300" w:lineRule="exact"/>
              <w:jc w:val="center"/>
              <w:rPr>
                <w:rFonts w:hint="default" w:ascii="Times New Roman" w:hAnsi="Times New Roman" w:cs="Times New Roman" w:eastAsiaTheme="minorEastAsia"/>
                <w:highlight w:val="yellow"/>
              </w:rPr>
            </w:pPr>
            <w:r>
              <w:rPr>
                <w:rFonts w:hint="default" w:ascii="Times New Roman" w:hAnsi="Times New Roman" w:cs="Times New Roman" w:eastAsiaTheme="minorEastAsia"/>
                <w:highlight w:val="none"/>
              </w:rPr>
              <w:t>达标</w:t>
            </w:r>
          </w:p>
        </w:tc>
      </w:tr>
      <w:tr w14:paraId="4AEF2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restart"/>
            <w:tcBorders>
              <w:tl2br w:val="nil"/>
              <w:tr2bl w:val="nil"/>
            </w:tcBorders>
            <w:vAlign w:val="center"/>
          </w:tcPr>
          <w:p w14:paraId="2192CB4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HF</w:t>
            </w:r>
          </w:p>
        </w:tc>
        <w:tc>
          <w:tcPr>
            <w:tcW w:w="1315" w:type="pct"/>
            <w:tcBorders>
              <w:tl2br w:val="nil"/>
              <w:tr2bl w:val="nil"/>
            </w:tcBorders>
            <w:vAlign w:val="center"/>
          </w:tcPr>
          <w:p w14:paraId="088A667F">
            <w:pPr>
              <w:autoSpaceDE w:val="0"/>
              <w:autoSpaceDN w:val="0"/>
              <w:spacing w:line="300" w:lineRule="exact"/>
              <w:jc w:val="center"/>
              <w:rPr>
                <w:rFonts w:hint="default" w:ascii="Times New Roman" w:hAnsi="Times New Roman" w:cs="Times New Roman" w:eastAsiaTheme="minorEastAsia"/>
                <w:szCs w:val="21"/>
                <w:highlight w:val="yellow"/>
                <w:lang w:val="en-US" w:eastAsia="en-US"/>
              </w:rPr>
            </w:pPr>
            <w:r>
              <w:rPr>
                <w:rFonts w:hint="eastAsia" w:ascii="Times New Roman" w:hAnsi="Times New Roman" w:cs="Times New Roman"/>
                <w:szCs w:val="21"/>
                <w:highlight w:val="none"/>
                <w:lang w:val="en-US" w:eastAsia="zh-CN"/>
              </w:rPr>
              <w:t>兰干村居民区</w:t>
            </w:r>
          </w:p>
        </w:tc>
        <w:tc>
          <w:tcPr>
            <w:tcW w:w="794" w:type="pct"/>
            <w:tcBorders>
              <w:tl2br w:val="nil"/>
              <w:tr2bl w:val="nil"/>
            </w:tcBorders>
            <w:vAlign w:val="center"/>
          </w:tcPr>
          <w:p w14:paraId="0805773D">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default" w:ascii="Times New Roman" w:hAnsi="Times New Roman" w:cs="Times New Roman" w:eastAsiaTheme="minorEastAsia"/>
                <w:szCs w:val="21"/>
                <w:highlight w:val="none"/>
                <w:lang w:val="en-US" w:eastAsia="en-US"/>
              </w:rPr>
              <w:t>日平均</w:t>
            </w:r>
          </w:p>
        </w:tc>
        <w:tc>
          <w:tcPr>
            <w:tcW w:w="674" w:type="pct"/>
            <w:tcBorders>
              <w:tl2br w:val="nil"/>
              <w:tr2bl w:val="nil"/>
            </w:tcBorders>
            <w:vAlign w:val="center"/>
          </w:tcPr>
          <w:p w14:paraId="01408885">
            <w:pPr>
              <w:autoSpaceDE w:val="0"/>
              <w:autoSpaceDN w:val="0"/>
              <w:spacing w:line="300" w:lineRule="exact"/>
              <w:jc w:val="center"/>
              <w:rPr>
                <w:rFonts w:hint="eastAsia"/>
                <w:highlight w:val="yellow"/>
              </w:rPr>
            </w:pPr>
            <w:r>
              <w:rPr>
                <w:rFonts w:hint="eastAsia"/>
                <w:highlight w:val="none"/>
              </w:rPr>
              <w:t>0.00</w:t>
            </w:r>
          </w:p>
        </w:tc>
        <w:tc>
          <w:tcPr>
            <w:tcW w:w="644" w:type="pct"/>
            <w:tcBorders>
              <w:tl2br w:val="nil"/>
              <w:tr2bl w:val="nil"/>
            </w:tcBorders>
            <w:vAlign w:val="center"/>
          </w:tcPr>
          <w:p w14:paraId="1B72CA7A">
            <w:pPr>
              <w:autoSpaceDE w:val="0"/>
              <w:autoSpaceDN w:val="0"/>
              <w:spacing w:line="300" w:lineRule="exact"/>
              <w:jc w:val="center"/>
              <w:rPr>
                <w:rFonts w:hint="eastAsia"/>
                <w:highlight w:val="yellow"/>
              </w:rPr>
            </w:pPr>
            <w:r>
              <w:rPr>
                <w:rFonts w:hint="eastAsia"/>
                <w:highlight w:val="none"/>
              </w:rPr>
              <w:t>250409</w:t>
            </w:r>
          </w:p>
        </w:tc>
        <w:tc>
          <w:tcPr>
            <w:tcW w:w="671" w:type="pct"/>
            <w:tcBorders>
              <w:tl2br w:val="nil"/>
              <w:tr2bl w:val="nil"/>
            </w:tcBorders>
            <w:vAlign w:val="center"/>
          </w:tcPr>
          <w:p w14:paraId="23840DB3">
            <w:pPr>
              <w:autoSpaceDE w:val="0"/>
              <w:autoSpaceDN w:val="0"/>
              <w:spacing w:line="300" w:lineRule="exact"/>
              <w:jc w:val="center"/>
              <w:rPr>
                <w:rFonts w:hint="eastAsia"/>
                <w:highlight w:val="yellow"/>
              </w:rPr>
            </w:pPr>
            <w:r>
              <w:rPr>
                <w:rFonts w:hint="eastAsia"/>
                <w:highlight w:val="none"/>
              </w:rPr>
              <w:t>0.00</w:t>
            </w:r>
          </w:p>
        </w:tc>
        <w:tc>
          <w:tcPr>
            <w:tcW w:w="472" w:type="pct"/>
            <w:tcBorders>
              <w:tl2br w:val="nil"/>
              <w:tr2bl w:val="nil"/>
            </w:tcBorders>
            <w:vAlign w:val="center"/>
          </w:tcPr>
          <w:p w14:paraId="0F6649E8">
            <w:pPr>
              <w:autoSpaceDE w:val="0"/>
              <w:autoSpaceDN w:val="0"/>
              <w:spacing w:line="300" w:lineRule="exact"/>
              <w:jc w:val="center"/>
              <w:rPr>
                <w:rFonts w:hint="default" w:ascii="Times New Roman" w:hAnsi="Times New Roman" w:cs="Times New Roman" w:eastAsiaTheme="minorEastAsia"/>
                <w:highlight w:val="yellow"/>
              </w:rPr>
            </w:pPr>
            <w:r>
              <w:rPr>
                <w:rFonts w:hint="default" w:ascii="Times New Roman" w:hAnsi="Times New Roman" w:cs="Times New Roman" w:eastAsiaTheme="minorEastAsia"/>
                <w:highlight w:val="none"/>
              </w:rPr>
              <w:t>达标</w:t>
            </w:r>
          </w:p>
        </w:tc>
      </w:tr>
      <w:tr w14:paraId="27A36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28EC7F45">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tcBorders>
              <w:tl2br w:val="nil"/>
              <w:tr2bl w:val="nil"/>
            </w:tcBorders>
            <w:vAlign w:val="center"/>
          </w:tcPr>
          <w:p w14:paraId="57E6F317">
            <w:pPr>
              <w:autoSpaceDE w:val="0"/>
              <w:autoSpaceDN w:val="0"/>
              <w:spacing w:line="300" w:lineRule="exact"/>
              <w:jc w:val="center"/>
              <w:rPr>
                <w:rFonts w:hint="default" w:ascii="Times New Roman" w:hAnsi="Times New Roman" w:cs="Times New Roman" w:eastAsiaTheme="minorEastAsia"/>
                <w:szCs w:val="21"/>
                <w:highlight w:val="yellow"/>
                <w:lang w:val="en-US" w:eastAsia="en-US"/>
              </w:rPr>
            </w:pPr>
            <w:r>
              <w:rPr>
                <w:rFonts w:hint="eastAsia" w:ascii="Times New Roman" w:hAnsi="Times New Roman" w:cs="Times New Roman"/>
                <w:szCs w:val="21"/>
                <w:highlight w:val="none"/>
                <w:lang w:val="en-US" w:eastAsia="zh-CN"/>
              </w:rPr>
              <w:t>萨依巴格村居民区</w:t>
            </w:r>
          </w:p>
        </w:tc>
        <w:tc>
          <w:tcPr>
            <w:tcW w:w="794" w:type="pct"/>
            <w:tcBorders>
              <w:tl2br w:val="nil"/>
              <w:tr2bl w:val="nil"/>
            </w:tcBorders>
            <w:vAlign w:val="center"/>
          </w:tcPr>
          <w:p w14:paraId="2455BBC5">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default" w:ascii="Times New Roman" w:hAnsi="Times New Roman" w:cs="Times New Roman" w:eastAsiaTheme="minorEastAsia"/>
                <w:szCs w:val="21"/>
                <w:highlight w:val="none"/>
                <w:lang w:val="en-US" w:eastAsia="en-US"/>
              </w:rPr>
              <w:t>日平均</w:t>
            </w:r>
          </w:p>
        </w:tc>
        <w:tc>
          <w:tcPr>
            <w:tcW w:w="674" w:type="pct"/>
            <w:tcBorders>
              <w:tl2br w:val="nil"/>
              <w:tr2bl w:val="nil"/>
            </w:tcBorders>
            <w:vAlign w:val="center"/>
          </w:tcPr>
          <w:p w14:paraId="081B4E00">
            <w:pPr>
              <w:autoSpaceDE w:val="0"/>
              <w:autoSpaceDN w:val="0"/>
              <w:spacing w:line="300" w:lineRule="exact"/>
              <w:jc w:val="center"/>
              <w:rPr>
                <w:rFonts w:hint="eastAsia"/>
                <w:highlight w:val="yellow"/>
              </w:rPr>
            </w:pPr>
            <w:r>
              <w:rPr>
                <w:rFonts w:hint="eastAsia"/>
                <w:highlight w:val="none"/>
              </w:rPr>
              <w:t>0.00</w:t>
            </w:r>
          </w:p>
        </w:tc>
        <w:tc>
          <w:tcPr>
            <w:tcW w:w="644" w:type="pct"/>
            <w:tcBorders>
              <w:tl2br w:val="nil"/>
              <w:tr2bl w:val="nil"/>
            </w:tcBorders>
            <w:vAlign w:val="center"/>
          </w:tcPr>
          <w:p w14:paraId="28E62AC0">
            <w:pPr>
              <w:autoSpaceDE w:val="0"/>
              <w:autoSpaceDN w:val="0"/>
              <w:spacing w:line="300" w:lineRule="exact"/>
              <w:jc w:val="center"/>
              <w:rPr>
                <w:rFonts w:hint="eastAsia"/>
                <w:highlight w:val="yellow"/>
              </w:rPr>
            </w:pPr>
            <w:r>
              <w:rPr>
                <w:rFonts w:hint="eastAsia"/>
                <w:highlight w:val="none"/>
              </w:rPr>
              <w:t>250619</w:t>
            </w:r>
          </w:p>
        </w:tc>
        <w:tc>
          <w:tcPr>
            <w:tcW w:w="671" w:type="pct"/>
            <w:tcBorders>
              <w:tl2br w:val="nil"/>
              <w:tr2bl w:val="nil"/>
            </w:tcBorders>
            <w:vAlign w:val="center"/>
          </w:tcPr>
          <w:p w14:paraId="40B4ADA7">
            <w:pPr>
              <w:autoSpaceDE w:val="0"/>
              <w:autoSpaceDN w:val="0"/>
              <w:spacing w:line="300" w:lineRule="exact"/>
              <w:jc w:val="center"/>
              <w:rPr>
                <w:rFonts w:hint="eastAsia" w:eastAsiaTheme="minorEastAsia"/>
                <w:highlight w:val="yellow"/>
                <w:lang w:eastAsia="zh-CN"/>
              </w:rPr>
            </w:pPr>
            <w:r>
              <w:rPr>
                <w:rFonts w:hint="eastAsia"/>
                <w:highlight w:val="none"/>
              </w:rPr>
              <w:t>0.0</w:t>
            </w:r>
            <w:r>
              <w:rPr>
                <w:rFonts w:hint="eastAsia"/>
                <w:highlight w:val="none"/>
                <w:lang w:val="en-US" w:eastAsia="zh-CN"/>
              </w:rPr>
              <w:t>1</w:t>
            </w:r>
          </w:p>
        </w:tc>
        <w:tc>
          <w:tcPr>
            <w:tcW w:w="472" w:type="pct"/>
            <w:tcBorders>
              <w:tl2br w:val="nil"/>
              <w:tr2bl w:val="nil"/>
            </w:tcBorders>
            <w:vAlign w:val="center"/>
          </w:tcPr>
          <w:p w14:paraId="4729E80D">
            <w:pPr>
              <w:autoSpaceDE w:val="0"/>
              <w:autoSpaceDN w:val="0"/>
              <w:spacing w:line="300" w:lineRule="exact"/>
              <w:jc w:val="center"/>
              <w:rPr>
                <w:rFonts w:hint="default" w:ascii="Times New Roman" w:hAnsi="Times New Roman" w:cs="Times New Roman" w:eastAsiaTheme="minorEastAsia"/>
                <w:highlight w:val="yellow"/>
              </w:rPr>
            </w:pPr>
            <w:r>
              <w:rPr>
                <w:rFonts w:hint="default" w:ascii="Times New Roman" w:hAnsi="Times New Roman" w:cs="Times New Roman" w:eastAsiaTheme="minorEastAsia"/>
                <w:highlight w:val="none"/>
              </w:rPr>
              <w:t>达标</w:t>
            </w:r>
          </w:p>
        </w:tc>
      </w:tr>
      <w:tr w14:paraId="46B58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5B28DBAB">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tcBorders>
              <w:tl2br w:val="nil"/>
              <w:tr2bl w:val="nil"/>
            </w:tcBorders>
            <w:vAlign w:val="center"/>
          </w:tcPr>
          <w:p w14:paraId="1CE9144B">
            <w:pPr>
              <w:autoSpaceDE w:val="0"/>
              <w:autoSpaceDN w:val="0"/>
              <w:spacing w:line="300" w:lineRule="exact"/>
              <w:jc w:val="center"/>
              <w:rPr>
                <w:rFonts w:hint="default" w:ascii="Times New Roman" w:hAnsi="Times New Roman" w:cs="Times New Roman" w:eastAsiaTheme="minorEastAsia"/>
                <w:szCs w:val="21"/>
                <w:highlight w:val="yellow"/>
                <w:lang w:val="en-US" w:eastAsia="en-US"/>
              </w:rPr>
            </w:pPr>
            <w:r>
              <w:rPr>
                <w:rFonts w:hint="eastAsia" w:ascii="Times New Roman" w:hAnsi="Times New Roman" w:cs="Times New Roman"/>
                <w:szCs w:val="21"/>
                <w:highlight w:val="none"/>
                <w:lang w:val="en-US" w:eastAsia="zh-CN"/>
              </w:rPr>
              <w:t>帕特曼喀什村居民区</w:t>
            </w:r>
          </w:p>
        </w:tc>
        <w:tc>
          <w:tcPr>
            <w:tcW w:w="794" w:type="pct"/>
            <w:tcBorders>
              <w:tl2br w:val="nil"/>
              <w:tr2bl w:val="nil"/>
            </w:tcBorders>
            <w:vAlign w:val="center"/>
          </w:tcPr>
          <w:p w14:paraId="044DCF01">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default" w:ascii="Times New Roman" w:hAnsi="Times New Roman" w:cs="Times New Roman" w:eastAsiaTheme="minorEastAsia"/>
                <w:szCs w:val="21"/>
                <w:highlight w:val="none"/>
                <w:lang w:val="en-US" w:eastAsia="en-US"/>
              </w:rPr>
              <w:t>日平均</w:t>
            </w:r>
          </w:p>
        </w:tc>
        <w:tc>
          <w:tcPr>
            <w:tcW w:w="674" w:type="pct"/>
            <w:tcBorders>
              <w:tl2br w:val="nil"/>
              <w:tr2bl w:val="nil"/>
            </w:tcBorders>
            <w:vAlign w:val="center"/>
          </w:tcPr>
          <w:p w14:paraId="29834D77">
            <w:pPr>
              <w:autoSpaceDE w:val="0"/>
              <w:autoSpaceDN w:val="0"/>
              <w:spacing w:line="300" w:lineRule="exact"/>
              <w:jc w:val="center"/>
              <w:rPr>
                <w:rFonts w:hint="eastAsia"/>
                <w:highlight w:val="yellow"/>
              </w:rPr>
            </w:pPr>
            <w:r>
              <w:rPr>
                <w:rFonts w:hint="eastAsia"/>
                <w:highlight w:val="none"/>
              </w:rPr>
              <w:t>0.00</w:t>
            </w:r>
          </w:p>
        </w:tc>
        <w:tc>
          <w:tcPr>
            <w:tcW w:w="644" w:type="pct"/>
            <w:tcBorders>
              <w:tl2br w:val="nil"/>
              <w:tr2bl w:val="nil"/>
            </w:tcBorders>
            <w:vAlign w:val="center"/>
          </w:tcPr>
          <w:p w14:paraId="63FAC674">
            <w:pPr>
              <w:autoSpaceDE w:val="0"/>
              <w:autoSpaceDN w:val="0"/>
              <w:spacing w:line="300" w:lineRule="exact"/>
              <w:jc w:val="center"/>
              <w:rPr>
                <w:rFonts w:hint="eastAsia"/>
                <w:highlight w:val="yellow"/>
              </w:rPr>
            </w:pPr>
            <w:r>
              <w:rPr>
                <w:rFonts w:hint="eastAsia"/>
                <w:highlight w:val="none"/>
              </w:rPr>
              <w:t>251215</w:t>
            </w:r>
          </w:p>
        </w:tc>
        <w:tc>
          <w:tcPr>
            <w:tcW w:w="671" w:type="pct"/>
            <w:tcBorders>
              <w:tl2br w:val="nil"/>
              <w:tr2bl w:val="nil"/>
            </w:tcBorders>
            <w:vAlign w:val="center"/>
          </w:tcPr>
          <w:p w14:paraId="4318664E">
            <w:pPr>
              <w:autoSpaceDE w:val="0"/>
              <w:autoSpaceDN w:val="0"/>
              <w:spacing w:line="300" w:lineRule="exact"/>
              <w:jc w:val="center"/>
              <w:rPr>
                <w:rFonts w:hint="eastAsia"/>
                <w:highlight w:val="yellow"/>
              </w:rPr>
            </w:pPr>
            <w:r>
              <w:rPr>
                <w:rFonts w:hint="eastAsia"/>
                <w:highlight w:val="none"/>
              </w:rPr>
              <w:t>0.00</w:t>
            </w:r>
          </w:p>
        </w:tc>
        <w:tc>
          <w:tcPr>
            <w:tcW w:w="472" w:type="pct"/>
            <w:tcBorders>
              <w:tl2br w:val="nil"/>
              <w:tr2bl w:val="nil"/>
            </w:tcBorders>
            <w:vAlign w:val="center"/>
          </w:tcPr>
          <w:p w14:paraId="3C0A084D">
            <w:pPr>
              <w:autoSpaceDE w:val="0"/>
              <w:autoSpaceDN w:val="0"/>
              <w:spacing w:line="300" w:lineRule="exact"/>
              <w:jc w:val="center"/>
              <w:rPr>
                <w:rFonts w:hint="default" w:ascii="Times New Roman" w:hAnsi="Times New Roman" w:cs="Times New Roman" w:eastAsiaTheme="minorEastAsia"/>
                <w:highlight w:val="yellow"/>
              </w:rPr>
            </w:pPr>
            <w:r>
              <w:rPr>
                <w:rFonts w:hint="default" w:ascii="Times New Roman" w:hAnsi="Times New Roman" w:cs="Times New Roman" w:eastAsiaTheme="minorEastAsia"/>
                <w:highlight w:val="none"/>
              </w:rPr>
              <w:t>达标</w:t>
            </w:r>
          </w:p>
        </w:tc>
      </w:tr>
      <w:tr w14:paraId="5A76A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3B27B2C1">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15" w:type="pct"/>
            <w:tcBorders>
              <w:tl2br w:val="nil"/>
              <w:tr2bl w:val="nil"/>
            </w:tcBorders>
            <w:vAlign w:val="center"/>
          </w:tcPr>
          <w:p w14:paraId="22A8CB0C">
            <w:pPr>
              <w:autoSpaceDE w:val="0"/>
              <w:autoSpaceDN w:val="0"/>
              <w:spacing w:line="300" w:lineRule="exact"/>
              <w:jc w:val="center"/>
              <w:rPr>
                <w:rFonts w:hint="default" w:ascii="Times New Roman" w:hAnsi="Times New Roman" w:cs="Times New Roman" w:eastAsiaTheme="minorEastAsia"/>
                <w:szCs w:val="21"/>
                <w:highlight w:val="yellow"/>
                <w:lang w:val="en-US" w:eastAsia="en-US"/>
              </w:rPr>
            </w:pPr>
            <w:r>
              <w:rPr>
                <w:rFonts w:hint="default" w:ascii="Times New Roman" w:hAnsi="Times New Roman" w:cs="Times New Roman" w:eastAsiaTheme="minorEastAsia"/>
                <w:szCs w:val="21"/>
                <w:highlight w:val="none"/>
                <w:lang w:val="en-US" w:eastAsia="zh-CN"/>
              </w:rPr>
              <w:t>网格</w:t>
            </w:r>
          </w:p>
        </w:tc>
        <w:tc>
          <w:tcPr>
            <w:tcW w:w="794" w:type="pct"/>
            <w:tcBorders>
              <w:tl2br w:val="nil"/>
              <w:tr2bl w:val="nil"/>
            </w:tcBorders>
            <w:vAlign w:val="center"/>
          </w:tcPr>
          <w:p w14:paraId="0FD5829E">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default" w:ascii="Times New Roman" w:hAnsi="Times New Roman" w:cs="Times New Roman" w:eastAsiaTheme="minorEastAsia"/>
                <w:szCs w:val="21"/>
                <w:highlight w:val="none"/>
                <w:lang w:val="en-US" w:eastAsia="en-US"/>
              </w:rPr>
              <w:t>日平均</w:t>
            </w:r>
          </w:p>
        </w:tc>
        <w:tc>
          <w:tcPr>
            <w:tcW w:w="674" w:type="pct"/>
            <w:tcBorders>
              <w:tl2br w:val="nil"/>
              <w:tr2bl w:val="nil"/>
            </w:tcBorders>
            <w:vAlign w:val="center"/>
          </w:tcPr>
          <w:p w14:paraId="16352148">
            <w:pPr>
              <w:autoSpaceDE w:val="0"/>
              <w:autoSpaceDN w:val="0"/>
              <w:spacing w:line="300" w:lineRule="exact"/>
              <w:jc w:val="center"/>
              <w:rPr>
                <w:rFonts w:hint="eastAsia" w:eastAsiaTheme="minorEastAsia"/>
                <w:highlight w:val="yellow"/>
                <w:lang w:eastAsia="zh-CN"/>
              </w:rPr>
            </w:pPr>
            <w:r>
              <w:rPr>
                <w:rFonts w:hint="eastAsia"/>
                <w:highlight w:val="none"/>
              </w:rPr>
              <w:t>0.0</w:t>
            </w:r>
            <w:r>
              <w:rPr>
                <w:rFonts w:hint="eastAsia"/>
                <w:highlight w:val="none"/>
                <w:lang w:val="en-US" w:eastAsia="zh-CN"/>
              </w:rPr>
              <w:t>1</w:t>
            </w:r>
          </w:p>
        </w:tc>
        <w:tc>
          <w:tcPr>
            <w:tcW w:w="644" w:type="pct"/>
            <w:tcBorders>
              <w:tl2br w:val="nil"/>
              <w:tr2bl w:val="nil"/>
            </w:tcBorders>
            <w:vAlign w:val="center"/>
          </w:tcPr>
          <w:p w14:paraId="0492DF3F">
            <w:pPr>
              <w:autoSpaceDE w:val="0"/>
              <w:autoSpaceDN w:val="0"/>
              <w:spacing w:line="300" w:lineRule="exact"/>
              <w:jc w:val="center"/>
              <w:rPr>
                <w:rFonts w:hint="eastAsia"/>
                <w:highlight w:val="yellow"/>
              </w:rPr>
            </w:pPr>
            <w:r>
              <w:rPr>
                <w:rFonts w:hint="eastAsia"/>
                <w:highlight w:val="none"/>
                <w:lang w:val="en-US" w:eastAsia="zh-CN"/>
              </w:rPr>
              <w:t>250927</w:t>
            </w:r>
          </w:p>
        </w:tc>
        <w:tc>
          <w:tcPr>
            <w:tcW w:w="671" w:type="pct"/>
            <w:tcBorders>
              <w:tl2br w:val="nil"/>
              <w:tr2bl w:val="nil"/>
            </w:tcBorders>
            <w:vAlign w:val="center"/>
          </w:tcPr>
          <w:p w14:paraId="399D6176">
            <w:pPr>
              <w:autoSpaceDE w:val="0"/>
              <w:autoSpaceDN w:val="0"/>
              <w:spacing w:line="300" w:lineRule="exact"/>
              <w:jc w:val="center"/>
              <w:rPr>
                <w:rFonts w:hint="default" w:eastAsiaTheme="minorEastAsia"/>
                <w:highlight w:val="yellow"/>
                <w:lang w:val="en-US" w:eastAsia="zh-CN"/>
              </w:rPr>
            </w:pPr>
            <w:r>
              <w:rPr>
                <w:rFonts w:hint="eastAsia"/>
                <w:highlight w:val="none"/>
              </w:rPr>
              <w:t>0.</w:t>
            </w:r>
            <w:r>
              <w:rPr>
                <w:rFonts w:hint="eastAsia"/>
                <w:highlight w:val="none"/>
                <w:lang w:val="en-US" w:eastAsia="zh-CN"/>
              </w:rPr>
              <w:t>19</w:t>
            </w:r>
          </w:p>
        </w:tc>
        <w:tc>
          <w:tcPr>
            <w:tcW w:w="472" w:type="pct"/>
            <w:tcBorders>
              <w:tl2br w:val="nil"/>
              <w:tr2bl w:val="nil"/>
            </w:tcBorders>
            <w:vAlign w:val="center"/>
          </w:tcPr>
          <w:p w14:paraId="23A4202B">
            <w:pPr>
              <w:autoSpaceDE w:val="0"/>
              <w:autoSpaceDN w:val="0"/>
              <w:spacing w:line="300" w:lineRule="exact"/>
              <w:jc w:val="center"/>
              <w:rPr>
                <w:rFonts w:hint="default" w:ascii="Times New Roman" w:hAnsi="Times New Roman" w:cs="Times New Roman" w:eastAsiaTheme="minorEastAsia"/>
                <w:highlight w:val="yellow"/>
              </w:rPr>
            </w:pPr>
            <w:r>
              <w:rPr>
                <w:rFonts w:hint="default" w:ascii="Times New Roman" w:hAnsi="Times New Roman" w:cs="Times New Roman" w:eastAsiaTheme="minorEastAsia"/>
                <w:highlight w:val="none"/>
              </w:rPr>
              <w:t>达标</w:t>
            </w:r>
          </w:p>
        </w:tc>
      </w:tr>
      <w:tr w14:paraId="43558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restart"/>
            <w:tcBorders>
              <w:tl2br w:val="nil"/>
              <w:tr2bl w:val="nil"/>
            </w:tcBorders>
            <w:vAlign w:val="center"/>
          </w:tcPr>
          <w:p w14:paraId="6720927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NH</w:t>
            </w:r>
            <w:r>
              <w:rPr>
                <w:rFonts w:hint="eastAsia" w:ascii="Times New Roman" w:hAnsi="Times New Roman" w:cs="Times New Roman"/>
                <w:szCs w:val="21"/>
                <w:highlight w:val="none"/>
                <w:vertAlign w:val="subscript"/>
                <w:lang w:val="en-US" w:eastAsia="zh-CN"/>
              </w:rPr>
              <w:t>3</w:t>
            </w:r>
          </w:p>
        </w:tc>
        <w:tc>
          <w:tcPr>
            <w:tcW w:w="1315" w:type="pct"/>
            <w:tcBorders>
              <w:tl2br w:val="nil"/>
              <w:tr2bl w:val="nil"/>
            </w:tcBorders>
            <w:vAlign w:val="center"/>
          </w:tcPr>
          <w:p w14:paraId="40E6E03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兰干村居民区</w:t>
            </w:r>
          </w:p>
        </w:tc>
        <w:tc>
          <w:tcPr>
            <w:tcW w:w="794" w:type="pct"/>
            <w:tcBorders>
              <w:tl2br w:val="nil"/>
              <w:tr2bl w:val="nil"/>
            </w:tcBorders>
            <w:vAlign w:val="center"/>
          </w:tcPr>
          <w:p w14:paraId="6E4D140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小时平均值</w:t>
            </w:r>
          </w:p>
        </w:tc>
        <w:tc>
          <w:tcPr>
            <w:tcW w:w="674" w:type="pct"/>
            <w:tcBorders>
              <w:tl2br w:val="nil"/>
              <w:tr2bl w:val="nil"/>
            </w:tcBorders>
            <w:vAlign w:val="center"/>
          </w:tcPr>
          <w:p w14:paraId="015B928E">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0.00</w:t>
            </w:r>
          </w:p>
        </w:tc>
        <w:tc>
          <w:tcPr>
            <w:tcW w:w="644" w:type="pct"/>
            <w:tcBorders>
              <w:tl2br w:val="nil"/>
              <w:tr2bl w:val="nil"/>
            </w:tcBorders>
            <w:vAlign w:val="center"/>
          </w:tcPr>
          <w:p w14:paraId="565E449A">
            <w:pPr>
              <w:autoSpaceDE w:val="0"/>
              <w:autoSpaceDN w:val="0"/>
              <w:spacing w:line="300" w:lineRule="exact"/>
              <w:jc w:val="center"/>
              <w:rPr>
                <w:rFonts w:hint="default"/>
                <w:highlight w:val="none"/>
                <w:lang w:val="en-US" w:eastAsia="zh-CN"/>
              </w:rPr>
            </w:pPr>
            <w:r>
              <w:rPr>
                <w:rFonts w:hint="eastAsia"/>
                <w:highlight w:val="none"/>
                <w:lang w:val="en-US" w:eastAsia="zh-CN"/>
              </w:rPr>
              <w:t>25070323</w:t>
            </w:r>
          </w:p>
        </w:tc>
        <w:tc>
          <w:tcPr>
            <w:tcW w:w="671" w:type="pct"/>
            <w:tcBorders>
              <w:tl2br w:val="nil"/>
              <w:tr2bl w:val="nil"/>
            </w:tcBorders>
            <w:vAlign w:val="center"/>
          </w:tcPr>
          <w:p w14:paraId="4347F0D3">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0.00</w:t>
            </w:r>
          </w:p>
        </w:tc>
        <w:tc>
          <w:tcPr>
            <w:tcW w:w="472" w:type="pct"/>
            <w:tcBorders>
              <w:tl2br w:val="nil"/>
              <w:tr2bl w:val="nil"/>
            </w:tcBorders>
            <w:vAlign w:val="center"/>
          </w:tcPr>
          <w:p w14:paraId="5D0C2C33">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达标</w:t>
            </w:r>
          </w:p>
        </w:tc>
      </w:tr>
      <w:tr w14:paraId="049D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581350D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15" w:type="pct"/>
            <w:tcBorders>
              <w:tl2br w:val="nil"/>
              <w:tr2bl w:val="nil"/>
            </w:tcBorders>
            <w:vAlign w:val="center"/>
          </w:tcPr>
          <w:p w14:paraId="48D21E4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萨依巴格村居民区</w:t>
            </w:r>
          </w:p>
        </w:tc>
        <w:tc>
          <w:tcPr>
            <w:tcW w:w="794" w:type="pct"/>
            <w:tcBorders>
              <w:tl2br w:val="nil"/>
              <w:tr2bl w:val="nil"/>
            </w:tcBorders>
            <w:vAlign w:val="center"/>
          </w:tcPr>
          <w:p w14:paraId="386C68B6">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小时平均值</w:t>
            </w:r>
          </w:p>
        </w:tc>
        <w:tc>
          <w:tcPr>
            <w:tcW w:w="674" w:type="pct"/>
            <w:tcBorders>
              <w:tl2br w:val="nil"/>
              <w:tr2bl w:val="nil"/>
            </w:tcBorders>
            <w:vAlign w:val="center"/>
          </w:tcPr>
          <w:p w14:paraId="2F1F8326">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0.00</w:t>
            </w:r>
          </w:p>
        </w:tc>
        <w:tc>
          <w:tcPr>
            <w:tcW w:w="644" w:type="pct"/>
            <w:tcBorders>
              <w:tl2br w:val="nil"/>
              <w:tr2bl w:val="nil"/>
            </w:tcBorders>
            <w:vAlign w:val="center"/>
          </w:tcPr>
          <w:p w14:paraId="2BA8E75F">
            <w:pPr>
              <w:autoSpaceDE w:val="0"/>
              <w:autoSpaceDN w:val="0"/>
              <w:spacing w:line="300" w:lineRule="exact"/>
              <w:jc w:val="center"/>
              <w:rPr>
                <w:rFonts w:hint="default"/>
                <w:highlight w:val="none"/>
                <w:lang w:val="en-US" w:eastAsia="zh-CN"/>
              </w:rPr>
            </w:pPr>
            <w:r>
              <w:rPr>
                <w:rFonts w:hint="eastAsia"/>
                <w:highlight w:val="none"/>
                <w:lang w:val="en-US" w:eastAsia="zh-CN"/>
              </w:rPr>
              <w:t>25021123</w:t>
            </w:r>
          </w:p>
        </w:tc>
        <w:tc>
          <w:tcPr>
            <w:tcW w:w="671" w:type="pct"/>
            <w:tcBorders>
              <w:tl2br w:val="nil"/>
              <w:tr2bl w:val="nil"/>
            </w:tcBorders>
            <w:vAlign w:val="center"/>
          </w:tcPr>
          <w:p w14:paraId="30ED2861">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0.00</w:t>
            </w:r>
          </w:p>
        </w:tc>
        <w:tc>
          <w:tcPr>
            <w:tcW w:w="472" w:type="pct"/>
            <w:tcBorders>
              <w:tl2br w:val="nil"/>
              <w:tr2bl w:val="nil"/>
            </w:tcBorders>
            <w:vAlign w:val="center"/>
          </w:tcPr>
          <w:p w14:paraId="64B8BBE1">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达标</w:t>
            </w:r>
          </w:p>
        </w:tc>
      </w:tr>
      <w:tr w14:paraId="66CCD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11F6E18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15" w:type="pct"/>
            <w:tcBorders>
              <w:tl2br w:val="nil"/>
              <w:tr2bl w:val="nil"/>
            </w:tcBorders>
            <w:vAlign w:val="center"/>
          </w:tcPr>
          <w:p w14:paraId="72BBC3F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帕特曼喀什村居民区</w:t>
            </w:r>
          </w:p>
        </w:tc>
        <w:tc>
          <w:tcPr>
            <w:tcW w:w="794" w:type="pct"/>
            <w:tcBorders>
              <w:tl2br w:val="nil"/>
              <w:tr2bl w:val="nil"/>
            </w:tcBorders>
            <w:vAlign w:val="center"/>
          </w:tcPr>
          <w:p w14:paraId="1A3C4D7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小时平均值</w:t>
            </w:r>
          </w:p>
        </w:tc>
        <w:tc>
          <w:tcPr>
            <w:tcW w:w="674" w:type="pct"/>
            <w:tcBorders>
              <w:tl2br w:val="nil"/>
              <w:tr2bl w:val="nil"/>
            </w:tcBorders>
            <w:vAlign w:val="center"/>
          </w:tcPr>
          <w:p w14:paraId="4510CF8F">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0.00</w:t>
            </w:r>
          </w:p>
        </w:tc>
        <w:tc>
          <w:tcPr>
            <w:tcW w:w="644" w:type="pct"/>
            <w:tcBorders>
              <w:tl2br w:val="nil"/>
              <w:tr2bl w:val="nil"/>
            </w:tcBorders>
            <w:vAlign w:val="center"/>
          </w:tcPr>
          <w:p w14:paraId="281F6C9C">
            <w:pPr>
              <w:autoSpaceDE w:val="0"/>
              <w:autoSpaceDN w:val="0"/>
              <w:spacing w:line="300" w:lineRule="exact"/>
              <w:jc w:val="center"/>
              <w:rPr>
                <w:rFonts w:hint="default"/>
                <w:highlight w:val="none"/>
                <w:lang w:val="en-US" w:eastAsia="zh-CN"/>
              </w:rPr>
            </w:pPr>
            <w:r>
              <w:rPr>
                <w:rFonts w:hint="eastAsia"/>
                <w:highlight w:val="none"/>
                <w:lang w:val="en-US" w:eastAsia="zh-CN"/>
              </w:rPr>
              <w:t>25051721</w:t>
            </w:r>
          </w:p>
        </w:tc>
        <w:tc>
          <w:tcPr>
            <w:tcW w:w="671" w:type="pct"/>
            <w:tcBorders>
              <w:tl2br w:val="nil"/>
              <w:tr2bl w:val="nil"/>
            </w:tcBorders>
            <w:vAlign w:val="center"/>
          </w:tcPr>
          <w:p w14:paraId="2C0040AD">
            <w:pPr>
              <w:autoSpaceDE w:val="0"/>
              <w:autoSpaceDN w:val="0"/>
              <w:spacing w:line="300" w:lineRule="exact"/>
              <w:jc w:val="center"/>
              <w:rPr>
                <w:rFonts w:hint="default" w:eastAsiaTheme="minorEastAsia"/>
                <w:highlight w:val="none"/>
                <w:lang w:val="en-US" w:eastAsia="zh-CN"/>
              </w:rPr>
            </w:pPr>
            <w:r>
              <w:rPr>
                <w:rFonts w:hint="default"/>
                <w:highlight w:val="none"/>
                <w:lang w:val="en-US" w:eastAsia="zh-CN"/>
              </w:rPr>
              <w:t>0.</w:t>
            </w:r>
            <w:r>
              <w:rPr>
                <w:rFonts w:hint="eastAsia"/>
                <w:highlight w:val="none"/>
                <w:lang w:val="en-US" w:eastAsia="zh-CN"/>
              </w:rPr>
              <w:t>00</w:t>
            </w:r>
          </w:p>
        </w:tc>
        <w:tc>
          <w:tcPr>
            <w:tcW w:w="867" w:type="dxa"/>
            <w:tcBorders>
              <w:tl2br w:val="nil"/>
              <w:tr2bl w:val="nil"/>
            </w:tcBorders>
            <w:vAlign w:val="center"/>
          </w:tcPr>
          <w:p w14:paraId="702794C7">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13EDE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411097F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15" w:type="pct"/>
            <w:tcBorders>
              <w:tl2br w:val="nil"/>
              <w:tr2bl w:val="nil"/>
            </w:tcBorders>
            <w:vAlign w:val="center"/>
          </w:tcPr>
          <w:p w14:paraId="473939E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网格</w:t>
            </w:r>
          </w:p>
        </w:tc>
        <w:tc>
          <w:tcPr>
            <w:tcW w:w="794" w:type="pct"/>
            <w:tcBorders>
              <w:tl2br w:val="nil"/>
              <w:tr2bl w:val="nil"/>
            </w:tcBorders>
            <w:vAlign w:val="center"/>
          </w:tcPr>
          <w:p w14:paraId="3320BC4F">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小时平均值</w:t>
            </w:r>
          </w:p>
        </w:tc>
        <w:tc>
          <w:tcPr>
            <w:tcW w:w="674" w:type="pct"/>
            <w:tcBorders>
              <w:tl2br w:val="nil"/>
              <w:tr2bl w:val="nil"/>
            </w:tcBorders>
            <w:vAlign w:val="center"/>
          </w:tcPr>
          <w:p w14:paraId="4CB20450">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0.04</w:t>
            </w:r>
          </w:p>
        </w:tc>
        <w:tc>
          <w:tcPr>
            <w:tcW w:w="644" w:type="pct"/>
            <w:tcBorders>
              <w:tl2br w:val="nil"/>
              <w:tr2bl w:val="nil"/>
            </w:tcBorders>
            <w:vAlign w:val="center"/>
          </w:tcPr>
          <w:p w14:paraId="3F9D6EA1">
            <w:pPr>
              <w:autoSpaceDE w:val="0"/>
              <w:autoSpaceDN w:val="0"/>
              <w:spacing w:line="300" w:lineRule="exact"/>
              <w:jc w:val="center"/>
              <w:rPr>
                <w:rFonts w:hint="default"/>
                <w:highlight w:val="none"/>
                <w:lang w:val="en-US" w:eastAsia="zh-CN"/>
              </w:rPr>
            </w:pPr>
            <w:r>
              <w:rPr>
                <w:rFonts w:hint="eastAsia"/>
                <w:highlight w:val="none"/>
                <w:lang w:val="en-US" w:eastAsia="zh-CN"/>
              </w:rPr>
              <w:t>25092907</w:t>
            </w:r>
          </w:p>
        </w:tc>
        <w:tc>
          <w:tcPr>
            <w:tcW w:w="671" w:type="pct"/>
            <w:tcBorders>
              <w:tl2br w:val="nil"/>
              <w:tr2bl w:val="nil"/>
            </w:tcBorders>
            <w:vAlign w:val="center"/>
          </w:tcPr>
          <w:p w14:paraId="5EB83C00">
            <w:pPr>
              <w:autoSpaceDE w:val="0"/>
              <w:autoSpaceDN w:val="0"/>
              <w:spacing w:line="300" w:lineRule="exact"/>
              <w:jc w:val="center"/>
              <w:rPr>
                <w:rFonts w:hint="default"/>
                <w:highlight w:val="none"/>
                <w:lang w:val="en-US"/>
              </w:rPr>
            </w:pPr>
            <w:r>
              <w:rPr>
                <w:rFonts w:hint="eastAsia"/>
                <w:highlight w:val="none"/>
                <w:lang w:val="en-US" w:eastAsia="zh-CN"/>
              </w:rPr>
              <w:t>0.02</w:t>
            </w:r>
          </w:p>
        </w:tc>
        <w:tc>
          <w:tcPr>
            <w:tcW w:w="867" w:type="dxa"/>
            <w:tcBorders>
              <w:tl2br w:val="nil"/>
              <w:tr2bl w:val="nil"/>
            </w:tcBorders>
            <w:vAlign w:val="center"/>
          </w:tcPr>
          <w:p w14:paraId="7114EBFB">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达标</w:t>
            </w:r>
          </w:p>
        </w:tc>
      </w:tr>
      <w:tr w14:paraId="04DB7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restart"/>
            <w:tcBorders>
              <w:tl2br w:val="nil"/>
              <w:tr2bl w:val="nil"/>
            </w:tcBorders>
            <w:vAlign w:val="center"/>
          </w:tcPr>
          <w:p w14:paraId="355E9E6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H</w:t>
            </w:r>
            <w:r>
              <w:rPr>
                <w:rFonts w:hint="eastAsia" w:ascii="Times New Roman" w:hAnsi="Times New Roman" w:cs="Times New Roman"/>
                <w:szCs w:val="21"/>
                <w:highlight w:val="none"/>
                <w:vertAlign w:val="subscript"/>
                <w:lang w:val="en-US" w:eastAsia="zh-CN"/>
              </w:rPr>
              <w:t>2</w:t>
            </w:r>
            <w:r>
              <w:rPr>
                <w:rFonts w:hint="eastAsia" w:ascii="Times New Roman" w:hAnsi="Times New Roman" w:cs="Times New Roman"/>
                <w:szCs w:val="21"/>
                <w:highlight w:val="none"/>
                <w:lang w:val="en-US" w:eastAsia="zh-CN"/>
              </w:rPr>
              <w:t>S</w:t>
            </w:r>
          </w:p>
        </w:tc>
        <w:tc>
          <w:tcPr>
            <w:tcW w:w="1315" w:type="pct"/>
            <w:tcBorders>
              <w:tl2br w:val="nil"/>
              <w:tr2bl w:val="nil"/>
            </w:tcBorders>
            <w:vAlign w:val="center"/>
          </w:tcPr>
          <w:p w14:paraId="632881C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兰干村居民区</w:t>
            </w:r>
          </w:p>
        </w:tc>
        <w:tc>
          <w:tcPr>
            <w:tcW w:w="1457" w:type="dxa"/>
            <w:tcBorders>
              <w:tl2br w:val="nil"/>
              <w:tr2bl w:val="nil"/>
            </w:tcBorders>
            <w:vAlign w:val="center"/>
          </w:tcPr>
          <w:p w14:paraId="22E5B013">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小时平均值</w:t>
            </w:r>
          </w:p>
        </w:tc>
        <w:tc>
          <w:tcPr>
            <w:tcW w:w="674" w:type="pct"/>
            <w:tcBorders>
              <w:tl2br w:val="nil"/>
              <w:tr2bl w:val="nil"/>
            </w:tcBorders>
            <w:vAlign w:val="center"/>
          </w:tcPr>
          <w:p w14:paraId="64AD9AEF">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0.005</w:t>
            </w:r>
          </w:p>
        </w:tc>
        <w:tc>
          <w:tcPr>
            <w:tcW w:w="1181" w:type="dxa"/>
            <w:tcBorders>
              <w:tl2br w:val="nil"/>
              <w:tr2bl w:val="nil"/>
            </w:tcBorders>
            <w:vAlign w:val="center"/>
          </w:tcPr>
          <w:p w14:paraId="144431D6">
            <w:pPr>
              <w:autoSpaceDE w:val="0"/>
              <w:autoSpaceDN w:val="0"/>
              <w:spacing w:line="300" w:lineRule="exact"/>
              <w:jc w:val="center"/>
              <w:rPr>
                <w:rFonts w:hint="default"/>
                <w:highlight w:val="none"/>
                <w:lang w:val="en-US" w:eastAsia="zh-CN"/>
              </w:rPr>
            </w:pPr>
            <w:r>
              <w:rPr>
                <w:rFonts w:hint="eastAsia"/>
                <w:highlight w:val="none"/>
                <w:lang w:val="en-US" w:eastAsia="zh-CN"/>
              </w:rPr>
              <w:t>25070323</w:t>
            </w:r>
          </w:p>
        </w:tc>
        <w:tc>
          <w:tcPr>
            <w:tcW w:w="671" w:type="pct"/>
            <w:tcBorders>
              <w:tl2br w:val="nil"/>
              <w:tr2bl w:val="nil"/>
            </w:tcBorders>
            <w:vAlign w:val="center"/>
          </w:tcPr>
          <w:p w14:paraId="78F4E551">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0.05</w:t>
            </w:r>
          </w:p>
        </w:tc>
        <w:tc>
          <w:tcPr>
            <w:tcW w:w="867" w:type="dxa"/>
            <w:tcBorders>
              <w:tl2br w:val="nil"/>
              <w:tr2bl w:val="nil"/>
            </w:tcBorders>
            <w:vAlign w:val="center"/>
          </w:tcPr>
          <w:p w14:paraId="20490285">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达标</w:t>
            </w:r>
          </w:p>
        </w:tc>
      </w:tr>
      <w:tr w14:paraId="3C546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5E9B753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15" w:type="pct"/>
            <w:tcBorders>
              <w:tl2br w:val="nil"/>
              <w:tr2bl w:val="nil"/>
            </w:tcBorders>
            <w:vAlign w:val="center"/>
          </w:tcPr>
          <w:p w14:paraId="645D52B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萨依巴格村居民区</w:t>
            </w:r>
          </w:p>
        </w:tc>
        <w:tc>
          <w:tcPr>
            <w:tcW w:w="1457" w:type="dxa"/>
            <w:tcBorders>
              <w:tl2br w:val="nil"/>
              <w:tr2bl w:val="nil"/>
            </w:tcBorders>
            <w:vAlign w:val="center"/>
          </w:tcPr>
          <w:p w14:paraId="7E35D90A">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小时平均值</w:t>
            </w:r>
          </w:p>
        </w:tc>
        <w:tc>
          <w:tcPr>
            <w:tcW w:w="674" w:type="pct"/>
            <w:tcBorders>
              <w:tl2br w:val="nil"/>
              <w:tr2bl w:val="nil"/>
            </w:tcBorders>
            <w:vAlign w:val="center"/>
          </w:tcPr>
          <w:p w14:paraId="64E57AC5">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0.006</w:t>
            </w:r>
          </w:p>
        </w:tc>
        <w:tc>
          <w:tcPr>
            <w:tcW w:w="1181" w:type="dxa"/>
            <w:tcBorders>
              <w:tl2br w:val="nil"/>
              <w:tr2bl w:val="nil"/>
            </w:tcBorders>
            <w:vAlign w:val="center"/>
          </w:tcPr>
          <w:p w14:paraId="589103EA">
            <w:pPr>
              <w:autoSpaceDE w:val="0"/>
              <w:autoSpaceDN w:val="0"/>
              <w:spacing w:line="300" w:lineRule="exact"/>
              <w:jc w:val="center"/>
              <w:rPr>
                <w:rFonts w:hint="default"/>
                <w:highlight w:val="none"/>
                <w:lang w:val="en-US" w:eastAsia="zh-CN"/>
              </w:rPr>
            </w:pPr>
            <w:r>
              <w:rPr>
                <w:rFonts w:hint="eastAsia"/>
                <w:highlight w:val="none"/>
                <w:lang w:val="en-US" w:eastAsia="zh-CN"/>
              </w:rPr>
              <w:t>25021123</w:t>
            </w:r>
          </w:p>
        </w:tc>
        <w:tc>
          <w:tcPr>
            <w:tcW w:w="671" w:type="pct"/>
            <w:tcBorders>
              <w:tl2br w:val="nil"/>
              <w:tr2bl w:val="nil"/>
            </w:tcBorders>
            <w:vAlign w:val="center"/>
          </w:tcPr>
          <w:p w14:paraId="28334EA3">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0.06</w:t>
            </w:r>
          </w:p>
        </w:tc>
        <w:tc>
          <w:tcPr>
            <w:tcW w:w="867" w:type="dxa"/>
            <w:tcBorders>
              <w:tl2br w:val="nil"/>
              <w:tr2bl w:val="nil"/>
            </w:tcBorders>
            <w:vAlign w:val="center"/>
          </w:tcPr>
          <w:p w14:paraId="41022D7A">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5F646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07CE1148">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15" w:type="pct"/>
            <w:tcBorders>
              <w:tl2br w:val="nil"/>
              <w:tr2bl w:val="nil"/>
            </w:tcBorders>
            <w:vAlign w:val="center"/>
          </w:tcPr>
          <w:p w14:paraId="0BC8D11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帕特曼喀什村居民区</w:t>
            </w:r>
          </w:p>
        </w:tc>
        <w:tc>
          <w:tcPr>
            <w:tcW w:w="1457" w:type="dxa"/>
            <w:tcBorders>
              <w:tl2br w:val="nil"/>
              <w:tr2bl w:val="nil"/>
            </w:tcBorders>
            <w:vAlign w:val="center"/>
          </w:tcPr>
          <w:p w14:paraId="7325A0D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小时平均值</w:t>
            </w:r>
          </w:p>
        </w:tc>
        <w:tc>
          <w:tcPr>
            <w:tcW w:w="674" w:type="pct"/>
            <w:tcBorders>
              <w:tl2br w:val="nil"/>
              <w:tr2bl w:val="nil"/>
            </w:tcBorders>
            <w:vAlign w:val="center"/>
          </w:tcPr>
          <w:p w14:paraId="147FE627">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0.004</w:t>
            </w:r>
          </w:p>
        </w:tc>
        <w:tc>
          <w:tcPr>
            <w:tcW w:w="1181" w:type="dxa"/>
            <w:tcBorders>
              <w:tl2br w:val="nil"/>
              <w:tr2bl w:val="nil"/>
            </w:tcBorders>
            <w:vAlign w:val="center"/>
          </w:tcPr>
          <w:p w14:paraId="2629586A">
            <w:pPr>
              <w:autoSpaceDE w:val="0"/>
              <w:autoSpaceDN w:val="0"/>
              <w:spacing w:line="300" w:lineRule="exact"/>
              <w:jc w:val="center"/>
              <w:rPr>
                <w:rFonts w:hint="default"/>
                <w:highlight w:val="none"/>
                <w:lang w:val="en-US" w:eastAsia="zh-CN"/>
              </w:rPr>
            </w:pPr>
            <w:r>
              <w:rPr>
                <w:rFonts w:hint="eastAsia"/>
                <w:highlight w:val="none"/>
                <w:lang w:val="en-US" w:eastAsia="zh-CN"/>
              </w:rPr>
              <w:t>25051721</w:t>
            </w:r>
          </w:p>
        </w:tc>
        <w:tc>
          <w:tcPr>
            <w:tcW w:w="671" w:type="pct"/>
            <w:tcBorders>
              <w:tl2br w:val="nil"/>
              <w:tr2bl w:val="nil"/>
            </w:tcBorders>
            <w:vAlign w:val="center"/>
          </w:tcPr>
          <w:p w14:paraId="463D64E5">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0.04</w:t>
            </w:r>
          </w:p>
        </w:tc>
        <w:tc>
          <w:tcPr>
            <w:tcW w:w="867" w:type="dxa"/>
            <w:tcBorders>
              <w:tl2br w:val="nil"/>
              <w:tr2bl w:val="nil"/>
            </w:tcBorders>
            <w:vAlign w:val="center"/>
          </w:tcPr>
          <w:p w14:paraId="745932B2">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达标</w:t>
            </w:r>
          </w:p>
        </w:tc>
      </w:tr>
      <w:tr w14:paraId="305DF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 w:type="pct"/>
            <w:vMerge w:val="continue"/>
            <w:tcBorders>
              <w:tl2br w:val="nil"/>
              <w:tr2bl w:val="nil"/>
            </w:tcBorders>
            <w:vAlign w:val="center"/>
          </w:tcPr>
          <w:p w14:paraId="01B1F9F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15" w:type="pct"/>
            <w:tcBorders>
              <w:tl2br w:val="nil"/>
              <w:tr2bl w:val="nil"/>
            </w:tcBorders>
            <w:vAlign w:val="center"/>
          </w:tcPr>
          <w:p w14:paraId="10687E8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网格</w:t>
            </w:r>
          </w:p>
        </w:tc>
        <w:tc>
          <w:tcPr>
            <w:tcW w:w="1457" w:type="dxa"/>
            <w:tcBorders>
              <w:tl2br w:val="nil"/>
              <w:tr2bl w:val="nil"/>
            </w:tcBorders>
            <w:vAlign w:val="center"/>
          </w:tcPr>
          <w:p w14:paraId="14AD6C26">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小时平均值</w:t>
            </w:r>
          </w:p>
        </w:tc>
        <w:tc>
          <w:tcPr>
            <w:tcW w:w="674" w:type="pct"/>
            <w:tcBorders>
              <w:tl2br w:val="nil"/>
              <w:tr2bl w:val="nil"/>
            </w:tcBorders>
            <w:vAlign w:val="center"/>
          </w:tcPr>
          <w:p w14:paraId="0C6CC9BC">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0.05</w:t>
            </w:r>
          </w:p>
        </w:tc>
        <w:tc>
          <w:tcPr>
            <w:tcW w:w="1181" w:type="dxa"/>
            <w:tcBorders>
              <w:tl2br w:val="nil"/>
              <w:tr2bl w:val="nil"/>
            </w:tcBorders>
            <w:vAlign w:val="center"/>
          </w:tcPr>
          <w:p w14:paraId="5DC47B1B">
            <w:pPr>
              <w:autoSpaceDE w:val="0"/>
              <w:autoSpaceDN w:val="0"/>
              <w:spacing w:line="300" w:lineRule="exact"/>
              <w:jc w:val="center"/>
              <w:rPr>
                <w:rFonts w:hint="default"/>
                <w:highlight w:val="none"/>
                <w:lang w:val="en-US" w:eastAsia="zh-CN"/>
              </w:rPr>
            </w:pPr>
            <w:r>
              <w:rPr>
                <w:rFonts w:hint="eastAsia"/>
                <w:highlight w:val="none"/>
                <w:lang w:val="en-US" w:eastAsia="zh-CN"/>
              </w:rPr>
              <w:t>25071811</w:t>
            </w:r>
          </w:p>
        </w:tc>
        <w:tc>
          <w:tcPr>
            <w:tcW w:w="671" w:type="pct"/>
            <w:tcBorders>
              <w:tl2br w:val="nil"/>
              <w:tr2bl w:val="nil"/>
            </w:tcBorders>
            <w:vAlign w:val="center"/>
          </w:tcPr>
          <w:p w14:paraId="098A0C34">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0.50</w:t>
            </w:r>
          </w:p>
        </w:tc>
        <w:tc>
          <w:tcPr>
            <w:tcW w:w="867" w:type="dxa"/>
            <w:tcBorders>
              <w:tl2br w:val="nil"/>
              <w:tr2bl w:val="nil"/>
            </w:tcBorders>
            <w:vAlign w:val="center"/>
          </w:tcPr>
          <w:p w14:paraId="0D45C4D9">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达标</w:t>
            </w:r>
          </w:p>
        </w:tc>
      </w:tr>
    </w:tbl>
    <w:p w14:paraId="3CC076A0">
      <w:pPr>
        <w:pStyle w:val="20"/>
        <w:snapToGrid w:val="0"/>
        <w:jc w:val="left"/>
        <w:rPr>
          <w:rFonts w:hint="eastAsia"/>
          <w:highlight w:val="none"/>
          <w:lang w:eastAsia="zh-CN"/>
        </w:rPr>
      </w:pPr>
      <w:r>
        <w:rPr>
          <w:rFonts w:hint="default" w:ascii="Times New Roman" w:hAnsi="Times New Roman" w:cs="Times New Roman" w:eastAsiaTheme="minorEastAsia"/>
          <w:color w:val="auto"/>
          <w:highlight w:val="none"/>
          <w:lang w:val="en-US" w:eastAsia="en-US"/>
        </w:rPr>
        <w:t>由表5</w:t>
      </w:r>
      <w:r>
        <w:rPr>
          <w:rFonts w:hint="default" w:ascii="Times New Roman" w:hAnsi="Times New Roman" w:cs="Times New Roman" w:eastAsiaTheme="minorEastAsia"/>
          <w:color w:val="auto"/>
          <w:highlight w:val="none"/>
          <w:lang w:val="en-US" w:eastAsia="zh-CN"/>
        </w:rPr>
        <w:t>.</w:t>
      </w:r>
      <w:r>
        <w:rPr>
          <w:rFonts w:hint="default" w:ascii="Times New Roman" w:hAnsi="Times New Roman" w:cs="Times New Roman" w:eastAsiaTheme="minorEastAsia"/>
          <w:color w:val="auto"/>
          <w:highlight w:val="none"/>
          <w:lang w:val="en-US" w:eastAsia="en-US"/>
        </w:rPr>
        <w:t>2-1</w:t>
      </w:r>
      <w:r>
        <w:rPr>
          <w:rFonts w:hint="eastAsia" w:ascii="Times New Roman" w:hAnsi="Times New Roman" w:cs="Times New Roman" w:eastAsiaTheme="minorEastAsia"/>
          <w:color w:val="auto"/>
          <w:highlight w:val="none"/>
          <w:lang w:val="en-US" w:eastAsia="zh-CN"/>
        </w:rPr>
        <w:t>1</w:t>
      </w:r>
      <w:r>
        <w:rPr>
          <w:rFonts w:hint="default" w:ascii="Times New Roman" w:hAnsi="Times New Roman" w:cs="Times New Roman" w:eastAsiaTheme="minorEastAsia"/>
          <w:color w:val="auto"/>
          <w:highlight w:val="none"/>
          <w:lang w:val="en-US" w:eastAsia="en-US"/>
        </w:rPr>
        <w:t>可知，本项目运行后，</w:t>
      </w:r>
      <w:r>
        <w:rPr>
          <w:rFonts w:hint="eastAsia" w:ascii="Times New Roman" w:hAnsi="Times New Roman" w:cs="Times New Roman" w:eastAsiaTheme="minorEastAsia"/>
          <w:color w:val="auto"/>
          <w:highlight w:val="none"/>
          <w:lang w:val="en-US" w:eastAsia="zh-CN"/>
        </w:rPr>
        <w:t>各污染物的</w:t>
      </w:r>
      <w:r>
        <w:rPr>
          <w:rFonts w:hint="default" w:ascii="Times New Roman" w:hAnsi="Times New Roman" w:cs="Times New Roman" w:eastAsiaTheme="minorEastAsia"/>
          <w:color w:val="auto"/>
          <w:highlight w:val="none"/>
          <w:lang w:val="en-US" w:eastAsia="en-US"/>
        </w:rPr>
        <w:t>最大日均</w:t>
      </w:r>
      <w:r>
        <w:rPr>
          <w:rFonts w:hint="eastAsia" w:ascii="Times New Roman" w:hAnsi="Times New Roman" w:cs="Times New Roman" w:eastAsiaTheme="minorEastAsia"/>
          <w:color w:val="auto"/>
          <w:highlight w:val="none"/>
          <w:lang w:val="en-US" w:eastAsia="zh-CN"/>
        </w:rPr>
        <w:t>、</w:t>
      </w:r>
      <w:r>
        <w:rPr>
          <w:rFonts w:hint="default" w:ascii="Times New Roman" w:hAnsi="Times New Roman" w:cs="Times New Roman" w:eastAsiaTheme="minorEastAsia"/>
          <w:color w:val="auto"/>
          <w:highlight w:val="none"/>
          <w:lang w:val="en-US" w:eastAsia="en-US"/>
        </w:rPr>
        <w:t>年均浓度贡献值</w:t>
      </w:r>
      <w:r>
        <w:rPr>
          <w:rFonts w:hint="default" w:ascii="Times New Roman" w:hAnsi="Times New Roman" w:cs="Times New Roman" w:eastAsiaTheme="minorEastAsia"/>
          <w:color w:val="auto"/>
          <w:highlight w:val="none"/>
          <w:lang w:val="en-US" w:eastAsia="zh-CN"/>
        </w:rPr>
        <w:t>均</w:t>
      </w:r>
      <w:r>
        <w:rPr>
          <w:rFonts w:hint="default" w:ascii="Times New Roman" w:hAnsi="Times New Roman" w:cs="Times New Roman" w:eastAsiaTheme="minorEastAsia"/>
          <w:color w:val="auto"/>
          <w:highlight w:val="none"/>
          <w:lang w:val="en-US" w:eastAsia="en-US"/>
        </w:rPr>
        <w:t>出现在</w:t>
      </w:r>
      <w:r>
        <w:rPr>
          <w:rFonts w:hint="eastAsia" w:ascii="Times New Roman" w:hAnsi="Times New Roman" w:cs="Times New Roman" w:eastAsiaTheme="minorEastAsia"/>
          <w:color w:val="auto"/>
          <w:highlight w:val="none"/>
          <w:lang w:val="en-US" w:eastAsia="zh-CN"/>
        </w:rPr>
        <w:t>萨依巴格村居民区。各</w:t>
      </w:r>
      <w:r>
        <w:rPr>
          <w:rFonts w:hint="default" w:ascii="Times New Roman" w:hAnsi="Times New Roman" w:cs="Times New Roman" w:eastAsiaTheme="minorEastAsia"/>
          <w:color w:val="auto"/>
          <w:highlight w:val="none"/>
          <w:lang w:val="en-US" w:eastAsia="en-US"/>
        </w:rPr>
        <w:t>污染物短期浓度贡献值的最大浓度占标率</w:t>
      </w:r>
      <w:r>
        <w:rPr>
          <w:rFonts w:hint="eastAsia" w:ascii="Times New Roman" w:hAnsi="Times New Roman" w:cs="Times New Roman" w:eastAsiaTheme="minorEastAsia"/>
          <w:color w:val="auto"/>
          <w:highlight w:val="none"/>
          <w:lang w:val="en-US" w:eastAsia="zh-CN"/>
        </w:rPr>
        <w:t>≤</w:t>
      </w:r>
      <w:r>
        <w:rPr>
          <w:rFonts w:hint="default" w:ascii="Times New Roman" w:hAnsi="Times New Roman" w:cs="Times New Roman" w:eastAsiaTheme="minorEastAsia"/>
          <w:color w:val="auto"/>
          <w:highlight w:val="none"/>
          <w:lang w:val="en-US" w:eastAsia="en-US"/>
        </w:rPr>
        <w:t>100%</w:t>
      </w:r>
      <w:r>
        <w:rPr>
          <w:rFonts w:hint="eastAsia" w:ascii="Times New Roman" w:hAnsi="Times New Roman" w:cs="Times New Roman" w:eastAsiaTheme="minorEastAsia"/>
          <w:color w:val="auto"/>
          <w:highlight w:val="none"/>
          <w:lang w:val="en-US" w:eastAsia="zh-CN"/>
        </w:rPr>
        <w:t>；</w:t>
      </w:r>
      <w:r>
        <w:rPr>
          <w:rFonts w:hint="default" w:ascii="Times New Roman" w:hAnsi="Times New Roman" w:cs="Times New Roman" w:eastAsiaTheme="minorEastAsia"/>
          <w:color w:val="auto"/>
          <w:highlight w:val="none"/>
          <w:lang w:val="en-US" w:eastAsia="en-US"/>
        </w:rPr>
        <w:t>污染物年均浓度贡献值的最大浓度占标率</w:t>
      </w:r>
      <w:r>
        <w:rPr>
          <w:rFonts w:hint="eastAsia" w:ascii="Times New Roman" w:hAnsi="Times New Roman" w:cs="Times New Roman" w:eastAsiaTheme="minorEastAsia"/>
          <w:color w:val="auto"/>
          <w:highlight w:val="none"/>
          <w:lang w:val="en-US" w:eastAsia="zh-CN"/>
        </w:rPr>
        <w:t>≤</w:t>
      </w:r>
      <w:r>
        <w:rPr>
          <w:rFonts w:hint="default" w:ascii="Times New Roman" w:hAnsi="Times New Roman" w:cs="Times New Roman" w:eastAsiaTheme="minorEastAsia"/>
          <w:color w:val="auto"/>
          <w:highlight w:val="none"/>
          <w:lang w:val="en-US" w:eastAsia="en-US"/>
        </w:rPr>
        <w:t>30%</w:t>
      </w:r>
      <w:r>
        <w:rPr>
          <w:rFonts w:hint="eastAsia"/>
          <w:highlight w:val="none"/>
          <w:lang w:eastAsia="zh-CN"/>
        </w:rPr>
        <w:t>。</w:t>
      </w:r>
    </w:p>
    <w:p w14:paraId="2F39C0FF">
      <w:pPr>
        <w:pStyle w:val="20"/>
        <w:snapToGrid w:val="0"/>
        <w:jc w:val="left"/>
        <w:rPr>
          <w:rFonts w:hint="default" w:ascii="Times New Roman" w:hAnsi="Times New Roman" w:cs="Times New Roman" w:eastAsiaTheme="minorEastAsia"/>
          <w:color w:val="000000" w:themeColor="text1"/>
          <w:lang w:val="en-US" w:eastAsia="en-US"/>
          <w14:textFill>
            <w14:solidFill>
              <w14:schemeClr w14:val="tx1"/>
            </w14:solidFill>
          </w14:textFill>
        </w:rPr>
      </w:pPr>
    </w:p>
    <w:p w14:paraId="67E74504">
      <w:pPr>
        <w:keepNext/>
        <w:keepLines w:val="0"/>
        <w:pageBreakBefore w:val="0"/>
        <w:widowControl/>
        <w:kinsoku/>
        <w:wordWrap/>
        <w:overflowPunct/>
        <w:topLinePunct/>
        <w:autoSpaceDE/>
        <w:autoSpaceDN/>
        <w:bidi w:val="0"/>
        <w:adjustRightInd w:val="0"/>
        <w:snapToGrid w:val="0"/>
        <w:spacing w:line="360" w:lineRule="auto"/>
        <w:ind w:left="0" w:leftChars="0" w:right="0" w:firstLine="480" w:firstLineChars="200"/>
        <w:jc w:val="left"/>
        <w:textAlignment w:val="baseline"/>
        <w:rPr>
          <w:rFonts w:hint="default" w:ascii="Times New Roman" w:hAnsi="Times New Roman" w:cs="Times New Roman" w:eastAsiaTheme="minorEastAsia"/>
          <w:snapToGrid w:val="0"/>
          <w:color w:val="000000" w:themeColor="text1"/>
          <w:spacing w:val="0"/>
          <w:kern w:val="0"/>
          <w:position w:val="0"/>
          <w:sz w:val="24"/>
          <w:szCs w:val="24"/>
          <w:lang w:val="en-US" w:eastAsia="en-US" w:bidi="ar-SA"/>
          <w14:textFill>
            <w14:solidFill>
              <w14:schemeClr w14:val="tx1"/>
            </w14:solidFill>
          </w14:textFill>
        </w:rPr>
        <w:sectPr>
          <w:pgSz w:w="11907" w:h="16839"/>
          <w:pgMar w:top="1106" w:right="1425" w:bottom="1245" w:left="1533" w:header="829" w:footer="991" w:gutter="0"/>
          <w:pgBorders>
            <w:top w:val="none" w:sz="0" w:space="0"/>
            <w:left w:val="none" w:sz="0" w:space="0"/>
            <w:bottom w:val="none" w:sz="0" w:space="0"/>
            <w:right w:val="none" w:sz="0" w:space="0"/>
          </w:pgBorders>
          <w:pgNumType w:fmt="decimal"/>
          <w:cols w:space="720" w:num="1"/>
        </w:sectPr>
      </w:pPr>
    </w:p>
    <w:p w14:paraId="6923F191">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本项目考虑“新增污染源+区域其他在建、拟建污染源－区域削减源”后贡献值及浓度叠加现状值后情况。</w:t>
      </w:r>
      <w:r>
        <w:rPr>
          <w:rFonts w:hint="eastAsia" w:ascii="Times New Roman" w:hAnsi="Times New Roman" w:cs="Times New Roman" w:eastAsiaTheme="minorEastAsia"/>
          <w:color w:val="auto"/>
          <w:lang w:val="en-US" w:eastAsia="zh-CN"/>
        </w:rPr>
        <w:t>根据《</w:t>
      </w:r>
      <w:r>
        <w:rPr>
          <w:rFonts w:hint="default" w:ascii="Times New Roman" w:hAnsi="Times New Roman" w:cs="Times New Roman" w:eastAsiaTheme="minorEastAsia"/>
          <w:color w:val="auto"/>
          <w:lang w:val="en-US" w:eastAsia="zh-CN"/>
        </w:rPr>
        <w:t>关于在南疆四地州深度贫困地区实施〈环境影响评价技术导则 大气环境〉（HJ 2.2-2018）差别化政策</w:t>
      </w:r>
      <w:r>
        <w:rPr>
          <w:rFonts w:hint="eastAsia" w:ascii="Times New Roman" w:hAnsi="Times New Roman" w:cs="Times New Roman" w:eastAsiaTheme="minorEastAsia"/>
          <w:color w:val="auto"/>
          <w:lang w:val="en-US" w:eastAsia="zh-CN"/>
        </w:rPr>
        <w:t>有关事宜的复函》（环办环评函</w:t>
      </w:r>
      <w:r>
        <w:rPr>
          <w:rFonts w:ascii="宋体" w:hAnsi="宋体" w:eastAsia="宋体" w:cs="宋体"/>
          <w:color w:val="000000" w:themeColor="text1"/>
          <w:sz w:val="24"/>
          <w:szCs w:val="24"/>
          <w14:textFill>
            <w14:solidFill>
              <w14:schemeClr w14:val="tx1"/>
            </w14:solidFill>
          </w14:textFill>
        </w:rPr>
        <w:t>〔20</w:t>
      </w:r>
      <w:r>
        <w:rPr>
          <w:rFonts w:hint="eastAsia" w:ascii="宋体" w:hAnsi="宋体" w:eastAsia="宋体" w:cs="宋体"/>
          <w:color w:val="000000" w:themeColor="text1"/>
          <w:sz w:val="24"/>
          <w:szCs w:val="24"/>
          <w:lang w:val="en-US" w:eastAsia="zh-CN"/>
          <w14:textFill>
            <w14:solidFill>
              <w14:schemeClr w14:val="tx1"/>
            </w14:solidFill>
          </w14:textFill>
        </w:rPr>
        <w:t>19</w:t>
      </w:r>
      <w:r>
        <w:rPr>
          <w:rFonts w:ascii="宋体" w:hAnsi="宋体" w:eastAsia="宋体" w:cs="宋体"/>
          <w:color w:val="000000" w:themeColor="text1"/>
          <w:sz w:val="24"/>
          <w:szCs w:val="24"/>
          <w14:textFill>
            <w14:solidFill>
              <w14:schemeClr w14:val="tx1"/>
            </w14:solidFill>
          </w14:textFill>
        </w:rPr>
        <w:t>〕</w:t>
      </w:r>
      <w:r>
        <w:rPr>
          <w:rFonts w:hint="eastAsia" w:ascii="Times New Roman" w:hAnsi="Times New Roman" w:cs="Times New Roman" w:eastAsiaTheme="minorEastAsia"/>
          <w:color w:val="auto"/>
          <w:lang w:val="en-US" w:eastAsia="zh-CN"/>
        </w:rPr>
        <w:t>590号），不达标因子无需进行叠加现状值。</w:t>
      </w:r>
      <w:r>
        <w:rPr>
          <w:rFonts w:hint="default" w:ascii="Times New Roman" w:hAnsi="Times New Roman" w:cs="Times New Roman" w:eastAsiaTheme="minorEastAsia"/>
          <w:color w:val="auto"/>
          <w:lang w:val="en-US" w:eastAsia="zh-CN"/>
        </w:rPr>
        <w:t>本项目污染源短期及长期浓度叠加值预测结果见表5.2-1</w:t>
      </w:r>
      <w:r>
        <w:rPr>
          <w:rFonts w:hint="eastAsia" w:ascii="Times New Roman" w:hAnsi="Times New Roman" w:cs="Times New Roman" w:eastAsiaTheme="minorEastAsia"/>
          <w:color w:val="auto"/>
          <w:lang w:val="en-US" w:eastAsia="zh-CN"/>
        </w:rPr>
        <w:t>2</w:t>
      </w:r>
      <w:r>
        <w:rPr>
          <w:rFonts w:hint="default" w:ascii="Times New Roman" w:hAnsi="Times New Roman" w:cs="Times New Roman" w:eastAsiaTheme="minorEastAsia"/>
          <w:color w:val="auto"/>
          <w:lang w:val="en-US" w:eastAsia="zh-CN"/>
        </w:rPr>
        <w:t>。</w:t>
      </w:r>
    </w:p>
    <w:p w14:paraId="7EC828F4">
      <w:pPr>
        <w:adjustRightInd w:val="0"/>
        <w:snapToGrid w:val="0"/>
        <w:spacing w:before="250" w:beforeLines="50"/>
        <w:ind w:firstLine="422" w:firstLineChars="200"/>
        <w:jc w:val="center"/>
        <w:rPr>
          <w:rFonts w:hint="default"/>
          <w:lang w:val="en-US" w:eastAsia="en-US"/>
        </w:rPr>
      </w:pPr>
      <w:r>
        <w:rPr>
          <w:rFonts w:hint="default" w:ascii="Times New Roman" w:hAnsi="Times New Roman" w:cs="Times New Roman" w:eastAsiaTheme="minorEastAsia"/>
          <w:b/>
          <w:szCs w:val="21"/>
          <w:lang w:val="en-US" w:eastAsia="zh-CN"/>
        </w:rPr>
        <w:t>表5.2-1</w:t>
      </w:r>
      <w:r>
        <w:rPr>
          <w:rFonts w:hint="eastAsia" w:ascii="Times New Roman" w:hAnsi="Times New Roman" w:cs="Times New Roman"/>
          <w:b/>
          <w:szCs w:val="21"/>
          <w:lang w:val="en-US" w:eastAsia="zh-CN"/>
        </w:rPr>
        <w:t>2</w:t>
      </w:r>
      <w:r>
        <w:rPr>
          <w:rFonts w:hint="default" w:ascii="Times New Roman" w:hAnsi="Times New Roman" w:cs="Times New Roman" w:eastAsiaTheme="minorEastAsia"/>
          <w:b/>
          <w:szCs w:val="21"/>
          <w:lang w:val="en-US" w:eastAsia="zh-CN"/>
        </w:rPr>
        <w:t xml:space="preserve">  叠加后环境质量浓度预测结果一览表</w:t>
      </w:r>
    </w:p>
    <w:tbl>
      <w:tblPr>
        <w:tblStyle w:val="13"/>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07"/>
        <w:gridCol w:w="2199"/>
        <w:gridCol w:w="1337"/>
        <w:gridCol w:w="1125"/>
        <w:gridCol w:w="1047"/>
        <w:gridCol w:w="1093"/>
        <w:gridCol w:w="675"/>
        <w:gridCol w:w="1066"/>
        <w:gridCol w:w="941"/>
        <w:gridCol w:w="1356"/>
        <w:gridCol w:w="1452"/>
        <w:gridCol w:w="888"/>
        <w:gridCol w:w="805"/>
      </w:tblGrid>
      <w:tr w14:paraId="25804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tcBorders>
              <w:tl2br w:val="nil"/>
              <w:tr2bl w:val="nil"/>
            </w:tcBorders>
            <w:shd w:val="clear" w:color="auto" w:fill="auto"/>
            <w:vAlign w:val="center"/>
          </w:tcPr>
          <w:p w14:paraId="61EB32E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污染物</w:t>
            </w:r>
          </w:p>
        </w:tc>
        <w:tc>
          <w:tcPr>
            <w:tcW w:w="748" w:type="pct"/>
            <w:tcBorders>
              <w:tl2br w:val="nil"/>
              <w:tr2bl w:val="nil"/>
            </w:tcBorders>
            <w:shd w:val="clear" w:color="auto" w:fill="auto"/>
            <w:vAlign w:val="center"/>
          </w:tcPr>
          <w:p w14:paraId="5C92417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预测点</w:t>
            </w:r>
          </w:p>
        </w:tc>
        <w:tc>
          <w:tcPr>
            <w:tcW w:w="455" w:type="pct"/>
            <w:tcBorders>
              <w:tl2br w:val="nil"/>
              <w:tr2bl w:val="nil"/>
            </w:tcBorders>
            <w:shd w:val="clear" w:color="auto" w:fill="auto"/>
            <w:vAlign w:val="center"/>
          </w:tcPr>
          <w:p w14:paraId="284A171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浓度类型</w:t>
            </w:r>
          </w:p>
        </w:tc>
        <w:tc>
          <w:tcPr>
            <w:tcW w:w="382" w:type="pct"/>
            <w:tcBorders>
              <w:tl2br w:val="nil"/>
              <w:tr2bl w:val="nil"/>
            </w:tcBorders>
            <w:shd w:val="clear" w:color="auto" w:fill="auto"/>
            <w:vAlign w:val="center"/>
          </w:tcPr>
          <w:p w14:paraId="0BA7B38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最大贡献值（μg/m</w:t>
            </w:r>
            <w:r>
              <w:rPr>
                <w:rFonts w:hint="default" w:ascii="Times New Roman" w:hAnsi="Times New Roman" w:cs="Times New Roman" w:eastAsiaTheme="minorEastAsia"/>
                <w:szCs w:val="21"/>
                <w:highlight w:val="none"/>
                <w:vertAlign w:val="superscript"/>
                <w:lang w:val="en-US" w:eastAsia="zh-CN"/>
              </w:rPr>
              <w:t>3</w:t>
            </w:r>
            <w:r>
              <w:rPr>
                <w:rFonts w:hint="default" w:ascii="Times New Roman" w:hAnsi="Times New Roman" w:cs="Times New Roman" w:eastAsiaTheme="minorEastAsia"/>
                <w:szCs w:val="21"/>
                <w:highlight w:val="none"/>
                <w:lang w:val="en-US" w:eastAsia="zh-CN"/>
              </w:rPr>
              <w:t>）</w:t>
            </w:r>
          </w:p>
        </w:tc>
        <w:tc>
          <w:tcPr>
            <w:tcW w:w="356" w:type="pct"/>
            <w:tcBorders>
              <w:tl2br w:val="nil"/>
              <w:tr2bl w:val="nil"/>
            </w:tcBorders>
            <w:shd w:val="clear" w:color="auto" w:fill="auto"/>
            <w:vAlign w:val="center"/>
          </w:tcPr>
          <w:p w14:paraId="387C100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出现时间</w:t>
            </w:r>
          </w:p>
        </w:tc>
        <w:tc>
          <w:tcPr>
            <w:tcW w:w="371" w:type="pct"/>
            <w:tcBorders>
              <w:tl2br w:val="nil"/>
              <w:tr2bl w:val="nil"/>
            </w:tcBorders>
            <w:shd w:val="clear" w:color="auto" w:fill="auto"/>
            <w:vAlign w:val="center"/>
          </w:tcPr>
          <w:p w14:paraId="1CAE425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占标率%</w:t>
            </w:r>
          </w:p>
        </w:tc>
        <w:tc>
          <w:tcPr>
            <w:tcW w:w="229" w:type="pct"/>
            <w:tcBorders>
              <w:tl2br w:val="nil"/>
              <w:tr2bl w:val="nil"/>
            </w:tcBorders>
            <w:shd w:val="clear" w:color="auto" w:fill="auto"/>
            <w:vAlign w:val="center"/>
          </w:tcPr>
          <w:p w14:paraId="12861E4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达标情况</w:t>
            </w:r>
          </w:p>
        </w:tc>
        <w:tc>
          <w:tcPr>
            <w:tcW w:w="362" w:type="pct"/>
            <w:tcBorders>
              <w:tl2br w:val="nil"/>
              <w:tr2bl w:val="nil"/>
            </w:tcBorders>
            <w:shd w:val="clear" w:color="auto" w:fill="auto"/>
            <w:vAlign w:val="center"/>
          </w:tcPr>
          <w:p w14:paraId="7E7425C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现状浓度</w:t>
            </w:r>
            <w:r>
              <w:rPr>
                <w:rFonts w:hint="default" w:ascii="Times New Roman" w:hAnsi="Times New Roman" w:cs="Times New Roman" w:eastAsiaTheme="minorEastAsia"/>
                <w:szCs w:val="21"/>
                <w:highlight w:val="none"/>
                <w:lang w:val="en-US" w:eastAsia="zh-CN"/>
              </w:rPr>
              <w:t>（μg/m</w:t>
            </w:r>
            <w:r>
              <w:rPr>
                <w:rFonts w:hint="default" w:ascii="Times New Roman" w:hAnsi="Times New Roman" w:cs="Times New Roman" w:eastAsiaTheme="minorEastAsia"/>
                <w:szCs w:val="21"/>
                <w:highlight w:val="none"/>
                <w:vertAlign w:val="superscript"/>
                <w:lang w:val="en-US" w:eastAsia="zh-CN"/>
              </w:rPr>
              <w:t>3</w:t>
            </w:r>
            <w:r>
              <w:rPr>
                <w:rFonts w:hint="default" w:ascii="Times New Roman" w:hAnsi="Times New Roman" w:cs="Times New Roman" w:eastAsiaTheme="minorEastAsia"/>
                <w:szCs w:val="21"/>
                <w:highlight w:val="none"/>
                <w:lang w:val="en-US" w:eastAsia="zh-CN"/>
              </w:rPr>
              <w:t>）</w:t>
            </w:r>
          </w:p>
        </w:tc>
        <w:tc>
          <w:tcPr>
            <w:tcW w:w="320" w:type="pct"/>
            <w:tcBorders>
              <w:tl2br w:val="nil"/>
              <w:tr2bl w:val="nil"/>
            </w:tcBorders>
            <w:shd w:val="clear" w:color="auto" w:fill="auto"/>
            <w:vAlign w:val="center"/>
          </w:tcPr>
          <w:p w14:paraId="1298082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拟替代项目贡献值</w:t>
            </w:r>
          </w:p>
        </w:tc>
        <w:tc>
          <w:tcPr>
            <w:tcW w:w="461" w:type="pct"/>
            <w:tcBorders>
              <w:tl2br w:val="nil"/>
              <w:tr2bl w:val="nil"/>
            </w:tcBorders>
            <w:shd w:val="clear" w:color="auto" w:fill="auto"/>
            <w:vAlign w:val="center"/>
          </w:tcPr>
          <w:p w14:paraId="5746723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其他在建、拟建污染源贡献值</w:t>
            </w:r>
          </w:p>
        </w:tc>
        <w:tc>
          <w:tcPr>
            <w:tcW w:w="494" w:type="pct"/>
            <w:tcBorders>
              <w:tl2br w:val="nil"/>
              <w:tr2bl w:val="nil"/>
            </w:tcBorders>
            <w:shd w:val="clear" w:color="auto" w:fill="auto"/>
            <w:vAlign w:val="center"/>
          </w:tcPr>
          <w:p w14:paraId="44DE609E">
            <w:pPr>
              <w:autoSpaceDE w:val="0"/>
              <w:autoSpaceDN w:val="0"/>
              <w:spacing w:line="300" w:lineRule="exact"/>
              <w:jc w:val="center"/>
              <w:rPr>
                <w:rFonts w:hint="default" w:ascii="Times New Roman" w:hAnsi="Times New Roman" w:cs="Times New Roman" w:eastAsiaTheme="minorEastAsia"/>
                <w:b/>
                <w:bCs/>
                <w:szCs w:val="21"/>
                <w:highlight w:val="none"/>
                <w:lang w:val="en-US" w:eastAsia="zh-CN"/>
              </w:rPr>
            </w:pPr>
            <w:r>
              <w:rPr>
                <w:rFonts w:hint="eastAsia" w:ascii="Times New Roman" w:hAnsi="Times New Roman" w:cs="Times New Roman"/>
                <w:szCs w:val="21"/>
                <w:highlight w:val="none"/>
                <w:lang w:val="en-US" w:eastAsia="zh-CN"/>
              </w:rPr>
              <w:t>叠加后浓度</w:t>
            </w:r>
            <w:r>
              <w:rPr>
                <w:rFonts w:hint="default" w:ascii="Times New Roman" w:hAnsi="Times New Roman" w:cs="Times New Roman" w:eastAsiaTheme="minorEastAsia"/>
                <w:szCs w:val="21"/>
                <w:highlight w:val="none"/>
                <w:lang w:val="en-US" w:eastAsia="zh-CN"/>
              </w:rPr>
              <w:t>（μg/m</w:t>
            </w:r>
            <w:r>
              <w:rPr>
                <w:rFonts w:hint="default" w:ascii="Times New Roman" w:hAnsi="Times New Roman" w:cs="Times New Roman" w:eastAsiaTheme="minorEastAsia"/>
                <w:szCs w:val="21"/>
                <w:highlight w:val="none"/>
                <w:vertAlign w:val="superscript"/>
                <w:lang w:val="en-US" w:eastAsia="zh-CN"/>
              </w:rPr>
              <w:t>3</w:t>
            </w:r>
            <w:r>
              <w:rPr>
                <w:rFonts w:hint="default" w:ascii="Times New Roman" w:hAnsi="Times New Roman" w:cs="Times New Roman" w:eastAsiaTheme="minorEastAsia"/>
                <w:szCs w:val="21"/>
                <w:highlight w:val="none"/>
                <w:lang w:val="en-US" w:eastAsia="zh-CN"/>
              </w:rPr>
              <w:t>）</w:t>
            </w:r>
          </w:p>
        </w:tc>
        <w:tc>
          <w:tcPr>
            <w:tcW w:w="302" w:type="pct"/>
            <w:tcBorders>
              <w:tl2br w:val="nil"/>
              <w:tr2bl w:val="nil"/>
            </w:tcBorders>
            <w:shd w:val="clear" w:color="auto" w:fill="auto"/>
            <w:vAlign w:val="center"/>
          </w:tcPr>
          <w:p w14:paraId="18DEA828">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达标率</w:t>
            </w:r>
          </w:p>
        </w:tc>
        <w:tc>
          <w:tcPr>
            <w:tcW w:w="273" w:type="pct"/>
            <w:tcBorders>
              <w:tl2br w:val="nil"/>
              <w:tr2bl w:val="nil"/>
            </w:tcBorders>
            <w:shd w:val="clear" w:color="auto" w:fill="auto"/>
            <w:vAlign w:val="center"/>
          </w:tcPr>
          <w:p w14:paraId="5038D70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达标情况</w:t>
            </w:r>
          </w:p>
        </w:tc>
      </w:tr>
      <w:tr w14:paraId="15DEE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0" w:type="pct"/>
            <w:vMerge w:val="restart"/>
            <w:tcBorders>
              <w:tl2br w:val="nil"/>
              <w:tr2bl w:val="nil"/>
            </w:tcBorders>
            <w:shd w:val="clear" w:color="auto" w:fill="auto"/>
            <w:vAlign w:val="center"/>
          </w:tcPr>
          <w:p w14:paraId="4017DCD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NOx</w:t>
            </w:r>
          </w:p>
        </w:tc>
        <w:tc>
          <w:tcPr>
            <w:tcW w:w="748" w:type="pct"/>
            <w:vMerge w:val="restart"/>
            <w:tcBorders>
              <w:tl2br w:val="nil"/>
              <w:tr2bl w:val="nil"/>
            </w:tcBorders>
            <w:shd w:val="clear" w:color="auto" w:fill="auto"/>
            <w:vAlign w:val="center"/>
          </w:tcPr>
          <w:p w14:paraId="00AE905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兰干村居民区</w:t>
            </w:r>
          </w:p>
        </w:tc>
        <w:tc>
          <w:tcPr>
            <w:tcW w:w="455" w:type="pct"/>
            <w:tcBorders>
              <w:tl2br w:val="nil"/>
              <w:tr2bl w:val="nil"/>
            </w:tcBorders>
            <w:shd w:val="clear" w:color="auto" w:fill="auto"/>
            <w:vAlign w:val="center"/>
          </w:tcPr>
          <w:p w14:paraId="477A690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日平均</w:t>
            </w:r>
          </w:p>
        </w:tc>
        <w:tc>
          <w:tcPr>
            <w:tcW w:w="382" w:type="pct"/>
            <w:tcBorders>
              <w:tl2br w:val="nil"/>
              <w:tr2bl w:val="nil"/>
            </w:tcBorders>
            <w:shd w:val="clear" w:color="auto" w:fill="auto"/>
            <w:vAlign w:val="center"/>
          </w:tcPr>
          <w:p w14:paraId="718E88F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0.00</w:t>
            </w:r>
          </w:p>
        </w:tc>
        <w:tc>
          <w:tcPr>
            <w:tcW w:w="356" w:type="pct"/>
            <w:tcBorders>
              <w:tl2br w:val="nil"/>
              <w:tr2bl w:val="nil"/>
            </w:tcBorders>
            <w:shd w:val="clear" w:color="auto" w:fill="auto"/>
            <w:vAlign w:val="center"/>
          </w:tcPr>
          <w:p w14:paraId="01D2C8B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250409</w:t>
            </w:r>
          </w:p>
        </w:tc>
        <w:tc>
          <w:tcPr>
            <w:tcW w:w="371" w:type="pct"/>
            <w:tcBorders>
              <w:tl2br w:val="nil"/>
              <w:tr2bl w:val="nil"/>
            </w:tcBorders>
            <w:shd w:val="clear" w:color="auto" w:fill="auto"/>
            <w:vAlign w:val="center"/>
          </w:tcPr>
          <w:p w14:paraId="758D7D3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0.01</w:t>
            </w:r>
          </w:p>
        </w:tc>
        <w:tc>
          <w:tcPr>
            <w:tcW w:w="229" w:type="pct"/>
            <w:tcBorders>
              <w:tl2br w:val="nil"/>
              <w:tr2bl w:val="nil"/>
            </w:tcBorders>
            <w:shd w:val="clear" w:color="auto" w:fill="auto"/>
            <w:vAlign w:val="center"/>
          </w:tcPr>
          <w:p w14:paraId="0E213A2C">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c>
          <w:tcPr>
            <w:tcW w:w="362" w:type="pct"/>
            <w:tcBorders>
              <w:tl2br w:val="nil"/>
              <w:tr2bl w:val="nil"/>
            </w:tcBorders>
            <w:shd w:val="clear" w:color="auto" w:fill="auto"/>
            <w:vAlign w:val="center"/>
          </w:tcPr>
          <w:p w14:paraId="7E3038C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70</w:t>
            </w:r>
          </w:p>
        </w:tc>
        <w:tc>
          <w:tcPr>
            <w:tcW w:w="320" w:type="pct"/>
            <w:tcBorders>
              <w:tl2br w:val="nil"/>
              <w:tr2bl w:val="nil"/>
            </w:tcBorders>
            <w:shd w:val="clear" w:color="auto" w:fill="auto"/>
            <w:vAlign w:val="center"/>
          </w:tcPr>
          <w:p w14:paraId="7BC42B3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w:t>
            </w:r>
          </w:p>
        </w:tc>
        <w:tc>
          <w:tcPr>
            <w:tcW w:w="461" w:type="pct"/>
            <w:tcBorders>
              <w:tl2br w:val="nil"/>
              <w:tr2bl w:val="nil"/>
            </w:tcBorders>
            <w:shd w:val="clear" w:color="auto" w:fill="auto"/>
            <w:vAlign w:val="center"/>
          </w:tcPr>
          <w:p w14:paraId="7B3569F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0.64</w:t>
            </w:r>
          </w:p>
        </w:tc>
        <w:tc>
          <w:tcPr>
            <w:tcW w:w="494" w:type="pct"/>
            <w:tcBorders>
              <w:tl2br w:val="nil"/>
              <w:tr2bl w:val="nil"/>
            </w:tcBorders>
            <w:shd w:val="clear" w:color="auto" w:fill="auto"/>
            <w:vAlign w:val="center"/>
          </w:tcPr>
          <w:p w14:paraId="409364B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70.</w:t>
            </w:r>
            <w:r>
              <w:rPr>
                <w:rFonts w:hint="eastAsia" w:ascii="Times New Roman" w:hAnsi="Times New Roman" w:cs="Times New Roman"/>
                <w:szCs w:val="21"/>
                <w:highlight w:val="none"/>
                <w:lang w:val="en-US" w:eastAsia="zh-CN"/>
              </w:rPr>
              <w:t>64</w:t>
            </w:r>
          </w:p>
        </w:tc>
        <w:tc>
          <w:tcPr>
            <w:tcW w:w="302" w:type="pct"/>
            <w:tcBorders>
              <w:tl2br w:val="nil"/>
              <w:tr2bl w:val="nil"/>
            </w:tcBorders>
            <w:shd w:val="clear" w:color="auto" w:fill="auto"/>
            <w:vAlign w:val="center"/>
          </w:tcPr>
          <w:p w14:paraId="1BF8DC4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8</w:t>
            </w:r>
            <w:r>
              <w:rPr>
                <w:rFonts w:hint="eastAsia" w:ascii="Times New Roman" w:hAnsi="Times New Roman" w:cs="Times New Roman"/>
                <w:szCs w:val="21"/>
                <w:highlight w:val="none"/>
                <w:lang w:val="en-US" w:eastAsia="zh-CN"/>
              </w:rPr>
              <w:t>8.30</w:t>
            </w:r>
          </w:p>
        </w:tc>
        <w:tc>
          <w:tcPr>
            <w:tcW w:w="273" w:type="pct"/>
            <w:tcBorders>
              <w:tl2br w:val="nil"/>
              <w:tr2bl w:val="nil"/>
            </w:tcBorders>
            <w:shd w:val="clear" w:color="auto" w:fill="auto"/>
            <w:vAlign w:val="center"/>
          </w:tcPr>
          <w:p w14:paraId="5BEC68A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达标</w:t>
            </w:r>
          </w:p>
        </w:tc>
      </w:tr>
      <w:tr w14:paraId="59EC4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600B3521">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vMerge w:val="continue"/>
            <w:tcBorders>
              <w:tl2br w:val="nil"/>
              <w:tr2bl w:val="nil"/>
            </w:tcBorders>
            <w:shd w:val="clear" w:color="auto" w:fill="auto"/>
            <w:vAlign w:val="center"/>
          </w:tcPr>
          <w:p w14:paraId="468E537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455" w:type="pct"/>
            <w:tcBorders>
              <w:tl2br w:val="nil"/>
              <w:tr2bl w:val="nil"/>
            </w:tcBorders>
            <w:shd w:val="clear" w:color="auto" w:fill="auto"/>
            <w:vAlign w:val="center"/>
          </w:tcPr>
          <w:p w14:paraId="5B3C9A9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382" w:type="pct"/>
            <w:tcBorders>
              <w:tl2br w:val="nil"/>
              <w:tr2bl w:val="nil"/>
            </w:tcBorders>
            <w:shd w:val="clear" w:color="auto" w:fill="auto"/>
            <w:vAlign w:val="center"/>
          </w:tcPr>
          <w:p w14:paraId="11A790F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0.00</w:t>
            </w:r>
          </w:p>
        </w:tc>
        <w:tc>
          <w:tcPr>
            <w:tcW w:w="356" w:type="pct"/>
            <w:tcBorders>
              <w:tl2br w:val="nil"/>
              <w:tr2bl w:val="nil"/>
            </w:tcBorders>
            <w:shd w:val="clear" w:color="auto" w:fill="auto"/>
            <w:vAlign w:val="center"/>
          </w:tcPr>
          <w:p w14:paraId="52EFF59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平均值</w:t>
            </w:r>
          </w:p>
        </w:tc>
        <w:tc>
          <w:tcPr>
            <w:tcW w:w="371" w:type="pct"/>
            <w:tcBorders>
              <w:tl2br w:val="nil"/>
              <w:tr2bl w:val="nil"/>
            </w:tcBorders>
            <w:shd w:val="clear" w:color="auto" w:fill="auto"/>
            <w:vAlign w:val="center"/>
          </w:tcPr>
          <w:p w14:paraId="688D0AEC">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0.00</w:t>
            </w:r>
          </w:p>
        </w:tc>
        <w:tc>
          <w:tcPr>
            <w:tcW w:w="229" w:type="pct"/>
            <w:tcBorders>
              <w:tl2br w:val="nil"/>
              <w:tr2bl w:val="nil"/>
            </w:tcBorders>
            <w:shd w:val="clear" w:color="auto" w:fill="auto"/>
            <w:vAlign w:val="center"/>
          </w:tcPr>
          <w:p w14:paraId="14DA8A8C">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c>
          <w:tcPr>
            <w:tcW w:w="362" w:type="pct"/>
            <w:tcBorders>
              <w:tl2br w:val="nil"/>
              <w:tr2bl w:val="nil"/>
            </w:tcBorders>
            <w:shd w:val="clear" w:color="auto" w:fill="auto"/>
            <w:vAlign w:val="center"/>
          </w:tcPr>
          <w:p w14:paraId="5F5F867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35</w:t>
            </w:r>
          </w:p>
        </w:tc>
        <w:tc>
          <w:tcPr>
            <w:tcW w:w="320" w:type="pct"/>
            <w:tcBorders>
              <w:tl2br w:val="nil"/>
              <w:tr2bl w:val="nil"/>
            </w:tcBorders>
            <w:shd w:val="clear" w:color="auto" w:fill="auto"/>
            <w:vAlign w:val="center"/>
          </w:tcPr>
          <w:p w14:paraId="48AF80E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w:t>
            </w:r>
          </w:p>
        </w:tc>
        <w:tc>
          <w:tcPr>
            <w:tcW w:w="461" w:type="pct"/>
            <w:tcBorders>
              <w:tl2br w:val="nil"/>
              <w:tr2bl w:val="nil"/>
            </w:tcBorders>
            <w:shd w:val="clear" w:color="auto" w:fill="auto"/>
            <w:vAlign w:val="center"/>
          </w:tcPr>
          <w:p w14:paraId="26F39AA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0.06</w:t>
            </w:r>
          </w:p>
        </w:tc>
        <w:tc>
          <w:tcPr>
            <w:tcW w:w="494" w:type="pct"/>
            <w:tcBorders>
              <w:tl2br w:val="nil"/>
              <w:tr2bl w:val="nil"/>
            </w:tcBorders>
            <w:shd w:val="clear" w:color="auto" w:fill="auto"/>
            <w:vAlign w:val="center"/>
          </w:tcPr>
          <w:p w14:paraId="46D3020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35</w:t>
            </w:r>
            <w:r>
              <w:rPr>
                <w:rFonts w:hint="eastAsia" w:ascii="Times New Roman" w:hAnsi="Times New Roman" w:cs="Times New Roman"/>
                <w:szCs w:val="21"/>
                <w:highlight w:val="none"/>
                <w:lang w:val="en-US" w:eastAsia="zh-CN"/>
              </w:rPr>
              <w:t>.06</w:t>
            </w:r>
          </w:p>
        </w:tc>
        <w:tc>
          <w:tcPr>
            <w:tcW w:w="302" w:type="pct"/>
            <w:tcBorders>
              <w:tl2br w:val="nil"/>
              <w:tr2bl w:val="nil"/>
            </w:tcBorders>
            <w:shd w:val="clear" w:color="auto" w:fill="auto"/>
            <w:vAlign w:val="center"/>
          </w:tcPr>
          <w:p w14:paraId="6EC21FE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87.</w:t>
            </w:r>
            <w:r>
              <w:rPr>
                <w:rFonts w:hint="eastAsia" w:ascii="Times New Roman" w:hAnsi="Times New Roman" w:cs="Times New Roman"/>
                <w:szCs w:val="21"/>
                <w:highlight w:val="none"/>
                <w:lang w:val="en-US" w:eastAsia="zh-CN"/>
              </w:rPr>
              <w:t>65</w:t>
            </w:r>
          </w:p>
        </w:tc>
        <w:tc>
          <w:tcPr>
            <w:tcW w:w="273" w:type="pct"/>
            <w:tcBorders>
              <w:tl2br w:val="nil"/>
              <w:tr2bl w:val="nil"/>
            </w:tcBorders>
            <w:shd w:val="clear" w:color="auto" w:fill="auto"/>
            <w:vAlign w:val="center"/>
          </w:tcPr>
          <w:p w14:paraId="4DDCA9F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达标</w:t>
            </w:r>
          </w:p>
        </w:tc>
      </w:tr>
      <w:tr w14:paraId="33EAB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3D657CC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vMerge w:val="restart"/>
            <w:tcBorders>
              <w:tl2br w:val="nil"/>
              <w:tr2bl w:val="nil"/>
            </w:tcBorders>
            <w:shd w:val="clear" w:color="auto" w:fill="auto"/>
            <w:vAlign w:val="center"/>
          </w:tcPr>
          <w:p w14:paraId="7700847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萨依巴格村居民区</w:t>
            </w:r>
          </w:p>
        </w:tc>
        <w:tc>
          <w:tcPr>
            <w:tcW w:w="455" w:type="pct"/>
            <w:tcBorders>
              <w:tl2br w:val="nil"/>
              <w:tr2bl w:val="nil"/>
            </w:tcBorders>
            <w:shd w:val="clear" w:color="auto" w:fill="auto"/>
            <w:vAlign w:val="center"/>
          </w:tcPr>
          <w:p w14:paraId="4FE422E3">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日平均</w:t>
            </w:r>
          </w:p>
        </w:tc>
        <w:tc>
          <w:tcPr>
            <w:tcW w:w="382" w:type="pct"/>
            <w:tcBorders>
              <w:tl2br w:val="nil"/>
              <w:tr2bl w:val="nil"/>
            </w:tcBorders>
            <w:shd w:val="clear" w:color="auto" w:fill="auto"/>
            <w:vAlign w:val="center"/>
          </w:tcPr>
          <w:p w14:paraId="61BD56E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0.02</w:t>
            </w:r>
          </w:p>
        </w:tc>
        <w:tc>
          <w:tcPr>
            <w:tcW w:w="356" w:type="pct"/>
            <w:tcBorders>
              <w:tl2br w:val="nil"/>
              <w:tr2bl w:val="nil"/>
            </w:tcBorders>
            <w:shd w:val="clear" w:color="auto" w:fill="auto"/>
            <w:vAlign w:val="center"/>
          </w:tcPr>
          <w:p w14:paraId="35EA33D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250619</w:t>
            </w:r>
          </w:p>
        </w:tc>
        <w:tc>
          <w:tcPr>
            <w:tcW w:w="371" w:type="pct"/>
            <w:tcBorders>
              <w:tl2br w:val="nil"/>
              <w:tr2bl w:val="nil"/>
            </w:tcBorders>
            <w:shd w:val="clear" w:color="auto" w:fill="auto"/>
            <w:vAlign w:val="center"/>
          </w:tcPr>
          <w:p w14:paraId="0FF9244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0.02</w:t>
            </w:r>
          </w:p>
        </w:tc>
        <w:tc>
          <w:tcPr>
            <w:tcW w:w="229" w:type="pct"/>
            <w:tcBorders>
              <w:tl2br w:val="nil"/>
              <w:tr2bl w:val="nil"/>
            </w:tcBorders>
            <w:shd w:val="clear" w:color="auto" w:fill="auto"/>
            <w:vAlign w:val="center"/>
          </w:tcPr>
          <w:p w14:paraId="092C914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c>
          <w:tcPr>
            <w:tcW w:w="362" w:type="pct"/>
            <w:tcBorders>
              <w:tl2br w:val="nil"/>
              <w:tr2bl w:val="nil"/>
            </w:tcBorders>
            <w:shd w:val="clear" w:color="auto" w:fill="auto"/>
            <w:vAlign w:val="center"/>
          </w:tcPr>
          <w:p w14:paraId="3CE77C7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70</w:t>
            </w:r>
          </w:p>
        </w:tc>
        <w:tc>
          <w:tcPr>
            <w:tcW w:w="320" w:type="pct"/>
            <w:tcBorders>
              <w:tl2br w:val="nil"/>
              <w:tr2bl w:val="nil"/>
            </w:tcBorders>
            <w:shd w:val="clear" w:color="auto" w:fill="auto"/>
            <w:vAlign w:val="center"/>
          </w:tcPr>
          <w:p w14:paraId="6A3F821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w:t>
            </w:r>
          </w:p>
        </w:tc>
        <w:tc>
          <w:tcPr>
            <w:tcW w:w="461" w:type="pct"/>
            <w:tcBorders>
              <w:tl2br w:val="nil"/>
              <w:tr2bl w:val="nil"/>
            </w:tcBorders>
            <w:shd w:val="clear" w:color="auto" w:fill="auto"/>
            <w:vAlign w:val="center"/>
          </w:tcPr>
          <w:p w14:paraId="651F062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0.57</w:t>
            </w:r>
          </w:p>
        </w:tc>
        <w:tc>
          <w:tcPr>
            <w:tcW w:w="494" w:type="pct"/>
            <w:tcBorders>
              <w:tl2br w:val="nil"/>
              <w:tr2bl w:val="nil"/>
            </w:tcBorders>
            <w:shd w:val="clear" w:color="auto" w:fill="auto"/>
            <w:vAlign w:val="center"/>
          </w:tcPr>
          <w:p w14:paraId="0B4C60F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70.</w:t>
            </w:r>
            <w:r>
              <w:rPr>
                <w:rFonts w:hint="eastAsia" w:ascii="Times New Roman" w:hAnsi="Times New Roman" w:cs="Times New Roman"/>
                <w:szCs w:val="21"/>
                <w:highlight w:val="none"/>
                <w:lang w:val="en-US" w:eastAsia="zh-CN"/>
              </w:rPr>
              <w:t>59</w:t>
            </w:r>
          </w:p>
        </w:tc>
        <w:tc>
          <w:tcPr>
            <w:tcW w:w="302" w:type="pct"/>
            <w:tcBorders>
              <w:tl2br w:val="nil"/>
              <w:tr2bl w:val="nil"/>
            </w:tcBorders>
            <w:shd w:val="clear" w:color="auto" w:fill="auto"/>
            <w:vAlign w:val="center"/>
          </w:tcPr>
          <w:p w14:paraId="105024E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8</w:t>
            </w:r>
            <w:r>
              <w:rPr>
                <w:rFonts w:hint="eastAsia" w:ascii="Times New Roman" w:hAnsi="Times New Roman" w:cs="Times New Roman"/>
                <w:szCs w:val="21"/>
                <w:highlight w:val="none"/>
                <w:lang w:val="en-US" w:eastAsia="zh-CN"/>
              </w:rPr>
              <w:t>8.24</w:t>
            </w:r>
          </w:p>
        </w:tc>
        <w:tc>
          <w:tcPr>
            <w:tcW w:w="273" w:type="pct"/>
            <w:tcBorders>
              <w:tl2br w:val="nil"/>
              <w:tr2bl w:val="nil"/>
            </w:tcBorders>
            <w:shd w:val="clear" w:color="auto" w:fill="auto"/>
            <w:vAlign w:val="center"/>
          </w:tcPr>
          <w:p w14:paraId="14784F0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达标</w:t>
            </w:r>
          </w:p>
        </w:tc>
      </w:tr>
      <w:tr w14:paraId="45095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240" w:type="pct"/>
            <w:vMerge w:val="continue"/>
            <w:tcBorders>
              <w:tl2br w:val="nil"/>
              <w:tr2bl w:val="nil"/>
            </w:tcBorders>
            <w:shd w:val="clear" w:color="auto" w:fill="auto"/>
            <w:vAlign w:val="center"/>
          </w:tcPr>
          <w:p w14:paraId="567E18B6">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vMerge w:val="continue"/>
            <w:tcBorders>
              <w:tl2br w:val="nil"/>
              <w:tr2bl w:val="nil"/>
            </w:tcBorders>
            <w:shd w:val="clear" w:color="auto" w:fill="auto"/>
            <w:vAlign w:val="center"/>
          </w:tcPr>
          <w:p w14:paraId="6611513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455" w:type="pct"/>
            <w:tcBorders>
              <w:tl2br w:val="nil"/>
              <w:tr2bl w:val="nil"/>
            </w:tcBorders>
            <w:shd w:val="clear" w:color="auto" w:fill="auto"/>
            <w:vAlign w:val="center"/>
          </w:tcPr>
          <w:p w14:paraId="1370E453">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年平均</w:t>
            </w:r>
          </w:p>
        </w:tc>
        <w:tc>
          <w:tcPr>
            <w:tcW w:w="382" w:type="pct"/>
            <w:tcBorders>
              <w:tl2br w:val="nil"/>
              <w:tr2bl w:val="nil"/>
            </w:tcBorders>
            <w:shd w:val="clear" w:color="auto" w:fill="auto"/>
            <w:vAlign w:val="center"/>
          </w:tcPr>
          <w:p w14:paraId="5E6338C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0.00</w:t>
            </w:r>
          </w:p>
        </w:tc>
        <w:tc>
          <w:tcPr>
            <w:tcW w:w="356" w:type="pct"/>
            <w:tcBorders>
              <w:tl2br w:val="nil"/>
              <w:tr2bl w:val="nil"/>
            </w:tcBorders>
            <w:shd w:val="clear" w:color="auto" w:fill="auto"/>
            <w:vAlign w:val="center"/>
          </w:tcPr>
          <w:p w14:paraId="7BF06CF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平均值</w:t>
            </w:r>
          </w:p>
        </w:tc>
        <w:tc>
          <w:tcPr>
            <w:tcW w:w="371" w:type="pct"/>
            <w:tcBorders>
              <w:tl2br w:val="nil"/>
              <w:tr2bl w:val="nil"/>
            </w:tcBorders>
            <w:shd w:val="clear" w:color="auto" w:fill="auto"/>
            <w:vAlign w:val="center"/>
          </w:tcPr>
          <w:p w14:paraId="32C38EE4">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0.00</w:t>
            </w:r>
          </w:p>
        </w:tc>
        <w:tc>
          <w:tcPr>
            <w:tcW w:w="229" w:type="pct"/>
            <w:tcBorders>
              <w:tl2br w:val="nil"/>
              <w:tr2bl w:val="nil"/>
            </w:tcBorders>
            <w:shd w:val="clear" w:color="auto" w:fill="auto"/>
            <w:vAlign w:val="center"/>
          </w:tcPr>
          <w:p w14:paraId="0E0D235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c>
          <w:tcPr>
            <w:tcW w:w="362" w:type="pct"/>
            <w:tcBorders>
              <w:tl2br w:val="nil"/>
              <w:tr2bl w:val="nil"/>
            </w:tcBorders>
            <w:shd w:val="clear" w:color="auto" w:fill="auto"/>
            <w:vAlign w:val="center"/>
          </w:tcPr>
          <w:p w14:paraId="48BD9D1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35</w:t>
            </w:r>
          </w:p>
        </w:tc>
        <w:tc>
          <w:tcPr>
            <w:tcW w:w="320" w:type="pct"/>
            <w:tcBorders>
              <w:tl2br w:val="nil"/>
              <w:tr2bl w:val="nil"/>
            </w:tcBorders>
            <w:shd w:val="clear" w:color="auto" w:fill="auto"/>
            <w:vAlign w:val="center"/>
          </w:tcPr>
          <w:p w14:paraId="5206290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w:t>
            </w:r>
          </w:p>
        </w:tc>
        <w:tc>
          <w:tcPr>
            <w:tcW w:w="461" w:type="pct"/>
            <w:tcBorders>
              <w:tl2br w:val="nil"/>
              <w:tr2bl w:val="nil"/>
            </w:tcBorders>
            <w:shd w:val="clear" w:color="auto" w:fill="auto"/>
            <w:vAlign w:val="center"/>
          </w:tcPr>
          <w:p w14:paraId="2DF6E67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0.06</w:t>
            </w:r>
          </w:p>
        </w:tc>
        <w:tc>
          <w:tcPr>
            <w:tcW w:w="494" w:type="pct"/>
            <w:tcBorders>
              <w:tl2br w:val="nil"/>
              <w:tr2bl w:val="nil"/>
            </w:tcBorders>
            <w:shd w:val="clear" w:color="auto" w:fill="auto"/>
            <w:vAlign w:val="center"/>
          </w:tcPr>
          <w:p w14:paraId="5F1BE34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35.0</w:t>
            </w:r>
            <w:r>
              <w:rPr>
                <w:rFonts w:hint="eastAsia" w:ascii="Times New Roman" w:hAnsi="Times New Roman" w:cs="Times New Roman"/>
                <w:szCs w:val="21"/>
                <w:highlight w:val="none"/>
                <w:lang w:val="en-US" w:eastAsia="zh-CN"/>
              </w:rPr>
              <w:t>6</w:t>
            </w:r>
          </w:p>
        </w:tc>
        <w:tc>
          <w:tcPr>
            <w:tcW w:w="302" w:type="pct"/>
            <w:tcBorders>
              <w:tl2br w:val="nil"/>
              <w:tr2bl w:val="nil"/>
            </w:tcBorders>
            <w:shd w:val="clear" w:color="auto" w:fill="auto"/>
            <w:vAlign w:val="center"/>
          </w:tcPr>
          <w:p w14:paraId="5E2C3A6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87.</w:t>
            </w:r>
            <w:r>
              <w:rPr>
                <w:rFonts w:hint="eastAsia" w:ascii="Times New Roman" w:hAnsi="Times New Roman" w:cs="Times New Roman"/>
                <w:szCs w:val="21"/>
                <w:highlight w:val="none"/>
                <w:lang w:val="en-US" w:eastAsia="zh-CN"/>
              </w:rPr>
              <w:t>65</w:t>
            </w:r>
          </w:p>
        </w:tc>
        <w:tc>
          <w:tcPr>
            <w:tcW w:w="273" w:type="pct"/>
            <w:tcBorders>
              <w:tl2br w:val="nil"/>
              <w:tr2bl w:val="nil"/>
            </w:tcBorders>
            <w:shd w:val="clear" w:color="auto" w:fill="auto"/>
            <w:vAlign w:val="center"/>
          </w:tcPr>
          <w:p w14:paraId="77C7487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达标</w:t>
            </w:r>
          </w:p>
        </w:tc>
      </w:tr>
      <w:tr w14:paraId="1B5C5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40" w:type="pct"/>
            <w:vMerge w:val="continue"/>
            <w:tcBorders>
              <w:tl2br w:val="nil"/>
              <w:tr2bl w:val="nil"/>
            </w:tcBorders>
            <w:shd w:val="clear" w:color="auto" w:fill="auto"/>
            <w:vAlign w:val="center"/>
          </w:tcPr>
          <w:p w14:paraId="0093E6DF">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vMerge w:val="restart"/>
            <w:tcBorders>
              <w:tl2br w:val="nil"/>
              <w:tr2bl w:val="nil"/>
            </w:tcBorders>
            <w:shd w:val="clear" w:color="auto" w:fill="auto"/>
            <w:vAlign w:val="center"/>
          </w:tcPr>
          <w:p w14:paraId="1080E20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帕特曼喀什村居民区</w:t>
            </w:r>
          </w:p>
        </w:tc>
        <w:tc>
          <w:tcPr>
            <w:tcW w:w="455" w:type="pct"/>
            <w:tcBorders>
              <w:tl2br w:val="nil"/>
              <w:tr2bl w:val="nil"/>
            </w:tcBorders>
            <w:shd w:val="clear" w:color="auto" w:fill="auto"/>
            <w:vAlign w:val="center"/>
          </w:tcPr>
          <w:p w14:paraId="04FB9651">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日平均</w:t>
            </w:r>
          </w:p>
        </w:tc>
        <w:tc>
          <w:tcPr>
            <w:tcW w:w="382" w:type="pct"/>
            <w:tcBorders>
              <w:tl2br w:val="nil"/>
              <w:tr2bl w:val="nil"/>
            </w:tcBorders>
            <w:shd w:val="clear" w:color="auto" w:fill="auto"/>
            <w:vAlign w:val="center"/>
          </w:tcPr>
          <w:p w14:paraId="168194D4">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0.01</w:t>
            </w:r>
          </w:p>
        </w:tc>
        <w:tc>
          <w:tcPr>
            <w:tcW w:w="356" w:type="pct"/>
            <w:tcBorders>
              <w:tl2br w:val="nil"/>
              <w:tr2bl w:val="nil"/>
            </w:tcBorders>
            <w:shd w:val="clear" w:color="auto" w:fill="auto"/>
            <w:vAlign w:val="center"/>
          </w:tcPr>
          <w:p w14:paraId="13EDD6CA">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251215</w:t>
            </w:r>
          </w:p>
        </w:tc>
        <w:tc>
          <w:tcPr>
            <w:tcW w:w="371" w:type="pct"/>
            <w:tcBorders>
              <w:tl2br w:val="nil"/>
              <w:tr2bl w:val="nil"/>
            </w:tcBorders>
            <w:shd w:val="clear" w:color="auto" w:fill="auto"/>
            <w:vAlign w:val="center"/>
          </w:tcPr>
          <w:p w14:paraId="0F0AF9EF">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0.01</w:t>
            </w:r>
          </w:p>
        </w:tc>
        <w:tc>
          <w:tcPr>
            <w:tcW w:w="229" w:type="pct"/>
            <w:tcBorders>
              <w:tl2br w:val="nil"/>
              <w:tr2bl w:val="nil"/>
            </w:tcBorders>
            <w:shd w:val="clear" w:color="auto" w:fill="auto"/>
            <w:vAlign w:val="center"/>
          </w:tcPr>
          <w:p w14:paraId="2A248251">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c>
          <w:tcPr>
            <w:tcW w:w="362" w:type="pct"/>
            <w:tcBorders>
              <w:tl2br w:val="nil"/>
              <w:tr2bl w:val="nil"/>
            </w:tcBorders>
            <w:shd w:val="clear" w:color="auto" w:fill="auto"/>
            <w:vAlign w:val="center"/>
          </w:tcPr>
          <w:p w14:paraId="7EF2389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70</w:t>
            </w:r>
          </w:p>
        </w:tc>
        <w:tc>
          <w:tcPr>
            <w:tcW w:w="320" w:type="pct"/>
            <w:tcBorders>
              <w:tl2br w:val="nil"/>
              <w:tr2bl w:val="nil"/>
            </w:tcBorders>
            <w:shd w:val="clear" w:color="auto" w:fill="auto"/>
            <w:vAlign w:val="center"/>
          </w:tcPr>
          <w:p w14:paraId="6185E48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w:t>
            </w:r>
          </w:p>
        </w:tc>
        <w:tc>
          <w:tcPr>
            <w:tcW w:w="461" w:type="pct"/>
            <w:tcBorders>
              <w:tl2br w:val="nil"/>
              <w:tr2bl w:val="nil"/>
            </w:tcBorders>
            <w:shd w:val="clear" w:color="auto" w:fill="auto"/>
            <w:vAlign w:val="center"/>
          </w:tcPr>
          <w:p w14:paraId="13907E6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0.35</w:t>
            </w:r>
          </w:p>
        </w:tc>
        <w:tc>
          <w:tcPr>
            <w:tcW w:w="494" w:type="pct"/>
            <w:tcBorders>
              <w:tl2br w:val="nil"/>
              <w:tr2bl w:val="nil"/>
            </w:tcBorders>
            <w:shd w:val="clear" w:color="auto" w:fill="auto"/>
            <w:vAlign w:val="center"/>
          </w:tcPr>
          <w:p w14:paraId="715DB90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70.</w:t>
            </w:r>
            <w:r>
              <w:rPr>
                <w:rFonts w:hint="eastAsia" w:ascii="Times New Roman" w:hAnsi="Times New Roman" w:cs="Times New Roman"/>
                <w:szCs w:val="21"/>
                <w:highlight w:val="none"/>
                <w:lang w:val="en-US" w:eastAsia="zh-CN"/>
              </w:rPr>
              <w:t>36</w:t>
            </w:r>
          </w:p>
        </w:tc>
        <w:tc>
          <w:tcPr>
            <w:tcW w:w="302" w:type="pct"/>
            <w:tcBorders>
              <w:tl2br w:val="nil"/>
              <w:tr2bl w:val="nil"/>
            </w:tcBorders>
            <w:shd w:val="clear" w:color="auto" w:fill="auto"/>
            <w:vAlign w:val="center"/>
          </w:tcPr>
          <w:p w14:paraId="3AE0F90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87.</w:t>
            </w:r>
            <w:r>
              <w:rPr>
                <w:rFonts w:hint="eastAsia" w:ascii="Times New Roman" w:hAnsi="Times New Roman" w:cs="Times New Roman"/>
                <w:szCs w:val="21"/>
                <w:highlight w:val="none"/>
                <w:lang w:val="en-US" w:eastAsia="zh-CN"/>
              </w:rPr>
              <w:t>95</w:t>
            </w:r>
          </w:p>
        </w:tc>
        <w:tc>
          <w:tcPr>
            <w:tcW w:w="273" w:type="pct"/>
            <w:tcBorders>
              <w:tl2br w:val="nil"/>
              <w:tr2bl w:val="nil"/>
            </w:tcBorders>
            <w:shd w:val="clear" w:color="auto" w:fill="auto"/>
            <w:vAlign w:val="center"/>
          </w:tcPr>
          <w:p w14:paraId="4C7868E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达标</w:t>
            </w:r>
          </w:p>
        </w:tc>
      </w:tr>
      <w:tr w14:paraId="478C2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3D1B72F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vMerge w:val="continue"/>
            <w:tcBorders>
              <w:tl2br w:val="nil"/>
              <w:tr2bl w:val="nil"/>
            </w:tcBorders>
            <w:shd w:val="clear" w:color="auto" w:fill="auto"/>
            <w:vAlign w:val="center"/>
          </w:tcPr>
          <w:p w14:paraId="3E2F0B0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455" w:type="pct"/>
            <w:tcBorders>
              <w:tl2br w:val="nil"/>
              <w:tr2bl w:val="nil"/>
            </w:tcBorders>
            <w:shd w:val="clear" w:color="auto" w:fill="auto"/>
            <w:vAlign w:val="center"/>
          </w:tcPr>
          <w:p w14:paraId="51084F14">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年平均</w:t>
            </w:r>
          </w:p>
        </w:tc>
        <w:tc>
          <w:tcPr>
            <w:tcW w:w="382" w:type="pct"/>
            <w:tcBorders>
              <w:tl2br w:val="nil"/>
              <w:tr2bl w:val="nil"/>
            </w:tcBorders>
            <w:shd w:val="clear" w:color="auto" w:fill="auto"/>
            <w:vAlign w:val="center"/>
          </w:tcPr>
          <w:p w14:paraId="64E37494">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0.00</w:t>
            </w:r>
          </w:p>
        </w:tc>
        <w:tc>
          <w:tcPr>
            <w:tcW w:w="356" w:type="pct"/>
            <w:tcBorders>
              <w:tl2br w:val="nil"/>
              <w:tr2bl w:val="nil"/>
            </w:tcBorders>
            <w:shd w:val="clear" w:color="auto" w:fill="auto"/>
            <w:vAlign w:val="center"/>
          </w:tcPr>
          <w:p w14:paraId="243652F3">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平均值</w:t>
            </w:r>
          </w:p>
        </w:tc>
        <w:tc>
          <w:tcPr>
            <w:tcW w:w="371" w:type="pct"/>
            <w:tcBorders>
              <w:tl2br w:val="nil"/>
              <w:tr2bl w:val="nil"/>
            </w:tcBorders>
            <w:shd w:val="clear" w:color="auto" w:fill="auto"/>
            <w:vAlign w:val="center"/>
          </w:tcPr>
          <w:p w14:paraId="783A068C">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0.00</w:t>
            </w:r>
          </w:p>
        </w:tc>
        <w:tc>
          <w:tcPr>
            <w:tcW w:w="229" w:type="pct"/>
            <w:tcBorders>
              <w:tl2br w:val="nil"/>
              <w:tr2bl w:val="nil"/>
            </w:tcBorders>
            <w:shd w:val="clear" w:color="auto" w:fill="auto"/>
            <w:vAlign w:val="center"/>
          </w:tcPr>
          <w:p w14:paraId="580A5D8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c>
          <w:tcPr>
            <w:tcW w:w="362" w:type="pct"/>
            <w:tcBorders>
              <w:tl2br w:val="nil"/>
              <w:tr2bl w:val="nil"/>
            </w:tcBorders>
            <w:shd w:val="clear" w:color="auto" w:fill="auto"/>
            <w:vAlign w:val="center"/>
          </w:tcPr>
          <w:p w14:paraId="79FCDF0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35</w:t>
            </w:r>
          </w:p>
        </w:tc>
        <w:tc>
          <w:tcPr>
            <w:tcW w:w="320" w:type="pct"/>
            <w:tcBorders>
              <w:tl2br w:val="nil"/>
              <w:tr2bl w:val="nil"/>
            </w:tcBorders>
            <w:shd w:val="clear" w:color="auto" w:fill="auto"/>
            <w:vAlign w:val="center"/>
          </w:tcPr>
          <w:p w14:paraId="6FC38D3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w:t>
            </w:r>
          </w:p>
        </w:tc>
        <w:tc>
          <w:tcPr>
            <w:tcW w:w="461" w:type="pct"/>
            <w:tcBorders>
              <w:tl2br w:val="nil"/>
              <w:tr2bl w:val="nil"/>
            </w:tcBorders>
            <w:shd w:val="clear" w:color="auto" w:fill="auto"/>
            <w:vAlign w:val="center"/>
          </w:tcPr>
          <w:p w14:paraId="453DA73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0.06</w:t>
            </w:r>
          </w:p>
        </w:tc>
        <w:tc>
          <w:tcPr>
            <w:tcW w:w="494" w:type="pct"/>
            <w:tcBorders>
              <w:tl2br w:val="nil"/>
              <w:tr2bl w:val="nil"/>
            </w:tcBorders>
            <w:shd w:val="clear" w:color="auto" w:fill="auto"/>
            <w:vAlign w:val="center"/>
          </w:tcPr>
          <w:p w14:paraId="49C559F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35.</w:t>
            </w:r>
            <w:r>
              <w:rPr>
                <w:rFonts w:hint="eastAsia" w:ascii="Times New Roman" w:hAnsi="Times New Roman" w:cs="Times New Roman"/>
                <w:szCs w:val="21"/>
                <w:highlight w:val="none"/>
                <w:lang w:val="en-US" w:eastAsia="zh-CN"/>
              </w:rPr>
              <w:t>06</w:t>
            </w:r>
          </w:p>
        </w:tc>
        <w:tc>
          <w:tcPr>
            <w:tcW w:w="302" w:type="pct"/>
            <w:tcBorders>
              <w:tl2br w:val="nil"/>
              <w:tr2bl w:val="nil"/>
            </w:tcBorders>
            <w:shd w:val="clear" w:color="auto" w:fill="auto"/>
            <w:vAlign w:val="center"/>
          </w:tcPr>
          <w:p w14:paraId="1050564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87.</w:t>
            </w:r>
            <w:r>
              <w:rPr>
                <w:rFonts w:hint="eastAsia" w:ascii="Times New Roman" w:hAnsi="Times New Roman" w:cs="Times New Roman"/>
                <w:szCs w:val="21"/>
                <w:highlight w:val="none"/>
                <w:lang w:val="en-US" w:eastAsia="zh-CN"/>
              </w:rPr>
              <w:t>65</w:t>
            </w:r>
          </w:p>
        </w:tc>
        <w:tc>
          <w:tcPr>
            <w:tcW w:w="273" w:type="pct"/>
            <w:tcBorders>
              <w:tl2br w:val="nil"/>
              <w:tr2bl w:val="nil"/>
            </w:tcBorders>
            <w:shd w:val="clear" w:color="auto" w:fill="auto"/>
            <w:vAlign w:val="center"/>
          </w:tcPr>
          <w:p w14:paraId="414F751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达标</w:t>
            </w:r>
          </w:p>
        </w:tc>
      </w:tr>
      <w:tr w14:paraId="6263F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240" w:type="pct"/>
            <w:vMerge w:val="continue"/>
            <w:tcBorders>
              <w:tl2br w:val="nil"/>
              <w:tr2bl w:val="nil"/>
            </w:tcBorders>
            <w:shd w:val="clear" w:color="auto" w:fill="auto"/>
            <w:vAlign w:val="center"/>
          </w:tcPr>
          <w:p w14:paraId="04D127AC">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vMerge w:val="restart"/>
            <w:tcBorders>
              <w:tl2br w:val="nil"/>
              <w:tr2bl w:val="nil"/>
            </w:tcBorders>
            <w:shd w:val="clear" w:color="auto" w:fill="auto"/>
            <w:vAlign w:val="center"/>
          </w:tcPr>
          <w:p w14:paraId="6CC8D69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网格</w:t>
            </w:r>
          </w:p>
        </w:tc>
        <w:tc>
          <w:tcPr>
            <w:tcW w:w="455" w:type="pct"/>
            <w:tcBorders>
              <w:tl2br w:val="nil"/>
              <w:tr2bl w:val="nil"/>
            </w:tcBorders>
            <w:shd w:val="clear" w:color="auto" w:fill="auto"/>
            <w:vAlign w:val="center"/>
          </w:tcPr>
          <w:p w14:paraId="3AE18BA4">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日平均</w:t>
            </w:r>
          </w:p>
        </w:tc>
        <w:tc>
          <w:tcPr>
            <w:tcW w:w="382" w:type="pct"/>
            <w:tcBorders>
              <w:tl2br w:val="nil"/>
              <w:tr2bl w:val="nil"/>
            </w:tcBorders>
            <w:shd w:val="clear" w:color="auto" w:fill="auto"/>
            <w:vAlign w:val="center"/>
          </w:tcPr>
          <w:p w14:paraId="4026B1C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0.49</w:t>
            </w:r>
          </w:p>
        </w:tc>
        <w:tc>
          <w:tcPr>
            <w:tcW w:w="356" w:type="pct"/>
            <w:tcBorders>
              <w:tl2br w:val="nil"/>
              <w:tr2bl w:val="nil"/>
            </w:tcBorders>
            <w:shd w:val="clear" w:color="auto" w:fill="auto"/>
            <w:vAlign w:val="center"/>
          </w:tcPr>
          <w:p w14:paraId="3C9A8A9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250927</w:t>
            </w:r>
          </w:p>
        </w:tc>
        <w:tc>
          <w:tcPr>
            <w:tcW w:w="371" w:type="pct"/>
            <w:tcBorders>
              <w:tl2br w:val="nil"/>
              <w:tr2bl w:val="nil"/>
            </w:tcBorders>
            <w:shd w:val="clear" w:color="auto" w:fill="auto"/>
            <w:vAlign w:val="center"/>
          </w:tcPr>
          <w:p w14:paraId="15FDB841">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0.61</w:t>
            </w:r>
          </w:p>
        </w:tc>
        <w:tc>
          <w:tcPr>
            <w:tcW w:w="229" w:type="pct"/>
            <w:tcBorders>
              <w:tl2br w:val="nil"/>
              <w:tr2bl w:val="nil"/>
            </w:tcBorders>
            <w:shd w:val="clear" w:color="auto" w:fill="auto"/>
            <w:vAlign w:val="center"/>
          </w:tcPr>
          <w:p w14:paraId="71E3AB93">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c>
          <w:tcPr>
            <w:tcW w:w="362" w:type="pct"/>
            <w:tcBorders>
              <w:tl2br w:val="nil"/>
              <w:tr2bl w:val="nil"/>
            </w:tcBorders>
            <w:shd w:val="clear" w:color="auto" w:fill="auto"/>
            <w:vAlign w:val="center"/>
          </w:tcPr>
          <w:p w14:paraId="082F55C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70</w:t>
            </w:r>
          </w:p>
        </w:tc>
        <w:tc>
          <w:tcPr>
            <w:tcW w:w="320" w:type="pct"/>
            <w:tcBorders>
              <w:tl2br w:val="nil"/>
              <w:tr2bl w:val="nil"/>
            </w:tcBorders>
            <w:shd w:val="clear" w:color="auto" w:fill="auto"/>
            <w:vAlign w:val="center"/>
          </w:tcPr>
          <w:p w14:paraId="278667D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w:t>
            </w:r>
          </w:p>
        </w:tc>
        <w:tc>
          <w:tcPr>
            <w:tcW w:w="461" w:type="pct"/>
            <w:tcBorders>
              <w:tl2br w:val="nil"/>
              <w:tr2bl w:val="nil"/>
            </w:tcBorders>
            <w:shd w:val="clear" w:color="auto" w:fill="auto"/>
            <w:vAlign w:val="center"/>
          </w:tcPr>
          <w:p w14:paraId="2851FEE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5.77</w:t>
            </w:r>
          </w:p>
        </w:tc>
        <w:tc>
          <w:tcPr>
            <w:tcW w:w="494" w:type="pct"/>
            <w:tcBorders>
              <w:tl2br w:val="nil"/>
              <w:tr2bl w:val="nil"/>
            </w:tcBorders>
            <w:shd w:val="clear" w:color="auto" w:fill="auto"/>
            <w:vAlign w:val="center"/>
          </w:tcPr>
          <w:p w14:paraId="486427D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7</w:t>
            </w:r>
            <w:r>
              <w:rPr>
                <w:rFonts w:hint="eastAsia" w:ascii="Times New Roman" w:hAnsi="Times New Roman" w:cs="Times New Roman"/>
                <w:szCs w:val="21"/>
                <w:highlight w:val="none"/>
                <w:lang w:val="en-US" w:eastAsia="zh-CN"/>
              </w:rPr>
              <w:t>6.26</w:t>
            </w:r>
          </w:p>
        </w:tc>
        <w:tc>
          <w:tcPr>
            <w:tcW w:w="302" w:type="pct"/>
            <w:tcBorders>
              <w:tl2br w:val="nil"/>
              <w:tr2bl w:val="nil"/>
            </w:tcBorders>
            <w:shd w:val="clear" w:color="auto" w:fill="auto"/>
            <w:vAlign w:val="center"/>
          </w:tcPr>
          <w:p w14:paraId="0E82875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95.33</w:t>
            </w:r>
          </w:p>
        </w:tc>
        <w:tc>
          <w:tcPr>
            <w:tcW w:w="273" w:type="pct"/>
            <w:tcBorders>
              <w:tl2br w:val="nil"/>
              <w:tr2bl w:val="nil"/>
            </w:tcBorders>
            <w:shd w:val="clear" w:color="auto" w:fill="auto"/>
            <w:vAlign w:val="center"/>
          </w:tcPr>
          <w:p w14:paraId="51A31F1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达标</w:t>
            </w:r>
          </w:p>
        </w:tc>
      </w:tr>
      <w:tr w14:paraId="3D17B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67B9EF5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vMerge w:val="continue"/>
            <w:tcBorders>
              <w:tl2br w:val="nil"/>
              <w:tr2bl w:val="nil"/>
            </w:tcBorders>
            <w:shd w:val="clear" w:color="auto" w:fill="auto"/>
            <w:vAlign w:val="center"/>
          </w:tcPr>
          <w:p w14:paraId="56DFC12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455" w:type="pct"/>
            <w:tcBorders>
              <w:tl2br w:val="nil"/>
              <w:tr2bl w:val="nil"/>
            </w:tcBorders>
            <w:shd w:val="clear" w:color="auto" w:fill="auto"/>
            <w:vAlign w:val="center"/>
          </w:tcPr>
          <w:p w14:paraId="06649F5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年平均</w:t>
            </w:r>
          </w:p>
        </w:tc>
        <w:tc>
          <w:tcPr>
            <w:tcW w:w="382" w:type="pct"/>
            <w:tcBorders>
              <w:tl2br w:val="nil"/>
              <w:tr2bl w:val="nil"/>
            </w:tcBorders>
            <w:shd w:val="clear" w:color="auto" w:fill="auto"/>
            <w:vAlign w:val="center"/>
          </w:tcPr>
          <w:p w14:paraId="28EC168C">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0.16</w:t>
            </w:r>
          </w:p>
        </w:tc>
        <w:tc>
          <w:tcPr>
            <w:tcW w:w="356" w:type="pct"/>
            <w:tcBorders>
              <w:tl2br w:val="nil"/>
              <w:tr2bl w:val="nil"/>
            </w:tcBorders>
            <w:shd w:val="clear" w:color="auto" w:fill="auto"/>
            <w:vAlign w:val="center"/>
          </w:tcPr>
          <w:p w14:paraId="4A45960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平均值</w:t>
            </w:r>
          </w:p>
        </w:tc>
        <w:tc>
          <w:tcPr>
            <w:tcW w:w="371" w:type="pct"/>
            <w:tcBorders>
              <w:tl2br w:val="nil"/>
              <w:tr2bl w:val="nil"/>
            </w:tcBorders>
            <w:shd w:val="clear" w:color="auto" w:fill="auto"/>
            <w:vAlign w:val="center"/>
          </w:tcPr>
          <w:p w14:paraId="7F52CA0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0.40</w:t>
            </w:r>
          </w:p>
        </w:tc>
        <w:tc>
          <w:tcPr>
            <w:tcW w:w="229" w:type="pct"/>
            <w:tcBorders>
              <w:tl2br w:val="nil"/>
              <w:tr2bl w:val="nil"/>
            </w:tcBorders>
            <w:shd w:val="clear" w:color="auto" w:fill="auto"/>
            <w:vAlign w:val="center"/>
          </w:tcPr>
          <w:p w14:paraId="23FF8AE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c>
          <w:tcPr>
            <w:tcW w:w="362" w:type="pct"/>
            <w:tcBorders>
              <w:tl2br w:val="nil"/>
              <w:tr2bl w:val="nil"/>
            </w:tcBorders>
            <w:shd w:val="clear" w:color="auto" w:fill="auto"/>
            <w:vAlign w:val="center"/>
          </w:tcPr>
          <w:p w14:paraId="456FE16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35</w:t>
            </w:r>
          </w:p>
        </w:tc>
        <w:tc>
          <w:tcPr>
            <w:tcW w:w="320" w:type="pct"/>
            <w:tcBorders>
              <w:tl2br w:val="nil"/>
              <w:tr2bl w:val="nil"/>
            </w:tcBorders>
            <w:shd w:val="clear" w:color="auto" w:fill="auto"/>
            <w:vAlign w:val="center"/>
          </w:tcPr>
          <w:p w14:paraId="282F485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w:t>
            </w:r>
          </w:p>
        </w:tc>
        <w:tc>
          <w:tcPr>
            <w:tcW w:w="461" w:type="pct"/>
            <w:tcBorders>
              <w:tl2br w:val="nil"/>
              <w:tr2bl w:val="nil"/>
            </w:tcBorders>
            <w:shd w:val="clear" w:color="auto" w:fill="auto"/>
            <w:vAlign w:val="center"/>
          </w:tcPr>
          <w:p w14:paraId="4CFCF408">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1.31</w:t>
            </w:r>
          </w:p>
        </w:tc>
        <w:tc>
          <w:tcPr>
            <w:tcW w:w="494" w:type="pct"/>
            <w:tcBorders>
              <w:tl2br w:val="nil"/>
              <w:tr2bl w:val="nil"/>
            </w:tcBorders>
            <w:shd w:val="clear" w:color="auto" w:fill="auto"/>
            <w:vAlign w:val="center"/>
          </w:tcPr>
          <w:p w14:paraId="6D8884DE">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36.47</w:t>
            </w:r>
          </w:p>
        </w:tc>
        <w:tc>
          <w:tcPr>
            <w:tcW w:w="302" w:type="pct"/>
            <w:tcBorders>
              <w:tl2br w:val="nil"/>
              <w:tr2bl w:val="nil"/>
            </w:tcBorders>
            <w:shd w:val="clear" w:color="auto" w:fill="auto"/>
            <w:vAlign w:val="center"/>
          </w:tcPr>
          <w:p w14:paraId="4E0C33DA">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91.18</w:t>
            </w:r>
          </w:p>
        </w:tc>
        <w:tc>
          <w:tcPr>
            <w:tcW w:w="273" w:type="pct"/>
            <w:tcBorders>
              <w:tl2br w:val="nil"/>
              <w:tr2bl w:val="nil"/>
            </w:tcBorders>
            <w:shd w:val="clear" w:color="auto" w:fill="auto"/>
            <w:vAlign w:val="center"/>
          </w:tcPr>
          <w:p w14:paraId="7CABB86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达标</w:t>
            </w:r>
          </w:p>
        </w:tc>
      </w:tr>
      <w:tr w14:paraId="3D811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40" w:type="pct"/>
            <w:vMerge w:val="restart"/>
            <w:tcBorders>
              <w:tl2br w:val="nil"/>
              <w:tr2bl w:val="nil"/>
            </w:tcBorders>
            <w:shd w:val="clear" w:color="auto" w:fill="auto"/>
            <w:vAlign w:val="center"/>
          </w:tcPr>
          <w:p w14:paraId="242A36B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PM</w:t>
            </w:r>
            <w:r>
              <w:rPr>
                <w:rFonts w:hint="eastAsia" w:ascii="Times New Roman" w:hAnsi="Times New Roman" w:cs="Times New Roman"/>
                <w:szCs w:val="21"/>
                <w:highlight w:val="none"/>
                <w:vertAlign w:val="subscript"/>
                <w:lang w:val="en-US" w:eastAsia="zh-CN"/>
              </w:rPr>
              <w:t>10</w:t>
            </w:r>
          </w:p>
        </w:tc>
        <w:tc>
          <w:tcPr>
            <w:tcW w:w="748" w:type="pct"/>
            <w:vMerge w:val="restart"/>
            <w:tcBorders>
              <w:tl2br w:val="nil"/>
              <w:tr2bl w:val="nil"/>
            </w:tcBorders>
            <w:shd w:val="clear" w:color="auto" w:fill="auto"/>
            <w:vAlign w:val="center"/>
          </w:tcPr>
          <w:p w14:paraId="22AA643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兰干村居民区</w:t>
            </w:r>
          </w:p>
        </w:tc>
        <w:tc>
          <w:tcPr>
            <w:tcW w:w="455" w:type="pct"/>
            <w:tcBorders>
              <w:tl2br w:val="nil"/>
              <w:tr2bl w:val="nil"/>
            </w:tcBorders>
            <w:shd w:val="clear" w:color="auto" w:fill="auto"/>
            <w:vAlign w:val="center"/>
          </w:tcPr>
          <w:p w14:paraId="0A25E9B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日平均</w:t>
            </w:r>
          </w:p>
        </w:tc>
        <w:tc>
          <w:tcPr>
            <w:tcW w:w="382" w:type="pct"/>
            <w:tcBorders>
              <w:tl2br w:val="nil"/>
              <w:tr2bl w:val="nil"/>
            </w:tcBorders>
            <w:shd w:val="clear" w:color="auto" w:fill="auto"/>
            <w:vAlign w:val="center"/>
          </w:tcPr>
          <w:p w14:paraId="25628FC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highlight w:val="none"/>
              </w:rPr>
              <w:t>0.</w:t>
            </w:r>
            <w:r>
              <w:rPr>
                <w:rFonts w:hint="eastAsia"/>
                <w:highlight w:val="none"/>
                <w:lang w:val="en-US" w:eastAsia="zh-CN"/>
              </w:rPr>
              <w:t>00</w:t>
            </w:r>
          </w:p>
        </w:tc>
        <w:tc>
          <w:tcPr>
            <w:tcW w:w="356" w:type="pct"/>
            <w:tcBorders>
              <w:tl2br w:val="nil"/>
              <w:tr2bl w:val="nil"/>
            </w:tcBorders>
            <w:shd w:val="clear" w:color="auto" w:fill="auto"/>
            <w:vAlign w:val="center"/>
          </w:tcPr>
          <w:p w14:paraId="2961975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250106</w:t>
            </w:r>
          </w:p>
        </w:tc>
        <w:tc>
          <w:tcPr>
            <w:tcW w:w="371" w:type="pct"/>
            <w:tcBorders>
              <w:tl2br w:val="nil"/>
              <w:tr2bl w:val="nil"/>
            </w:tcBorders>
            <w:shd w:val="clear" w:color="auto" w:fill="auto"/>
            <w:vAlign w:val="center"/>
          </w:tcPr>
          <w:p w14:paraId="41CC66B3">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0.0</w:t>
            </w:r>
            <w:r>
              <w:rPr>
                <w:rFonts w:hint="eastAsia"/>
                <w:highlight w:val="none"/>
                <w:lang w:val="en-US" w:eastAsia="zh-CN"/>
              </w:rPr>
              <w:t>0</w:t>
            </w:r>
          </w:p>
        </w:tc>
        <w:tc>
          <w:tcPr>
            <w:tcW w:w="229" w:type="pct"/>
            <w:tcBorders>
              <w:tl2br w:val="nil"/>
              <w:tr2bl w:val="nil"/>
            </w:tcBorders>
            <w:shd w:val="clear" w:color="auto" w:fill="auto"/>
            <w:vAlign w:val="center"/>
          </w:tcPr>
          <w:p w14:paraId="19E0C371">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c>
          <w:tcPr>
            <w:tcW w:w="362" w:type="pct"/>
            <w:tcBorders>
              <w:tl2br w:val="nil"/>
              <w:tr2bl w:val="nil"/>
            </w:tcBorders>
            <w:shd w:val="clear" w:color="auto" w:fill="auto"/>
            <w:vAlign w:val="center"/>
          </w:tcPr>
          <w:p w14:paraId="25A8946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20" w:type="pct"/>
            <w:tcBorders>
              <w:tl2br w:val="nil"/>
              <w:tr2bl w:val="nil"/>
            </w:tcBorders>
            <w:shd w:val="clear" w:color="auto" w:fill="auto"/>
            <w:vAlign w:val="center"/>
          </w:tcPr>
          <w:p w14:paraId="18C00F4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w:t>
            </w:r>
          </w:p>
        </w:tc>
        <w:tc>
          <w:tcPr>
            <w:tcW w:w="461" w:type="pct"/>
            <w:tcBorders>
              <w:tl2br w:val="nil"/>
              <w:tr2bl w:val="nil"/>
            </w:tcBorders>
            <w:shd w:val="clear" w:color="auto" w:fill="auto"/>
            <w:vAlign w:val="center"/>
          </w:tcPr>
          <w:p w14:paraId="64556B5B">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1.46</w:t>
            </w:r>
          </w:p>
        </w:tc>
        <w:tc>
          <w:tcPr>
            <w:tcW w:w="494" w:type="pct"/>
            <w:tcBorders>
              <w:tl2br w:val="nil"/>
              <w:tr2bl w:val="nil"/>
            </w:tcBorders>
            <w:shd w:val="clear" w:color="auto" w:fill="auto"/>
            <w:vAlign w:val="center"/>
          </w:tcPr>
          <w:p w14:paraId="512AF850">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1.46</w:t>
            </w:r>
          </w:p>
        </w:tc>
        <w:tc>
          <w:tcPr>
            <w:tcW w:w="302" w:type="pct"/>
            <w:tcBorders>
              <w:tl2br w:val="nil"/>
              <w:tr2bl w:val="nil"/>
            </w:tcBorders>
            <w:shd w:val="clear" w:color="auto" w:fill="auto"/>
            <w:vAlign w:val="center"/>
          </w:tcPr>
          <w:p w14:paraId="370F44A2">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1.22</w:t>
            </w:r>
          </w:p>
        </w:tc>
        <w:tc>
          <w:tcPr>
            <w:tcW w:w="273" w:type="pct"/>
            <w:tcBorders>
              <w:tl2br w:val="nil"/>
              <w:tr2bl w:val="nil"/>
            </w:tcBorders>
            <w:shd w:val="clear" w:color="auto" w:fill="auto"/>
            <w:vAlign w:val="center"/>
          </w:tcPr>
          <w:p w14:paraId="7859D30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达标</w:t>
            </w:r>
          </w:p>
        </w:tc>
      </w:tr>
      <w:tr w14:paraId="317FE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40" w:type="pct"/>
            <w:vMerge w:val="continue"/>
            <w:tcBorders>
              <w:tl2br w:val="nil"/>
              <w:tr2bl w:val="nil"/>
            </w:tcBorders>
            <w:shd w:val="clear" w:color="auto" w:fill="auto"/>
            <w:vAlign w:val="center"/>
          </w:tcPr>
          <w:p w14:paraId="535D1E4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vMerge w:val="continue"/>
            <w:tcBorders>
              <w:tl2br w:val="nil"/>
              <w:tr2bl w:val="nil"/>
            </w:tcBorders>
            <w:shd w:val="clear" w:color="auto" w:fill="auto"/>
            <w:vAlign w:val="center"/>
          </w:tcPr>
          <w:p w14:paraId="20BD6AE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455" w:type="pct"/>
            <w:tcBorders>
              <w:tl2br w:val="nil"/>
              <w:tr2bl w:val="nil"/>
            </w:tcBorders>
            <w:shd w:val="clear" w:color="auto" w:fill="auto"/>
            <w:vAlign w:val="center"/>
          </w:tcPr>
          <w:p w14:paraId="5F8406FF">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年平均</w:t>
            </w:r>
          </w:p>
        </w:tc>
        <w:tc>
          <w:tcPr>
            <w:tcW w:w="382" w:type="pct"/>
            <w:tcBorders>
              <w:tl2br w:val="nil"/>
              <w:tr2bl w:val="nil"/>
            </w:tcBorders>
            <w:shd w:val="clear" w:color="auto" w:fill="auto"/>
            <w:vAlign w:val="center"/>
          </w:tcPr>
          <w:p w14:paraId="746F8FE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0.0</w:t>
            </w:r>
            <w:r>
              <w:rPr>
                <w:rFonts w:hint="eastAsia"/>
                <w:highlight w:val="none"/>
                <w:lang w:val="en-US" w:eastAsia="zh-CN"/>
              </w:rPr>
              <w:t>0</w:t>
            </w:r>
          </w:p>
        </w:tc>
        <w:tc>
          <w:tcPr>
            <w:tcW w:w="356" w:type="pct"/>
            <w:tcBorders>
              <w:tl2br w:val="nil"/>
              <w:tr2bl w:val="nil"/>
            </w:tcBorders>
            <w:shd w:val="clear" w:color="auto" w:fill="auto"/>
            <w:vAlign w:val="center"/>
          </w:tcPr>
          <w:p w14:paraId="1A40FFC1">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平均值</w:t>
            </w:r>
          </w:p>
        </w:tc>
        <w:tc>
          <w:tcPr>
            <w:tcW w:w="371" w:type="pct"/>
            <w:tcBorders>
              <w:tl2br w:val="nil"/>
              <w:tr2bl w:val="nil"/>
            </w:tcBorders>
            <w:shd w:val="clear" w:color="auto" w:fill="auto"/>
            <w:vAlign w:val="center"/>
          </w:tcPr>
          <w:p w14:paraId="5181DDA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0.0</w:t>
            </w:r>
            <w:r>
              <w:rPr>
                <w:rFonts w:hint="eastAsia"/>
                <w:highlight w:val="none"/>
                <w:lang w:val="en-US" w:eastAsia="zh-CN"/>
              </w:rPr>
              <w:t>0</w:t>
            </w:r>
          </w:p>
        </w:tc>
        <w:tc>
          <w:tcPr>
            <w:tcW w:w="229" w:type="pct"/>
            <w:tcBorders>
              <w:tl2br w:val="nil"/>
              <w:tr2bl w:val="nil"/>
            </w:tcBorders>
            <w:shd w:val="clear" w:color="auto" w:fill="auto"/>
            <w:vAlign w:val="center"/>
          </w:tcPr>
          <w:p w14:paraId="7D379D8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c>
          <w:tcPr>
            <w:tcW w:w="362" w:type="pct"/>
            <w:tcBorders>
              <w:tl2br w:val="nil"/>
              <w:tr2bl w:val="nil"/>
            </w:tcBorders>
            <w:shd w:val="clear" w:color="auto" w:fill="auto"/>
            <w:vAlign w:val="center"/>
          </w:tcPr>
          <w:p w14:paraId="4C2E902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20" w:type="pct"/>
            <w:tcBorders>
              <w:tl2br w:val="nil"/>
              <w:tr2bl w:val="nil"/>
            </w:tcBorders>
            <w:shd w:val="clear" w:color="auto" w:fill="auto"/>
            <w:vAlign w:val="center"/>
          </w:tcPr>
          <w:p w14:paraId="6F8C459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w:t>
            </w:r>
          </w:p>
        </w:tc>
        <w:tc>
          <w:tcPr>
            <w:tcW w:w="461" w:type="pct"/>
            <w:tcBorders>
              <w:tl2br w:val="nil"/>
              <w:tr2bl w:val="nil"/>
            </w:tcBorders>
            <w:shd w:val="clear" w:color="auto" w:fill="auto"/>
            <w:vAlign w:val="center"/>
          </w:tcPr>
          <w:p w14:paraId="41B2FE83">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0.21</w:t>
            </w:r>
          </w:p>
        </w:tc>
        <w:tc>
          <w:tcPr>
            <w:tcW w:w="494" w:type="pct"/>
            <w:tcBorders>
              <w:tl2br w:val="nil"/>
              <w:tr2bl w:val="nil"/>
            </w:tcBorders>
            <w:shd w:val="clear" w:color="auto" w:fill="auto"/>
            <w:vAlign w:val="center"/>
          </w:tcPr>
          <w:p w14:paraId="5DE48F6F">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0.21</w:t>
            </w:r>
          </w:p>
        </w:tc>
        <w:tc>
          <w:tcPr>
            <w:tcW w:w="302" w:type="pct"/>
            <w:tcBorders>
              <w:tl2br w:val="nil"/>
              <w:tr2bl w:val="nil"/>
            </w:tcBorders>
            <w:shd w:val="clear" w:color="auto" w:fill="auto"/>
            <w:vAlign w:val="center"/>
          </w:tcPr>
          <w:p w14:paraId="1D782FFD">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0.35</w:t>
            </w:r>
          </w:p>
        </w:tc>
        <w:tc>
          <w:tcPr>
            <w:tcW w:w="273" w:type="pct"/>
            <w:tcBorders>
              <w:tl2br w:val="nil"/>
              <w:tr2bl w:val="nil"/>
            </w:tcBorders>
            <w:shd w:val="clear" w:color="auto" w:fill="auto"/>
            <w:vAlign w:val="center"/>
          </w:tcPr>
          <w:p w14:paraId="305E5AB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达标</w:t>
            </w:r>
          </w:p>
        </w:tc>
      </w:tr>
      <w:tr w14:paraId="4437D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3B548F1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vMerge w:val="restart"/>
            <w:tcBorders>
              <w:tl2br w:val="nil"/>
              <w:tr2bl w:val="nil"/>
            </w:tcBorders>
            <w:shd w:val="clear" w:color="auto" w:fill="auto"/>
            <w:vAlign w:val="center"/>
          </w:tcPr>
          <w:p w14:paraId="136DE4E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萨依巴格村居民区</w:t>
            </w:r>
          </w:p>
        </w:tc>
        <w:tc>
          <w:tcPr>
            <w:tcW w:w="455" w:type="pct"/>
            <w:tcBorders>
              <w:tl2br w:val="nil"/>
              <w:tr2bl w:val="nil"/>
            </w:tcBorders>
            <w:shd w:val="clear" w:color="auto" w:fill="auto"/>
            <w:vAlign w:val="center"/>
          </w:tcPr>
          <w:p w14:paraId="42C9965F">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日平均</w:t>
            </w:r>
          </w:p>
        </w:tc>
        <w:tc>
          <w:tcPr>
            <w:tcW w:w="382" w:type="pct"/>
            <w:tcBorders>
              <w:tl2br w:val="nil"/>
              <w:tr2bl w:val="nil"/>
            </w:tcBorders>
            <w:shd w:val="clear" w:color="auto" w:fill="auto"/>
            <w:vAlign w:val="center"/>
          </w:tcPr>
          <w:p w14:paraId="0021144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w:t>
            </w:r>
            <w:r>
              <w:rPr>
                <w:rFonts w:hint="eastAsia"/>
                <w:highlight w:val="none"/>
                <w:lang w:val="en-US" w:eastAsia="zh-CN"/>
              </w:rPr>
              <w:t>00</w:t>
            </w:r>
          </w:p>
        </w:tc>
        <w:tc>
          <w:tcPr>
            <w:tcW w:w="356" w:type="pct"/>
            <w:tcBorders>
              <w:tl2br w:val="nil"/>
              <w:tr2bl w:val="nil"/>
            </w:tcBorders>
            <w:shd w:val="clear" w:color="auto" w:fill="auto"/>
            <w:vAlign w:val="center"/>
          </w:tcPr>
          <w:p w14:paraId="7EFE93A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251225</w:t>
            </w:r>
          </w:p>
        </w:tc>
        <w:tc>
          <w:tcPr>
            <w:tcW w:w="371" w:type="pct"/>
            <w:tcBorders>
              <w:tl2br w:val="nil"/>
              <w:tr2bl w:val="nil"/>
            </w:tcBorders>
            <w:shd w:val="clear" w:color="auto" w:fill="auto"/>
            <w:vAlign w:val="center"/>
          </w:tcPr>
          <w:p w14:paraId="38819EDC">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w:t>
            </w:r>
            <w:r>
              <w:rPr>
                <w:rFonts w:hint="eastAsia"/>
                <w:highlight w:val="none"/>
                <w:lang w:val="en-US" w:eastAsia="zh-CN"/>
              </w:rPr>
              <w:t>00</w:t>
            </w:r>
          </w:p>
        </w:tc>
        <w:tc>
          <w:tcPr>
            <w:tcW w:w="229" w:type="pct"/>
            <w:tcBorders>
              <w:tl2br w:val="nil"/>
              <w:tr2bl w:val="nil"/>
            </w:tcBorders>
            <w:shd w:val="clear" w:color="auto" w:fill="auto"/>
            <w:vAlign w:val="center"/>
          </w:tcPr>
          <w:p w14:paraId="7CA08D7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c>
          <w:tcPr>
            <w:tcW w:w="362" w:type="pct"/>
            <w:tcBorders>
              <w:tl2br w:val="nil"/>
              <w:tr2bl w:val="nil"/>
            </w:tcBorders>
            <w:shd w:val="clear" w:color="auto" w:fill="auto"/>
            <w:vAlign w:val="center"/>
          </w:tcPr>
          <w:p w14:paraId="3C0412E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20" w:type="pct"/>
            <w:tcBorders>
              <w:tl2br w:val="nil"/>
              <w:tr2bl w:val="nil"/>
            </w:tcBorders>
            <w:shd w:val="clear" w:color="auto" w:fill="auto"/>
            <w:vAlign w:val="center"/>
          </w:tcPr>
          <w:p w14:paraId="551ABC8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w:t>
            </w:r>
          </w:p>
        </w:tc>
        <w:tc>
          <w:tcPr>
            <w:tcW w:w="461" w:type="pct"/>
            <w:tcBorders>
              <w:tl2br w:val="nil"/>
              <w:tr2bl w:val="nil"/>
            </w:tcBorders>
            <w:shd w:val="clear" w:color="auto" w:fill="auto"/>
            <w:vAlign w:val="center"/>
          </w:tcPr>
          <w:p w14:paraId="2E658BAF">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0.61</w:t>
            </w:r>
          </w:p>
        </w:tc>
        <w:tc>
          <w:tcPr>
            <w:tcW w:w="494" w:type="pct"/>
            <w:tcBorders>
              <w:tl2br w:val="nil"/>
              <w:tr2bl w:val="nil"/>
            </w:tcBorders>
            <w:shd w:val="clear" w:color="auto" w:fill="auto"/>
            <w:vAlign w:val="center"/>
          </w:tcPr>
          <w:p w14:paraId="5CF09B8B">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0.63</w:t>
            </w:r>
          </w:p>
        </w:tc>
        <w:tc>
          <w:tcPr>
            <w:tcW w:w="302" w:type="pct"/>
            <w:tcBorders>
              <w:tl2br w:val="nil"/>
              <w:tr2bl w:val="nil"/>
            </w:tcBorders>
            <w:shd w:val="clear" w:color="auto" w:fill="auto"/>
            <w:vAlign w:val="center"/>
          </w:tcPr>
          <w:p w14:paraId="79DE345C">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0.53</w:t>
            </w:r>
          </w:p>
        </w:tc>
        <w:tc>
          <w:tcPr>
            <w:tcW w:w="273" w:type="pct"/>
            <w:tcBorders>
              <w:tl2br w:val="nil"/>
              <w:tr2bl w:val="nil"/>
            </w:tcBorders>
            <w:shd w:val="clear" w:color="auto" w:fill="auto"/>
            <w:vAlign w:val="center"/>
          </w:tcPr>
          <w:p w14:paraId="5608B11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达标</w:t>
            </w:r>
          </w:p>
        </w:tc>
      </w:tr>
      <w:tr w14:paraId="0EE3A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15655C2A">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vMerge w:val="continue"/>
            <w:tcBorders>
              <w:tl2br w:val="nil"/>
              <w:tr2bl w:val="nil"/>
            </w:tcBorders>
            <w:shd w:val="clear" w:color="auto" w:fill="auto"/>
            <w:vAlign w:val="center"/>
          </w:tcPr>
          <w:p w14:paraId="254C594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455" w:type="pct"/>
            <w:tcBorders>
              <w:tl2br w:val="nil"/>
              <w:tr2bl w:val="nil"/>
            </w:tcBorders>
            <w:shd w:val="clear" w:color="auto" w:fill="auto"/>
            <w:vAlign w:val="center"/>
          </w:tcPr>
          <w:p w14:paraId="46A15E94">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年平均</w:t>
            </w:r>
          </w:p>
        </w:tc>
        <w:tc>
          <w:tcPr>
            <w:tcW w:w="382" w:type="pct"/>
            <w:tcBorders>
              <w:tl2br w:val="nil"/>
              <w:tr2bl w:val="nil"/>
            </w:tcBorders>
            <w:shd w:val="clear" w:color="auto" w:fill="auto"/>
            <w:vAlign w:val="center"/>
          </w:tcPr>
          <w:p w14:paraId="0ABC32A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0.0</w:t>
            </w:r>
            <w:r>
              <w:rPr>
                <w:rFonts w:hint="eastAsia"/>
                <w:highlight w:val="none"/>
                <w:lang w:val="en-US" w:eastAsia="zh-CN"/>
              </w:rPr>
              <w:t>0</w:t>
            </w:r>
          </w:p>
        </w:tc>
        <w:tc>
          <w:tcPr>
            <w:tcW w:w="356" w:type="pct"/>
            <w:tcBorders>
              <w:tl2br w:val="nil"/>
              <w:tr2bl w:val="nil"/>
            </w:tcBorders>
            <w:shd w:val="clear" w:color="auto" w:fill="auto"/>
            <w:vAlign w:val="center"/>
          </w:tcPr>
          <w:p w14:paraId="6E129C7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平均值</w:t>
            </w:r>
          </w:p>
        </w:tc>
        <w:tc>
          <w:tcPr>
            <w:tcW w:w="371" w:type="pct"/>
            <w:tcBorders>
              <w:tl2br w:val="nil"/>
              <w:tr2bl w:val="nil"/>
            </w:tcBorders>
            <w:shd w:val="clear" w:color="auto" w:fill="auto"/>
            <w:vAlign w:val="center"/>
          </w:tcPr>
          <w:p w14:paraId="3917395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0.0</w:t>
            </w:r>
            <w:r>
              <w:rPr>
                <w:rFonts w:hint="eastAsia"/>
                <w:highlight w:val="none"/>
                <w:lang w:val="en-US" w:eastAsia="zh-CN"/>
              </w:rPr>
              <w:t>0</w:t>
            </w:r>
          </w:p>
        </w:tc>
        <w:tc>
          <w:tcPr>
            <w:tcW w:w="229" w:type="pct"/>
            <w:tcBorders>
              <w:tl2br w:val="nil"/>
              <w:tr2bl w:val="nil"/>
            </w:tcBorders>
            <w:shd w:val="clear" w:color="auto" w:fill="auto"/>
            <w:vAlign w:val="center"/>
          </w:tcPr>
          <w:p w14:paraId="3F68937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c>
          <w:tcPr>
            <w:tcW w:w="362" w:type="pct"/>
            <w:tcBorders>
              <w:tl2br w:val="nil"/>
              <w:tr2bl w:val="nil"/>
            </w:tcBorders>
            <w:shd w:val="clear" w:color="auto" w:fill="auto"/>
            <w:vAlign w:val="center"/>
          </w:tcPr>
          <w:p w14:paraId="2441F14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20" w:type="pct"/>
            <w:tcBorders>
              <w:tl2br w:val="nil"/>
              <w:tr2bl w:val="nil"/>
            </w:tcBorders>
            <w:shd w:val="clear" w:color="auto" w:fill="auto"/>
            <w:vAlign w:val="center"/>
          </w:tcPr>
          <w:p w14:paraId="43D72A9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w:t>
            </w:r>
          </w:p>
        </w:tc>
        <w:tc>
          <w:tcPr>
            <w:tcW w:w="461" w:type="pct"/>
            <w:tcBorders>
              <w:tl2br w:val="nil"/>
              <w:tr2bl w:val="nil"/>
            </w:tcBorders>
            <w:shd w:val="clear" w:color="auto" w:fill="auto"/>
            <w:vAlign w:val="center"/>
          </w:tcPr>
          <w:p w14:paraId="1FFFDF2A">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0.09</w:t>
            </w:r>
          </w:p>
        </w:tc>
        <w:tc>
          <w:tcPr>
            <w:tcW w:w="494" w:type="pct"/>
            <w:tcBorders>
              <w:tl2br w:val="nil"/>
              <w:tr2bl w:val="nil"/>
            </w:tcBorders>
            <w:shd w:val="clear" w:color="auto" w:fill="auto"/>
            <w:vAlign w:val="center"/>
          </w:tcPr>
          <w:p w14:paraId="604D55AB">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0.09</w:t>
            </w:r>
          </w:p>
        </w:tc>
        <w:tc>
          <w:tcPr>
            <w:tcW w:w="302" w:type="pct"/>
            <w:tcBorders>
              <w:tl2br w:val="nil"/>
              <w:tr2bl w:val="nil"/>
            </w:tcBorders>
            <w:shd w:val="clear" w:color="auto" w:fill="auto"/>
            <w:vAlign w:val="center"/>
          </w:tcPr>
          <w:p w14:paraId="08B63D15">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0.15</w:t>
            </w:r>
          </w:p>
        </w:tc>
        <w:tc>
          <w:tcPr>
            <w:tcW w:w="273" w:type="pct"/>
            <w:tcBorders>
              <w:tl2br w:val="nil"/>
              <w:tr2bl w:val="nil"/>
            </w:tcBorders>
            <w:shd w:val="clear" w:color="auto" w:fill="auto"/>
            <w:vAlign w:val="center"/>
          </w:tcPr>
          <w:p w14:paraId="4549143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达标</w:t>
            </w:r>
          </w:p>
        </w:tc>
      </w:tr>
      <w:tr w14:paraId="294FB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4FA3E9B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vMerge w:val="restart"/>
            <w:tcBorders>
              <w:tl2br w:val="nil"/>
              <w:tr2bl w:val="nil"/>
            </w:tcBorders>
            <w:shd w:val="clear" w:color="auto" w:fill="auto"/>
            <w:vAlign w:val="center"/>
          </w:tcPr>
          <w:p w14:paraId="4B4F3A6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帕特曼喀什村居民区</w:t>
            </w:r>
          </w:p>
        </w:tc>
        <w:tc>
          <w:tcPr>
            <w:tcW w:w="455" w:type="pct"/>
            <w:tcBorders>
              <w:tl2br w:val="nil"/>
              <w:tr2bl w:val="nil"/>
            </w:tcBorders>
            <w:shd w:val="clear" w:color="auto" w:fill="auto"/>
            <w:vAlign w:val="center"/>
          </w:tcPr>
          <w:p w14:paraId="3060294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日平均</w:t>
            </w:r>
          </w:p>
        </w:tc>
        <w:tc>
          <w:tcPr>
            <w:tcW w:w="382" w:type="pct"/>
            <w:tcBorders>
              <w:tl2br w:val="nil"/>
              <w:tr2bl w:val="nil"/>
            </w:tcBorders>
            <w:shd w:val="clear" w:color="auto" w:fill="auto"/>
            <w:vAlign w:val="center"/>
          </w:tcPr>
          <w:p w14:paraId="7989177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w:t>
            </w:r>
            <w:r>
              <w:rPr>
                <w:rFonts w:hint="eastAsia"/>
                <w:highlight w:val="none"/>
                <w:lang w:val="en-US" w:eastAsia="zh-CN"/>
              </w:rPr>
              <w:t>00</w:t>
            </w:r>
          </w:p>
        </w:tc>
        <w:tc>
          <w:tcPr>
            <w:tcW w:w="356" w:type="pct"/>
            <w:tcBorders>
              <w:tl2br w:val="nil"/>
              <w:tr2bl w:val="nil"/>
            </w:tcBorders>
            <w:shd w:val="clear" w:color="auto" w:fill="auto"/>
            <w:vAlign w:val="center"/>
          </w:tcPr>
          <w:p w14:paraId="6DFB161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250907</w:t>
            </w:r>
          </w:p>
        </w:tc>
        <w:tc>
          <w:tcPr>
            <w:tcW w:w="371" w:type="pct"/>
            <w:tcBorders>
              <w:tl2br w:val="nil"/>
              <w:tr2bl w:val="nil"/>
            </w:tcBorders>
            <w:shd w:val="clear" w:color="auto" w:fill="auto"/>
            <w:vAlign w:val="center"/>
          </w:tcPr>
          <w:p w14:paraId="1089E84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w:t>
            </w:r>
            <w:r>
              <w:rPr>
                <w:rFonts w:hint="eastAsia"/>
                <w:highlight w:val="none"/>
                <w:lang w:val="en-US" w:eastAsia="zh-CN"/>
              </w:rPr>
              <w:t>00</w:t>
            </w:r>
          </w:p>
        </w:tc>
        <w:tc>
          <w:tcPr>
            <w:tcW w:w="229" w:type="pct"/>
            <w:tcBorders>
              <w:tl2br w:val="nil"/>
              <w:tr2bl w:val="nil"/>
            </w:tcBorders>
            <w:shd w:val="clear" w:color="auto" w:fill="auto"/>
            <w:vAlign w:val="center"/>
          </w:tcPr>
          <w:p w14:paraId="07333E91">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c>
          <w:tcPr>
            <w:tcW w:w="362" w:type="pct"/>
            <w:tcBorders>
              <w:tl2br w:val="nil"/>
              <w:tr2bl w:val="nil"/>
            </w:tcBorders>
            <w:shd w:val="clear" w:color="auto" w:fill="auto"/>
            <w:vAlign w:val="center"/>
          </w:tcPr>
          <w:p w14:paraId="19A1935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20" w:type="pct"/>
            <w:tcBorders>
              <w:tl2br w:val="nil"/>
              <w:tr2bl w:val="nil"/>
            </w:tcBorders>
            <w:shd w:val="clear" w:color="auto" w:fill="auto"/>
            <w:vAlign w:val="center"/>
          </w:tcPr>
          <w:p w14:paraId="4893B1C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w:t>
            </w:r>
          </w:p>
        </w:tc>
        <w:tc>
          <w:tcPr>
            <w:tcW w:w="461" w:type="pct"/>
            <w:tcBorders>
              <w:tl2br w:val="nil"/>
              <w:tr2bl w:val="nil"/>
            </w:tcBorders>
            <w:shd w:val="clear" w:color="auto" w:fill="auto"/>
            <w:vAlign w:val="center"/>
          </w:tcPr>
          <w:p w14:paraId="64AF1E6C">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0.42</w:t>
            </w:r>
          </w:p>
        </w:tc>
        <w:tc>
          <w:tcPr>
            <w:tcW w:w="494" w:type="pct"/>
            <w:tcBorders>
              <w:tl2br w:val="nil"/>
              <w:tr2bl w:val="nil"/>
            </w:tcBorders>
            <w:shd w:val="clear" w:color="auto" w:fill="auto"/>
            <w:vAlign w:val="center"/>
          </w:tcPr>
          <w:p w14:paraId="44BAA1AE">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0.43</w:t>
            </w:r>
          </w:p>
        </w:tc>
        <w:tc>
          <w:tcPr>
            <w:tcW w:w="302" w:type="pct"/>
            <w:tcBorders>
              <w:tl2br w:val="nil"/>
              <w:tr2bl w:val="nil"/>
            </w:tcBorders>
            <w:shd w:val="clear" w:color="auto" w:fill="auto"/>
            <w:vAlign w:val="center"/>
          </w:tcPr>
          <w:p w14:paraId="418FEDC4">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0.36</w:t>
            </w:r>
          </w:p>
        </w:tc>
        <w:tc>
          <w:tcPr>
            <w:tcW w:w="273" w:type="pct"/>
            <w:tcBorders>
              <w:tl2br w:val="nil"/>
              <w:tr2bl w:val="nil"/>
            </w:tcBorders>
            <w:shd w:val="clear" w:color="auto" w:fill="auto"/>
            <w:vAlign w:val="center"/>
          </w:tcPr>
          <w:p w14:paraId="635C064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达标</w:t>
            </w:r>
          </w:p>
        </w:tc>
      </w:tr>
      <w:tr w14:paraId="4629A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51CC1B7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vMerge w:val="continue"/>
            <w:tcBorders>
              <w:tl2br w:val="nil"/>
              <w:tr2bl w:val="nil"/>
            </w:tcBorders>
            <w:shd w:val="clear" w:color="auto" w:fill="auto"/>
            <w:vAlign w:val="center"/>
          </w:tcPr>
          <w:p w14:paraId="10A9824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455" w:type="pct"/>
            <w:tcBorders>
              <w:tl2br w:val="nil"/>
              <w:tr2bl w:val="nil"/>
            </w:tcBorders>
            <w:shd w:val="clear" w:color="auto" w:fill="auto"/>
            <w:vAlign w:val="center"/>
          </w:tcPr>
          <w:p w14:paraId="3E837661">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年平均</w:t>
            </w:r>
          </w:p>
        </w:tc>
        <w:tc>
          <w:tcPr>
            <w:tcW w:w="382" w:type="pct"/>
            <w:tcBorders>
              <w:tl2br w:val="nil"/>
              <w:tr2bl w:val="nil"/>
            </w:tcBorders>
            <w:shd w:val="clear" w:color="auto" w:fill="auto"/>
            <w:vAlign w:val="center"/>
          </w:tcPr>
          <w:p w14:paraId="70D0D978">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0.0</w:t>
            </w:r>
            <w:r>
              <w:rPr>
                <w:rFonts w:hint="eastAsia"/>
                <w:highlight w:val="none"/>
                <w:lang w:val="en-US" w:eastAsia="zh-CN"/>
              </w:rPr>
              <w:t>0</w:t>
            </w:r>
          </w:p>
        </w:tc>
        <w:tc>
          <w:tcPr>
            <w:tcW w:w="356" w:type="pct"/>
            <w:tcBorders>
              <w:tl2br w:val="nil"/>
              <w:tr2bl w:val="nil"/>
            </w:tcBorders>
            <w:shd w:val="clear" w:color="auto" w:fill="auto"/>
            <w:vAlign w:val="center"/>
          </w:tcPr>
          <w:p w14:paraId="2AFB669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平均值</w:t>
            </w:r>
          </w:p>
        </w:tc>
        <w:tc>
          <w:tcPr>
            <w:tcW w:w="371" w:type="pct"/>
            <w:tcBorders>
              <w:tl2br w:val="nil"/>
              <w:tr2bl w:val="nil"/>
            </w:tcBorders>
            <w:shd w:val="clear" w:color="auto" w:fill="auto"/>
            <w:vAlign w:val="center"/>
          </w:tcPr>
          <w:p w14:paraId="31C12BD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0.0</w:t>
            </w:r>
            <w:r>
              <w:rPr>
                <w:rFonts w:hint="eastAsia"/>
                <w:highlight w:val="none"/>
                <w:lang w:val="en-US" w:eastAsia="zh-CN"/>
              </w:rPr>
              <w:t>0</w:t>
            </w:r>
          </w:p>
        </w:tc>
        <w:tc>
          <w:tcPr>
            <w:tcW w:w="229" w:type="pct"/>
            <w:tcBorders>
              <w:tl2br w:val="nil"/>
              <w:tr2bl w:val="nil"/>
            </w:tcBorders>
            <w:shd w:val="clear" w:color="auto" w:fill="auto"/>
            <w:vAlign w:val="center"/>
          </w:tcPr>
          <w:p w14:paraId="659A83C8">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c>
          <w:tcPr>
            <w:tcW w:w="362" w:type="pct"/>
            <w:tcBorders>
              <w:tl2br w:val="nil"/>
              <w:tr2bl w:val="nil"/>
            </w:tcBorders>
            <w:shd w:val="clear" w:color="auto" w:fill="auto"/>
            <w:vAlign w:val="center"/>
          </w:tcPr>
          <w:p w14:paraId="58C59F3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20" w:type="pct"/>
            <w:tcBorders>
              <w:tl2br w:val="nil"/>
              <w:tr2bl w:val="nil"/>
            </w:tcBorders>
            <w:shd w:val="clear" w:color="auto" w:fill="auto"/>
            <w:vAlign w:val="center"/>
          </w:tcPr>
          <w:p w14:paraId="7F8CDF4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w:t>
            </w:r>
          </w:p>
        </w:tc>
        <w:tc>
          <w:tcPr>
            <w:tcW w:w="461" w:type="pct"/>
            <w:tcBorders>
              <w:tl2br w:val="nil"/>
              <w:tr2bl w:val="nil"/>
            </w:tcBorders>
            <w:shd w:val="clear" w:color="auto" w:fill="auto"/>
            <w:vAlign w:val="center"/>
          </w:tcPr>
          <w:p w14:paraId="6437130E">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0.08</w:t>
            </w:r>
          </w:p>
        </w:tc>
        <w:tc>
          <w:tcPr>
            <w:tcW w:w="494" w:type="pct"/>
            <w:tcBorders>
              <w:tl2br w:val="nil"/>
              <w:tr2bl w:val="nil"/>
            </w:tcBorders>
            <w:shd w:val="clear" w:color="auto" w:fill="auto"/>
            <w:vAlign w:val="center"/>
          </w:tcPr>
          <w:p w14:paraId="405E088B">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0.08</w:t>
            </w:r>
          </w:p>
        </w:tc>
        <w:tc>
          <w:tcPr>
            <w:tcW w:w="302" w:type="pct"/>
            <w:tcBorders>
              <w:tl2br w:val="nil"/>
              <w:tr2bl w:val="nil"/>
            </w:tcBorders>
            <w:shd w:val="clear" w:color="auto" w:fill="auto"/>
            <w:vAlign w:val="center"/>
          </w:tcPr>
          <w:p w14:paraId="3E8765A5">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0.13</w:t>
            </w:r>
          </w:p>
        </w:tc>
        <w:tc>
          <w:tcPr>
            <w:tcW w:w="273" w:type="pct"/>
            <w:tcBorders>
              <w:tl2br w:val="nil"/>
              <w:tr2bl w:val="nil"/>
            </w:tcBorders>
            <w:shd w:val="clear" w:color="auto" w:fill="auto"/>
            <w:vAlign w:val="center"/>
          </w:tcPr>
          <w:p w14:paraId="517671C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达标</w:t>
            </w:r>
          </w:p>
        </w:tc>
      </w:tr>
      <w:tr w14:paraId="5D875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0286AE9F">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vMerge w:val="restart"/>
            <w:tcBorders>
              <w:tl2br w:val="nil"/>
              <w:tr2bl w:val="nil"/>
            </w:tcBorders>
            <w:shd w:val="clear" w:color="auto" w:fill="auto"/>
            <w:vAlign w:val="center"/>
          </w:tcPr>
          <w:p w14:paraId="21FD4E4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网格</w:t>
            </w:r>
          </w:p>
        </w:tc>
        <w:tc>
          <w:tcPr>
            <w:tcW w:w="455" w:type="pct"/>
            <w:tcBorders>
              <w:tl2br w:val="nil"/>
              <w:tr2bl w:val="nil"/>
            </w:tcBorders>
            <w:shd w:val="clear" w:color="auto" w:fill="auto"/>
            <w:vAlign w:val="center"/>
          </w:tcPr>
          <w:p w14:paraId="5A02D2D4">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日平均</w:t>
            </w:r>
          </w:p>
        </w:tc>
        <w:tc>
          <w:tcPr>
            <w:tcW w:w="382" w:type="pct"/>
            <w:tcBorders>
              <w:tl2br w:val="nil"/>
              <w:tr2bl w:val="nil"/>
            </w:tcBorders>
            <w:shd w:val="clear" w:color="auto" w:fill="auto"/>
            <w:vAlign w:val="center"/>
          </w:tcPr>
          <w:p w14:paraId="6862923F">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lang w:val="en-US" w:eastAsia="zh-CN"/>
              </w:rPr>
              <w:t>0.06</w:t>
            </w:r>
          </w:p>
        </w:tc>
        <w:tc>
          <w:tcPr>
            <w:tcW w:w="356" w:type="pct"/>
            <w:tcBorders>
              <w:tl2br w:val="nil"/>
              <w:tr2bl w:val="nil"/>
            </w:tcBorders>
            <w:shd w:val="clear" w:color="auto" w:fill="auto"/>
            <w:vAlign w:val="center"/>
          </w:tcPr>
          <w:p w14:paraId="49E51403">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251205</w:t>
            </w:r>
          </w:p>
        </w:tc>
        <w:tc>
          <w:tcPr>
            <w:tcW w:w="371" w:type="pct"/>
            <w:tcBorders>
              <w:tl2br w:val="nil"/>
              <w:tr2bl w:val="nil"/>
            </w:tcBorders>
            <w:shd w:val="clear" w:color="auto" w:fill="auto"/>
            <w:vAlign w:val="center"/>
          </w:tcPr>
          <w:p w14:paraId="6429F4C1">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lang w:val="en-US" w:eastAsia="zh-CN"/>
              </w:rPr>
              <w:t>0.05</w:t>
            </w:r>
          </w:p>
        </w:tc>
        <w:tc>
          <w:tcPr>
            <w:tcW w:w="229" w:type="pct"/>
            <w:tcBorders>
              <w:tl2br w:val="nil"/>
              <w:tr2bl w:val="nil"/>
            </w:tcBorders>
            <w:shd w:val="clear" w:color="auto" w:fill="auto"/>
            <w:vAlign w:val="center"/>
          </w:tcPr>
          <w:p w14:paraId="435AB356">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c>
          <w:tcPr>
            <w:tcW w:w="362" w:type="pct"/>
            <w:tcBorders>
              <w:tl2br w:val="nil"/>
              <w:tr2bl w:val="nil"/>
            </w:tcBorders>
            <w:shd w:val="clear" w:color="auto" w:fill="auto"/>
            <w:vAlign w:val="center"/>
          </w:tcPr>
          <w:p w14:paraId="21424C7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20" w:type="pct"/>
            <w:tcBorders>
              <w:tl2br w:val="nil"/>
              <w:tr2bl w:val="nil"/>
            </w:tcBorders>
            <w:shd w:val="clear" w:color="auto" w:fill="auto"/>
            <w:vAlign w:val="center"/>
          </w:tcPr>
          <w:p w14:paraId="034DFFB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w:t>
            </w:r>
          </w:p>
        </w:tc>
        <w:tc>
          <w:tcPr>
            <w:tcW w:w="461" w:type="pct"/>
            <w:tcBorders>
              <w:tl2br w:val="nil"/>
              <w:tr2bl w:val="nil"/>
            </w:tcBorders>
            <w:shd w:val="clear" w:color="auto" w:fill="auto"/>
            <w:vAlign w:val="center"/>
          </w:tcPr>
          <w:p w14:paraId="0CFD23CE">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32.64</w:t>
            </w:r>
          </w:p>
        </w:tc>
        <w:tc>
          <w:tcPr>
            <w:tcW w:w="494" w:type="pct"/>
            <w:tcBorders>
              <w:tl2br w:val="nil"/>
              <w:tr2bl w:val="nil"/>
            </w:tcBorders>
            <w:shd w:val="clear" w:color="auto" w:fill="auto"/>
            <w:vAlign w:val="center"/>
          </w:tcPr>
          <w:p w14:paraId="71436507">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32.7</w:t>
            </w:r>
          </w:p>
        </w:tc>
        <w:tc>
          <w:tcPr>
            <w:tcW w:w="302" w:type="pct"/>
            <w:tcBorders>
              <w:tl2br w:val="nil"/>
              <w:tr2bl w:val="nil"/>
            </w:tcBorders>
            <w:shd w:val="clear" w:color="auto" w:fill="auto"/>
            <w:vAlign w:val="center"/>
          </w:tcPr>
          <w:p w14:paraId="5061E95D">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27.25</w:t>
            </w:r>
          </w:p>
        </w:tc>
        <w:tc>
          <w:tcPr>
            <w:tcW w:w="273" w:type="pct"/>
            <w:tcBorders>
              <w:tl2br w:val="nil"/>
              <w:tr2bl w:val="nil"/>
            </w:tcBorders>
            <w:shd w:val="clear" w:color="auto" w:fill="auto"/>
            <w:vAlign w:val="center"/>
          </w:tcPr>
          <w:p w14:paraId="49ADA4C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达标</w:t>
            </w:r>
          </w:p>
        </w:tc>
      </w:tr>
      <w:tr w14:paraId="7E6D1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45848DB6">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vMerge w:val="continue"/>
            <w:tcBorders>
              <w:tl2br w:val="nil"/>
              <w:tr2bl w:val="nil"/>
            </w:tcBorders>
            <w:shd w:val="clear" w:color="auto" w:fill="auto"/>
            <w:vAlign w:val="center"/>
          </w:tcPr>
          <w:p w14:paraId="4E355758">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455" w:type="pct"/>
            <w:tcBorders>
              <w:tl2br w:val="nil"/>
              <w:tr2bl w:val="nil"/>
            </w:tcBorders>
            <w:shd w:val="clear" w:color="auto" w:fill="auto"/>
            <w:vAlign w:val="center"/>
          </w:tcPr>
          <w:p w14:paraId="243E407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年平均</w:t>
            </w:r>
          </w:p>
        </w:tc>
        <w:tc>
          <w:tcPr>
            <w:tcW w:w="382" w:type="pct"/>
            <w:tcBorders>
              <w:tl2br w:val="nil"/>
              <w:tr2bl w:val="nil"/>
            </w:tcBorders>
            <w:shd w:val="clear" w:color="auto" w:fill="auto"/>
            <w:vAlign w:val="center"/>
          </w:tcPr>
          <w:p w14:paraId="70BF7B7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lang w:val="en-US" w:eastAsia="zh-CN"/>
              </w:rPr>
              <w:t>0.02</w:t>
            </w:r>
          </w:p>
        </w:tc>
        <w:tc>
          <w:tcPr>
            <w:tcW w:w="356" w:type="pct"/>
            <w:tcBorders>
              <w:tl2br w:val="nil"/>
              <w:tr2bl w:val="nil"/>
            </w:tcBorders>
            <w:shd w:val="clear" w:color="auto" w:fill="auto"/>
            <w:vAlign w:val="center"/>
          </w:tcPr>
          <w:p w14:paraId="7B009CFF">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rPr>
              <w:t>平均值</w:t>
            </w:r>
          </w:p>
        </w:tc>
        <w:tc>
          <w:tcPr>
            <w:tcW w:w="371" w:type="pct"/>
            <w:tcBorders>
              <w:tl2br w:val="nil"/>
              <w:tr2bl w:val="nil"/>
            </w:tcBorders>
            <w:shd w:val="clear" w:color="auto" w:fill="auto"/>
            <w:vAlign w:val="center"/>
          </w:tcPr>
          <w:p w14:paraId="5820BF7A">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highlight w:val="none"/>
                <w:lang w:val="en-US" w:eastAsia="zh-CN"/>
              </w:rPr>
              <w:t>0.03</w:t>
            </w:r>
          </w:p>
        </w:tc>
        <w:tc>
          <w:tcPr>
            <w:tcW w:w="229" w:type="pct"/>
            <w:tcBorders>
              <w:tl2br w:val="nil"/>
              <w:tr2bl w:val="nil"/>
            </w:tcBorders>
            <w:shd w:val="clear" w:color="auto" w:fill="auto"/>
            <w:vAlign w:val="center"/>
          </w:tcPr>
          <w:p w14:paraId="4C3ED22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c>
          <w:tcPr>
            <w:tcW w:w="362" w:type="pct"/>
            <w:tcBorders>
              <w:tl2br w:val="nil"/>
              <w:tr2bl w:val="nil"/>
            </w:tcBorders>
            <w:shd w:val="clear" w:color="auto" w:fill="auto"/>
            <w:vAlign w:val="center"/>
          </w:tcPr>
          <w:p w14:paraId="09852FB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320" w:type="pct"/>
            <w:tcBorders>
              <w:tl2br w:val="nil"/>
              <w:tr2bl w:val="nil"/>
            </w:tcBorders>
            <w:shd w:val="clear" w:color="auto" w:fill="auto"/>
            <w:vAlign w:val="center"/>
          </w:tcPr>
          <w:p w14:paraId="153734C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w:t>
            </w:r>
          </w:p>
        </w:tc>
        <w:tc>
          <w:tcPr>
            <w:tcW w:w="461" w:type="pct"/>
            <w:tcBorders>
              <w:tl2br w:val="nil"/>
              <w:tr2bl w:val="nil"/>
            </w:tcBorders>
            <w:shd w:val="clear" w:color="auto" w:fill="auto"/>
            <w:vAlign w:val="center"/>
          </w:tcPr>
          <w:p w14:paraId="5BE96DFA">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3.38</w:t>
            </w:r>
          </w:p>
        </w:tc>
        <w:tc>
          <w:tcPr>
            <w:tcW w:w="494" w:type="pct"/>
            <w:tcBorders>
              <w:tl2br w:val="nil"/>
              <w:tr2bl w:val="nil"/>
            </w:tcBorders>
            <w:shd w:val="clear" w:color="auto" w:fill="auto"/>
            <w:vAlign w:val="center"/>
          </w:tcPr>
          <w:p w14:paraId="6A2D2C42">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3.4</w:t>
            </w:r>
          </w:p>
        </w:tc>
        <w:tc>
          <w:tcPr>
            <w:tcW w:w="302" w:type="pct"/>
            <w:tcBorders>
              <w:tl2br w:val="nil"/>
              <w:tr2bl w:val="nil"/>
            </w:tcBorders>
            <w:shd w:val="clear" w:color="auto" w:fill="auto"/>
            <w:vAlign w:val="center"/>
          </w:tcPr>
          <w:p w14:paraId="221DA07B">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5.67</w:t>
            </w:r>
          </w:p>
        </w:tc>
        <w:tc>
          <w:tcPr>
            <w:tcW w:w="273" w:type="pct"/>
            <w:tcBorders>
              <w:tl2br w:val="nil"/>
              <w:tr2bl w:val="nil"/>
            </w:tcBorders>
            <w:shd w:val="clear" w:color="auto" w:fill="auto"/>
            <w:vAlign w:val="center"/>
          </w:tcPr>
          <w:p w14:paraId="509F59D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达标</w:t>
            </w:r>
          </w:p>
        </w:tc>
      </w:tr>
      <w:tr w14:paraId="65B86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restart"/>
            <w:tcBorders>
              <w:tl2br w:val="nil"/>
              <w:tr2bl w:val="nil"/>
            </w:tcBorders>
            <w:shd w:val="clear" w:color="auto" w:fill="auto"/>
            <w:vAlign w:val="center"/>
          </w:tcPr>
          <w:p w14:paraId="3638EC1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PM</w:t>
            </w:r>
            <w:r>
              <w:rPr>
                <w:rFonts w:hint="eastAsia" w:ascii="Times New Roman" w:hAnsi="Times New Roman" w:cs="Times New Roman"/>
                <w:szCs w:val="21"/>
                <w:highlight w:val="none"/>
                <w:vertAlign w:val="subscript"/>
                <w:lang w:val="en-US" w:eastAsia="zh-CN"/>
              </w:rPr>
              <w:t>2.5</w:t>
            </w:r>
          </w:p>
        </w:tc>
        <w:tc>
          <w:tcPr>
            <w:tcW w:w="748" w:type="pct"/>
            <w:vMerge w:val="restart"/>
            <w:tcBorders>
              <w:tl2br w:val="nil"/>
              <w:tr2bl w:val="nil"/>
            </w:tcBorders>
            <w:shd w:val="clear" w:color="auto" w:fill="auto"/>
            <w:vAlign w:val="center"/>
          </w:tcPr>
          <w:p w14:paraId="560D92A6">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兰干村居民区</w:t>
            </w:r>
          </w:p>
        </w:tc>
        <w:tc>
          <w:tcPr>
            <w:tcW w:w="455" w:type="pct"/>
            <w:tcBorders>
              <w:tl2br w:val="nil"/>
              <w:tr2bl w:val="nil"/>
            </w:tcBorders>
            <w:shd w:val="clear" w:color="auto" w:fill="auto"/>
            <w:vAlign w:val="center"/>
          </w:tcPr>
          <w:p w14:paraId="5CAD65F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382" w:type="pct"/>
            <w:tcBorders>
              <w:tl2br w:val="nil"/>
              <w:tr2bl w:val="nil"/>
            </w:tcBorders>
            <w:shd w:val="clear" w:color="auto" w:fill="auto"/>
            <w:vAlign w:val="center"/>
          </w:tcPr>
          <w:p w14:paraId="66B67253">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highlight w:val="none"/>
                <w:lang w:val="en-US" w:eastAsia="zh-CN"/>
              </w:rPr>
              <w:t>0.00</w:t>
            </w:r>
          </w:p>
        </w:tc>
        <w:tc>
          <w:tcPr>
            <w:tcW w:w="356" w:type="pct"/>
            <w:tcBorders>
              <w:tl2br w:val="nil"/>
              <w:tr2bl w:val="nil"/>
            </w:tcBorders>
            <w:shd w:val="clear" w:color="auto" w:fill="auto"/>
            <w:vAlign w:val="center"/>
          </w:tcPr>
          <w:p w14:paraId="3393D1B5">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250409</w:t>
            </w:r>
          </w:p>
        </w:tc>
        <w:tc>
          <w:tcPr>
            <w:tcW w:w="371" w:type="pct"/>
            <w:tcBorders>
              <w:tl2br w:val="nil"/>
              <w:tr2bl w:val="nil"/>
            </w:tcBorders>
            <w:shd w:val="clear" w:color="auto" w:fill="auto"/>
            <w:vAlign w:val="center"/>
          </w:tcPr>
          <w:p w14:paraId="510300C0">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highlight w:val="none"/>
              </w:rPr>
              <w:t>0.09</w:t>
            </w:r>
          </w:p>
        </w:tc>
        <w:tc>
          <w:tcPr>
            <w:tcW w:w="229" w:type="pct"/>
            <w:tcBorders>
              <w:tl2br w:val="nil"/>
              <w:tr2bl w:val="nil"/>
            </w:tcBorders>
            <w:shd w:val="clear" w:color="auto" w:fill="auto"/>
            <w:vAlign w:val="center"/>
          </w:tcPr>
          <w:p w14:paraId="7C87747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35574FE8">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ascii="Times New Roman" w:hAnsi="Times New Roman" w:cs="Times New Roman"/>
                <w:szCs w:val="21"/>
                <w:highlight w:val="none"/>
                <w:lang w:val="en-US" w:eastAsia="zh-CN"/>
              </w:rPr>
              <w:t>/</w:t>
            </w:r>
          </w:p>
        </w:tc>
        <w:tc>
          <w:tcPr>
            <w:tcW w:w="320" w:type="pct"/>
            <w:tcBorders>
              <w:tl2br w:val="nil"/>
              <w:tr2bl w:val="nil"/>
            </w:tcBorders>
            <w:shd w:val="clear" w:color="auto" w:fill="auto"/>
            <w:vAlign w:val="center"/>
          </w:tcPr>
          <w:p w14:paraId="48622E8E">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7C5DFE9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0.73</w:t>
            </w:r>
          </w:p>
        </w:tc>
        <w:tc>
          <w:tcPr>
            <w:tcW w:w="494" w:type="pct"/>
            <w:tcBorders>
              <w:tl2br w:val="nil"/>
              <w:tr2bl w:val="nil"/>
            </w:tcBorders>
            <w:shd w:val="clear" w:color="auto" w:fill="auto"/>
            <w:vAlign w:val="center"/>
          </w:tcPr>
          <w:p w14:paraId="3324242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0.05</w:t>
            </w:r>
          </w:p>
        </w:tc>
        <w:tc>
          <w:tcPr>
            <w:tcW w:w="302" w:type="pct"/>
            <w:tcBorders>
              <w:tl2br w:val="nil"/>
              <w:tr2bl w:val="nil"/>
            </w:tcBorders>
            <w:shd w:val="clear" w:color="auto" w:fill="auto"/>
            <w:vAlign w:val="center"/>
          </w:tcPr>
          <w:p w14:paraId="2075498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1.22</w:t>
            </w:r>
          </w:p>
        </w:tc>
        <w:tc>
          <w:tcPr>
            <w:tcW w:w="273" w:type="pct"/>
            <w:tcBorders>
              <w:tl2br w:val="nil"/>
              <w:tr2bl w:val="nil"/>
            </w:tcBorders>
            <w:shd w:val="clear" w:color="auto" w:fill="auto"/>
            <w:vAlign w:val="center"/>
          </w:tcPr>
          <w:p w14:paraId="7E467335">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6D8B8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2448480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vMerge w:val="continue"/>
            <w:tcBorders>
              <w:tl2br w:val="nil"/>
              <w:tr2bl w:val="nil"/>
            </w:tcBorders>
            <w:shd w:val="clear" w:color="auto" w:fill="auto"/>
            <w:vAlign w:val="center"/>
          </w:tcPr>
          <w:p w14:paraId="38C30B2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455" w:type="pct"/>
            <w:tcBorders>
              <w:tl2br w:val="nil"/>
              <w:tr2bl w:val="nil"/>
            </w:tcBorders>
            <w:shd w:val="clear" w:color="auto" w:fill="auto"/>
            <w:vAlign w:val="center"/>
          </w:tcPr>
          <w:p w14:paraId="179FFA6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382" w:type="pct"/>
            <w:tcBorders>
              <w:tl2br w:val="nil"/>
              <w:tr2bl w:val="nil"/>
            </w:tcBorders>
            <w:shd w:val="clear" w:color="auto" w:fill="auto"/>
            <w:vAlign w:val="center"/>
          </w:tcPr>
          <w:p w14:paraId="7A866464">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highlight w:val="none"/>
              </w:rPr>
              <w:t>0.00</w:t>
            </w:r>
          </w:p>
        </w:tc>
        <w:tc>
          <w:tcPr>
            <w:tcW w:w="356" w:type="pct"/>
            <w:tcBorders>
              <w:tl2br w:val="nil"/>
              <w:tr2bl w:val="nil"/>
            </w:tcBorders>
            <w:shd w:val="clear" w:color="auto" w:fill="auto"/>
            <w:vAlign w:val="center"/>
          </w:tcPr>
          <w:p w14:paraId="659B0EAA">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平均值</w:t>
            </w:r>
          </w:p>
        </w:tc>
        <w:tc>
          <w:tcPr>
            <w:tcW w:w="371" w:type="pct"/>
            <w:tcBorders>
              <w:tl2br w:val="nil"/>
              <w:tr2bl w:val="nil"/>
            </w:tcBorders>
            <w:shd w:val="clear" w:color="auto" w:fill="auto"/>
            <w:vAlign w:val="center"/>
          </w:tcPr>
          <w:p w14:paraId="7378DB70">
            <w:pPr>
              <w:autoSpaceDE w:val="0"/>
              <w:autoSpaceDN w:val="0"/>
              <w:spacing w:line="300" w:lineRule="exact"/>
              <w:jc w:val="center"/>
              <w:rPr>
                <w:rFonts w:hint="eastAsia" w:ascii="Times New Roman" w:hAnsi="Times New Roman" w:cs="Times New Roman" w:eastAsiaTheme="minorEastAsia"/>
                <w:highlight w:val="none"/>
                <w:lang w:eastAsia="zh-CN"/>
              </w:rPr>
            </w:pPr>
            <w:r>
              <w:rPr>
                <w:rFonts w:hint="eastAsia"/>
                <w:highlight w:val="none"/>
              </w:rPr>
              <w:t>0.01</w:t>
            </w:r>
          </w:p>
        </w:tc>
        <w:tc>
          <w:tcPr>
            <w:tcW w:w="229" w:type="pct"/>
            <w:tcBorders>
              <w:tl2br w:val="nil"/>
              <w:tr2bl w:val="nil"/>
            </w:tcBorders>
            <w:shd w:val="clear" w:color="auto" w:fill="auto"/>
            <w:vAlign w:val="center"/>
          </w:tcPr>
          <w:p w14:paraId="0CC8F42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25E664DA">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ascii="Times New Roman" w:hAnsi="Times New Roman" w:cs="Times New Roman"/>
                <w:szCs w:val="21"/>
                <w:highlight w:val="none"/>
                <w:lang w:val="en-US" w:eastAsia="zh-CN"/>
              </w:rPr>
              <w:t>/</w:t>
            </w:r>
          </w:p>
        </w:tc>
        <w:tc>
          <w:tcPr>
            <w:tcW w:w="320" w:type="pct"/>
            <w:tcBorders>
              <w:tl2br w:val="nil"/>
              <w:tr2bl w:val="nil"/>
            </w:tcBorders>
            <w:shd w:val="clear" w:color="auto" w:fill="auto"/>
            <w:vAlign w:val="center"/>
          </w:tcPr>
          <w:p w14:paraId="333733C5">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2E2B4F2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0.11</w:t>
            </w:r>
          </w:p>
        </w:tc>
        <w:tc>
          <w:tcPr>
            <w:tcW w:w="494" w:type="pct"/>
            <w:tcBorders>
              <w:tl2br w:val="nil"/>
              <w:tr2bl w:val="nil"/>
            </w:tcBorders>
            <w:shd w:val="clear" w:color="auto" w:fill="auto"/>
            <w:vAlign w:val="center"/>
          </w:tcPr>
          <w:p w14:paraId="5A38ABD4">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w:t>
            </w:r>
          </w:p>
        </w:tc>
        <w:tc>
          <w:tcPr>
            <w:tcW w:w="302" w:type="pct"/>
            <w:tcBorders>
              <w:tl2br w:val="nil"/>
              <w:tr2bl w:val="nil"/>
            </w:tcBorders>
            <w:shd w:val="clear" w:color="auto" w:fill="auto"/>
            <w:vAlign w:val="center"/>
          </w:tcPr>
          <w:p w14:paraId="6D61661C">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0.37</w:t>
            </w:r>
          </w:p>
        </w:tc>
        <w:tc>
          <w:tcPr>
            <w:tcW w:w="273" w:type="pct"/>
            <w:tcBorders>
              <w:tl2br w:val="nil"/>
              <w:tr2bl w:val="nil"/>
            </w:tcBorders>
            <w:shd w:val="clear" w:color="auto" w:fill="auto"/>
            <w:vAlign w:val="center"/>
          </w:tcPr>
          <w:p w14:paraId="4E10A1DE">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7CA8E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246F846C">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vMerge w:val="restart"/>
            <w:tcBorders>
              <w:tl2br w:val="nil"/>
              <w:tr2bl w:val="nil"/>
            </w:tcBorders>
            <w:shd w:val="clear" w:color="auto" w:fill="auto"/>
            <w:vAlign w:val="center"/>
          </w:tcPr>
          <w:p w14:paraId="42E9188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萨依巴格村居民区</w:t>
            </w:r>
          </w:p>
        </w:tc>
        <w:tc>
          <w:tcPr>
            <w:tcW w:w="455" w:type="pct"/>
            <w:tcBorders>
              <w:tl2br w:val="nil"/>
              <w:tr2bl w:val="nil"/>
            </w:tcBorders>
            <w:shd w:val="clear" w:color="auto" w:fill="auto"/>
            <w:vAlign w:val="center"/>
          </w:tcPr>
          <w:p w14:paraId="236F01F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382" w:type="pct"/>
            <w:tcBorders>
              <w:tl2br w:val="nil"/>
              <w:tr2bl w:val="nil"/>
            </w:tcBorders>
            <w:shd w:val="clear" w:color="auto" w:fill="auto"/>
            <w:vAlign w:val="center"/>
          </w:tcPr>
          <w:p w14:paraId="64012DBA">
            <w:pPr>
              <w:autoSpaceDE w:val="0"/>
              <w:autoSpaceDN w:val="0"/>
              <w:spacing w:line="300" w:lineRule="exact"/>
              <w:jc w:val="center"/>
              <w:rPr>
                <w:rFonts w:hint="eastAsia" w:ascii="Times New Roman" w:hAnsi="Times New Roman" w:cs="Times New Roman" w:eastAsiaTheme="minorEastAsia"/>
                <w:highlight w:val="none"/>
                <w:lang w:eastAsia="zh-CN"/>
              </w:rPr>
            </w:pPr>
            <w:r>
              <w:rPr>
                <w:rFonts w:hint="eastAsia"/>
                <w:highlight w:val="none"/>
                <w:lang w:val="en-US" w:eastAsia="zh-CN"/>
              </w:rPr>
              <w:t>0.00</w:t>
            </w:r>
          </w:p>
        </w:tc>
        <w:tc>
          <w:tcPr>
            <w:tcW w:w="356" w:type="pct"/>
            <w:tcBorders>
              <w:tl2br w:val="nil"/>
              <w:tr2bl w:val="nil"/>
            </w:tcBorders>
            <w:shd w:val="clear" w:color="auto" w:fill="auto"/>
            <w:vAlign w:val="center"/>
          </w:tcPr>
          <w:p w14:paraId="6887C991">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highlight w:val="none"/>
              </w:rPr>
              <w:t>250619</w:t>
            </w:r>
          </w:p>
        </w:tc>
        <w:tc>
          <w:tcPr>
            <w:tcW w:w="371" w:type="pct"/>
            <w:tcBorders>
              <w:tl2br w:val="nil"/>
              <w:tr2bl w:val="nil"/>
            </w:tcBorders>
            <w:shd w:val="clear" w:color="auto" w:fill="auto"/>
            <w:vAlign w:val="center"/>
          </w:tcPr>
          <w:p w14:paraId="7E252560">
            <w:pPr>
              <w:autoSpaceDE w:val="0"/>
              <w:autoSpaceDN w:val="0"/>
              <w:spacing w:line="300" w:lineRule="exact"/>
              <w:jc w:val="center"/>
              <w:rPr>
                <w:rFonts w:hint="eastAsia" w:ascii="Times New Roman" w:hAnsi="Times New Roman" w:cs="Times New Roman" w:eastAsiaTheme="minorEastAsia"/>
                <w:highlight w:val="none"/>
                <w:lang w:eastAsia="zh-CN"/>
              </w:rPr>
            </w:pPr>
            <w:r>
              <w:rPr>
                <w:rFonts w:hint="eastAsia"/>
                <w:highlight w:val="none"/>
              </w:rPr>
              <w:t>0.15</w:t>
            </w:r>
          </w:p>
        </w:tc>
        <w:tc>
          <w:tcPr>
            <w:tcW w:w="229" w:type="pct"/>
            <w:tcBorders>
              <w:tl2br w:val="nil"/>
              <w:tr2bl w:val="nil"/>
            </w:tcBorders>
            <w:shd w:val="clear" w:color="auto" w:fill="auto"/>
            <w:vAlign w:val="center"/>
          </w:tcPr>
          <w:p w14:paraId="0B1A2C2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15C93B85">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w:t>
            </w:r>
          </w:p>
        </w:tc>
        <w:tc>
          <w:tcPr>
            <w:tcW w:w="320" w:type="pct"/>
            <w:tcBorders>
              <w:tl2br w:val="nil"/>
              <w:tr2bl w:val="nil"/>
            </w:tcBorders>
            <w:shd w:val="clear" w:color="auto" w:fill="auto"/>
            <w:vAlign w:val="center"/>
          </w:tcPr>
          <w:p w14:paraId="0FC9E095">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5E3544C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0.31</w:t>
            </w:r>
          </w:p>
        </w:tc>
        <w:tc>
          <w:tcPr>
            <w:tcW w:w="494" w:type="pct"/>
            <w:tcBorders>
              <w:tl2br w:val="nil"/>
              <w:tr2bl w:val="nil"/>
            </w:tcBorders>
            <w:shd w:val="clear" w:color="auto" w:fill="auto"/>
            <w:vAlign w:val="center"/>
          </w:tcPr>
          <w:p w14:paraId="726AD328">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0.1</w:t>
            </w:r>
          </w:p>
        </w:tc>
        <w:tc>
          <w:tcPr>
            <w:tcW w:w="302" w:type="pct"/>
            <w:tcBorders>
              <w:tl2br w:val="nil"/>
              <w:tr2bl w:val="nil"/>
            </w:tcBorders>
            <w:shd w:val="clear" w:color="auto" w:fill="auto"/>
            <w:vAlign w:val="center"/>
          </w:tcPr>
          <w:p w14:paraId="66DFFED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0.52</w:t>
            </w:r>
          </w:p>
        </w:tc>
        <w:tc>
          <w:tcPr>
            <w:tcW w:w="273" w:type="pct"/>
            <w:tcBorders>
              <w:tl2br w:val="nil"/>
              <w:tr2bl w:val="nil"/>
            </w:tcBorders>
            <w:shd w:val="clear" w:color="auto" w:fill="auto"/>
            <w:vAlign w:val="center"/>
          </w:tcPr>
          <w:p w14:paraId="40B347A3">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40152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394CBBAF">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vMerge w:val="continue"/>
            <w:tcBorders>
              <w:tl2br w:val="nil"/>
              <w:tr2bl w:val="nil"/>
            </w:tcBorders>
            <w:shd w:val="clear" w:color="auto" w:fill="auto"/>
            <w:vAlign w:val="center"/>
          </w:tcPr>
          <w:p w14:paraId="1D3CA6E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455" w:type="pct"/>
            <w:tcBorders>
              <w:tl2br w:val="nil"/>
              <w:tr2bl w:val="nil"/>
            </w:tcBorders>
            <w:shd w:val="clear" w:color="auto" w:fill="auto"/>
            <w:vAlign w:val="center"/>
          </w:tcPr>
          <w:p w14:paraId="77B6F6B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382" w:type="pct"/>
            <w:tcBorders>
              <w:tl2br w:val="nil"/>
              <w:tr2bl w:val="nil"/>
            </w:tcBorders>
            <w:shd w:val="clear" w:color="auto" w:fill="auto"/>
            <w:vAlign w:val="center"/>
          </w:tcPr>
          <w:p w14:paraId="4F148329">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lang w:val="en-US" w:eastAsia="zh-CN"/>
              </w:rPr>
              <w:t>0.00</w:t>
            </w:r>
          </w:p>
        </w:tc>
        <w:tc>
          <w:tcPr>
            <w:tcW w:w="356" w:type="pct"/>
            <w:tcBorders>
              <w:tl2br w:val="nil"/>
              <w:tr2bl w:val="nil"/>
            </w:tcBorders>
            <w:shd w:val="clear" w:color="auto" w:fill="auto"/>
            <w:vAlign w:val="center"/>
          </w:tcPr>
          <w:p w14:paraId="6ABF06B7">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平均值</w:t>
            </w:r>
          </w:p>
        </w:tc>
        <w:tc>
          <w:tcPr>
            <w:tcW w:w="371" w:type="pct"/>
            <w:tcBorders>
              <w:tl2br w:val="nil"/>
              <w:tr2bl w:val="nil"/>
            </w:tcBorders>
            <w:shd w:val="clear" w:color="auto" w:fill="auto"/>
            <w:vAlign w:val="center"/>
          </w:tcPr>
          <w:p w14:paraId="13FF502D">
            <w:pPr>
              <w:autoSpaceDE w:val="0"/>
              <w:autoSpaceDN w:val="0"/>
              <w:spacing w:line="300" w:lineRule="exact"/>
              <w:jc w:val="center"/>
              <w:rPr>
                <w:rFonts w:hint="eastAsia" w:ascii="Times New Roman" w:hAnsi="Times New Roman" w:cs="Times New Roman" w:eastAsiaTheme="minorEastAsia"/>
                <w:highlight w:val="none"/>
                <w:lang w:eastAsia="zh-CN"/>
              </w:rPr>
            </w:pPr>
            <w:r>
              <w:rPr>
                <w:rFonts w:hint="eastAsia"/>
                <w:highlight w:val="none"/>
              </w:rPr>
              <w:t>0.04</w:t>
            </w:r>
          </w:p>
        </w:tc>
        <w:tc>
          <w:tcPr>
            <w:tcW w:w="229" w:type="pct"/>
            <w:tcBorders>
              <w:tl2br w:val="nil"/>
              <w:tr2bl w:val="nil"/>
            </w:tcBorders>
            <w:shd w:val="clear" w:color="auto" w:fill="auto"/>
            <w:vAlign w:val="center"/>
          </w:tcPr>
          <w:p w14:paraId="6F9FF7F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2FF4DCAA">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w:t>
            </w:r>
          </w:p>
        </w:tc>
        <w:tc>
          <w:tcPr>
            <w:tcW w:w="320" w:type="pct"/>
            <w:tcBorders>
              <w:tl2br w:val="nil"/>
              <w:tr2bl w:val="nil"/>
            </w:tcBorders>
            <w:shd w:val="clear" w:color="auto" w:fill="auto"/>
            <w:vAlign w:val="center"/>
          </w:tcPr>
          <w:p w14:paraId="3CCD5FAA">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109A14B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0.05</w:t>
            </w:r>
          </w:p>
        </w:tc>
        <w:tc>
          <w:tcPr>
            <w:tcW w:w="494" w:type="pct"/>
            <w:tcBorders>
              <w:tl2br w:val="nil"/>
              <w:tr2bl w:val="nil"/>
            </w:tcBorders>
            <w:shd w:val="clear" w:color="auto" w:fill="auto"/>
            <w:vAlign w:val="center"/>
          </w:tcPr>
          <w:p w14:paraId="49285A33">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0.01</w:t>
            </w:r>
          </w:p>
        </w:tc>
        <w:tc>
          <w:tcPr>
            <w:tcW w:w="302" w:type="pct"/>
            <w:tcBorders>
              <w:tl2br w:val="nil"/>
              <w:tr2bl w:val="nil"/>
            </w:tcBorders>
            <w:shd w:val="clear" w:color="auto" w:fill="auto"/>
            <w:vAlign w:val="center"/>
          </w:tcPr>
          <w:p w14:paraId="78D6890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0.17</w:t>
            </w:r>
          </w:p>
        </w:tc>
        <w:tc>
          <w:tcPr>
            <w:tcW w:w="273" w:type="pct"/>
            <w:tcBorders>
              <w:tl2br w:val="nil"/>
              <w:tr2bl w:val="nil"/>
            </w:tcBorders>
            <w:shd w:val="clear" w:color="auto" w:fill="auto"/>
            <w:vAlign w:val="center"/>
          </w:tcPr>
          <w:p w14:paraId="10438C8A">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0E02F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381759D4">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vMerge w:val="restart"/>
            <w:tcBorders>
              <w:tl2br w:val="nil"/>
              <w:tr2bl w:val="nil"/>
            </w:tcBorders>
            <w:shd w:val="clear" w:color="auto" w:fill="auto"/>
            <w:vAlign w:val="center"/>
          </w:tcPr>
          <w:p w14:paraId="1A59EE6A">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帕特曼喀什村居民区</w:t>
            </w:r>
          </w:p>
        </w:tc>
        <w:tc>
          <w:tcPr>
            <w:tcW w:w="455" w:type="pct"/>
            <w:tcBorders>
              <w:tl2br w:val="nil"/>
              <w:tr2bl w:val="nil"/>
            </w:tcBorders>
            <w:shd w:val="clear" w:color="auto" w:fill="auto"/>
            <w:vAlign w:val="center"/>
          </w:tcPr>
          <w:p w14:paraId="290E32C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382" w:type="pct"/>
            <w:tcBorders>
              <w:tl2br w:val="nil"/>
              <w:tr2bl w:val="nil"/>
            </w:tcBorders>
            <w:shd w:val="clear" w:color="auto" w:fill="auto"/>
            <w:vAlign w:val="center"/>
          </w:tcPr>
          <w:p w14:paraId="771C3D8A">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lang w:val="en-US" w:eastAsia="zh-CN"/>
              </w:rPr>
              <w:t>0.00</w:t>
            </w:r>
          </w:p>
        </w:tc>
        <w:tc>
          <w:tcPr>
            <w:tcW w:w="356" w:type="pct"/>
            <w:tcBorders>
              <w:tl2br w:val="nil"/>
              <w:tr2bl w:val="nil"/>
            </w:tcBorders>
            <w:shd w:val="clear" w:color="auto" w:fill="auto"/>
            <w:vAlign w:val="center"/>
          </w:tcPr>
          <w:p w14:paraId="3DA5527A">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251215</w:t>
            </w:r>
          </w:p>
        </w:tc>
        <w:tc>
          <w:tcPr>
            <w:tcW w:w="371" w:type="pct"/>
            <w:tcBorders>
              <w:tl2br w:val="nil"/>
              <w:tr2bl w:val="nil"/>
            </w:tcBorders>
            <w:shd w:val="clear" w:color="auto" w:fill="auto"/>
            <w:vAlign w:val="center"/>
          </w:tcPr>
          <w:p w14:paraId="239FC2B6">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0.12</w:t>
            </w:r>
          </w:p>
        </w:tc>
        <w:tc>
          <w:tcPr>
            <w:tcW w:w="229" w:type="pct"/>
            <w:tcBorders>
              <w:tl2br w:val="nil"/>
              <w:tr2bl w:val="nil"/>
            </w:tcBorders>
            <w:shd w:val="clear" w:color="auto" w:fill="auto"/>
            <w:vAlign w:val="center"/>
          </w:tcPr>
          <w:p w14:paraId="136A2A9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59DEDADC">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w:t>
            </w:r>
          </w:p>
        </w:tc>
        <w:tc>
          <w:tcPr>
            <w:tcW w:w="320" w:type="pct"/>
            <w:tcBorders>
              <w:tl2br w:val="nil"/>
              <w:tr2bl w:val="nil"/>
            </w:tcBorders>
            <w:shd w:val="clear" w:color="auto" w:fill="auto"/>
            <w:vAlign w:val="center"/>
          </w:tcPr>
          <w:p w14:paraId="37326D77">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1EE5140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0.21</w:t>
            </w:r>
          </w:p>
        </w:tc>
        <w:tc>
          <w:tcPr>
            <w:tcW w:w="494" w:type="pct"/>
            <w:tcBorders>
              <w:tl2br w:val="nil"/>
              <w:tr2bl w:val="nil"/>
            </w:tcBorders>
            <w:shd w:val="clear" w:color="auto" w:fill="auto"/>
            <w:vAlign w:val="center"/>
          </w:tcPr>
          <w:p w14:paraId="77EBC4D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0.07</w:t>
            </w:r>
          </w:p>
        </w:tc>
        <w:tc>
          <w:tcPr>
            <w:tcW w:w="302" w:type="pct"/>
            <w:tcBorders>
              <w:tl2br w:val="nil"/>
              <w:tr2bl w:val="nil"/>
            </w:tcBorders>
            <w:shd w:val="clear" w:color="auto" w:fill="auto"/>
            <w:vAlign w:val="center"/>
          </w:tcPr>
          <w:p w14:paraId="6A70224F">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0.35</w:t>
            </w:r>
          </w:p>
        </w:tc>
        <w:tc>
          <w:tcPr>
            <w:tcW w:w="273" w:type="pct"/>
            <w:tcBorders>
              <w:tl2br w:val="nil"/>
              <w:tr2bl w:val="nil"/>
            </w:tcBorders>
            <w:shd w:val="clear" w:color="auto" w:fill="auto"/>
            <w:vAlign w:val="center"/>
          </w:tcPr>
          <w:p w14:paraId="6FA859A2">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0DE74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1BEFF236">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vMerge w:val="continue"/>
            <w:tcBorders>
              <w:tl2br w:val="nil"/>
              <w:tr2bl w:val="nil"/>
            </w:tcBorders>
            <w:shd w:val="clear" w:color="auto" w:fill="auto"/>
            <w:vAlign w:val="center"/>
          </w:tcPr>
          <w:p w14:paraId="54BB391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455" w:type="pct"/>
            <w:tcBorders>
              <w:tl2br w:val="nil"/>
              <w:tr2bl w:val="nil"/>
            </w:tcBorders>
            <w:shd w:val="clear" w:color="auto" w:fill="auto"/>
            <w:vAlign w:val="center"/>
          </w:tcPr>
          <w:p w14:paraId="5E673CE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382" w:type="pct"/>
            <w:tcBorders>
              <w:tl2br w:val="nil"/>
              <w:tr2bl w:val="nil"/>
            </w:tcBorders>
            <w:shd w:val="clear" w:color="auto" w:fill="auto"/>
            <w:vAlign w:val="center"/>
          </w:tcPr>
          <w:p w14:paraId="3F74FFEE">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lang w:val="en-US" w:eastAsia="zh-CN"/>
              </w:rPr>
              <w:t>0.00</w:t>
            </w:r>
          </w:p>
        </w:tc>
        <w:tc>
          <w:tcPr>
            <w:tcW w:w="356" w:type="pct"/>
            <w:tcBorders>
              <w:tl2br w:val="nil"/>
              <w:tr2bl w:val="nil"/>
            </w:tcBorders>
            <w:shd w:val="clear" w:color="auto" w:fill="auto"/>
            <w:vAlign w:val="center"/>
          </w:tcPr>
          <w:p w14:paraId="0C0074A0">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平均值</w:t>
            </w:r>
          </w:p>
        </w:tc>
        <w:tc>
          <w:tcPr>
            <w:tcW w:w="371" w:type="pct"/>
            <w:tcBorders>
              <w:tl2br w:val="nil"/>
              <w:tr2bl w:val="nil"/>
            </w:tcBorders>
            <w:shd w:val="clear" w:color="auto" w:fill="auto"/>
            <w:vAlign w:val="center"/>
          </w:tcPr>
          <w:p w14:paraId="7E5BA0F8">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0.02</w:t>
            </w:r>
          </w:p>
        </w:tc>
        <w:tc>
          <w:tcPr>
            <w:tcW w:w="229" w:type="pct"/>
            <w:tcBorders>
              <w:tl2br w:val="nil"/>
              <w:tr2bl w:val="nil"/>
            </w:tcBorders>
            <w:shd w:val="clear" w:color="auto" w:fill="auto"/>
            <w:vAlign w:val="center"/>
          </w:tcPr>
          <w:p w14:paraId="3240810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105ABBCC">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w:t>
            </w:r>
          </w:p>
        </w:tc>
        <w:tc>
          <w:tcPr>
            <w:tcW w:w="320" w:type="pct"/>
            <w:tcBorders>
              <w:tl2br w:val="nil"/>
              <w:tr2bl w:val="nil"/>
            </w:tcBorders>
            <w:shd w:val="clear" w:color="auto" w:fill="auto"/>
            <w:vAlign w:val="center"/>
          </w:tcPr>
          <w:p w14:paraId="5B071B2D">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0A3A528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0.04</w:t>
            </w:r>
          </w:p>
        </w:tc>
        <w:tc>
          <w:tcPr>
            <w:tcW w:w="494" w:type="pct"/>
            <w:tcBorders>
              <w:tl2br w:val="nil"/>
              <w:tr2bl w:val="nil"/>
            </w:tcBorders>
            <w:shd w:val="clear" w:color="auto" w:fill="auto"/>
            <w:vAlign w:val="center"/>
          </w:tcPr>
          <w:p w14:paraId="4AA979E8">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0.01</w:t>
            </w:r>
          </w:p>
        </w:tc>
        <w:tc>
          <w:tcPr>
            <w:tcW w:w="302" w:type="pct"/>
            <w:tcBorders>
              <w:tl2br w:val="nil"/>
              <w:tr2bl w:val="nil"/>
            </w:tcBorders>
            <w:shd w:val="clear" w:color="auto" w:fill="auto"/>
            <w:vAlign w:val="center"/>
          </w:tcPr>
          <w:p w14:paraId="5BD5055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0.13</w:t>
            </w:r>
          </w:p>
        </w:tc>
        <w:tc>
          <w:tcPr>
            <w:tcW w:w="273" w:type="pct"/>
            <w:tcBorders>
              <w:tl2br w:val="nil"/>
              <w:tr2bl w:val="nil"/>
            </w:tcBorders>
            <w:shd w:val="clear" w:color="auto" w:fill="auto"/>
            <w:vAlign w:val="center"/>
          </w:tcPr>
          <w:p w14:paraId="7F194C53">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367C1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57B7E8CF">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vMerge w:val="restart"/>
            <w:tcBorders>
              <w:tl2br w:val="nil"/>
              <w:tr2bl w:val="nil"/>
            </w:tcBorders>
            <w:shd w:val="clear" w:color="auto" w:fill="auto"/>
            <w:vAlign w:val="center"/>
          </w:tcPr>
          <w:p w14:paraId="08C3F275">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en-US" w:bidi="ar-SA"/>
              </w:rPr>
            </w:pPr>
            <w:r>
              <w:rPr>
                <w:rFonts w:hint="default" w:ascii="Times New Roman" w:hAnsi="Times New Roman" w:cs="Times New Roman" w:eastAsiaTheme="minorEastAsia"/>
                <w:szCs w:val="21"/>
                <w:highlight w:val="none"/>
                <w:lang w:val="en-US" w:eastAsia="zh-CN"/>
              </w:rPr>
              <w:t>网格</w:t>
            </w:r>
          </w:p>
        </w:tc>
        <w:tc>
          <w:tcPr>
            <w:tcW w:w="455" w:type="pct"/>
            <w:tcBorders>
              <w:tl2br w:val="nil"/>
              <w:tr2bl w:val="nil"/>
            </w:tcBorders>
            <w:shd w:val="clear" w:color="auto" w:fill="auto"/>
            <w:vAlign w:val="center"/>
          </w:tcPr>
          <w:p w14:paraId="6A1D266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382" w:type="pct"/>
            <w:tcBorders>
              <w:tl2br w:val="nil"/>
              <w:tr2bl w:val="nil"/>
            </w:tcBorders>
            <w:shd w:val="clear" w:color="auto" w:fill="auto"/>
            <w:vAlign w:val="center"/>
          </w:tcPr>
          <w:p w14:paraId="065314AC">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lang w:val="en-US" w:eastAsia="zh-CN"/>
              </w:rPr>
              <w:t>0.03</w:t>
            </w:r>
          </w:p>
        </w:tc>
        <w:tc>
          <w:tcPr>
            <w:tcW w:w="356" w:type="pct"/>
            <w:tcBorders>
              <w:tl2br w:val="nil"/>
              <w:tr2bl w:val="nil"/>
            </w:tcBorders>
            <w:shd w:val="clear" w:color="auto" w:fill="auto"/>
            <w:vAlign w:val="center"/>
          </w:tcPr>
          <w:p w14:paraId="211EC9B3">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250927</w:t>
            </w:r>
          </w:p>
        </w:tc>
        <w:tc>
          <w:tcPr>
            <w:tcW w:w="371" w:type="pct"/>
            <w:tcBorders>
              <w:tl2br w:val="nil"/>
              <w:tr2bl w:val="nil"/>
            </w:tcBorders>
            <w:shd w:val="clear" w:color="auto" w:fill="auto"/>
            <w:vAlign w:val="center"/>
          </w:tcPr>
          <w:p w14:paraId="7AF63E8F">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lang w:val="en-US" w:eastAsia="zh-CN"/>
              </w:rPr>
              <w:t>0.05</w:t>
            </w:r>
          </w:p>
        </w:tc>
        <w:tc>
          <w:tcPr>
            <w:tcW w:w="229" w:type="pct"/>
            <w:tcBorders>
              <w:tl2br w:val="nil"/>
              <w:tr2bl w:val="nil"/>
            </w:tcBorders>
            <w:shd w:val="clear" w:color="auto" w:fill="auto"/>
            <w:vAlign w:val="center"/>
          </w:tcPr>
          <w:p w14:paraId="55C096A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1F59CDBB">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w:t>
            </w:r>
          </w:p>
        </w:tc>
        <w:tc>
          <w:tcPr>
            <w:tcW w:w="320" w:type="pct"/>
            <w:tcBorders>
              <w:tl2br w:val="nil"/>
              <w:tr2bl w:val="nil"/>
            </w:tcBorders>
            <w:shd w:val="clear" w:color="auto" w:fill="auto"/>
            <w:vAlign w:val="center"/>
          </w:tcPr>
          <w:p w14:paraId="010C5422">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4BA3E60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16.32</w:t>
            </w:r>
          </w:p>
        </w:tc>
        <w:tc>
          <w:tcPr>
            <w:tcW w:w="494" w:type="pct"/>
            <w:tcBorders>
              <w:tl2br w:val="nil"/>
              <w:tr2bl w:val="nil"/>
            </w:tcBorders>
            <w:shd w:val="clear" w:color="auto" w:fill="auto"/>
            <w:vAlign w:val="center"/>
          </w:tcPr>
          <w:p w14:paraId="0C4B74B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2.78</w:t>
            </w:r>
          </w:p>
        </w:tc>
        <w:tc>
          <w:tcPr>
            <w:tcW w:w="302" w:type="pct"/>
            <w:tcBorders>
              <w:tl2br w:val="nil"/>
              <w:tr2bl w:val="nil"/>
            </w:tcBorders>
            <w:shd w:val="clear" w:color="auto" w:fill="auto"/>
            <w:vAlign w:val="center"/>
          </w:tcPr>
          <w:p w14:paraId="5FA857F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27.25</w:t>
            </w:r>
          </w:p>
        </w:tc>
        <w:tc>
          <w:tcPr>
            <w:tcW w:w="273" w:type="pct"/>
            <w:tcBorders>
              <w:tl2br w:val="nil"/>
              <w:tr2bl w:val="nil"/>
            </w:tcBorders>
            <w:shd w:val="clear" w:color="auto" w:fill="auto"/>
            <w:vAlign w:val="center"/>
          </w:tcPr>
          <w:p w14:paraId="72F691F6">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53D4A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6891830F">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vMerge w:val="continue"/>
            <w:tcBorders>
              <w:tl2br w:val="nil"/>
              <w:tr2bl w:val="nil"/>
            </w:tcBorders>
            <w:shd w:val="clear" w:color="auto" w:fill="auto"/>
            <w:vAlign w:val="center"/>
          </w:tcPr>
          <w:p w14:paraId="31C73536">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455" w:type="pct"/>
            <w:tcBorders>
              <w:tl2br w:val="nil"/>
              <w:tr2bl w:val="nil"/>
            </w:tcBorders>
            <w:shd w:val="clear" w:color="auto" w:fill="auto"/>
            <w:vAlign w:val="center"/>
          </w:tcPr>
          <w:p w14:paraId="2DC4C96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382" w:type="pct"/>
            <w:tcBorders>
              <w:tl2br w:val="nil"/>
              <w:tr2bl w:val="nil"/>
            </w:tcBorders>
            <w:shd w:val="clear" w:color="auto" w:fill="auto"/>
            <w:vAlign w:val="center"/>
          </w:tcPr>
          <w:p w14:paraId="15E60FD5">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lang w:val="en-US" w:eastAsia="zh-CN"/>
              </w:rPr>
              <w:t>0.01</w:t>
            </w:r>
          </w:p>
        </w:tc>
        <w:tc>
          <w:tcPr>
            <w:tcW w:w="356" w:type="pct"/>
            <w:tcBorders>
              <w:tl2br w:val="nil"/>
              <w:tr2bl w:val="nil"/>
            </w:tcBorders>
            <w:shd w:val="clear" w:color="auto" w:fill="auto"/>
            <w:vAlign w:val="center"/>
          </w:tcPr>
          <w:p w14:paraId="3856679B">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平均值</w:t>
            </w:r>
          </w:p>
        </w:tc>
        <w:tc>
          <w:tcPr>
            <w:tcW w:w="371" w:type="pct"/>
            <w:tcBorders>
              <w:tl2br w:val="nil"/>
              <w:tr2bl w:val="nil"/>
            </w:tcBorders>
            <w:shd w:val="clear" w:color="auto" w:fill="auto"/>
            <w:vAlign w:val="center"/>
          </w:tcPr>
          <w:p w14:paraId="2698CD8D">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lang w:val="en-US" w:eastAsia="zh-CN"/>
              </w:rPr>
              <w:t>0.03</w:t>
            </w:r>
          </w:p>
        </w:tc>
        <w:tc>
          <w:tcPr>
            <w:tcW w:w="229" w:type="pct"/>
            <w:tcBorders>
              <w:tl2br w:val="nil"/>
              <w:tr2bl w:val="nil"/>
            </w:tcBorders>
            <w:shd w:val="clear" w:color="auto" w:fill="auto"/>
            <w:vAlign w:val="center"/>
          </w:tcPr>
          <w:p w14:paraId="1F1EB2C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43F2779A">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w:t>
            </w:r>
          </w:p>
        </w:tc>
        <w:tc>
          <w:tcPr>
            <w:tcW w:w="320" w:type="pct"/>
            <w:tcBorders>
              <w:tl2br w:val="nil"/>
              <w:tr2bl w:val="nil"/>
            </w:tcBorders>
            <w:shd w:val="clear" w:color="auto" w:fill="auto"/>
            <w:vAlign w:val="center"/>
          </w:tcPr>
          <w:p w14:paraId="5A9C64E8">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0506082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1.68</w:t>
            </w:r>
          </w:p>
        </w:tc>
        <w:tc>
          <w:tcPr>
            <w:tcW w:w="494" w:type="pct"/>
            <w:tcBorders>
              <w:tl2br w:val="nil"/>
              <w:tr2bl w:val="nil"/>
            </w:tcBorders>
            <w:shd w:val="clear" w:color="auto" w:fill="auto"/>
            <w:vAlign w:val="center"/>
          </w:tcPr>
          <w:p w14:paraId="1F53471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0.8</w:t>
            </w:r>
          </w:p>
        </w:tc>
        <w:tc>
          <w:tcPr>
            <w:tcW w:w="302" w:type="pct"/>
            <w:tcBorders>
              <w:tl2br w:val="nil"/>
              <w:tr2bl w:val="nil"/>
            </w:tcBorders>
            <w:shd w:val="clear" w:color="auto" w:fill="auto"/>
            <w:vAlign w:val="center"/>
          </w:tcPr>
          <w:p w14:paraId="56BD93D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5.63</w:t>
            </w:r>
          </w:p>
        </w:tc>
        <w:tc>
          <w:tcPr>
            <w:tcW w:w="273" w:type="pct"/>
            <w:tcBorders>
              <w:tl2br w:val="nil"/>
              <w:tr2bl w:val="nil"/>
            </w:tcBorders>
            <w:shd w:val="clear" w:color="auto" w:fill="auto"/>
            <w:vAlign w:val="center"/>
          </w:tcPr>
          <w:p w14:paraId="2D8FB5FF">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19BE8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restart"/>
            <w:tcBorders>
              <w:tl2br w:val="nil"/>
              <w:tr2bl w:val="nil"/>
            </w:tcBorders>
            <w:shd w:val="clear" w:color="auto" w:fill="auto"/>
            <w:vAlign w:val="center"/>
          </w:tcPr>
          <w:p w14:paraId="79A5DF9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SO</w:t>
            </w:r>
            <w:r>
              <w:rPr>
                <w:rFonts w:hint="eastAsia" w:ascii="Times New Roman" w:hAnsi="Times New Roman" w:cs="Times New Roman"/>
                <w:szCs w:val="21"/>
                <w:highlight w:val="none"/>
                <w:vertAlign w:val="subscript"/>
                <w:lang w:val="en-US" w:eastAsia="zh-CN"/>
              </w:rPr>
              <w:t>2</w:t>
            </w:r>
          </w:p>
        </w:tc>
        <w:tc>
          <w:tcPr>
            <w:tcW w:w="748" w:type="pct"/>
            <w:vMerge w:val="restart"/>
            <w:tcBorders>
              <w:tl2br w:val="nil"/>
              <w:tr2bl w:val="nil"/>
            </w:tcBorders>
            <w:shd w:val="clear" w:color="auto" w:fill="auto"/>
            <w:vAlign w:val="center"/>
          </w:tcPr>
          <w:p w14:paraId="462DD81C">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兰干村居民区</w:t>
            </w:r>
          </w:p>
        </w:tc>
        <w:tc>
          <w:tcPr>
            <w:tcW w:w="455" w:type="pct"/>
            <w:tcBorders>
              <w:tl2br w:val="nil"/>
              <w:tr2bl w:val="nil"/>
            </w:tcBorders>
            <w:shd w:val="clear" w:color="auto" w:fill="auto"/>
            <w:vAlign w:val="center"/>
          </w:tcPr>
          <w:p w14:paraId="4D5BF81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382" w:type="pct"/>
            <w:tcBorders>
              <w:tl2br w:val="nil"/>
              <w:tr2bl w:val="nil"/>
            </w:tcBorders>
            <w:shd w:val="clear" w:color="auto" w:fill="auto"/>
            <w:vAlign w:val="center"/>
          </w:tcPr>
          <w:p w14:paraId="370D673B">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0.00</w:t>
            </w:r>
          </w:p>
        </w:tc>
        <w:tc>
          <w:tcPr>
            <w:tcW w:w="356" w:type="pct"/>
            <w:tcBorders>
              <w:tl2br w:val="nil"/>
              <w:tr2bl w:val="nil"/>
            </w:tcBorders>
            <w:shd w:val="clear" w:color="auto" w:fill="auto"/>
            <w:vAlign w:val="center"/>
          </w:tcPr>
          <w:p w14:paraId="35B020CB">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250409</w:t>
            </w:r>
          </w:p>
        </w:tc>
        <w:tc>
          <w:tcPr>
            <w:tcW w:w="371" w:type="pct"/>
            <w:tcBorders>
              <w:tl2br w:val="nil"/>
              <w:tr2bl w:val="nil"/>
            </w:tcBorders>
            <w:shd w:val="clear" w:color="auto" w:fill="auto"/>
            <w:vAlign w:val="center"/>
          </w:tcPr>
          <w:p w14:paraId="70810D77">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0.00</w:t>
            </w:r>
          </w:p>
        </w:tc>
        <w:tc>
          <w:tcPr>
            <w:tcW w:w="229" w:type="pct"/>
            <w:tcBorders>
              <w:tl2br w:val="nil"/>
              <w:tr2bl w:val="nil"/>
            </w:tcBorders>
            <w:shd w:val="clear" w:color="auto" w:fill="auto"/>
            <w:vAlign w:val="center"/>
          </w:tcPr>
          <w:p w14:paraId="24E0655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70F09177">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12</w:t>
            </w:r>
          </w:p>
        </w:tc>
        <w:tc>
          <w:tcPr>
            <w:tcW w:w="320" w:type="pct"/>
            <w:tcBorders>
              <w:tl2br w:val="nil"/>
              <w:tr2bl w:val="nil"/>
            </w:tcBorders>
            <w:shd w:val="clear" w:color="auto" w:fill="auto"/>
            <w:vAlign w:val="center"/>
          </w:tcPr>
          <w:p w14:paraId="5F505970">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0</w:t>
            </w:r>
          </w:p>
        </w:tc>
        <w:tc>
          <w:tcPr>
            <w:tcW w:w="461" w:type="pct"/>
            <w:tcBorders>
              <w:tl2br w:val="nil"/>
              <w:tr2bl w:val="nil"/>
            </w:tcBorders>
            <w:shd w:val="clear" w:color="auto" w:fill="auto"/>
            <w:vAlign w:val="center"/>
          </w:tcPr>
          <w:p w14:paraId="221D2C8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1.77</w:t>
            </w:r>
          </w:p>
        </w:tc>
        <w:tc>
          <w:tcPr>
            <w:tcW w:w="494" w:type="pct"/>
            <w:tcBorders>
              <w:tl2br w:val="nil"/>
              <w:tr2bl w:val="nil"/>
            </w:tcBorders>
            <w:shd w:val="clear" w:color="auto" w:fill="auto"/>
            <w:vAlign w:val="center"/>
          </w:tcPr>
          <w:p w14:paraId="202AAF8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13.77</w:t>
            </w:r>
          </w:p>
        </w:tc>
        <w:tc>
          <w:tcPr>
            <w:tcW w:w="302" w:type="pct"/>
            <w:tcBorders>
              <w:tl2br w:val="nil"/>
              <w:tr2bl w:val="nil"/>
            </w:tcBorders>
            <w:shd w:val="clear" w:color="auto" w:fill="auto"/>
            <w:vAlign w:val="center"/>
          </w:tcPr>
          <w:p w14:paraId="798D12F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9.18</w:t>
            </w:r>
          </w:p>
        </w:tc>
        <w:tc>
          <w:tcPr>
            <w:tcW w:w="273" w:type="pct"/>
            <w:tcBorders>
              <w:tl2br w:val="nil"/>
              <w:tr2bl w:val="nil"/>
            </w:tcBorders>
            <w:shd w:val="clear" w:color="auto" w:fill="auto"/>
            <w:vAlign w:val="center"/>
          </w:tcPr>
          <w:p w14:paraId="144DD162">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5CEB6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510526A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vMerge w:val="continue"/>
            <w:tcBorders>
              <w:tl2br w:val="nil"/>
              <w:tr2bl w:val="nil"/>
            </w:tcBorders>
            <w:shd w:val="clear" w:color="auto" w:fill="auto"/>
            <w:vAlign w:val="center"/>
          </w:tcPr>
          <w:p w14:paraId="22AC091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455" w:type="pct"/>
            <w:tcBorders>
              <w:tl2br w:val="nil"/>
              <w:tr2bl w:val="nil"/>
            </w:tcBorders>
            <w:shd w:val="clear" w:color="auto" w:fill="auto"/>
            <w:vAlign w:val="center"/>
          </w:tcPr>
          <w:p w14:paraId="5CE5729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382" w:type="pct"/>
            <w:tcBorders>
              <w:tl2br w:val="nil"/>
              <w:tr2bl w:val="nil"/>
            </w:tcBorders>
            <w:shd w:val="clear" w:color="auto" w:fill="auto"/>
            <w:vAlign w:val="center"/>
          </w:tcPr>
          <w:p w14:paraId="18C079CC">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0.00</w:t>
            </w:r>
          </w:p>
        </w:tc>
        <w:tc>
          <w:tcPr>
            <w:tcW w:w="356" w:type="pct"/>
            <w:tcBorders>
              <w:tl2br w:val="nil"/>
              <w:tr2bl w:val="nil"/>
            </w:tcBorders>
            <w:shd w:val="clear" w:color="auto" w:fill="auto"/>
            <w:vAlign w:val="center"/>
          </w:tcPr>
          <w:p w14:paraId="57FF905F">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平均值</w:t>
            </w:r>
          </w:p>
        </w:tc>
        <w:tc>
          <w:tcPr>
            <w:tcW w:w="371" w:type="pct"/>
            <w:tcBorders>
              <w:tl2br w:val="nil"/>
              <w:tr2bl w:val="nil"/>
            </w:tcBorders>
            <w:shd w:val="clear" w:color="auto" w:fill="auto"/>
            <w:vAlign w:val="center"/>
          </w:tcPr>
          <w:p w14:paraId="43BD3923">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0.00</w:t>
            </w:r>
          </w:p>
        </w:tc>
        <w:tc>
          <w:tcPr>
            <w:tcW w:w="229" w:type="pct"/>
            <w:tcBorders>
              <w:tl2br w:val="nil"/>
              <w:tr2bl w:val="nil"/>
            </w:tcBorders>
            <w:shd w:val="clear" w:color="auto" w:fill="auto"/>
            <w:vAlign w:val="center"/>
          </w:tcPr>
          <w:p w14:paraId="03E5E22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5A749DAB">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6</w:t>
            </w:r>
          </w:p>
        </w:tc>
        <w:tc>
          <w:tcPr>
            <w:tcW w:w="320" w:type="pct"/>
            <w:tcBorders>
              <w:tl2br w:val="nil"/>
              <w:tr2bl w:val="nil"/>
            </w:tcBorders>
            <w:shd w:val="clear" w:color="auto" w:fill="auto"/>
            <w:vAlign w:val="center"/>
          </w:tcPr>
          <w:p w14:paraId="648DA13F">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0</w:t>
            </w:r>
          </w:p>
        </w:tc>
        <w:tc>
          <w:tcPr>
            <w:tcW w:w="461" w:type="pct"/>
            <w:tcBorders>
              <w:tl2br w:val="nil"/>
              <w:tr2bl w:val="nil"/>
            </w:tcBorders>
            <w:shd w:val="clear" w:color="auto" w:fill="auto"/>
            <w:vAlign w:val="center"/>
          </w:tcPr>
          <w:p w14:paraId="779BBB3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0.21</w:t>
            </w:r>
          </w:p>
        </w:tc>
        <w:tc>
          <w:tcPr>
            <w:tcW w:w="494" w:type="pct"/>
            <w:tcBorders>
              <w:tl2br w:val="nil"/>
              <w:tr2bl w:val="nil"/>
            </w:tcBorders>
            <w:shd w:val="clear" w:color="auto" w:fill="auto"/>
            <w:vAlign w:val="center"/>
          </w:tcPr>
          <w:p w14:paraId="006667E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6.21</w:t>
            </w:r>
          </w:p>
        </w:tc>
        <w:tc>
          <w:tcPr>
            <w:tcW w:w="302" w:type="pct"/>
            <w:tcBorders>
              <w:tl2br w:val="nil"/>
              <w:tr2bl w:val="nil"/>
            </w:tcBorders>
            <w:shd w:val="clear" w:color="auto" w:fill="auto"/>
            <w:vAlign w:val="center"/>
          </w:tcPr>
          <w:p w14:paraId="6B2E0BA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10.35</w:t>
            </w:r>
          </w:p>
        </w:tc>
        <w:tc>
          <w:tcPr>
            <w:tcW w:w="273" w:type="pct"/>
            <w:tcBorders>
              <w:tl2br w:val="nil"/>
              <w:tr2bl w:val="nil"/>
            </w:tcBorders>
            <w:shd w:val="clear" w:color="auto" w:fill="auto"/>
            <w:vAlign w:val="center"/>
          </w:tcPr>
          <w:p w14:paraId="478069E4">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182ED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0365489F">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vMerge w:val="restart"/>
            <w:tcBorders>
              <w:tl2br w:val="nil"/>
              <w:tr2bl w:val="nil"/>
            </w:tcBorders>
            <w:shd w:val="clear" w:color="auto" w:fill="auto"/>
            <w:vAlign w:val="center"/>
          </w:tcPr>
          <w:p w14:paraId="6F37D34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萨依巴格村居民区</w:t>
            </w:r>
          </w:p>
        </w:tc>
        <w:tc>
          <w:tcPr>
            <w:tcW w:w="455" w:type="pct"/>
            <w:tcBorders>
              <w:tl2br w:val="nil"/>
              <w:tr2bl w:val="nil"/>
            </w:tcBorders>
            <w:shd w:val="clear" w:color="auto" w:fill="auto"/>
            <w:vAlign w:val="center"/>
          </w:tcPr>
          <w:p w14:paraId="240A3E9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382" w:type="pct"/>
            <w:tcBorders>
              <w:tl2br w:val="nil"/>
              <w:tr2bl w:val="nil"/>
            </w:tcBorders>
            <w:shd w:val="clear" w:color="auto" w:fill="auto"/>
            <w:vAlign w:val="center"/>
          </w:tcPr>
          <w:p w14:paraId="2EB72B28">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0.00</w:t>
            </w:r>
          </w:p>
        </w:tc>
        <w:tc>
          <w:tcPr>
            <w:tcW w:w="356" w:type="pct"/>
            <w:tcBorders>
              <w:tl2br w:val="nil"/>
              <w:tr2bl w:val="nil"/>
            </w:tcBorders>
            <w:shd w:val="clear" w:color="auto" w:fill="auto"/>
            <w:vAlign w:val="center"/>
          </w:tcPr>
          <w:p w14:paraId="7B8896A7">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250619</w:t>
            </w:r>
          </w:p>
        </w:tc>
        <w:tc>
          <w:tcPr>
            <w:tcW w:w="371" w:type="pct"/>
            <w:tcBorders>
              <w:tl2br w:val="nil"/>
              <w:tr2bl w:val="nil"/>
            </w:tcBorders>
            <w:shd w:val="clear" w:color="auto" w:fill="auto"/>
            <w:vAlign w:val="center"/>
          </w:tcPr>
          <w:p w14:paraId="4094BA8A">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0.00</w:t>
            </w:r>
          </w:p>
        </w:tc>
        <w:tc>
          <w:tcPr>
            <w:tcW w:w="229" w:type="pct"/>
            <w:tcBorders>
              <w:tl2br w:val="nil"/>
              <w:tr2bl w:val="nil"/>
            </w:tcBorders>
            <w:shd w:val="clear" w:color="auto" w:fill="auto"/>
            <w:vAlign w:val="center"/>
          </w:tcPr>
          <w:p w14:paraId="491D26D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2CF61B79">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12</w:t>
            </w:r>
          </w:p>
        </w:tc>
        <w:tc>
          <w:tcPr>
            <w:tcW w:w="320" w:type="pct"/>
            <w:tcBorders>
              <w:tl2br w:val="nil"/>
              <w:tr2bl w:val="nil"/>
            </w:tcBorders>
            <w:shd w:val="clear" w:color="auto" w:fill="auto"/>
            <w:vAlign w:val="center"/>
          </w:tcPr>
          <w:p w14:paraId="4CB5DAE1">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0</w:t>
            </w:r>
          </w:p>
        </w:tc>
        <w:tc>
          <w:tcPr>
            <w:tcW w:w="461" w:type="pct"/>
            <w:tcBorders>
              <w:tl2br w:val="nil"/>
              <w:tr2bl w:val="nil"/>
            </w:tcBorders>
            <w:shd w:val="clear" w:color="auto" w:fill="auto"/>
            <w:vAlign w:val="center"/>
          </w:tcPr>
          <w:p w14:paraId="55CF9C3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1.37</w:t>
            </w:r>
          </w:p>
        </w:tc>
        <w:tc>
          <w:tcPr>
            <w:tcW w:w="494" w:type="pct"/>
            <w:tcBorders>
              <w:tl2br w:val="nil"/>
              <w:tr2bl w:val="nil"/>
            </w:tcBorders>
            <w:shd w:val="clear" w:color="auto" w:fill="auto"/>
            <w:vAlign w:val="center"/>
          </w:tcPr>
          <w:p w14:paraId="2B1BCD13">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6.16</w:t>
            </w:r>
          </w:p>
        </w:tc>
        <w:tc>
          <w:tcPr>
            <w:tcW w:w="302" w:type="pct"/>
            <w:tcBorders>
              <w:tl2br w:val="nil"/>
              <w:tr2bl w:val="nil"/>
            </w:tcBorders>
            <w:shd w:val="clear" w:color="auto" w:fill="auto"/>
            <w:vAlign w:val="center"/>
          </w:tcPr>
          <w:p w14:paraId="00ADCECA">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4.11</w:t>
            </w:r>
          </w:p>
        </w:tc>
        <w:tc>
          <w:tcPr>
            <w:tcW w:w="273" w:type="pct"/>
            <w:tcBorders>
              <w:tl2br w:val="nil"/>
              <w:tr2bl w:val="nil"/>
            </w:tcBorders>
            <w:shd w:val="clear" w:color="auto" w:fill="auto"/>
            <w:vAlign w:val="center"/>
          </w:tcPr>
          <w:p w14:paraId="4D4D9927">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15A97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3265E1B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vMerge w:val="continue"/>
            <w:tcBorders>
              <w:tl2br w:val="nil"/>
              <w:tr2bl w:val="nil"/>
            </w:tcBorders>
            <w:shd w:val="clear" w:color="auto" w:fill="auto"/>
            <w:vAlign w:val="center"/>
          </w:tcPr>
          <w:p w14:paraId="0D0A70E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455" w:type="pct"/>
            <w:tcBorders>
              <w:tl2br w:val="nil"/>
              <w:tr2bl w:val="nil"/>
            </w:tcBorders>
            <w:shd w:val="clear" w:color="auto" w:fill="auto"/>
            <w:vAlign w:val="center"/>
          </w:tcPr>
          <w:p w14:paraId="0723F31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382" w:type="pct"/>
            <w:tcBorders>
              <w:tl2br w:val="nil"/>
              <w:tr2bl w:val="nil"/>
            </w:tcBorders>
            <w:shd w:val="clear" w:color="auto" w:fill="auto"/>
            <w:vAlign w:val="center"/>
          </w:tcPr>
          <w:p w14:paraId="125263D9">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0.00</w:t>
            </w:r>
          </w:p>
        </w:tc>
        <w:tc>
          <w:tcPr>
            <w:tcW w:w="356" w:type="pct"/>
            <w:tcBorders>
              <w:tl2br w:val="nil"/>
              <w:tr2bl w:val="nil"/>
            </w:tcBorders>
            <w:shd w:val="clear" w:color="auto" w:fill="auto"/>
            <w:vAlign w:val="center"/>
          </w:tcPr>
          <w:p w14:paraId="36234E44">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平均值</w:t>
            </w:r>
          </w:p>
        </w:tc>
        <w:tc>
          <w:tcPr>
            <w:tcW w:w="371" w:type="pct"/>
            <w:tcBorders>
              <w:tl2br w:val="nil"/>
              <w:tr2bl w:val="nil"/>
            </w:tcBorders>
            <w:shd w:val="clear" w:color="auto" w:fill="auto"/>
            <w:vAlign w:val="center"/>
          </w:tcPr>
          <w:p w14:paraId="0E49BFAE">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0.00</w:t>
            </w:r>
          </w:p>
        </w:tc>
        <w:tc>
          <w:tcPr>
            <w:tcW w:w="229" w:type="pct"/>
            <w:tcBorders>
              <w:tl2br w:val="nil"/>
              <w:tr2bl w:val="nil"/>
            </w:tcBorders>
            <w:shd w:val="clear" w:color="auto" w:fill="auto"/>
            <w:vAlign w:val="center"/>
          </w:tcPr>
          <w:p w14:paraId="498F393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7849C657">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6</w:t>
            </w:r>
          </w:p>
        </w:tc>
        <w:tc>
          <w:tcPr>
            <w:tcW w:w="320" w:type="pct"/>
            <w:tcBorders>
              <w:tl2br w:val="nil"/>
              <w:tr2bl w:val="nil"/>
            </w:tcBorders>
            <w:shd w:val="clear" w:color="auto" w:fill="auto"/>
            <w:vAlign w:val="center"/>
          </w:tcPr>
          <w:p w14:paraId="670AECBB">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0</w:t>
            </w:r>
          </w:p>
        </w:tc>
        <w:tc>
          <w:tcPr>
            <w:tcW w:w="461" w:type="pct"/>
            <w:tcBorders>
              <w:tl2br w:val="nil"/>
              <w:tr2bl w:val="nil"/>
            </w:tcBorders>
            <w:shd w:val="clear" w:color="auto" w:fill="auto"/>
            <w:vAlign w:val="center"/>
          </w:tcPr>
          <w:p w14:paraId="29E138A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0.16</w:t>
            </w:r>
          </w:p>
        </w:tc>
        <w:tc>
          <w:tcPr>
            <w:tcW w:w="494" w:type="pct"/>
            <w:tcBorders>
              <w:tl2br w:val="nil"/>
              <w:tr2bl w:val="nil"/>
            </w:tcBorders>
            <w:shd w:val="clear" w:color="auto" w:fill="auto"/>
            <w:vAlign w:val="center"/>
          </w:tcPr>
          <w:p w14:paraId="6985517A">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6.16</w:t>
            </w:r>
          </w:p>
        </w:tc>
        <w:tc>
          <w:tcPr>
            <w:tcW w:w="302" w:type="pct"/>
            <w:tcBorders>
              <w:tl2br w:val="nil"/>
              <w:tr2bl w:val="nil"/>
            </w:tcBorders>
            <w:shd w:val="clear" w:color="auto" w:fill="auto"/>
            <w:vAlign w:val="center"/>
          </w:tcPr>
          <w:p w14:paraId="6815A26C">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10.27</w:t>
            </w:r>
          </w:p>
        </w:tc>
        <w:tc>
          <w:tcPr>
            <w:tcW w:w="273" w:type="pct"/>
            <w:tcBorders>
              <w:tl2br w:val="nil"/>
              <w:tr2bl w:val="nil"/>
            </w:tcBorders>
            <w:shd w:val="clear" w:color="auto" w:fill="auto"/>
            <w:vAlign w:val="center"/>
          </w:tcPr>
          <w:p w14:paraId="1478FEA6">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1DEE5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74A890B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vMerge w:val="restart"/>
            <w:tcBorders>
              <w:tl2br w:val="nil"/>
              <w:tr2bl w:val="nil"/>
            </w:tcBorders>
            <w:shd w:val="clear" w:color="auto" w:fill="auto"/>
            <w:vAlign w:val="center"/>
          </w:tcPr>
          <w:p w14:paraId="0C18B3A3">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帕特曼喀什村居民区</w:t>
            </w:r>
          </w:p>
        </w:tc>
        <w:tc>
          <w:tcPr>
            <w:tcW w:w="455" w:type="pct"/>
            <w:tcBorders>
              <w:tl2br w:val="nil"/>
              <w:tr2bl w:val="nil"/>
            </w:tcBorders>
            <w:shd w:val="clear" w:color="auto" w:fill="auto"/>
            <w:vAlign w:val="center"/>
          </w:tcPr>
          <w:p w14:paraId="4DD6A10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382" w:type="pct"/>
            <w:tcBorders>
              <w:tl2br w:val="nil"/>
              <w:tr2bl w:val="nil"/>
            </w:tcBorders>
            <w:shd w:val="clear" w:color="auto" w:fill="auto"/>
            <w:vAlign w:val="center"/>
          </w:tcPr>
          <w:p w14:paraId="2B81D5EF">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0.00</w:t>
            </w:r>
          </w:p>
        </w:tc>
        <w:tc>
          <w:tcPr>
            <w:tcW w:w="356" w:type="pct"/>
            <w:tcBorders>
              <w:tl2br w:val="nil"/>
              <w:tr2bl w:val="nil"/>
            </w:tcBorders>
            <w:shd w:val="clear" w:color="auto" w:fill="auto"/>
            <w:vAlign w:val="center"/>
          </w:tcPr>
          <w:p w14:paraId="5A61DC7A">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251215</w:t>
            </w:r>
          </w:p>
        </w:tc>
        <w:tc>
          <w:tcPr>
            <w:tcW w:w="371" w:type="pct"/>
            <w:tcBorders>
              <w:tl2br w:val="nil"/>
              <w:tr2bl w:val="nil"/>
            </w:tcBorders>
            <w:shd w:val="clear" w:color="auto" w:fill="auto"/>
            <w:vAlign w:val="center"/>
          </w:tcPr>
          <w:p w14:paraId="1EC70E7D">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0.00</w:t>
            </w:r>
          </w:p>
        </w:tc>
        <w:tc>
          <w:tcPr>
            <w:tcW w:w="229" w:type="pct"/>
            <w:tcBorders>
              <w:tl2br w:val="nil"/>
              <w:tr2bl w:val="nil"/>
            </w:tcBorders>
            <w:shd w:val="clear" w:color="auto" w:fill="auto"/>
            <w:vAlign w:val="center"/>
          </w:tcPr>
          <w:p w14:paraId="7F3FDC4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15081887">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12</w:t>
            </w:r>
          </w:p>
        </w:tc>
        <w:tc>
          <w:tcPr>
            <w:tcW w:w="320" w:type="pct"/>
            <w:tcBorders>
              <w:tl2br w:val="nil"/>
              <w:tr2bl w:val="nil"/>
            </w:tcBorders>
            <w:shd w:val="clear" w:color="auto" w:fill="auto"/>
            <w:vAlign w:val="center"/>
          </w:tcPr>
          <w:p w14:paraId="0680700C">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0</w:t>
            </w:r>
          </w:p>
        </w:tc>
        <w:tc>
          <w:tcPr>
            <w:tcW w:w="461" w:type="pct"/>
            <w:tcBorders>
              <w:tl2br w:val="nil"/>
              <w:tr2bl w:val="nil"/>
            </w:tcBorders>
            <w:shd w:val="clear" w:color="auto" w:fill="auto"/>
            <w:vAlign w:val="center"/>
          </w:tcPr>
          <w:p w14:paraId="0EDDD06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0.94</w:t>
            </w:r>
          </w:p>
        </w:tc>
        <w:tc>
          <w:tcPr>
            <w:tcW w:w="494" w:type="pct"/>
            <w:tcBorders>
              <w:tl2br w:val="nil"/>
              <w:tr2bl w:val="nil"/>
            </w:tcBorders>
            <w:shd w:val="clear" w:color="auto" w:fill="auto"/>
            <w:vAlign w:val="center"/>
          </w:tcPr>
          <w:p w14:paraId="1AF3162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12.94</w:t>
            </w:r>
          </w:p>
        </w:tc>
        <w:tc>
          <w:tcPr>
            <w:tcW w:w="302" w:type="pct"/>
            <w:tcBorders>
              <w:tl2br w:val="nil"/>
              <w:tr2bl w:val="nil"/>
            </w:tcBorders>
            <w:shd w:val="clear" w:color="auto" w:fill="auto"/>
            <w:vAlign w:val="center"/>
          </w:tcPr>
          <w:p w14:paraId="065F30D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8.63</w:t>
            </w:r>
          </w:p>
        </w:tc>
        <w:tc>
          <w:tcPr>
            <w:tcW w:w="273" w:type="pct"/>
            <w:tcBorders>
              <w:tl2br w:val="nil"/>
              <w:tr2bl w:val="nil"/>
            </w:tcBorders>
            <w:shd w:val="clear" w:color="auto" w:fill="auto"/>
            <w:vAlign w:val="center"/>
          </w:tcPr>
          <w:p w14:paraId="01A277EE">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306BB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2037D181">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vMerge w:val="continue"/>
            <w:tcBorders>
              <w:tl2br w:val="nil"/>
              <w:tr2bl w:val="nil"/>
            </w:tcBorders>
            <w:shd w:val="clear" w:color="auto" w:fill="auto"/>
            <w:vAlign w:val="center"/>
          </w:tcPr>
          <w:p w14:paraId="5162712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455" w:type="pct"/>
            <w:tcBorders>
              <w:tl2br w:val="nil"/>
              <w:tr2bl w:val="nil"/>
            </w:tcBorders>
            <w:shd w:val="clear" w:color="auto" w:fill="auto"/>
            <w:vAlign w:val="center"/>
          </w:tcPr>
          <w:p w14:paraId="1C15C3A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382" w:type="pct"/>
            <w:tcBorders>
              <w:tl2br w:val="nil"/>
              <w:tr2bl w:val="nil"/>
            </w:tcBorders>
            <w:shd w:val="clear" w:color="auto" w:fill="auto"/>
            <w:vAlign w:val="center"/>
          </w:tcPr>
          <w:p w14:paraId="35912846">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0.00</w:t>
            </w:r>
          </w:p>
        </w:tc>
        <w:tc>
          <w:tcPr>
            <w:tcW w:w="356" w:type="pct"/>
            <w:tcBorders>
              <w:tl2br w:val="nil"/>
              <w:tr2bl w:val="nil"/>
            </w:tcBorders>
            <w:shd w:val="clear" w:color="auto" w:fill="auto"/>
            <w:vAlign w:val="center"/>
          </w:tcPr>
          <w:p w14:paraId="2D7EA39C">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平均值</w:t>
            </w:r>
          </w:p>
        </w:tc>
        <w:tc>
          <w:tcPr>
            <w:tcW w:w="371" w:type="pct"/>
            <w:tcBorders>
              <w:tl2br w:val="nil"/>
              <w:tr2bl w:val="nil"/>
            </w:tcBorders>
            <w:shd w:val="clear" w:color="auto" w:fill="auto"/>
            <w:vAlign w:val="center"/>
          </w:tcPr>
          <w:p w14:paraId="624678C2">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0.00</w:t>
            </w:r>
          </w:p>
        </w:tc>
        <w:tc>
          <w:tcPr>
            <w:tcW w:w="229" w:type="pct"/>
            <w:tcBorders>
              <w:tl2br w:val="nil"/>
              <w:tr2bl w:val="nil"/>
            </w:tcBorders>
            <w:shd w:val="clear" w:color="auto" w:fill="auto"/>
            <w:vAlign w:val="center"/>
          </w:tcPr>
          <w:p w14:paraId="1BFC2BA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4C06DB41">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6</w:t>
            </w:r>
          </w:p>
        </w:tc>
        <w:tc>
          <w:tcPr>
            <w:tcW w:w="320" w:type="pct"/>
            <w:tcBorders>
              <w:tl2br w:val="nil"/>
              <w:tr2bl w:val="nil"/>
            </w:tcBorders>
            <w:shd w:val="clear" w:color="auto" w:fill="auto"/>
            <w:vAlign w:val="center"/>
          </w:tcPr>
          <w:p w14:paraId="0575EE2A">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0</w:t>
            </w:r>
          </w:p>
        </w:tc>
        <w:tc>
          <w:tcPr>
            <w:tcW w:w="461" w:type="pct"/>
            <w:tcBorders>
              <w:tl2br w:val="nil"/>
              <w:tr2bl w:val="nil"/>
            </w:tcBorders>
            <w:shd w:val="clear" w:color="auto" w:fill="auto"/>
            <w:vAlign w:val="center"/>
          </w:tcPr>
          <w:p w14:paraId="25B30F1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0.16</w:t>
            </w:r>
          </w:p>
        </w:tc>
        <w:tc>
          <w:tcPr>
            <w:tcW w:w="494" w:type="pct"/>
            <w:tcBorders>
              <w:tl2br w:val="nil"/>
              <w:tr2bl w:val="nil"/>
            </w:tcBorders>
            <w:shd w:val="clear" w:color="auto" w:fill="auto"/>
            <w:vAlign w:val="center"/>
          </w:tcPr>
          <w:p w14:paraId="6CB8B99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6.16</w:t>
            </w:r>
          </w:p>
        </w:tc>
        <w:tc>
          <w:tcPr>
            <w:tcW w:w="302" w:type="pct"/>
            <w:tcBorders>
              <w:tl2br w:val="nil"/>
              <w:tr2bl w:val="nil"/>
            </w:tcBorders>
            <w:shd w:val="clear" w:color="auto" w:fill="auto"/>
            <w:vAlign w:val="center"/>
          </w:tcPr>
          <w:p w14:paraId="1C4CCD23">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10.27</w:t>
            </w:r>
          </w:p>
        </w:tc>
        <w:tc>
          <w:tcPr>
            <w:tcW w:w="273" w:type="pct"/>
            <w:tcBorders>
              <w:tl2br w:val="nil"/>
              <w:tr2bl w:val="nil"/>
            </w:tcBorders>
            <w:shd w:val="clear" w:color="auto" w:fill="auto"/>
            <w:vAlign w:val="center"/>
          </w:tcPr>
          <w:p w14:paraId="2348AEB1">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532C3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581648C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vMerge w:val="restart"/>
            <w:tcBorders>
              <w:tl2br w:val="nil"/>
              <w:tr2bl w:val="nil"/>
            </w:tcBorders>
            <w:shd w:val="clear" w:color="auto" w:fill="auto"/>
            <w:vAlign w:val="center"/>
          </w:tcPr>
          <w:p w14:paraId="0BF469B3">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en-US" w:bidi="ar-SA"/>
              </w:rPr>
            </w:pPr>
            <w:r>
              <w:rPr>
                <w:rFonts w:hint="default" w:ascii="Times New Roman" w:hAnsi="Times New Roman" w:cs="Times New Roman" w:eastAsiaTheme="minorEastAsia"/>
                <w:szCs w:val="21"/>
                <w:highlight w:val="none"/>
                <w:lang w:val="en-US" w:eastAsia="zh-CN"/>
              </w:rPr>
              <w:t>网格</w:t>
            </w:r>
          </w:p>
        </w:tc>
        <w:tc>
          <w:tcPr>
            <w:tcW w:w="455" w:type="pct"/>
            <w:tcBorders>
              <w:tl2br w:val="nil"/>
              <w:tr2bl w:val="nil"/>
            </w:tcBorders>
            <w:shd w:val="clear" w:color="auto" w:fill="auto"/>
            <w:vAlign w:val="center"/>
          </w:tcPr>
          <w:p w14:paraId="254848A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382" w:type="pct"/>
            <w:tcBorders>
              <w:tl2br w:val="nil"/>
              <w:tr2bl w:val="nil"/>
            </w:tcBorders>
            <w:shd w:val="clear" w:color="auto" w:fill="auto"/>
            <w:vAlign w:val="center"/>
          </w:tcPr>
          <w:p w14:paraId="45530AF2">
            <w:pPr>
              <w:autoSpaceDE w:val="0"/>
              <w:autoSpaceDN w:val="0"/>
              <w:spacing w:line="300" w:lineRule="exact"/>
              <w:jc w:val="center"/>
              <w:rPr>
                <w:rFonts w:hint="default" w:ascii="Times New Roman" w:hAnsi="Times New Roman" w:cs="Times New Roman" w:eastAsiaTheme="minorEastAsia"/>
                <w:highlight w:val="none"/>
              </w:rPr>
            </w:pPr>
            <w:r>
              <w:rPr>
                <w:rFonts w:hint="eastAsia"/>
                <w:color w:val="000000" w:themeColor="text1"/>
                <w:highlight w:val="none"/>
                <w14:textFill>
                  <w14:solidFill>
                    <w14:schemeClr w14:val="tx1"/>
                  </w14:solidFill>
                </w14:textFill>
              </w:rPr>
              <w:t>0.0</w:t>
            </w:r>
            <w:r>
              <w:rPr>
                <w:rFonts w:hint="eastAsia"/>
                <w:color w:val="000000" w:themeColor="text1"/>
                <w:highlight w:val="none"/>
                <w:lang w:val="en-US" w:eastAsia="zh-CN"/>
                <w14:textFill>
                  <w14:solidFill>
                    <w14:schemeClr w14:val="tx1"/>
                  </w14:solidFill>
                </w14:textFill>
              </w:rPr>
              <w:t>8</w:t>
            </w:r>
          </w:p>
        </w:tc>
        <w:tc>
          <w:tcPr>
            <w:tcW w:w="356" w:type="pct"/>
            <w:tcBorders>
              <w:tl2br w:val="nil"/>
              <w:tr2bl w:val="nil"/>
            </w:tcBorders>
            <w:shd w:val="clear" w:color="auto" w:fill="auto"/>
            <w:vAlign w:val="center"/>
          </w:tcPr>
          <w:p w14:paraId="39417F5F">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250927</w:t>
            </w:r>
          </w:p>
        </w:tc>
        <w:tc>
          <w:tcPr>
            <w:tcW w:w="371" w:type="pct"/>
            <w:tcBorders>
              <w:tl2br w:val="nil"/>
              <w:tr2bl w:val="nil"/>
            </w:tcBorders>
            <w:shd w:val="clear" w:color="auto" w:fill="auto"/>
            <w:vAlign w:val="center"/>
          </w:tcPr>
          <w:p w14:paraId="1B02DE96">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highlight w:val="none"/>
                <w:lang w:val="en-US" w:eastAsia="zh-CN"/>
              </w:rPr>
              <w:t>1.333×10</w:t>
            </w:r>
            <w:r>
              <w:rPr>
                <w:rFonts w:hint="eastAsia"/>
                <w:highlight w:val="none"/>
                <w:vertAlign w:val="superscript"/>
                <w:lang w:val="en-US" w:eastAsia="zh-CN"/>
              </w:rPr>
              <w:t>-4</w:t>
            </w:r>
          </w:p>
        </w:tc>
        <w:tc>
          <w:tcPr>
            <w:tcW w:w="229" w:type="pct"/>
            <w:tcBorders>
              <w:tl2br w:val="nil"/>
              <w:tr2bl w:val="nil"/>
            </w:tcBorders>
            <w:shd w:val="clear" w:color="auto" w:fill="auto"/>
            <w:vAlign w:val="center"/>
          </w:tcPr>
          <w:p w14:paraId="3AA6670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3BFCCF8F">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12</w:t>
            </w:r>
          </w:p>
        </w:tc>
        <w:tc>
          <w:tcPr>
            <w:tcW w:w="320" w:type="pct"/>
            <w:tcBorders>
              <w:tl2br w:val="nil"/>
              <w:tr2bl w:val="nil"/>
            </w:tcBorders>
            <w:shd w:val="clear" w:color="auto" w:fill="auto"/>
            <w:vAlign w:val="center"/>
          </w:tcPr>
          <w:p w14:paraId="6B599496">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0</w:t>
            </w:r>
          </w:p>
        </w:tc>
        <w:tc>
          <w:tcPr>
            <w:tcW w:w="461" w:type="pct"/>
            <w:tcBorders>
              <w:tl2br w:val="nil"/>
              <w:tr2bl w:val="nil"/>
            </w:tcBorders>
            <w:shd w:val="clear" w:color="auto" w:fill="auto"/>
            <w:vAlign w:val="center"/>
          </w:tcPr>
          <w:p w14:paraId="16076C14">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68.03</w:t>
            </w:r>
          </w:p>
        </w:tc>
        <w:tc>
          <w:tcPr>
            <w:tcW w:w="494" w:type="pct"/>
            <w:tcBorders>
              <w:tl2br w:val="nil"/>
              <w:tr2bl w:val="nil"/>
            </w:tcBorders>
            <w:shd w:val="clear" w:color="auto" w:fill="auto"/>
            <w:vAlign w:val="center"/>
          </w:tcPr>
          <w:p w14:paraId="305C16C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80.11</w:t>
            </w:r>
          </w:p>
        </w:tc>
        <w:tc>
          <w:tcPr>
            <w:tcW w:w="302" w:type="pct"/>
            <w:tcBorders>
              <w:tl2br w:val="nil"/>
              <w:tr2bl w:val="nil"/>
            </w:tcBorders>
            <w:shd w:val="clear" w:color="auto" w:fill="auto"/>
            <w:vAlign w:val="center"/>
          </w:tcPr>
          <w:p w14:paraId="7AE6CC9F">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53.41</w:t>
            </w:r>
          </w:p>
        </w:tc>
        <w:tc>
          <w:tcPr>
            <w:tcW w:w="273" w:type="pct"/>
            <w:tcBorders>
              <w:tl2br w:val="nil"/>
              <w:tr2bl w:val="nil"/>
            </w:tcBorders>
            <w:shd w:val="clear" w:color="auto" w:fill="auto"/>
            <w:vAlign w:val="center"/>
          </w:tcPr>
          <w:p w14:paraId="5BC81CA6">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4AD53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6673FC4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vMerge w:val="continue"/>
            <w:tcBorders>
              <w:tl2br w:val="nil"/>
              <w:tr2bl w:val="nil"/>
            </w:tcBorders>
            <w:shd w:val="clear" w:color="auto" w:fill="auto"/>
            <w:vAlign w:val="center"/>
          </w:tcPr>
          <w:p w14:paraId="095EA79F">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455" w:type="pct"/>
            <w:tcBorders>
              <w:tl2br w:val="nil"/>
              <w:tr2bl w:val="nil"/>
            </w:tcBorders>
            <w:shd w:val="clear" w:color="auto" w:fill="auto"/>
            <w:vAlign w:val="center"/>
          </w:tcPr>
          <w:p w14:paraId="1D92652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382" w:type="pct"/>
            <w:tcBorders>
              <w:tl2br w:val="nil"/>
              <w:tr2bl w:val="nil"/>
            </w:tcBorders>
            <w:shd w:val="clear" w:color="auto" w:fill="auto"/>
            <w:vAlign w:val="center"/>
          </w:tcPr>
          <w:p w14:paraId="075E0FB5">
            <w:pPr>
              <w:autoSpaceDE w:val="0"/>
              <w:autoSpaceDN w:val="0"/>
              <w:spacing w:line="300" w:lineRule="exact"/>
              <w:jc w:val="center"/>
              <w:rPr>
                <w:rFonts w:hint="default" w:ascii="Times New Roman" w:hAnsi="Times New Roman" w:cs="Times New Roman" w:eastAsiaTheme="minorEastAsia"/>
                <w:highlight w:val="none"/>
              </w:rPr>
            </w:pPr>
            <w:r>
              <w:rPr>
                <w:rFonts w:hint="eastAsia"/>
                <w:color w:val="000000" w:themeColor="text1"/>
                <w:highlight w:val="none"/>
                <w14:textFill>
                  <w14:solidFill>
                    <w14:schemeClr w14:val="tx1"/>
                  </w14:solidFill>
                </w14:textFill>
              </w:rPr>
              <w:t>0.0</w:t>
            </w:r>
            <w:r>
              <w:rPr>
                <w:rFonts w:hint="eastAsia"/>
                <w:color w:val="000000" w:themeColor="text1"/>
                <w:highlight w:val="none"/>
                <w:lang w:val="en-US" w:eastAsia="zh-CN"/>
                <w14:textFill>
                  <w14:solidFill>
                    <w14:schemeClr w14:val="tx1"/>
                  </w14:solidFill>
                </w14:textFill>
              </w:rPr>
              <w:t>3</w:t>
            </w:r>
          </w:p>
        </w:tc>
        <w:tc>
          <w:tcPr>
            <w:tcW w:w="356" w:type="pct"/>
            <w:tcBorders>
              <w:tl2br w:val="nil"/>
              <w:tr2bl w:val="nil"/>
            </w:tcBorders>
            <w:shd w:val="clear" w:color="auto" w:fill="auto"/>
            <w:vAlign w:val="center"/>
          </w:tcPr>
          <w:p w14:paraId="02B71CDC">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平均值</w:t>
            </w:r>
          </w:p>
        </w:tc>
        <w:tc>
          <w:tcPr>
            <w:tcW w:w="371" w:type="pct"/>
            <w:tcBorders>
              <w:tl2br w:val="nil"/>
              <w:tr2bl w:val="nil"/>
            </w:tcBorders>
            <w:shd w:val="clear" w:color="auto" w:fill="auto"/>
            <w:vAlign w:val="center"/>
          </w:tcPr>
          <w:p w14:paraId="57011B6F">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lang w:val="en-US" w:eastAsia="zh-CN"/>
              </w:rPr>
              <w:t>1.667×10</w:t>
            </w:r>
            <w:r>
              <w:rPr>
                <w:rFonts w:hint="eastAsia"/>
                <w:highlight w:val="none"/>
                <w:vertAlign w:val="superscript"/>
                <w:lang w:val="en-US" w:eastAsia="zh-CN"/>
              </w:rPr>
              <w:t>-4</w:t>
            </w:r>
          </w:p>
        </w:tc>
        <w:tc>
          <w:tcPr>
            <w:tcW w:w="229" w:type="pct"/>
            <w:tcBorders>
              <w:tl2br w:val="nil"/>
              <w:tr2bl w:val="nil"/>
            </w:tcBorders>
            <w:shd w:val="clear" w:color="auto" w:fill="auto"/>
            <w:vAlign w:val="center"/>
          </w:tcPr>
          <w:p w14:paraId="7447C7A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7C3681FB">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6</w:t>
            </w:r>
          </w:p>
        </w:tc>
        <w:tc>
          <w:tcPr>
            <w:tcW w:w="320" w:type="pct"/>
            <w:tcBorders>
              <w:tl2br w:val="nil"/>
              <w:tr2bl w:val="nil"/>
            </w:tcBorders>
            <w:shd w:val="clear" w:color="auto" w:fill="auto"/>
            <w:vAlign w:val="center"/>
          </w:tcPr>
          <w:p w14:paraId="44109ABA">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0</w:t>
            </w:r>
          </w:p>
        </w:tc>
        <w:tc>
          <w:tcPr>
            <w:tcW w:w="461" w:type="pct"/>
            <w:tcBorders>
              <w:tl2br w:val="nil"/>
              <w:tr2bl w:val="nil"/>
            </w:tcBorders>
            <w:shd w:val="clear" w:color="auto" w:fill="auto"/>
            <w:vAlign w:val="center"/>
          </w:tcPr>
          <w:p w14:paraId="4490A4D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16.85</w:t>
            </w:r>
          </w:p>
        </w:tc>
        <w:tc>
          <w:tcPr>
            <w:tcW w:w="494" w:type="pct"/>
            <w:tcBorders>
              <w:tl2br w:val="nil"/>
              <w:tr2bl w:val="nil"/>
            </w:tcBorders>
            <w:shd w:val="clear" w:color="auto" w:fill="auto"/>
            <w:vAlign w:val="center"/>
          </w:tcPr>
          <w:p w14:paraId="7B2F0596">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22.88</w:t>
            </w:r>
          </w:p>
        </w:tc>
        <w:tc>
          <w:tcPr>
            <w:tcW w:w="302" w:type="pct"/>
            <w:tcBorders>
              <w:tl2br w:val="nil"/>
              <w:tr2bl w:val="nil"/>
            </w:tcBorders>
            <w:shd w:val="clear" w:color="auto" w:fill="auto"/>
            <w:vAlign w:val="center"/>
          </w:tcPr>
          <w:p w14:paraId="133F1DD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38.13</w:t>
            </w:r>
          </w:p>
        </w:tc>
        <w:tc>
          <w:tcPr>
            <w:tcW w:w="273" w:type="pct"/>
            <w:tcBorders>
              <w:tl2br w:val="nil"/>
              <w:tr2bl w:val="nil"/>
            </w:tcBorders>
            <w:shd w:val="clear" w:color="auto" w:fill="auto"/>
            <w:vAlign w:val="center"/>
          </w:tcPr>
          <w:p w14:paraId="7BAB7019">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4753B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restart"/>
            <w:tcBorders>
              <w:tl2br w:val="nil"/>
              <w:tr2bl w:val="nil"/>
            </w:tcBorders>
            <w:shd w:val="clear" w:color="auto" w:fill="auto"/>
            <w:vAlign w:val="center"/>
          </w:tcPr>
          <w:p w14:paraId="2A267A7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CO</w:t>
            </w:r>
          </w:p>
        </w:tc>
        <w:tc>
          <w:tcPr>
            <w:tcW w:w="748" w:type="pct"/>
            <w:tcBorders>
              <w:tl2br w:val="nil"/>
              <w:tr2bl w:val="nil"/>
            </w:tcBorders>
            <w:shd w:val="clear" w:color="auto" w:fill="auto"/>
            <w:vAlign w:val="center"/>
          </w:tcPr>
          <w:p w14:paraId="04A978E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兰干村居民区</w:t>
            </w:r>
          </w:p>
        </w:tc>
        <w:tc>
          <w:tcPr>
            <w:tcW w:w="455" w:type="pct"/>
            <w:tcBorders>
              <w:tl2br w:val="nil"/>
              <w:tr2bl w:val="nil"/>
            </w:tcBorders>
            <w:shd w:val="clear" w:color="auto" w:fill="auto"/>
            <w:vAlign w:val="center"/>
          </w:tcPr>
          <w:p w14:paraId="4618F8C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382" w:type="pct"/>
            <w:tcBorders>
              <w:tl2br w:val="nil"/>
              <w:tr2bl w:val="nil"/>
            </w:tcBorders>
            <w:shd w:val="clear" w:color="auto" w:fill="auto"/>
            <w:vAlign w:val="center"/>
          </w:tcPr>
          <w:p w14:paraId="78F794E1">
            <w:pPr>
              <w:autoSpaceDE w:val="0"/>
              <w:autoSpaceDN w:val="0"/>
              <w:spacing w:line="300" w:lineRule="exact"/>
              <w:jc w:val="center"/>
              <w:rPr>
                <w:rFonts w:hint="eastAsia" w:eastAsiaTheme="minorEastAsia"/>
                <w:highlight w:val="none"/>
                <w:lang w:val="en-US" w:eastAsia="zh-CN"/>
              </w:rPr>
            </w:pPr>
            <w:r>
              <w:rPr>
                <w:rFonts w:hint="eastAsia"/>
                <w:highlight w:val="none"/>
              </w:rPr>
              <w:t>0.0</w:t>
            </w:r>
            <w:r>
              <w:rPr>
                <w:rFonts w:hint="eastAsia"/>
                <w:highlight w:val="none"/>
                <w:lang w:val="en-US" w:eastAsia="zh-CN"/>
              </w:rPr>
              <w:t>0</w:t>
            </w:r>
          </w:p>
        </w:tc>
        <w:tc>
          <w:tcPr>
            <w:tcW w:w="356" w:type="pct"/>
            <w:tcBorders>
              <w:tl2br w:val="nil"/>
              <w:tr2bl w:val="nil"/>
            </w:tcBorders>
            <w:shd w:val="clear" w:color="auto" w:fill="auto"/>
            <w:vAlign w:val="center"/>
          </w:tcPr>
          <w:p w14:paraId="3BBB83AE">
            <w:pPr>
              <w:autoSpaceDE w:val="0"/>
              <w:autoSpaceDN w:val="0"/>
              <w:spacing w:line="300" w:lineRule="exact"/>
              <w:jc w:val="center"/>
              <w:rPr>
                <w:rFonts w:hint="eastAsia"/>
                <w:highlight w:val="none"/>
              </w:rPr>
            </w:pPr>
            <w:r>
              <w:rPr>
                <w:rFonts w:hint="eastAsia"/>
                <w:highlight w:val="none"/>
              </w:rPr>
              <w:t>250409</w:t>
            </w:r>
          </w:p>
        </w:tc>
        <w:tc>
          <w:tcPr>
            <w:tcW w:w="371" w:type="pct"/>
            <w:tcBorders>
              <w:tl2br w:val="nil"/>
              <w:tr2bl w:val="nil"/>
            </w:tcBorders>
            <w:shd w:val="clear" w:color="auto" w:fill="auto"/>
            <w:vAlign w:val="center"/>
          </w:tcPr>
          <w:p w14:paraId="018F08FD">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0.00</w:t>
            </w:r>
          </w:p>
        </w:tc>
        <w:tc>
          <w:tcPr>
            <w:tcW w:w="229" w:type="pct"/>
            <w:tcBorders>
              <w:tl2br w:val="nil"/>
              <w:tr2bl w:val="nil"/>
            </w:tcBorders>
            <w:shd w:val="clear" w:color="auto" w:fill="auto"/>
            <w:vAlign w:val="center"/>
          </w:tcPr>
          <w:p w14:paraId="7D66F235">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5F3F39D0">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1000</w:t>
            </w:r>
          </w:p>
        </w:tc>
        <w:tc>
          <w:tcPr>
            <w:tcW w:w="320" w:type="pct"/>
            <w:tcBorders>
              <w:tl2br w:val="nil"/>
              <w:tr2bl w:val="nil"/>
            </w:tcBorders>
            <w:shd w:val="clear" w:color="auto" w:fill="auto"/>
            <w:vAlign w:val="center"/>
          </w:tcPr>
          <w:p w14:paraId="3C6DDB9C">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63B5D3B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w:t>
            </w:r>
          </w:p>
        </w:tc>
        <w:tc>
          <w:tcPr>
            <w:tcW w:w="494" w:type="pct"/>
            <w:tcBorders>
              <w:tl2br w:val="nil"/>
              <w:tr2bl w:val="nil"/>
            </w:tcBorders>
            <w:shd w:val="clear" w:color="auto" w:fill="auto"/>
            <w:vAlign w:val="center"/>
          </w:tcPr>
          <w:p w14:paraId="6999AC91">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1000</w:t>
            </w:r>
          </w:p>
        </w:tc>
        <w:tc>
          <w:tcPr>
            <w:tcW w:w="302" w:type="pct"/>
            <w:tcBorders>
              <w:tl2br w:val="nil"/>
              <w:tr2bl w:val="nil"/>
            </w:tcBorders>
            <w:shd w:val="clear" w:color="auto" w:fill="auto"/>
            <w:vAlign w:val="center"/>
          </w:tcPr>
          <w:p w14:paraId="07370B32">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25.0</w:t>
            </w:r>
          </w:p>
        </w:tc>
        <w:tc>
          <w:tcPr>
            <w:tcW w:w="273" w:type="pct"/>
            <w:tcBorders>
              <w:tl2br w:val="nil"/>
              <w:tr2bl w:val="nil"/>
            </w:tcBorders>
            <w:shd w:val="clear" w:color="auto" w:fill="auto"/>
            <w:vAlign w:val="center"/>
          </w:tcPr>
          <w:p w14:paraId="6FEBD638">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69C73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3E1881A8">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tcBorders>
              <w:tl2br w:val="nil"/>
              <w:tr2bl w:val="nil"/>
            </w:tcBorders>
            <w:shd w:val="clear" w:color="auto" w:fill="auto"/>
            <w:vAlign w:val="center"/>
          </w:tcPr>
          <w:p w14:paraId="6031086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萨依巴格村居民区</w:t>
            </w:r>
          </w:p>
        </w:tc>
        <w:tc>
          <w:tcPr>
            <w:tcW w:w="455" w:type="pct"/>
            <w:tcBorders>
              <w:tl2br w:val="nil"/>
              <w:tr2bl w:val="nil"/>
            </w:tcBorders>
            <w:shd w:val="clear" w:color="auto" w:fill="auto"/>
            <w:vAlign w:val="center"/>
          </w:tcPr>
          <w:p w14:paraId="21510E4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382" w:type="pct"/>
            <w:tcBorders>
              <w:tl2br w:val="nil"/>
              <w:tr2bl w:val="nil"/>
            </w:tcBorders>
            <w:shd w:val="clear" w:color="auto" w:fill="auto"/>
            <w:vAlign w:val="center"/>
          </w:tcPr>
          <w:p w14:paraId="1F93BA4E">
            <w:pPr>
              <w:autoSpaceDE w:val="0"/>
              <w:autoSpaceDN w:val="0"/>
              <w:spacing w:line="300" w:lineRule="exact"/>
              <w:jc w:val="center"/>
              <w:rPr>
                <w:rFonts w:hint="eastAsia" w:eastAsiaTheme="minorEastAsia"/>
                <w:highlight w:val="none"/>
                <w:lang w:val="en-US" w:eastAsia="zh-CN"/>
              </w:rPr>
            </w:pPr>
            <w:r>
              <w:rPr>
                <w:rFonts w:hint="eastAsia"/>
                <w:highlight w:val="none"/>
              </w:rPr>
              <w:t>0.0</w:t>
            </w:r>
            <w:r>
              <w:rPr>
                <w:rFonts w:hint="eastAsia"/>
                <w:highlight w:val="none"/>
                <w:lang w:val="en-US" w:eastAsia="zh-CN"/>
              </w:rPr>
              <w:t>0</w:t>
            </w:r>
          </w:p>
        </w:tc>
        <w:tc>
          <w:tcPr>
            <w:tcW w:w="356" w:type="pct"/>
            <w:tcBorders>
              <w:tl2br w:val="nil"/>
              <w:tr2bl w:val="nil"/>
            </w:tcBorders>
            <w:shd w:val="clear" w:color="auto" w:fill="auto"/>
            <w:vAlign w:val="center"/>
          </w:tcPr>
          <w:p w14:paraId="1AFEAB39">
            <w:pPr>
              <w:autoSpaceDE w:val="0"/>
              <w:autoSpaceDN w:val="0"/>
              <w:spacing w:line="300" w:lineRule="exact"/>
              <w:jc w:val="center"/>
              <w:rPr>
                <w:rFonts w:hint="eastAsia"/>
                <w:highlight w:val="none"/>
              </w:rPr>
            </w:pPr>
            <w:r>
              <w:rPr>
                <w:rFonts w:hint="eastAsia"/>
                <w:highlight w:val="none"/>
              </w:rPr>
              <w:t>250619</w:t>
            </w:r>
          </w:p>
        </w:tc>
        <w:tc>
          <w:tcPr>
            <w:tcW w:w="371" w:type="pct"/>
            <w:tcBorders>
              <w:tl2br w:val="nil"/>
              <w:tr2bl w:val="nil"/>
            </w:tcBorders>
            <w:shd w:val="clear" w:color="auto" w:fill="auto"/>
            <w:vAlign w:val="center"/>
          </w:tcPr>
          <w:p w14:paraId="6090072A">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0.00</w:t>
            </w:r>
          </w:p>
        </w:tc>
        <w:tc>
          <w:tcPr>
            <w:tcW w:w="229" w:type="pct"/>
            <w:tcBorders>
              <w:tl2br w:val="nil"/>
              <w:tr2bl w:val="nil"/>
            </w:tcBorders>
            <w:shd w:val="clear" w:color="auto" w:fill="auto"/>
            <w:vAlign w:val="center"/>
          </w:tcPr>
          <w:p w14:paraId="6557BC5F">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5B49330B">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1000</w:t>
            </w:r>
          </w:p>
        </w:tc>
        <w:tc>
          <w:tcPr>
            <w:tcW w:w="320" w:type="pct"/>
            <w:tcBorders>
              <w:tl2br w:val="nil"/>
              <w:tr2bl w:val="nil"/>
            </w:tcBorders>
            <w:shd w:val="clear" w:color="auto" w:fill="auto"/>
            <w:vAlign w:val="center"/>
          </w:tcPr>
          <w:p w14:paraId="549575A2">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79AC8AF6">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w:t>
            </w:r>
          </w:p>
        </w:tc>
        <w:tc>
          <w:tcPr>
            <w:tcW w:w="494" w:type="pct"/>
            <w:tcBorders>
              <w:tl2br w:val="nil"/>
              <w:tr2bl w:val="nil"/>
            </w:tcBorders>
            <w:shd w:val="clear" w:color="auto" w:fill="auto"/>
            <w:vAlign w:val="center"/>
          </w:tcPr>
          <w:p w14:paraId="6D0A79DB">
            <w:pPr>
              <w:autoSpaceDE w:val="0"/>
              <w:autoSpaceDN w:val="0"/>
              <w:spacing w:line="300" w:lineRule="exact"/>
              <w:jc w:val="center"/>
              <w:rPr>
                <w:rFonts w:hint="default"/>
                <w:highlight w:val="none"/>
                <w:lang w:val="en-US" w:eastAsia="en-US"/>
              </w:rPr>
            </w:pPr>
            <w:r>
              <w:rPr>
                <w:rFonts w:hint="eastAsia"/>
                <w:highlight w:val="none"/>
                <w:lang w:val="en-US" w:eastAsia="zh-CN"/>
              </w:rPr>
              <w:t>1000</w:t>
            </w:r>
          </w:p>
        </w:tc>
        <w:tc>
          <w:tcPr>
            <w:tcW w:w="302" w:type="pct"/>
            <w:tcBorders>
              <w:tl2br w:val="nil"/>
              <w:tr2bl w:val="nil"/>
            </w:tcBorders>
            <w:shd w:val="clear" w:color="auto" w:fill="auto"/>
            <w:vAlign w:val="center"/>
          </w:tcPr>
          <w:p w14:paraId="3941C74E">
            <w:pPr>
              <w:autoSpaceDE w:val="0"/>
              <w:autoSpaceDN w:val="0"/>
              <w:spacing w:line="300" w:lineRule="exact"/>
              <w:jc w:val="center"/>
              <w:rPr>
                <w:rFonts w:hint="default"/>
                <w:highlight w:val="none"/>
                <w:lang w:val="en-US" w:eastAsia="en-US"/>
              </w:rPr>
            </w:pPr>
            <w:r>
              <w:rPr>
                <w:rFonts w:hint="eastAsia"/>
                <w:highlight w:val="none"/>
                <w:lang w:val="en-US" w:eastAsia="zh-CN"/>
              </w:rPr>
              <w:t>25.0</w:t>
            </w:r>
          </w:p>
        </w:tc>
        <w:tc>
          <w:tcPr>
            <w:tcW w:w="273" w:type="pct"/>
            <w:tcBorders>
              <w:tl2br w:val="nil"/>
              <w:tr2bl w:val="nil"/>
            </w:tcBorders>
            <w:shd w:val="clear" w:color="auto" w:fill="auto"/>
            <w:vAlign w:val="center"/>
          </w:tcPr>
          <w:p w14:paraId="4167227C">
            <w:pPr>
              <w:autoSpaceDE w:val="0"/>
              <w:autoSpaceDN w:val="0"/>
              <w:spacing w:line="300" w:lineRule="exact"/>
              <w:jc w:val="center"/>
              <w:rPr>
                <w:rFonts w:hint="default"/>
                <w:highlight w:val="none"/>
              </w:rPr>
            </w:pPr>
            <w:r>
              <w:rPr>
                <w:rFonts w:hint="eastAsia"/>
                <w:highlight w:val="none"/>
                <w:lang w:val="en-US" w:eastAsia="zh-CN"/>
              </w:rPr>
              <w:t>达标</w:t>
            </w:r>
          </w:p>
        </w:tc>
      </w:tr>
      <w:tr w14:paraId="1A05B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70318E13">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tcBorders>
              <w:tl2br w:val="nil"/>
              <w:tr2bl w:val="nil"/>
            </w:tcBorders>
            <w:shd w:val="clear" w:color="auto" w:fill="auto"/>
            <w:vAlign w:val="center"/>
          </w:tcPr>
          <w:p w14:paraId="4C8BB78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帕特曼喀什村居民区</w:t>
            </w:r>
          </w:p>
        </w:tc>
        <w:tc>
          <w:tcPr>
            <w:tcW w:w="455" w:type="pct"/>
            <w:tcBorders>
              <w:tl2br w:val="nil"/>
              <w:tr2bl w:val="nil"/>
            </w:tcBorders>
            <w:shd w:val="clear" w:color="auto" w:fill="auto"/>
            <w:vAlign w:val="center"/>
          </w:tcPr>
          <w:p w14:paraId="259E307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382" w:type="pct"/>
            <w:tcBorders>
              <w:tl2br w:val="nil"/>
              <w:tr2bl w:val="nil"/>
            </w:tcBorders>
            <w:shd w:val="clear" w:color="auto" w:fill="auto"/>
            <w:vAlign w:val="center"/>
          </w:tcPr>
          <w:p w14:paraId="5A36102D">
            <w:pPr>
              <w:autoSpaceDE w:val="0"/>
              <w:autoSpaceDN w:val="0"/>
              <w:spacing w:line="300" w:lineRule="exact"/>
              <w:jc w:val="center"/>
              <w:rPr>
                <w:rFonts w:hint="eastAsia" w:eastAsiaTheme="minorEastAsia"/>
                <w:highlight w:val="none"/>
                <w:lang w:eastAsia="zh-CN"/>
              </w:rPr>
            </w:pPr>
            <w:r>
              <w:rPr>
                <w:rFonts w:hint="eastAsia"/>
                <w:highlight w:val="none"/>
              </w:rPr>
              <w:t>0.0</w:t>
            </w:r>
            <w:r>
              <w:rPr>
                <w:rFonts w:hint="eastAsia"/>
                <w:highlight w:val="none"/>
                <w:lang w:val="en-US" w:eastAsia="zh-CN"/>
              </w:rPr>
              <w:t>0</w:t>
            </w:r>
          </w:p>
        </w:tc>
        <w:tc>
          <w:tcPr>
            <w:tcW w:w="356" w:type="pct"/>
            <w:tcBorders>
              <w:tl2br w:val="nil"/>
              <w:tr2bl w:val="nil"/>
            </w:tcBorders>
            <w:shd w:val="clear" w:color="auto" w:fill="auto"/>
            <w:vAlign w:val="center"/>
          </w:tcPr>
          <w:p w14:paraId="1109F7BA">
            <w:pPr>
              <w:autoSpaceDE w:val="0"/>
              <w:autoSpaceDN w:val="0"/>
              <w:spacing w:line="300" w:lineRule="exact"/>
              <w:jc w:val="center"/>
              <w:rPr>
                <w:rFonts w:hint="eastAsia"/>
                <w:highlight w:val="none"/>
              </w:rPr>
            </w:pPr>
            <w:r>
              <w:rPr>
                <w:rFonts w:hint="eastAsia"/>
                <w:highlight w:val="none"/>
              </w:rPr>
              <w:t>251215</w:t>
            </w:r>
          </w:p>
        </w:tc>
        <w:tc>
          <w:tcPr>
            <w:tcW w:w="371" w:type="pct"/>
            <w:tcBorders>
              <w:tl2br w:val="nil"/>
              <w:tr2bl w:val="nil"/>
            </w:tcBorders>
            <w:shd w:val="clear" w:color="auto" w:fill="auto"/>
            <w:vAlign w:val="center"/>
          </w:tcPr>
          <w:p w14:paraId="428823B3">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0.00</w:t>
            </w:r>
          </w:p>
        </w:tc>
        <w:tc>
          <w:tcPr>
            <w:tcW w:w="229" w:type="pct"/>
            <w:tcBorders>
              <w:tl2br w:val="nil"/>
              <w:tr2bl w:val="nil"/>
            </w:tcBorders>
            <w:shd w:val="clear" w:color="auto" w:fill="auto"/>
            <w:vAlign w:val="center"/>
          </w:tcPr>
          <w:p w14:paraId="125F055E">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575FD1DD">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1000</w:t>
            </w:r>
          </w:p>
        </w:tc>
        <w:tc>
          <w:tcPr>
            <w:tcW w:w="320" w:type="pct"/>
            <w:tcBorders>
              <w:tl2br w:val="nil"/>
              <w:tr2bl w:val="nil"/>
            </w:tcBorders>
            <w:shd w:val="clear" w:color="auto" w:fill="auto"/>
            <w:vAlign w:val="center"/>
          </w:tcPr>
          <w:p w14:paraId="0677D1C4">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6604781C">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w:t>
            </w:r>
          </w:p>
        </w:tc>
        <w:tc>
          <w:tcPr>
            <w:tcW w:w="494" w:type="pct"/>
            <w:tcBorders>
              <w:tl2br w:val="nil"/>
              <w:tr2bl w:val="nil"/>
            </w:tcBorders>
            <w:shd w:val="clear" w:color="auto" w:fill="auto"/>
            <w:vAlign w:val="center"/>
          </w:tcPr>
          <w:p w14:paraId="2C82D2C4">
            <w:pPr>
              <w:autoSpaceDE w:val="0"/>
              <w:autoSpaceDN w:val="0"/>
              <w:spacing w:line="300" w:lineRule="exact"/>
              <w:jc w:val="center"/>
              <w:rPr>
                <w:rFonts w:hint="default"/>
                <w:highlight w:val="none"/>
                <w:lang w:val="en-US" w:eastAsia="en-US"/>
              </w:rPr>
            </w:pPr>
            <w:r>
              <w:rPr>
                <w:rFonts w:hint="eastAsia"/>
                <w:highlight w:val="none"/>
                <w:lang w:val="en-US" w:eastAsia="zh-CN"/>
              </w:rPr>
              <w:t>1000</w:t>
            </w:r>
          </w:p>
        </w:tc>
        <w:tc>
          <w:tcPr>
            <w:tcW w:w="302" w:type="pct"/>
            <w:tcBorders>
              <w:tl2br w:val="nil"/>
              <w:tr2bl w:val="nil"/>
            </w:tcBorders>
            <w:shd w:val="clear" w:color="auto" w:fill="auto"/>
            <w:vAlign w:val="center"/>
          </w:tcPr>
          <w:p w14:paraId="042FE8A6">
            <w:pPr>
              <w:autoSpaceDE w:val="0"/>
              <w:autoSpaceDN w:val="0"/>
              <w:spacing w:line="300" w:lineRule="exact"/>
              <w:jc w:val="center"/>
              <w:rPr>
                <w:rFonts w:hint="default"/>
                <w:highlight w:val="none"/>
                <w:lang w:val="en-US" w:eastAsia="en-US"/>
              </w:rPr>
            </w:pPr>
            <w:r>
              <w:rPr>
                <w:rFonts w:hint="eastAsia"/>
                <w:highlight w:val="none"/>
                <w:lang w:val="en-US" w:eastAsia="zh-CN"/>
              </w:rPr>
              <w:t>25.0</w:t>
            </w:r>
          </w:p>
        </w:tc>
        <w:tc>
          <w:tcPr>
            <w:tcW w:w="273" w:type="pct"/>
            <w:tcBorders>
              <w:tl2br w:val="nil"/>
              <w:tr2bl w:val="nil"/>
            </w:tcBorders>
            <w:shd w:val="clear" w:color="auto" w:fill="auto"/>
            <w:vAlign w:val="center"/>
          </w:tcPr>
          <w:p w14:paraId="702A8006">
            <w:pPr>
              <w:autoSpaceDE w:val="0"/>
              <w:autoSpaceDN w:val="0"/>
              <w:spacing w:line="300" w:lineRule="exact"/>
              <w:jc w:val="center"/>
              <w:rPr>
                <w:rFonts w:hint="default"/>
                <w:highlight w:val="none"/>
              </w:rPr>
            </w:pPr>
            <w:r>
              <w:rPr>
                <w:rFonts w:hint="eastAsia"/>
                <w:highlight w:val="none"/>
                <w:lang w:val="en-US" w:eastAsia="zh-CN"/>
              </w:rPr>
              <w:t>达标</w:t>
            </w:r>
          </w:p>
        </w:tc>
      </w:tr>
      <w:tr w14:paraId="2AD54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074C87F3">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tcBorders>
              <w:tl2br w:val="nil"/>
              <w:tr2bl w:val="nil"/>
            </w:tcBorders>
            <w:shd w:val="clear" w:color="auto" w:fill="auto"/>
            <w:vAlign w:val="center"/>
          </w:tcPr>
          <w:p w14:paraId="0AC7D40A">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网格</w:t>
            </w:r>
          </w:p>
        </w:tc>
        <w:tc>
          <w:tcPr>
            <w:tcW w:w="455" w:type="pct"/>
            <w:tcBorders>
              <w:tl2br w:val="nil"/>
              <w:tr2bl w:val="nil"/>
            </w:tcBorders>
            <w:shd w:val="clear" w:color="auto" w:fill="auto"/>
            <w:vAlign w:val="center"/>
          </w:tcPr>
          <w:p w14:paraId="5374E1E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382" w:type="pct"/>
            <w:tcBorders>
              <w:tl2br w:val="nil"/>
              <w:tr2bl w:val="nil"/>
            </w:tcBorders>
            <w:shd w:val="clear" w:color="auto" w:fill="auto"/>
            <w:vAlign w:val="center"/>
          </w:tcPr>
          <w:p w14:paraId="78C7F388">
            <w:pPr>
              <w:autoSpaceDE w:val="0"/>
              <w:autoSpaceDN w:val="0"/>
              <w:spacing w:line="300" w:lineRule="exact"/>
              <w:jc w:val="center"/>
              <w:rPr>
                <w:rFonts w:hint="default" w:eastAsiaTheme="minorEastAsia"/>
                <w:highlight w:val="none"/>
                <w:lang w:val="en-US" w:eastAsia="zh-CN"/>
              </w:rPr>
            </w:pPr>
            <w:r>
              <w:rPr>
                <w:rFonts w:hint="eastAsia"/>
                <w:highlight w:val="none"/>
              </w:rPr>
              <w:t>0.</w:t>
            </w:r>
            <w:r>
              <w:rPr>
                <w:rFonts w:hint="eastAsia"/>
                <w:highlight w:val="none"/>
                <w:lang w:val="en-US" w:eastAsia="zh-CN"/>
              </w:rPr>
              <w:t>00</w:t>
            </w:r>
          </w:p>
        </w:tc>
        <w:tc>
          <w:tcPr>
            <w:tcW w:w="356" w:type="pct"/>
            <w:tcBorders>
              <w:tl2br w:val="nil"/>
              <w:tr2bl w:val="nil"/>
            </w:tcBorders>
            <w:shd w:val="clear" w:color="auto" w:fill="auto"/>
            <w:vAlign w:val="center"/>
          </w:tcPr>
          <w:p w14:paraId="3F2564B5">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250927</w:t>
            </w:r>
          </w:p>
        </w:tc>
        <w:tc>
          <w:tcPr>
            <w:tcW w:w="371" w:type="pct"/>
            <w:tcBorders>
              <w:tl2br w:val="nil"/>
              <w:tr2bl w:val="nil"/>
            </w:tcBorders>
            <w:shd w:val="clear" w:color="auto" w:fill="auto"/>
            <w:vAlign w:val="center"/>
          </w:tcPr>
          <w:p w14:paraId="070C6E5F">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0.00</w:t>
            </w:r>
          </w:p>
        </w:tc>
        <w:tc>
          <w:tcPr>
            <w:tcW w:w="229" w:type="pct"/>
            <w:tcBorders>
              <w:tl2br w:val="nil"/>
              <w:tr2bl w:val="nil"/>
            </w:tcBorders>
            <w:shd w:val="clear" w:color="auto" w:fill="auto"/>
            <w:vAlign w:val="center"/>
          </w:tcPr>
          <w:p w14:paraId="0E067BCB">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5DDAF20B">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1000</w:t>
            </w:r>
          </w:p>
        </w:tc>
        <w:tc>
          <w:tcPr>
            <w:tcW w:w="320" w:type="pct"/>
            <w:tcBorders>
              <w:tl2br w:val="nil"/>
              <w:tr2bl w:val="nil"/>
            </w:tcBorders>
            <w:shd w:val="clear" w:color="auto" w:fill="auto"/>
            <w:vAlign w:val="center"/>
          </w:tcPr>
          <w:p w14:paraId="72456AAB">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7D6F24B3">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w:t>
            </w:r>
          </w:p>
        </w:tc>
        <w:tc>
          <w:tcPr>
            <w:tcW w:w="494" w:type="pct"/>
            <w:tcBorders>
              <w:tl2br w:val="nil"/>
              <w:tr2bl w:val="nil"/>
            </w:tcBorders>
            <w:shd w:val="clear" w:color="auto" w:fill="auto"/>
            <w:vAlign w:val="center"/>
          </w:tcPr>
          <w:p w14:paraId="4D2B0991">
            <w:pPr>
              <w:autoSpaceDE w:val="0"/>
              <w:autoSpaceDN w:val="0"/>
              <w:spacing w:line="300" w:lineRule="exact"/>
              <w:jc w:val="center"/>
              <w:rPr>
                <w:rFonts w:hint="default"/>
                <w:highlight w:val="none"/>
                <w:lang w:val="en-US" w:eastAsia="en-US"/>
              </w:rPr>
            </w:pPr>
            <w:r>
              <w:rPr>
                <w:rFonts w:hint="eastAsia"/>
                <w:highlight w:val="none"/>
                <w:lang w:val="en-US" w:eastAsia="zh-CN"/>
              </w:rPr>
              <w:t>1000</w:t>
            </w:r>
          </w:p>
        </w:tc>
        <w:tc>
          <w:tcPr>
            <w:tcW w:w="302" w:type="pct"/>
            <w:tcBorders>
              <w:tl2br w:val="nil"/>
              <w:tr2bl w:val="nil"/>
            </w:tcBorders>
            <w:shd w:val="clear" w:color="auto" w:fill="auto"/>
            <w:vAlign w:val="center"/>
          </w:tcPr>
          <w:p w14:paraId="0B702F43">
            <w:pPr>
              <w:autoSpaceDE w:val="0"/>
              <w:autoSpaceDN w:val="0"/>
              <w:spacing w:line="300" w:lineRule="exact"/>
              <w:jc w:val="center"/>
              <w:rPr>
                <w:rFonts w:hint="default"/>
                <w:highlight w:val="none"/>
                <w:lang w:val="en-US" w:eastAsia="en-US"/>
              </w:rPr>
            </w:pPr>
            <w:r>
              <w:rPr>
                <w:rFonts w:hint="eastAsia"/>
                <w:highlight w:val="none"/>
                <w:lang w:val="en-US" w:eastAsia="zh-CN"/>
              </w:rPr>
              <w:t>25.0</w:t>
            </w:r>
          </w:p>
        </w:tc>
        <w:tc>
          <w:tcPr>
            <w:tcW w:w="273" w:type="pct"/>
            <w:tcBorders>
              <w:tl2br w:val="nil"/>
              <w:tr2bl w:val="nil"/>
            </w:tcBorders>
            <w:shd w:val="clear" w:color="auto" w:fill="auto"/>
            <w:vAlign w:val="center"/>
          </w:tcPr>
          <w:p w14:paraId="7EEFAF74">
            <w:pPr>
              <w:autoSpaceDE w:val="0"/>
              <w:autoSpaceDN w:val="0"/>
              <w:spacing w:line="300" w:lineRule="exact"/>
              <w:jc w:val="center"/>
              <w:rPr>
                <w:rFonts w:hint="default"/>
                <w:highlight w:val="none"/>
              </w:rPr>
            </w:pPr>
            <w:r>
              <w:rPr>
                <w:rFonts w:hint="eastAsia"/>
                <w:highlight w:val="none"/>
                <w:lang w:val="en-US" w:eastAsia="zh-CN"/>
              </w:rPr>
              <w:t>达标</w:t>
            </w:r>
          </w:p>
        </w:tc>
      </w:tr>
      <w:tr w14:paraId="3BA24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restart"/>
            <w:tcBorders>
              <w:tl2br w:val="nil"/>
              <w:tr2bl w:val="nil"/>
            </w:tcBorders>
            <w:shd w:val="clear" w:color="auto" w:fill="auto"/>
            <w:vAlign w:val="center"/>
          </w:tcPr>
          <w:p w14:paraId="5327AE4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HCl</w:t>
            </w:r>
          </w:p>
        </w:tc>
        <w:tc>
          <w:tcPr>
            <w:tcW w:w="748" w:type="pct"/>
            <w:tcBorders>
              <w:tl2br w:val="nil"/>
              <w:tr2bl w:val="nil"/>
            </w:tcBorders>
            <w:shd w:val="clear" w:color="auto" w:fill="auto"/>
            <w:vAlign w:val="center"/>
          </w:tcPr>
          <w:p w14:paraId="4A23884C">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兰干村居民区</w:t>
            </w:r>
          </w:p>
        </w:tc>
        <w:tc>
          <w:tcPr>
            <w:tcW w:w="455" w:type="pct"/>
            <w:tcBorders>
              <w:tl2br w:val="nil"/>
              <w:tr2bl w:val="nil"/>
            </w:tcBorders>
            <w:shd w:val="clear" w:color="auto" w:fill="auto"/>
            <w:vAlign w:val="center"/>
          </w:tcPr>
          <w:p w14:paraId="41B6AD9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382" w:type="pct"/>
            <w:tcBorders>
              <w:tl2br w:val="nil"/>
              <w:tr2bl w:val="nil"/>
            </w:tcBorders>
            <w:shd w:val="clear" w:color="auto" w:fill="auto"/>
            <w:vAlign w:val="center"/>
          </w:tcPr>
          <w:p w14:paraId="0E94BA56">
            <w:pPr>
              <w:autoSpaceDE w:val="0"/>
              <w:autoSpaceDN w:val="0"/>
              <w:spacing w:line="300" w:lineRule="exact"/>
              <w:jc w:val="center"/>
              <w:rPr>
                <w:rFonts w:hint="eastAsia"/>
                <w:highlight w:val="none"/>
              </w:rPr>
            </w:pPr>
            <w:r>
              <w:rPr>
                <w:rFonts w:hint="eastAsia"/>
                <w:highlight w:val="none"/>
              </w:rPr>
              <w:t>0.00</w:t>
            </w:r>
          </w:p>
        </w:tc>
        <w:tc>
          <w:tcPr>
            <w:tcW w:w="356" w:type="pct"/>
            <w:tcBorders>
              <w:tl2br w:val="nil"/>
              <w:tr2bl w:val="nil"/>
            </w:tcBorders>
            <w:shd w:val="clear" w:color="auto" w:fill="auto"/>
            <w:vAlign w:val="center"/>
          </w:tcPr>
          <w:p w14:paraId="23882C3E">
            <w:pPr>
              <w:autoSpaceDE w:val="0"/>
              <w:autoSpaceDN w:val="0"/>
              <w:spacing w:line="300" w:lineRule="exact"/>
              <w:jc w:val="center"/>
              <w:rPr>
                <w:rFonts w:hint="eastAsia"/>
                <w:highlight w:val="none"/>
              </w:rPr>
            </w:pPr>
            <w:r>
              <w:rPr>
                <w:rFonts w:hint="eastAsia"/>
                <w:highlight w:val="none"/>
              </w:rPr>
              <w:t>250409</w:t>
            </w:r>
          </w:p>
        </w:tc>
        <w:tc>
          <w:tcPr>
            <w:tcW w:w="371" w:type="pct"/>
            <w:tcBorders>
              <w:tl2br w:val="nil"/>
              <w:tr2bl w:val="nil"/>
            </w:tcBorders>
            <w:shd w:val="clear" w:color="auto" w:fill="auto"/>
            <w:vAlign w:val="center"/>
          </w:tcPr>
          <w:p w14:paraId="2161EB98">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0.00</w:t>
            </w:r>
          </w:p>
        </w:tc>
        <w:tc>
          <w:tcPr>
            <w:tcW w:w="229" w:type="pct"/>
            <w:tcBorders>
              <w:tl2br w:val="nil"/>
              <w:tr2bl w:val="nil"/>
            </w:tcBorders>
            <w:shd w:val="clear" w:color="auto" w:fill="auto"/>
            <w:vAlign w:val="center"/>
          </w:tcPr>
          <w:p w14:paraId="30B21C99">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2E7ACFEF">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10</w:t>
            </w:r>
          </w:p>
        </w:tc>
        <w:tc>
          <w:tcPr>
            <w:tcW w:w="320" w:type="pct"/>
            <w:tcBorders>
              <w:tl2br w:val="nil"/>
              <w:tr2bl w:val="nil"/>
            </w:tcBorders>
            <w:shd w:val="clear" w:color="auto" w:fill="auto"/>
            <w:vAlign w:val="center"/>
          </w:tcPr>
          <w:p w14:paraId="30F2F2B1">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55FCDD5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w:t>
            </w:r>
          </w:p>
        </w:tc>
        <w:tc>
          <w:tcPr>
            <w:tcW w:w="494" w:type="pct"/>
            <w:tcBorders>
              <w:tl2br w:val="nil"/>
              <w:tr2bl w:val="nil"/>
            </w:tcBorders>
            <w:shd w:val="clear" w:color="auto" w:fill="auto"/>
            <w:vAlign w:val="center"/>
          </w:tcPr>
          <w:p w14:paraId="49C74EDF">
            <w:pPr>
              <w:autoSpaceDE w:val="0"/>
              <w:autoSpaceDN w:val="0"/>
              <w:spacing w:line="300" w:lineRule="exact"/>
              <w:jc w:val="center"/>
              <w:rPr>
                <w:rFonts w:hint="default"/>
                <w:highlight w:val="none"/>
                <w:lang w:val="en-US" w:eastAsia="en-US"/>
              </w:rPr>
            </w:pPr>
            <w:r>
              <w:rPr>
                <w:rFonts w:hint="eastAsia"/>
                <w:highlight w:val="none"/>
                <w:lang w:val="en-US" w:eastAsia="zh-CN"/>
              </w:rPr>
              <w:t>10</w:t>
            </w:r>
          </w:p>
        </w:tc>
        <w:tc>
          <w:tcPr>
            <w:tcW w:w="302" w:type="pct"/>
            <w:tcBorders>
              <w:tl2br w:val="nil"/>
              <w:tr2bl w:val="nil"/>
            </w:tcBorders>
            <w:shd w:val="clear" w:color="auto" w:fill="auto"/>
            <w:vAlign w:val="center"/>
          </w:tcPr>
          <w:p w14:paraId="04FB5F52">
            <w:pPr>
              <w:autoSpaceDE w:val="0"/>
              <w:autoSpaceDN w:val="0"/>
              <w:spacing w:line="300" w:lineRule="exact"/>
              <w:jc w:val="center"/>
              <w:rPr>
                <w:rFonts w:hint="default"/>
                <w:highlight w:val="none"/>
                <w:lang w:val="en-US" w:eastAsia="en-US"/>
              </w:rPr>
            </w:pPr>
            <w:r>
              <w:rPr>
                <w:rFonts w:hint="eastAsia"/>
                <w:highlight w:val="none"/>
                <w:lang w:val="en-US" w:eastAsia="zh-CN"/>
              </w:rPr>
              <w:t>66.667</w:t>
            </w:r>
          </w:p>
        </w:tc>
        <w:tc>
          <w:tcPr>
            <w:tcW w:w="273" w:type="pct"/>
            <w:tcBorders>
              <w:tl2br w:val="nil"/>
              <w:tr2bl w:val="nil"/>
            </w:tcBorders>
            <w:shd w:val="clear" w:color="auto" w:fill="auto"/>
            <w:vAlign w:val="center"/>
          </w:tcPr>
          <w:p w14:paraId="237B1484">
            <w:pPr>
              <w:autoSpaceDE w:val="0"/>
              <w:autoSpaceDN w:val="0"/>
              <w:spacing w:line="300" w:lineRule="exact"/>
              <w:jc w:val="center"/>
              <w:rPr>
                <w:rFonts w:hint="default"/>
                <w:highlight w:val="none"/>
              </w:rPr>
            </w:pPr>
            <w:r>
              <w:rPr>
                <w:rFonts w:hint="eastAsia"/>
                <w:highlight w:val="none"/>
                <w:lang w:val="en-US" w:eastAsia="zh-CN"/>
              </w:rPr>
              <w:t>达标</w:t>
            </w:r>
          </w:p>
        </w:tc>
      </w:tr>
      <w:tr w14:paraId="001C3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4" w:hRule="atLeast"/>
        </w:trPr>
        <w:tc>
          <w:tcPr>
            <w:tcW w:w="240" w:type="pct"/>
            <w:vMerge w:val="continue"/>
            <w:tcBorders>
              <w:tl2br w:val="nil"/>
              <w:tr2bl w:val="nil"/>
            </w:tcBorders>
            <w:shd w:val="clear" w:color="auto" w:fill="auto"/>
            <w:vAlign w:val="center"/>
          </w:tcPr>
          <w:p w14:paraId="6633FA5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tcBorders>
              <w:tl2br w:val="nil"/>
              <w:tr2bl w:val="nil"/>
            </w:tcBorders>
            <w:shd w:val="clear" w:color="auto" w:fill="auto"/>
            <w:vAlign w:val="center"/>
          </w:tcPr>
          <w:p w14:paraId="26F27498">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萨依巴格村居民区</w:t>
            </w:r>
          </w:p>
        </w:tc>
        <w:tc>
          <w:tcPr>
            <w:tcW w:w="455" w:type="pct"/>
            <w:tcBorders>
              <w:tl2br w:val="nil"/>
              <w:tr2bl w:val="nil"/>
            </w:tcBorders>
            <w:shd w:val="clear" w:color="auto" w:fill="auto"/>
            <w:vAlign w:val="center"/>
          </w:tcPr>
          <w:p w14:paraId="625012C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382" w:type="pct"/>
            <w:tcBorders>
              <w:tl2br w:val="nil"/>
              <w:tr2bl w:val="nil"/>
            </w:tcBorders>
            <w:shd w:val="clear" w:color="auto" w:fill="auto"/>
            <w:vAlign w:val="center"/>
          </w:tcPr>
          <w:p w14:paraId="02D77150">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1.5×10</w:t>
            </w:r>
            <w:r>
              <w:rPr>
                <w:rFonts w:hint="eastAsia"/>
                <w:highlight w:val="none"/>
                <w:vertAlign w:val="superscript"/>
                <w:lang w:val="en-US" w:eastAsia="zh-CN"/>
              </w:rPr>
              <w:t>-3</w:t>
            </w:r>
          </w:p>
        </w:tc>
        <w:tc>
          <w:tcPr>
            <w:tcW w:w="356" w:type="pct"/>
            <w:tcBorders>
              <w:tl2br w:val="nil"/>
              <w:tr2bl w:val="nil"/>
            </w:tcBorders>
            <w:shd w:val="clear" w:color="auto" w:fill="auto"/>
            <w:vAlign w:val="center"/>
          </w:tcPr>
          <w:p w14:paraId="512ADD87">
            <w:pPr>
              <w:autoSpaceDE w:val="0"/>
              <w:autoSpaceDN w:val="0"/>
              <w:spacing w:line="300" w:lineRule="exact"/>
              <w:jc w:val="center"/>
              <w:rPr>
                <w:rFonts w:hint="eastAsia"/>
                <w:highlight w:val="none"/>
              </w:rPr>
            </w:pPr>
            <w:r>
              <w:rPr>
                <w:rFonts w:hint="eastAsia"/>
                <w:highlight w:val="none"/>
              </w:rPr>
              <w:t>250619</w:t>
            </w:r>
          </w:p>
        </w:tc>
        <w:tc>
          <w:tcPr>
            <w:tcW w:w="371" w:type="pct"/>
            <w:tcBorders>
              <w:tl2br w:val="nil"/>
              <w:tr2bl w:val="nil"/>
            </w:tcBorders>
            <w:shd w:val="clear" w:color="auto" w:fill="auto"/>
            <w:vAlign w:val="center"/>
          </w:tcPr>
          <w:p w14:paraId="1F6E6F12">
            <w:pPr>
              <w:autoSpaceDE w:val="0"/>
              <w:autoSpaceDN w:val="0"/>
              <w:spacing w:line="300" w:lineRule="exact"/>
              <w:jc w:val="center"/>
              <w:rPr>
                <w:rFonts w:hint="eastAsia"/>
                <w:highlight w:val="none"/>
              </w:rPr>
            </w:pPr>
            <w:r>
              <w:rPr>
                <w:rFonts w:hint="eastAsia"/>
                <w:highlight w:val="none"/>
              </w:rPr>
              <w:t>0.01</w:t>
            </w:r>
          </w:p>
        </w:tc>
        <w:tc>
          <w:tcPr>
            <w:tcW w:w="229" w:type="pct"/>
            <w:tcBorders>
              <w:tl2br w:val="nil"/>
              <w:tr2bl w:val="nil"/>
            </w:tcBorders>
            <w:shd w:val="clear" w:color="auto" w:fill="auto"/>
            <w:vAlign w:val="center"/>
          </w:tcPr>
          <w:p w14:paraId="11CA14F8">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1AD11B48">
            <w:pPr>
              <w:autoSpaceDE w:val="0"/>
              <w:autoSpaceDN w:val="0"/>
              <w:spacing w:line="300" w:lineRule="exact"/>
              <w:jc w:val="center"/>
              <w:rPr>
                <w:rFonts w:hint="default" w:ascii="Times New Roman" w:hAnsi="Times New Roman" w:cs="Times New Roman" w:eastAsiaTheme="minorEastAsia"/>
                <w:highlight w:val="none"/>
                <w:lang w:val="en-US"/>
              </w:rPr>
            </w:pPr>
            <w:r>
              <w:rPr>
                <w:rFonts w:hint="eastAsia" w:ascii="Times New Roman" w:hAnsi="Times New Roman" w:cs="Times New Roman"/>
                <w:highlight w:val="none"/>
                <w:lang w:val="en-US" w:eastAsia="zh-CN"/>
              </w:rPr>
              <w:t>10</w:t>
            </w:r>
          </w:p>
        </w:tc>
        <w:tc>
          <w:tcPr>
            <w:tcW w:w="320" w:type="pct"/>
            <w:tcBorders>
              <w:tl2br w:val="nil"/>
              <w:tr2bl w:val="nil"/>
            </w:tcBorders>
            <w:shd w:val="clear" w:color="auto" w:fill="auto"/>
            <w:vAlign w:val="center"/>
          </w:tcPr>
          <w:p w14:paraId="2636406A">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5E9E4AB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w:t>
            </w:r>
          </w:p>
        </w:tc>
        <w:tc>
          <w:tcPr>
            <w:tcW w:w="494" w:type="pct"/>
            <w:tcBorders>
              <w:tl2br w:val="nil"/>
              <w:tr2bl w:val="nil"/>
            </w:tcBorders>
            <w:shd w:val="clear" w:color="auto" w:fill="auto"/>
            <w:vAlign w:val="center"/>
          </w:tcPr>
          <w:p w14:paraId="0C35814E">
            <w:pPr>
              <w:autoSpaceDE w:val="0"/>
              <w:autoSpaceDN w:val="0"/>
              <w:spacing w:line="300" w:lineRule="exact"/>
              <w:jc w:val="center"/>
              <w:rPr>
                <w:rFonts w:hint="default"/>
                <w:highlight w:val="none"/>
                <w:lang w:val="en-US" w:eastAsia="en-US"/>
              </w:rPr>
            </w:pPr>
            <w:r>
              <w:rPr>
                <w:rFonts w:hint="eastAsia"/>
                <w:highlight w:val="none"/>
                <w:lang w:val="en-US" w:eastAsia="zh-CN"/>
              </w:rPr>
              <w:t>10.0015</w:t>
            </w:r>
          </w:p>
        </w:tc>
        <w:tc>
          <w:tcPr>
            <w:tcW w:w="302" w:type="pct"/>
            <w:tcBorders>
              <w:tl2br w:val="nil"/>
              <w:tr2bl w:val="nil"/>
            </w:tcBorders>
            <w:shd w:val="clear" w:color="auto" w:fill="auto"/>
            <w:vAlign w:val="center"/>
          </w:tcPr>
          <w:p w14:paraId="18779ADF">
            <w:pPr>
              <w:autoSpaceDE w:val="0"/>
              <w:autoSpaceDN w:val="0"/>
              <w:spacing w:line="300" w:lineRule="exact"/>
              <w:jc w:val="center"/>
              <w:rPr>
                <w:rFonts w:hint="default"/>
                <w:highlight w:val="none"/>
                <w:lang w:val="en-US" w:eastAsia="en-US"/>
              </w:rPr>
            </w:pPr>
            <w:r>
              <w:rPr>
                <w:rFonts w:hint="eastAsia"/>
                <w:highlight w:val="none"/>
                <w:lang w:val="en-US" w:eastAsia="zh-CN"/>
              </w:rPr>
              <w:t>66.677</w:t>
            </w:r>
          </w:p>
        </w:tc>
        <w:tc>
          <w:tcPr>
            <w:tcW w:w="273" w:type="pct"/>
            <w:tcBorders>
              <w:tl2br w:val="nil"/>
              <w:tr2bl w:val="nil"/>
            </w:tcBorders>
            <w:shd w:val="clear" w:color="auto" w:fill="auto"/>
            <w:vAlign w:val="center"/>
          </w:tcPr>
          <w:p w14:paraId="4A17E14D">
            <w:pPr>
              <w:autoSpaceDE w:val="0"/>
              <w:autoSpaceDN w:val="0"/>
              <w:spacing w:line="300" w:lineRule="exact"/>
              <w:jc w:val="center"/>
              <w:rPr>
                <w:rFonts w:hint="default"/>
                <w:highlight w:val="none"/>
              </w:rPr>
            </w:pPr>
            <w:r>
              <w:rPr>
                <w:rFonts w:hint="eastAsia"/>
                <w:highlight w:val="none"/>
                <w:lang w:val="en-US" w:eastAsia="zh-CN"/>
              </w:rPr>
              <w:t>达标</w:t>
            </w:r>
          </w:p>
        </w:tc>
      </w:tr>
      <w:tr w14:paraId="23618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1A41E72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tcBorders>
              <w:tl2br w:val="nil"/>
              <w:tr2bl w:val="nil"/>
            </w:tcBorders>
            <w:shd w:val="clear" w:color="auto" w:fill="auto"/>
            <w:vAlign w:val="center"/>
          </w:tcPr>
          <w:p w14:paraId="3FA2972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帕特曼喀什村居民区</w:t>
            </w:r>
          </w:p>
        </w:tc>
        <w:tc>
          <w:tcPr>
            <w:tcW w:w="455" w:type="pct"/>
            <w:tcBorders>
              <w:tl2br w:val="nil"/>
              <w:tr2bl w:val="nil"/>
            </w:tcBorders>
            <w:shd w:val="clear" w:color="auto" w:fill="auto"/>
            <w:vAlign w:val="center"/>
          </w:tcPr>
          <w:p w14:paraId="1DABC57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382" w:type="pct"/>
            <w:tcBorders>
              <w:tl2br w:val="nil"/>
              <w:tr2bl w:val="nil"/>
            </w:tcBorders>
            <w:shd w:val="clear" w:color="auto" w:fill="auto"/>
            <w:vAlign w:val="center"/>
          </w:tcPr>
          <w:p w14:paraId="6B8E3A51">
            <w:pPr>
              <w:autoSpaceDE w:val="0"/>
              <w:autoSpaceDN w:val="0"/>
              <w:spacing w:line="300" w:lineRule="exact"/>
              <w:jc w:val="center"/>
              <w:rPr>
                <w:rFonts w:hint="eastAsia"/>
                <w:highlight w:val="none"/>
              </w:rPr>
            </w:pPr>
            <w:r>
              <w:rPr>
                <w:rFonts w:hint="eastAsia"/>
                <w:highlight w:val="none"/>
                <w:lang w:val="en-US" w:eastAsia="zh-CN"/>
              </w:rPr>
              <w:t>1.5×10</w:t>
            </w:r>
            <w:r>
              <w:rPr>
                <w:rFonts w:hint="eastAsia"/>
                <w:highlight w:val="none"/>
                <w:vertAlign w:val="superscript"/>
                <w:lang w:val="en-US" w:eastAsia="zh-CN"/>
              </w:rPr>
              <w:t>-3</w:t>
            </w:r>
          </w:p>
        </w:tc>
        <w:tc>
          <w:tcPr>
            <w:tcW w:w="356" w:type="pct"/>
            <w:tcBorders>
              <w:tl2br w:val="nil"/>
              <w:tr2bl w:val="nil"/>
            </w:tcBorders>
            <w:shd w:val="clear" w:color="auto" w:fill="auto"/>
            <w:vAlign w:val="center"/>
          </w:tcPr>
          <w:p w14:paraId="7D8261A0">
            <w:pPr>
              <w:autoSpaceDE w:val="0"/>
              <w:autoSpaceDN w:val="0"/>
              <w:spacing w:line="300" w:lineRule="exact"/>
              <w:jc w:val="center"/>
              <w:rPr>
                <w:rFonts w:hint="eastAsia"/>
                <w:highlight w:val="none"/>
              </w:rPr>
            </w:pPr>
            <w:r>
              <w:rPr>
                <w:rFonts w:hint="eastAsia"/>
                <w:highlight w:val="none"/>
              </w:rPr>
              <w:t>251215</w:t>
            </w:r>
          </w:p>
        </w:tc>
        <w:tc>
          <w:tcPr>
            <w:tcW w:w="371" w:type="pct"/>
            <w:tcBorders>
              <w:tl2br w:val="nil"/>
              <w:tr2bl w:val="nil"/>
            </w:tcBorders>
            <w:shd w:val="clear" w:color="auto" w:fill="auto"/>
            <w:vAlign w:val="center"/>
          </w:tcPr>
          <w:p w14:paraId="65FAB454">
            <w:pPr>
              <w:autoSpaceDE w:val="0"/>
              <w:autoSpaceDN w:val="0"/>
              <w:spacing w:line="300" w:lineRule="exact"/>
              <w:jc w:val="center"/>
              <w:rPr>
                <w:rFonts w:hint="eastAsia"/>
                <w:highlight w:val="none"/>
              </w:rPr>
            </w:pPr>
            <w:r>
              <w:rPr>
                <w:rFonts w:hint="eastAsia"/>
                <w:highlight w:val="none"/>
              </w:rPr>
              <w:t>0.01</w:t>
            </w:r>
          </w:p>
        </w:tc>
        <w:tc>
          <w:tcPr>
            <w:tcW w:w="229" w:type="pct"/>
            <w:tcBorders>
              <w:tl2br w:val="nil"/>
              <w:tr2bl w:val="nil"/>
            </w:tcBorders>
            <w:shd w:val="clear" w:color="auto" w:fill="auto"/>
            <w:vAlign w:val="center"/>
          </w:tcPr>
          <w:p w14:paraId="25C45170">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40D5DFE1">
            <w:pPr>
              <w:autoSpaceDE w:val="0"/>
              <w:autoSpaceDN w:val="0"/>
              <w:spacing w:line="300" w:lineRule="exact"/>
              <w:jc w:val="center"/>
              <w:rPr>
                <w:rFonts w:hint="default" w:ascii="Times New Roman" w:hAnsi="Times New Roman" w:cs="Times New Roman" w:eastAsiaTheme="minorEastAsia"/>
                <w:highlight w:val="none"/>
                <w:lang w:val="en-US"/>
              </w:rPr>
            </w:pPr>
            <w:r>
              <w:rPr>
                <w:rFonts w:hint="eastAsia" w:ascii="Times New Roman" w:hAnsi="Times New Roman" w:cs="Times New Roman"/>
                <w:highlight w:val="none"/>
                <w:lang w:val="en-US" w:eastAsia="zh-CN"/>
              </w:rPr>
              <w:t>10</w:t>
            </w:r>
          </w:p>
        </w:tc>
        <w:tc>
          <w:tcPr>
            <w:tcW w:w="320" w:type="pct"/>
            <w:tcBorders>
              <w:tl2br w:val="nil"/>
              <w:tr2bl w:val="nil"/>
            </w:tcBorders>
            <w:shd w:val="clear" w:color="auto" w:fill="auto"/>
            <w:vAlign w:val="center"/>
          </w:tcPr>
          <w:p w14:paraId="4163E4EE">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7533A233">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w:t>
            </w:r>
          </w:p>
        </w:tc>
        <w:tc>
          <w:tcPr>
            <w:tcW w:w="494" w:type="pct"/>
            <w:tcBorders>
              <w:tl2br w:val="nil"/>
              <w:tr2bl w:val="nil"/>
            </w:tcBorders>
            <w:shd w:val="clear" w:color="auto" w:fill="auto"/>
            <w:vAlign w:val="center"/>
          </w:tcPr>
          <w:p w14:paraId="2A332856">
            <w:pPr>
              <w:autoSpaceDE w:val="0"/>
              <w:autoSpaceDN w:val="0"/>
              <w:spacing w:line="300" w:lineRule="exact"/>
              <w:jc w:val="center"/>
              <w:rPr>
                <w:rFonts w:hint="default"/>
                <w:highlight w:val="none"/>
                <w:lang w:val="en-US" w:eastAsia="en-US"/>
              </w:rPr>
            </w:pPr>
            <w:r>
              <w:rPr>
                <w:rFonts w:hint="eastAsia"/>
                <w:highlight w:val="none"/>
                <w:lang w:val="en-US" w:eastAsia="zh-CN"/>
              </w:rPr>
              <w:t>10.0015</w:t>
            </w:r>
          </w:p>
        </w:tc>
        <w:tc>
          <w:tcPr>
            <w:tcW w:w="302" w:type="pct"/>
            <w:tcBorders>
              <w:tl2br w:val="nil"/>
              <w:tr2bl w:val="nil"/>
            </w:tcBorders>
            <w:shd w:val="clear" w:color="auto" w:fill="auto"/>
            <w:vAlign w:val="center"/>
          </w:tcPr>
          <w:p w14:paraId="1E429960">
            <w:pPr>
              <w:autoSpaceDE w:val="0"/>
              <w:autoSpaceDN w:val="0"/>
              <w:spacing w:line="300" w:lineRule="exact"/>
              <w:jc w:val="center"/>
              <w:rPr>
                <w:rFonts w:hint="default"/>
                <w:highlight w:val="none"/>
                <w:lang w:val="en-US" w:eastAsia="en-US"/>
              </w:rPr>
            </w:pPr>
            <w:r>
              <w:rPr>
                <w:rFonts w:hint="eastAsia"/>
                <w:highlight w:val="none"/>
                <w:lang w:val="en-US" w:eastAsia="zh-CN"/>
              </w:rPr>
              <w:t>66.677</w:t>
            </w:r>
          </w:p>
        </w:tc>
        <w:tc>
          <w:tcPr>
            <w:tcW w:w="273" w:type="pct"/>
            <w:tcBorders>
              <w:tl2br w:val="nil"/>
              <w:tr2bl w:val="nil"/>
            </w:tcBorders>
            <w:shd w:val="clear" w:color="auto" w:fill="auto"/>
            <w:vAlign w:val="center"/>
          </w:tcPr>
          <w:p w14:paraId="319C884F">
            <w:pPr>
              <w:autoSpaceDE w:val="0"/>
              <w:autoSpaceDN w:val="0"/>
              <w:spacing w:line="300" w:lineRule="exact"/>
              <w:jc w:val="center"/>
              <w:rPr>
                <w:rFonts w:hint="default"/>
                <w:highlight w:val="none"/>
              </w:rPr>
            </w:pPr>
            <w:r>
              <w:rPr>
                <w:rFonts w:hint="eastAsia"/>
                <w:highlight w:val="none"/>
                <w:lang w:val="en-US" w:eastAsia="zh-CN"/>
              </w:rPr>
              <w:t>达标</w:t>
            </w:r>
          </w:p>
        </w:tc>
      </w:tr>
      <w:tr w14:paraId="75167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274D3DC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tcBorders>
              <w:tl2br w:val="nil"/>
              <w:tr2bl w:val="nil"/>
            </w:tcBorders>
            <w:shd w:val="clear" w:color="auto" w:fill="auto"/>
            <w:vAlign w:val="center"/>
          </w:tcPr>
          <w:p w14:paraId="34E17DA1">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网格</w:t>
            </w:r>
          </w:p>
        </w:tc>
        <w:tc>
          <w:tcPr>
            <w:tcW w:w="455" w:type="pct"/>
            <w:tcBorders>
              <w:tl2br w:val="nil"/>
              <w:tr2bl w:val="nil"/>
            </w:tcBorders>
            <w:shd w:val="clear" w:color="auto" w:fill="auto"/>
            <w:vAlign w:val="center"/>
          </w:tcPr>
          <w:p w14:paraId="34397A6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382" w:type="pct"/>
            <w:tcBorders>
              <w:tl2br w:val="nil"/>
              <w:tr2bl w:val="nil"/>
            </w:tcBorders>
            <w:shd w:val="clear" w:color="auto" w:fill="auto"/>
            <w:vAlign w:val="center"/>
          </w:tcPr>
          <w:p w14:paraId="1F71C5A1">
            <w:pPr>
              <w:autoSpaceDE w:val="0"/>
              <w:autoSpaceDN w:val="0"/>
              <w:spacing w:line="300" w:lineRule="exact"/>
              <w:jc w:val="center"/>
              <w:rPr>
                <w:rFonts w:hint="eastAsia"/>
                <w:highlight w:val="none"/>
              </w:rPr>
            </w:pPr>
            <w:r>
              <w:rPr>
                <w:rFonts w:hint="eastAsia"/>
                <w:highlight w:val="none"/>
              </w:rPr>
              <w:t>0.06</w:t>
            </w:r>
          </w:p>
        </w:tc>
        <w:tc>
          <w:tcPr>
            <w:tcW w:w="356" w:type="pct"/>
            <w:tcBorders>
              <w:tl2br w:val="nil"/>
              <w:tr2bl w:val="nil"/>
            </w:tcBorders>
            <w:shd w:val="clear" w:color="auto" w:fill="auto"/>
            <w:vAlign w:val="center"/>
          </w:tcPr>
          <w:p w14:paraId="581DDE3C">
            <w:pPr>
              <w:autoSpaceDE w:val="0"/>
              <w:autoSpaceDN w:val="0"/>
              <w:spacing w:line="300" w:lineRule="exact"/>
              <w:jc w:val="center"/>
              <w:rPr>
                <w:rFonts w:hint="eastAsia"/>
                <w:highlight w:val="none"/>
              </w:rPr>
            </w:pPr>
            <w:r>
              <w:rPr>
                <w:rFonts w:hint="eastAsia"/>
                <w:highlight w:val="none"/>
                <w:lang w:val="en-US" w:eastAsia="zh-CN"/>
              </w:rPr>
              <w:t>250927</w:t>
            </w:r>
          </w:p>
        </w:tc>
        <w:tc>
          <w:tcPr>
            <w:tcW w:w="371" w:type="pct"/>
            <w:tcBorders>
              <w:tl2br w:val="nil"/>
              <w:tr2bl w:val="nil"/>
            </w:tcBorders>
            <w:shd w:val="clear" w:color="auto" w:fill="auto"/>
            <w:vAlign w:val="center"/>
          </w:tcPr>
          <w:p w14:paraId="6C6DACA5">
            <w:pPr>
              <w:autoSpaceDE w:val="0"/>
              <w:autoSpaceDN w:val="0"/>
              <w:spacing w:line="300" w:lineRule="exact"/>
              <w:jc w:val="center"/>
              <w:rPr>
                <w:rFonts w:hint="eastAsia"/>
                <w:highlight w:val="none"/>
              </w:rPr>
            </w:pPr>
            <w:r>
              <w:rPr>
                <w:rFonts w:hint="eastAsia"/>
                <w:highlight w:val="none"/>
              </w:rPr>
              <w:t>0.39</w:t>
            </w:r>
          </w:p>
        </w:tc>
        <w:tc>
          <w:tcPr>
            <w:tcW w:w="229" w:type="pct"/>
            <w:tcBorders>
              <w:tl2br w:val="nil"/>
              <w:tr2bl w:val="nil"/>
            </w:tcBorders>
            <w:shd w:val="clear" w:color="auto" w:fill="auto"/>
            <w:vAlign w:val="center"/>
          </w:tcPr>
          <w:p w14:paraId="56FF86BA">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58ADF98F">
            <w:pPr>
              <w:autoSpaceDE w:val="0"/>
              <w:autoSpaceDN w:val="0"/>
              <w:spacing w:line="300" w:lineRule="exact"/>
              <w:jc w:val="center"/>
              <w:rPr>
                <w:rFonts w:hint="default" w:ascii="Times New Roman" w:hAnsi="Times New Roman" w:cs="Times New Roman" w:eastAsiaTheme="minorEastAsia"/>
                <w:highlight w:val="none"/>
                <w:lang w:val="en-US"/>
              </w:rPr>
            </w:pPr>
            <w:r>
              <w:rPr>
                <w:rFonts w:hint="eastAsia" w:ascii="Times New Roman" w:hAnsi="Times New Roman" w:cs="Times New Roman"/>
                <w:highlight w:val="none"/>
                <w:lang w:val="en-US" w:eastAsia="zh-CN"/>
              </w:rPr>
              <w:t>10</w:t>
            </w:r>
          </w:p>
        </w:tc>
        <w:tc>
          <w:tcPr>
            <w:tcW w:w="320" w:type="pct"/>
            <w:tcBorders>
              <w:tl2br w:val="nil"/>
              <w:tr2bl w:val="nil"/>
            </w:tcBorders>
            <w:shd w:val="clear" w:color="auto" w:fill="auto"/>
            <w:vAlign w:val="center"/>
          </w:tcPr>
          <w:p w14:paraId="2C456216">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50A7118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w:t>
            </w:r>
          </w:p>
        </w:tc>
        <w:tc>
          <w:tcPr>
            <w:tcW w:w="494" w:type="pct"/>
            <w:tcBorders>
              <w:tl2br w:val="nil"/>
              <w:tr2bl w:val="nil"/>
            </w:tcBorders>
            <w:shd w:val="clear" w:color="auto" w:fill="auto"/>
            <w:vAlign w:val="center"/>
          </w:tcPr>
          <w:p w14:paraId="4852071D">
            <w:pPr>
              <w:autoSpaceDE w:val="0"/>
              <w:autoSpaceDN w:val="0"/>
              <w:spacing w:line="300" w:lineRule="exact"/>
              <w:jc w:val="center"/>
              <w:rPr>
                <w:rFonts w:hint="default"/>
                <w:highlight w:val="none"/>
                <w:lang w:val="en-US" w:eastAsia="en-US"/>
              </w:rPr>
            </w:pPr>
            <w:r>
              <w:rPr>
                <w:rFonts w:hint="eastAsia"/>
                <w:highlight w:val="none"/>
                <w:lang w:val="en-US" w:eastAsia="zh-CN"/>
              </w:rPr>
              <w:t>10.06</w:t>
            </w:r>
          </w:p>
        </w:tc>
        <w:tc>
          <w:tcPr>
            <w:tcW w:w="302" w:type="pct"/>
            <w:tcBorders>
              <w:tl2br w:val="nil"/>
              <w:tr2bl w:val="nil"/>
            </w:tcBorders>
            <w:shd w:val="clear" w:color="auto" w:fill="auto"/>
            <w:vAlign w:val="center"/>
          </w:tcPr>
          <w:p w14:paraId="5CEA3BDB">
            <w:pPr>
              <w:autoSpaceDE w:val="0"/>
              <w:autoSpaceDN w:val="0"/>
              <w:spacing w:line="300" w:lineRule="exact"/>
              <w:jc w:val="center"/>
              <w:rPr>
                <w:rFonts w:hint="default"/>
                <w:highlight w:val="none"/>
                <w:lang w:val="en-US" w:eastAsia="en-US"/>
              </w:rPr>
            </w:pPr>
            <w:r>
              <w:rPr>
                <w:rFonts w:hint="eastAsia"/>
                <w:highlight w:val="none"/>
                <w:lang w:val="en-US" w:eastAsia="zh-CN"/>
              </w:rPr>
              <w:t>67.067</w:t>
            </w:r>
          </w:p>
        </w:tc>
        <w:tc>
          <w:tcPr>
            <w:tcW w:w="273" w:type="pct"/>
            <w:tcBorders>
              <w:tl2br w:val="nil"/>
              <w:tr2bl w:val="nil"/>
            </w:tcBorders>
            <w:shd w:val="clear" w:color="auto" w:fill="auto"/>
            <w:vAlign w:val="center"/>
          </w:tcPr>
          <w:p w14:paraId="026289FB">
            <w:pPr>
              <w:autoSpaceDE w:val="0"/>
              <w:autoSpaceDN w:val="0"/>
              <w:spacing w:line="300" w:lineRule="exact"/>
              <w:jc w:val="center"/>
              <w:rPr>
                <w:rFonts w:hint="default"/>
                <w:highlight w:val="none"/>
              </w:rPr>
            </w:pPr>
            <w:r>
              <w:rPr>
                <w:rFonts w:hint="eastAsia"/>
                <w:highlight w:val="none"/>
                <w:lang w:val="en-US" w:eastAsia="zh-CN"/>
              </w:rPr>
              <w:t>达标</w:t>
            </w:r>
          </w:p>
        </w:tc>
      </w:tr>
      <w:tr w14:paraId="1203B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restart"/>
            <w:tcBorders>
              <w:tl2br w:val="nil"/>
              <w:tr2bl w:val="nil"/>
            </w:tcBorders>
            <w:shd w:val="clear" w:color="auto" w:fill="auto"/>
            <w:vAlign w:val="center"/>
          </w:tcPr>
          <w:p w14:paraId="44BC612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Hg</w:t>
            </w:r>
          </w:p>
        </w:tc>
        <w:tc>
          <w:tcPr>
            <w:tcW w:w="748" w:type="pct"/>
            <w:tcBorders>
              <w:tl2br w:val="nil"/>
              <w:tr2bl w:val="nil"/>
            </w:tcBorders>
            <w:shd w:val="clear" w:color="auto" w:fill="auto"/>
            <w:vAlign w:val="center"/>
          </w:tcPr>
          <w:p w14:paraId="49C70E0B">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en-US" w:bidi="ar-SA"/>
              </w:rPr>
            </w:pPr>
            <w:r>
              <w:rPr>
                <w:rFonts w:hint="eastAsia" w:ascii="Times New Roman" w:hAnsi="Times New Roman" w:cs="Times New Roman"/>
                <w:szCs w:val="21"/>
                <w:highlight w:val="none"/>
                <w:lang w:val="en-US" w:eastAsia="zh-CN"/>
              </w:rPr>
              <w:t>兰干村居民区</w:t>
            </w:r>
          </w:p>
        </w:tc>
        <w:tc>
          <w:tcPr>
            <w:tcW w:w="455" w:type="pct"/>
            <w:tcBorders>
              <w:tl2br w:val="nil"/>
              <w:tr2bl w:val="nil"/>
            </w:tcBorders>
            <w:shd w:val="clear" w:color="auto" w:fill="auto"/>
            <w:vAlign w:val="center"/>
          </w:tcPr>
          <w:p w14:paraId="5C5BB86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382" w:type="pct"/>
            <w:tcBorders>
              <w:tl2br w:val="nil"/>
              <w:tr2bl w:val="nil"/>
            </w:tcBorders>
            <w:shd w:val="clear" w:color="auto" w:fill="auto"/>
            <w:vAlign w:val="center"/>
          </w:tcPr>
          <w:p w14:paraId="45105424">
            <w:pPr>
              <w:autoSpaceDE w:val="0"/>
              <w:autoSpaceDN w:val="0"/>
              <w:spacing w:line="300" w:lineRule="exact"/>
              <w:jc w:val="center"/>
              <w:rPr>
                <w:rFonts w:hint="eastAsia"/>
                <w:highlight w:val="none"/>
              </w:rPr>
            </w:pPr>
            <w:r>
              <w:rPr>
                <w:rFonts w:hint="eastAsia"/>
                <w:highlight w:val="none"/>
              </w:rPr>
              <w:t>0.00</w:t>
            </w:r>
          </w:p>
        </w:tc>
        <w:tc>
          <w:tcPr>
            <w:tcW w:w="356" w:type="pct"/>
            <w:tcBorders>
              <w:tl2br w:val="nil"/>
              <w:tr2bl w:val="nil"/>
            </w:tcBorders>
            <w:shd w:val="clear" w:color="auto" w:fill="auto"/>
            <w:vAlign w:val="center"/>
          </w:tcPr>
          <w:p w14:paraId="5F54CA43">
            <w:pPr>
              <w:autoSpaceDE w:val="0"/>
              <w:autoSpaceDN w:val="0"/>
              <w:spacing w:line="300" w:lineRule="exact"/>
              <w:jc w:val="center"/>
              <w:rPr>
                <w:rFonts w:hint="eastAsia"/>
                <w:highlight w:val="none"/>
              </w:rPr>
            </w:pPr>
            <w:r>
              <w:rPr>
                <w:rFonts w:hint="eastAsia"/>
                <w:highlight w:val="none"/>
              </w:rPr>
              <w:t>平均值</w:t>
            </w:r>
          </w:p>
        </w:tc>
        <w:tc>
          <w:tcPr>
            <w:tcW w:w="371" w:type="pct"/>
            <w:tcBorders>
              <w:tl2br w:val="nil"/>
              <w:tr2bl w:val="nil"/>
            </w:tcBorders>
            <w:shd w:val="clear" w:color="auto" w:fill="auto"/>
            <w:vAlign w:val="center"/>
          </w:tcPr>
          <w:p w14:paraId="373E7634">
            <w:pPr>
              <w:autoSpaceDE w:val="0"/>
              <w:autoSpaceDN w:val="0"/>
              <w:spacing w:line="300" w:lineRule="exact"/>
              <w:jc w:val="center"/>
              <w:rPr>
                <w:rFonts w:hint="eastAsia"/>
                <w:highlight w:val="none"/>
              </w:rPr>
            </w:pPr>
            <w:r>
              <w:rPr>
                <w:rFonts w:hint="eastAsia"/>
                <w:highlight w:val="none"/>
              </w:rPr>
              <w:t>0.00</w:t>
            </w:r>
          </w:p>
        </w:tc>
        <w:tc>
          <w:tcPr>
            <w:tcW w:w="229" w:type="pct"/>
            <w:tcBorders>
              <w:tl2br w:val="nil"/>
              <w:tr2bl w:val="nil"/>
            </w:tcBorders>
            <w:shd w:val="clear" w:color="auto" w:fill="auto"/>
            <w:vAlign w:val="center"/>
          </w:tcPr>
          <w:p w14:paraId="57F14D8D">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46B28596">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0.01</w:t>
            </w:r>
          </w:p>
        </w:tc>
        <w:tc>
          <w:tcPr>
            <w:tcW w:w="320" w:type="pct"/>
            <w:tcBorders>
              <w:tl2br w:val="nil"/>
              <w:tr2bl w:val="nil"/>
            </w:tcBorders>
            <w:shd w:val="clear" w:color="auto" w:fill="auto"/>
            <w:vAlign w:val="center"/>
          </w:tcPr>
          <w:p w14:paraId="08747A0C">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12998B63">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en-US"/>
              </w:rPr>
              <w:t>0.00</w:t>
            </w:r>
          </w:p>
        </w:tc>
        <w:tc>
          <w:tcPr>
            <w:tcW w:w="494" w:type="pct"/>
            <w:tcBorders>
              <w:tl2br w:val="nil"/>
              <w:tr2bl w:val="nil"/>
            </w:tcBorders>
            <w:shd w:val="clear" w:color="auto" w:fill="auto"/>
            <w:vAlign w:val="center"/>
          </w:tcPr>
          <w:p w14:paraId="3D08D4B5">
            <w:pPr>
              <w:autoSpaceDE w:val="0"/>
              <w:autoSpaceDN w:val="0"/>
              <w:spacing w:line="300" w:lineRule="exact"/>
              <w:jc w:val="center"/>
              <w:rPr>
                <w:rFonts w:hint="default"/>
                <w:highlight w:val="none"/>
                <w:lang w:val="en-US" w:eastAsia="en-US"/>
              </w:rPr>
            </w:pPr>
            <w:r>
              <w:rPr>
                <w:rFonts w:hint="eastAsia"/>
                <w:highlight w:val="none"/>
                <w:lang w:val="en-US" w:eastAsia="zh-CN"/>
              </w:rPr>
              <w:t>0.01</w:t>
            </w:r>
          </w:p>
        </w:tc>
        <w:tc>
          <w:tcPr>
            <w:tcW w:w="302" w:type="pct"/>
            <w:tcBorders>
              <w:tl2br w:val="nil"/>
              <w:tr2bl w:val="nil"/>
            </w:tcBorders>
            <w:shd w:val="clear" w:color="auto" w:fill="auto"/>
            <w:vAlign w:val="center"/>
          </w:tcPr>
          <w:p w14:paraId="3C373846">
            <w:pPr>
              <w:autoSpaceDE w:val="0"/>
              <w:autoSpaceDN w:val="0"/>
              <w:spacing w:line="300" w:lineRule="exact"/>
              <w:jc w:val="center"/>
              <w:rPr>
                <w:rFonts w:hint="default"/>
                <w:highlight w:val="none"/>
                <w:lang w:val="en-US" w:eastAsia="en-US"/>
              </w:rPr>
            </w:pPr>
            <w:r>
              <w:rPr>
                <w:rFonts w:hint="eastAsia"/>
                <w:highlight w:val="none"/>
                <w:lang w:val="en-US" w:eastAsia="zh-CN"/>
              </w:rPr>
              <w:t>20</w:t>
            </w:r>
          </w:p>
        </w:tc>
        <w:tc>
          <w:tcPr>
            <w:tcW w:w="273" w:type="pct"/>
            <w:tcBorders>
              <w:tl2br w:val="nil"/>
              <w:tr2bl w:val="nil"/>
            </w:tcBorders>
            <w:shd w:val="clear" w:color="auto" w:fill="auto"/>
            <w:vAlign w:val="center"/>
          </w:tcPr>
          <w:p w14:paraId="3EDFA301">
            <w:pPr>
              <w:autoSpaceDE w:val="0"/>
              <w:autoSpaceDN w:val="0"/>
              <w:spacing w:line="300" w:lineRule="exact"/>
              <w:jc w:val="center"/>
              <w:rPr>
                <w:rFonts w:hint="default"/>
                <w:highlight w:val="none"/>
              </w:rPr>
            </w:pPr>
            <w:r>
              <w:rPr>
                <w:rFonts w:hint="eastAsia"/>
                <w:highlight w:val="none"/>
                <w:lang w:val="en-US" w:eastAsia="zh-CN"/>
              </w:rPr>
              <w:t>达标</w:t>
            </w:r>
          </w:p>
        </w:tc>
      </w:tr>
      <w:tr w14:paraId="300AA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64F5F28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tcBorders>
              <w:tl2br w:val="nil"/>
              <w:tr2bl w:val="nil"/>
            </w:tcBorders>
            <w:shd w:val="clear" w:color="auto" w:fill="auto"/>
            <w:vAlign w:val="center"/>
          </w:tcPr>
          <w:p w14:paraId="32CE06C5">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en-US" w:bidi="ar-SA"/>
              </w:rPr>
            </w:pPr>
            <w:r>
              <w:rPr>
                <w:rFonts w:hint="eastAsia" w:ascii="Times New Roman" w:hAnsi="Times New Roman" w:cs="Times New Roman"/>
                <w:szCs w:val="21"/>
                <w:highlight w:val="none"/>
                <w:lang w:val="en-US" w:eastAsia="zh-CN"/>
              </w:rPr>
              <w:t>萨依巴格村居民区</w:t>
            </w:r>
          </w:p>
        </w:tc>
        <w:tc>
          <w:tcPr>
            <w:tcW w:w="455" w:type="pct"/>
            <w:tcBorders>
              <w:tl2br w:val="nil"/>
              <w:tr2bl w:val="nil"/>
            </w:tcBorders>
            <w:shd w:val="clear" w:color="auto" w:fill="auto"/>
            <w:vAlign w:val="center"/>
          </w:tcPr>
          <w:p w14:paraId="0F43CD0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382" w:type="pct"/>
            <w:tcBorders>
              <w:tl2br w:val="nil"/>
              <w:tr2bl w:val="nil"/>
            </w:tcBorders>
            <w:shd w:val="clear" w:color="auto" w:fill="auto"/>
            <w:vAlign w:val="center"/>
          </w:tcPr>
          <w:p w14:paraId="29FF0D37">
            <w:pPr>
              <w:autoSpaceDE w:val="0"/>
              <w:autoSpaceDN w:val="0"/>
              <w:spacing w:line="300" w:lineRule="exact"/>
              <w:jc w:val="center"/>
              <w:rPr>
                <w:rFonts w:hint="eastAsia"/>
                <w:highlight w:val="none"/>
              </w:rPr>
            </w:pPr>
            <w:r>
              <w:rPr>
                <w:rFonts w:hint="eastAsia"/>
                <w:highlight w:val="none"/>
              </w:rPr>
              <w:t>0.00</w:t>
            </w:r>
          </w:p>
        </w:tc>
        <w:tc>
          <w:tcPr>
            <w:tcW w:w="356" w:type="pct"/>
            <w:tcBorders>
              <w:tl2br w:val="nil"/>
              <w:tr2bl w:val="nil"/>
            </w:tcBorders>
            <w:shd w:val="clear" w:color="auto" w:fill="auto"/>
            <w:vAlign w:val="center"/>
          </w:tcPr>
          <w:p w14:paraId="3A33AC82">
            <w:pPr>
              <w:autoSpaceDE w:val="0"/>
              <w:autoSpaceDN w:val="0"/>
              <w:spacing w:line="300" w:lineRule="exact"/>
              <w:jc w:val="center"/>
              <w:rPr>
                <w:rFonts w:hint="eastAsia"/>
                <w:highlight w:val="none"/>
              </w:rPr>
            </w:pPr>
            <w:r>
              <w:rPr>
                <w:rFonts w:hint="eastAsia"/>
                <w:highlight w:val="none"/>
              </w:rPr>
              <w:t>平均值</w:t>
            </w:r>
          </w:p>
        </w:tc>
        <w:tc>
          <w:tcPr>
            <w:tcW w:w="371" w:type="pct"/>
            <w:tcBorders>
              <w:tl2br w:val="nil"/>
              <w:tr2bl w:val="nil"/>
            </w:tcBorders>
            <w:shd w:val="clear" w:color="auto" w:fill="auto"/>
            <w:vAlign w:val="center"/>
          </w:tcPr>
          <w:p w14:paraId="1F15EB50">
            <w:pPr>
              <w:autoSpaceDE w:val="0"/>
              <w:autoSpaceDN w:val="0"/>
              <w:spacing w:line="300" w:lineRule="exact"/>
              <w:jc w:val="center"/>
              <w:rPr>
                <w:rFonts w:hint="eastAsia"/>
                <w:highlight w:val="none"/>
              </w:rPr>
            </w:pPr>
            <w:r>
              <w:rPr>
                <w:rFonts w:hint="eastAsia"/>
                <w:highlight w:val="none"/>
              </w:rPr>
              <w:t>0.00</w:t>
            </w:r>
          </w:p>
        </w:tc>
        <w:tc>
          <w:tcPr>
            <w:tcW w:w="229" w:type="pct"/>
            <w:tcBorders>
              <w:tl2br w:val="nil"/>
              <w:tr2bl w:val="nil"/>
            </w:tcBorders>
            <w:shd w:val="clear" w:color="auto" w:fill="auto"/>
            <w:vAlign w:val="center"/>
          </w:tcPr>
          <w:p w14:paraId="35F88BF6">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6FDDE0B7">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0.01</w:t>
            </w:r>
          </w:p>
        </w:tc>
        <w:tc>
          <w:tcPr>
            <w:tcW w:w="320" w:type="pct"/>
            <w:tcBorders>
              <w:tl2br w:val="nil"/>
              <w:tr2bl w:val="nil"/>
            </w:tcBorders>
            <w:shd w:val="clear" w:color="auto" w:fill="auto"/>
            <w:vAlign w:val="center"/>
          </w:tcPr>
          <w:p w14:paraId="24B41151">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7219C59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en-US"/>
              </w:rPr>
              <w:t>0.00</w:t>
            </w:r>
          </w:p>
        </w:tc>
        <w:tc>
          <w:tcPr>
            <w:tcW w:w="494" w:type="pct"/>
            <w:tcBorders>
              <w:tl2br w:val="nil"/>
              <w:tr2bl w:val="nil"/>
            </w:tcBorders>
            <w:shd w:val="clear" w:color="auto" w:fill="auto"/>
            <w:vAlign w:val="center"/>
          </w:tcPr>
          <w:p w14:paraId="26DFD5E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0.01</w:t>
            </w:r>
          </w:p>
        </w:tc>
        <w:tc>
          <w:tcPr>
            <w:tcW w:w="302" w:type="pct"/>
            <w:tcBorders>
              <w:tl2br w:val="nil"/>
              <w:tr2bl w:val="nil"/>
            </w:tcBorders>
            <w:shd w:val="clear" w:color="auto" w:fill="auto"/>
            <w:vAlign w:val="center"/>
          </w:tcPr>
          <w:p w14:paraId="2E67787F">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20</w:t>
            </w:r>
          </w:p>
        </w:tc>
        <w:tc>
          <w:tcPr>
            <w:tcW w:w="273" w:type="pct"/>
            <w:tcBorders>
              <w:tl2br w:val="nil"/>
              <w:tr2bl w:val="nil"/>
            </w:tcBorders>
            <w:shd w:val="clear" w:color="auto" w:fill="auto"/>
            <w:vAlign w:val="center"/>
          </w:tcPr>
          <w:p w14:paraId="6B911060">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61A12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48EB72F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tcBorders>
              <w:tl2br w:val="nil"/>
              <w:tr2bl w:val="nil"/>
            </w:tcBorders>
            <w:shd w:val="clear" w:color="auto" w:fill="auto"/>
            <w:vAlign w:val="center"/>
          </w:tcPr>
          <w:p w14:paraId="6A6C0205">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en-US" w:bidi="ar-SA"/>
              </w:rPr>
            </w:pPr>
            <w:r>
              <w:rPr>
                <w:rFonts w:hint="eastAsia" w:ascii="Times New Roman" w:hAnsi="Times New Roman" w:cs="Times New Roman"/>
                <w:szCs w:val="21"/>
                <w:highlight w:val="none"/>
                <w:lang w:val="en-US" w:eastAsia="zh-CN"/>
              </w:rPr>
              <w:t>帕特曼喀什村居民区</w:t>
            </w:r>
          </w:p>
        </w:tc>
        <w:tc>
          <w:tcPr>
            <w:tcW w:w="455" w:type="pct"/>
            <w:tcBorders>
              <w:tl2br w:val="nil"/>
              <w:tr2bl w:val="nil"/>
            </w:tcBorders>
            <w:shd w:val="clear" w:color="auto" w:fill="auto"/>
            <w:vAlign w:val="center"/>
          </w:tcPr>
          <w:p w14:paraId="43D3794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382" w:type="pct"/>
            <w:tcBorders>
              <w:tl2br w:val="nil"/>
              <w:tr2bl w:val="nil"/>
            </w:tcBorders>
            <w:shd w:val="clear" w:color="auto" w:fill="auto"/>
            <w:vAlign w:val="center"/>
          </w:tcPr>
          <w:p w14:paraId="3CF6FDF7">
            <w:pPr>
              <w:autoSpaceDE w:val="0"/>
              <w:autoSpaceDN w:val="0"/>
              <w:spacing w:line="300" w:lineRule="exact"/>
              <w:jc w:val="center"/>
              <w:rPr>
                <w:rFonts w:hint="eastAsia"/>
                <w:highlight w:val="none"/>
              </w:rPr>
            </w:pPr>
            <w:r>
              <w:rPr>
                <w:rFonts w:hint="eastAsia"/>
                <w:highlight w:val="none"/>
              </w:rPr>
              <w:t>0.00</w:t>
            </w:r>
          </w:p>
        </w:tc>
        <w:tc>
          <w:tcPr>
            <w:tcW w:w="356" w:type="pct"/>
            <w:tcBorders>
              <w:tl2br w:val="nil"/>
              <w:tr2bl w:val="nil"/>
            </w:tcBorders>
            <w:shd w:val="clear" w:color="auto" w:fill="auto"/>
            <w:vAlign w:val="center"/>
          </w:tcPr>
          <w:p w14:paraId="2355D739">
            <w:pPr>
              <w:autoSpaceDE w:val="0"/>
              <w:autoSpaceDN w:val="0"/>
              <w:spacing w:line="300" w:lineRule="exact"/>
              <w:jc w:val="center"/>
              <w:rPr>
                <w:rFonts w:hint="eastAsia"/>
                <w:highlight w:val="none"/>
              </w:rPr>
            </w:pPr>
            <w:r>
              <w:rPr>
                <w:rFonts w:hint="eastAsia"/>
                <w:highlight w:val="none"/>
              </w:rPr>
              <w:t>平均值</w:t>
            </w:r>
          </w:p>
        </w:tc>
        <w:tc>
          <w:tcPr>
            <w:tcW w:w="371" w:type="pct"/>
            <w:tcBorders>
              <w:tl2br w:val="nil"/>
              <w:tr2bl w:val="nil"/>
            </w:tcBorders>
            <w:shd w:val="clear" w:color="auto" w:fill="auto"/>
            <w:vAlign w:val="center"/>
          </w:tcPr>
          <w:p w14:paraId="66AECD7D">
            <w:pPr>
              <w:autoSpaceDE w:val="0"/>
              <w:autoSpaceDN w:val="0"/>
              <w:spacing w:line="300" w:lineRule="exact"/>
              <w:jc w:val="center"/>
              <w:rPr>
                <w:rFonts w:hint="eastAsia"/>
                <w:highlight w:val="none"/>
              </w:rPr>
            </w:pPr>
            <w:r>
              <w:rPr>
                <w:rFonts w:hint="eastAsia"/>
                <w:highlight w:val="none"/>
              </w:rPr>
              <w:t>0.00</w:t>
            </w:r>
          </w:p>
        </w:tc>
        <w:tc>
          <w:tcPr>
            <w:tcW w:w="229" w:type="pct"/>
            <w:tcBorders>
              <w:tl2br w:val="nil"/>
              <w:tr2bl w:val="nil"/>
            </w:tcBorders>
            <w:shd w:val="clear" w:color="auto" w:fill="auto"/>
            <w:vAlign w:val="center"/>
          </w:tcPr>
          <w:p w14:paraId="21DED074">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55599B12">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0.01</w:t>
            </w:r>
          </w:p>
        </w:tc>
        <w:tc>
          <w:tcPr>
            <w:tcW w:w="320" w:type="pct"/>
            <w:tcBorders>
              <w:tl2br w:val="nil"/>
              <w:tr2bl w:val="nil"/>
            </w:tcBorders>
            <w:shd w:val="clear" w:color="auto" w:fill="auto"/>
            <w:vAlign w:val="center"/>
          </w:tcPr>
          <w:p w14:paraId="611A0C43">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1F66005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en-US"/>
              </w:rPr>
              <w:t>0.00</w:t>
            </w:r>
          </w:p>
        </w:tc>
        <w:tc>
          <w:tcPr>
            <w:tcW w:w="494" w:type="pct"/>
            <w:tcBorders>
              <w:tl2br w:val="nil"/>
              <w:tr2bl w:val="nil"/>
            </w:tcBorders>
            <w:shd w:val="clear" w:color="auto" w:fill="auto"/>
            <w:vAlign w:val="center"/>
          </w:tcPr>
          <w:p w14:paraId="743BEF0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0.01</w:t>
            </w:r>
          </w:p>
        </w:tc>
        <w:tc>
          <w:tcPr>
            <w:tcW w:w="302" w:type="pct"/>
            <w:tcBorders>
              <w:tl2br w:val="nil"/>
              <w:tr2bl w:val="nil"/>
            </w:tcBorders>
            <w:shd w:val="clear" w:color="auto" w:fill="auto"/>
            <w:vAlign w:val="center"/>
          </w:tcPr>
          <w:p w14:paraId="40CEFC1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20</w:t>
            </w:r>
          </w:p>
        </w:tc>
        <w:tc>
          <w:tcPr>
            <w:tcW w:w="273" w:type="pct"/>
            <w:tcBorders>
              <w:tl2br w:val="nil"/>
              <w:tr2bl w:val="nil"/>
            </w:tcBorders>
            <w:shd w:val="clear" w:color="auto" w:fill="auto"/>
            <w:vAlign w:val="center"/>
          </w:tcPr>
          <w:p w14:paraId="62FE4773">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1C766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68C42F02">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tcBorders>
              <w:tl2br w:val="nil"/>
              <w:tr2bl w:val="nil"/>
            </w:tcBorders>
            <w:shd w:val="clear" w:color="auto" w:fill="auto"/>
            <w:vAlign w:val="center"/>
          </w:tcPr>
          <w:p w14:paraId="366F94B5">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en-US" w:bidi="ar-SA"/>
              </w:rPr>
            </w:pPr>
            <w:r>
              <w:rPr>
                <w:rFonts w:hint="default" w:ascii="Times New Roman" w:hAnsi="Times New Roman" w:cs="Times New Roman" w:eastAsiaTheme="minorEastAsia"/>
                <w:szCs w:val="21"/>
                <w:highlight w:val="none"/>
                <w:lang w:val="en-US" w:eastAsia="zh-CN"/>
              </w:rPr>
              <w:t>网格</w:t>
            </w:r>
          </w:p>
        </w:tc>
        <w:tc>
          <w:tcPr>
            <w:tcW w:w="455" w:type="pct"/>
            <w:tcBorders>
              <w:tl2br w:val="nil"/>
              <w:tr2bl w:val="nil"/>
            </w:tcBorders>
            <w:shd w:val="clear" w:color="auto" w:fill="auto"/>
            <w:vAlign w:val="center"/>
          </w:tcPr>
          <w:p w14:paraId="07E951B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382" w:type="pct"/>
            <w:tcBorders>
              <w:tl2br w:val="nil"/>
              <w:tr2bl w:val="nil"/>
            </w:tcBorders>
            <w:shd w:val="clear" w:color="auto" w:fill="auto"/>
            <w:vAlign w:val="center"/>
          </w:tcPr>
          <w:p w14:paraId="62F53119">
            <w:pPr>
              <w:autoSpaceDE w:val="0"/>
              <w:autoSpaceDN w:val="0"/>
              <w:spacing w:line="300" w:lineRule="exact"/>
              <w:jc w:val="center"/>
              <w:rPr>
                <w:rFonts w:hint="eastAsia"/>
                <w:highlight w:val="none"/>
              </w:rPr>
            </w:pPr>
            <w:r>
              <w:rPr>
                <w:rFonts w:hint="eastAsia"/>
                <w:highlight w:val="none"/>
              </w:rPr>
              <w:t>0.00</w:t>
            </w:r>
          </w:p>
        </w:tc>
        <w:tc>
          <w:tcPr>
            <w:tcW w:w="356" w:type="pct"/>
            <w:tcBorders>
              <w:tl2br w:val="nil"/>
              <w:tr2bl w:val="nil"/>
            </w:tcBorders>
            <w:shd w:val="clear" w:color="auto" w:fill="auto"/>
            <w:vAlign w:val="center"/>
          </w:tcPr>
          <w:p w14:paraId="04B0E36D">
            <w:pPr>
              <w:autoSpaceDE w:val="0"/>
              <w:autoSpaceDN w:val="0"/>
              <w:spacing w:line="300" w:lineRule="exact"/>
              <w:jc w:val="center"/>
              <w:rPr>
                <w:rFonts w:hint="eastAsia"/>
                <w:highlight w:val="none"/>
              </w:rPr>
            </w:pPr>
            <w:r>
              <w:rPr>
                <w:rFonts w:hint="eastAsia"/>
                <w:highlight w:val="none"/>
              </w:rPr>
              <w:t>平均值</w:t>
            </w:r>
          </w:p>
        </w:tc>
        <w:tc>
          <w:tcPr>
            <w:tcW w:w="371" w:type="pct"/>
            <w:tcBorders>
              <w:tl2br w:val="nil"/>
              <w:tr2bl w:val="nil"/>
            </w:tcBorders>
            <w:shd w:val="clear" w:color="auto" w:fill="auto"/>
            <w:vAlign w:val="center"/>
          </w:tcPr>
          <w:p w14:paraId="737B4F9B">
            <w:pPr>
              <w:autoSpaceDE w:val="0"/>
              <w:autoSpaceDN w:val="0"/>
              <w:spacing w:line="300" w:lineRule="exact"/>
              <w:jc w:val="center"/>
              <w:rPr>
                <w:rFonts w:hint="eastAsia"/>
                <w:highlight w:val="none"/>
              </w:rPr>
            </w:pPr>
            <w:r>
              <w:rPr>
                <w:rFonts w:hint="eastAsia"/>
                <w:highlight w:val="none"/>
              </w:rPr>
              <w:t>0.00</w:t>
            </w:r>
          </w:p>
        </w:tc>
        <w:tc>
          <w:tcPr>
            <w:tcW w:w="229" w:type="pct"/>
            <w:tcBorders>
              <w:tl2br w:val="nil"/>
              <w:tr2bl w:val="nil"/>
            </w:tcBorders>
            <w:shd w:val="clear" w:color="auto" w:fill="auto"/>
            <w:vAlign w:val="center"/>
          </w:tcPr>
          <w:p w14:paraId="34296D96">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08D50116">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0.01</w:t>
            </w:r>
          </w:p>
        </w:tc>
        <w:tc>
          <w:tcPr>
            <w:tcW w:w="320" w:type="pct"/>
            <w:tcBorders>
              <w:tl2br w:val="nil"/>
              <w:tr2bl w:val="nil"/>
            </w:tcBorders>
            <w:shd w:val="clear" w:color="auto" w:fill="auto"/>
            <w:vAlign w:val="center"/>
          </w:tcPr>
          <w:p w14:paraId="2E2B4993">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4EF4A58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en-US"/>
              </w:rPr>
              <w:t>0.00</w:t>
            </w:r>
          </w:p>
        </w:tc>
        <w:tc>
          <w:tcPr>
            <w:tcW w:w="494" w:type="pct"/>
            <w:tcBorders>
              <w:tl2br w:val="nil"/>
              <w:tr2bl w:val="nil"/>
            </w:tcBorders>
            <w:shd w:val="clear" w:color="auto" w:fill="auto"/>
            <w:vAlign w:val="center"/>
          </w:tcPr>
          <w:p w14:paraId="6DC9910A">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0.01</w:t>
            </w:r>
          </w:p>
        </w:tc>
        <w:tc>
          <w:tcPr>
            <w:tcW w:w="302" w:type="pct"/>
            <w:tcBorders>
              <w:tl2br w:val="nil"/>
              <w:tr2bl w:val="nil"/>
            </w:tcBorders>
            <w:shd w:val="clear" w:color="auto" w:fill="auto"/>
            <w:vAlign w:val="center"/>
          </w:tcPr>
          <w:p w14:paraId="64E07AF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20</w:t>
            </w:r>
          </w:p>
        </w:tc>
        <w:tc>
          <w:tcPr>
            <w:tcW w:w="273" w:type="pct"/>
            <w:tcBorders>
              <w:tl2br w:val="nil"/>
              <w:tr2bl w:val="nil"/>
            </w:tcBorders>
            <w:shd w:val="clear" w:color="auto" w:fill="auto"/>
            <w:vAlign w:val="center"/>
          </w:tcPr>
          <w:p w14:paraId="7BB0E2C1">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671E8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0" w:type="pct"/>
            <w:vMerge w:val="restart"/>
            <w:tcBorders>
              <w:tl2br w:val="nil"/>
              <w:tr2bl w:val="nil"/>
            </w:tcBorders>
            <w:shd w:val="clear" w:color="auto" w:fill="auto"/>
            <w:vAlign w:val="center"/>
          </w:tcPr>
          <w:p w14:paraId="72B16BE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Pb</w:t>
            </w:r>
          </w:p>
        </w:tc>
        <w:tc>
          <w:tcPr>
            <w:tcW w:w="748" w:type="pct"/>
            <w:tcBorders>
              <w:tl2br w:val="nil"/>
              <w:tr2bl w:val="nil"/>
            </w:tcBorders>
            <w:shd w:val="clear" w:color="auto" w:fill="auto"/>
            <w:vAlign w:val="center"/>
          </w:tcPr>
          <w:p w14:paraId="10A6EF3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兰干村居民区</w:t>
            </w:r>
          </w:p>
        </w:tc>
        <w:tc>
          <w:tcPr>
            <w:tcW w:w="455" w:type="pct"/>
            <w:tcBorders>
              <w:tl2br w:val="nil"/>
              <w:tr2bl w:val="nil"/>
            </w:tcBorders>
            <w:shd w:val="clear" w:color="auto" w:fill="auto"/>
            <w:vAlign w:val="center"/>
          </w:tcPr>
          <w:p w14:paraId="364354E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382" w:type="pct"/>
            <w:tcBorders>
              <w:tl2br w:val="nil"/>
              <w:tr2bl w:val="nil"/>
            </w:tcBorders>
            <w:shd w:val="clear" w:color="auto" w:fill="auto"/>
            <w:vAlign w:val="center"/>
          </w:tcPr>
          <w:p w14:paraId="6B621C95">
            <w:pPr>
              <w:autoSpaceDE w:val="0"/>
              <w:autoSpaceDN w:val="0"/>
              <w:spacing w:line="300" w:lineRule="exact"/>
              <w:jc w:val="center"/>
              <w:rPr>
                <w:rFonts w:hint="eastAsia"/>
                <w:highlight w:val="none"/>
              </w:rPr>
            </w:pPr>
            <w:r>
              <w:rPr>
                <w:rFonts w:hint="eastAsia"/>
                <w:highlight w:val="none"/>
              </w:rPr>
              <w:t>0.00</w:t>
            </w:r>
          </w:p>
        </w:tc>
        <w:tc>
          <w:tcPr>
            <w:tcW w:w="356" w:type="pct"/>
            <w:tcBorders>
              <w:tl2br w:val="nil"/>
              <w:tr2bl w:val="nil"/>
            </w:tcBorders>
            <w:shd w:val="clear" w:color="auto" w:fill="auto"/>
            <w:vAlign w:val="center"/>
          </w:tcPr>
          <w:p w14:paraId="3B3C3379">
            <w:pPr>
              <w:autoSpaceDE w:val="0"/>
              <w:autoSpaceDN w:val="0"/>
              <w:spacing w:line="300" w:lineRule="exact"/>
              <w:jc w:val="center"/>
              <w:rPr>
                <w:rFonts w:hint="eastAsia"/>
                <w:highlight w:val="none"/>
              </w:rPr>
            </w:pPr>
            <w:r>
              <w:rPr>
                <w:rFonts w:hint="eastAsia"/>
                <w:highlight w:val="none"/>
              </w:rPr>
              <w:t>平均值</w:t>
            </w:r>
          </w:p>
        </w:tc>
        <w:tc>
          <w:tcPr>
            <w:tcW w:w="371" w:type="pct"/>
            <w:tcBorders>
              <w:tl2br w:val="nil"/>
              <w:tr2bl w:val="nil"/>
            </w:tcBorders>
            <w:shd w:val="clear" w:color="auto" w:fill="auto"/>
            <w:vAlign w:val="center"/>
          </w:tcPr>
          <w:p w14:paraId="3689A03B">
            <w:pPr>
              <w:autoSpaceDE w:val="0"/>
              <w:autoSpaceDN w:val="0"/>
              <w:spacing w:line="300" w:lineRule="exact"/>
              <w:jc w:val="center"/>
              <w:rPr>
                <w:rFonts w:hint="eastAsia"/>
                <w:highlight w:val="none"/>
              </w:rPr>
            </w:pPr>
            <w:r>
              <w:rPr>
                <w:rFonts w:hint="eastAsia"/>
                <w:highlight w:val="none"/>
              </w:rPr>
              <w:t>0.00</w:t>
            </w:r>
          </w:p>
        </w:tc>
        <w:tc>
          <w:tcPr>
            <w:tcW w:w="229" w:type="pct"/>
            <w:tcBorders>
              <w:tl2br w:val="nil"/>
              <w:tr2bl w:val="nil"/>
            </w:tcBorders>
            <w:shd w:val="clear" w:color="auto" w:fill="auto"/>
            <w:vAlign w:val="center"/>
          </w:tcPr>
          <w:p w14:paraId="517442DC">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71FC3526">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0.0006</w:t>
            </w:r>
          </w:p>
        </w:tc>
        <w:tc>
          <w:tcPr>
            <w:tcW w:w="320" w:type="pct"/>
            <w:tcBorders>
              <w:tl2br w:val="nil"/>
              <w:tr2bl w:val="nil"/>
            </w:tcBorders>
            <w:shd w:val="clear" w:color="auto" w:fill="auto"/>
            <w:vAlign w:val="center"/>
          </w:tcPr>
          <w:p w14:paraId="4027E646">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0780D31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en-US"/>
              </w:rPr>
              <w:t>0.00</w:t>
            </w:r>
          </w:p>
        </w:tc>
        <w:tc>
          <w:tcPr>
            <w:tcW w:w="494" w:type="pct"/>
            <w:tcBorders>
              <w:tl2br w:val="nil"/>
              <w:tr2bl w:val="nil"/>
            </w:tcBorders>
            <w:shd w:val="clear" w:color="auto" w:fill="auto"/>
            <w:vAlign w:val="center"/>
          </w:tcPr>
          <w:p w14:paraId="180A1D08">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0.0006</w:t>
            </w:r>
          </w:p>
        </w:tc>
        <w:tc>
          <w:tcPr>
            <w:tcW w:w="302" w:type="pct"/>
            <w:tcBorders>
              <w:tl2br w:val="nil"/>
              <w:tr2bl w:val="nil"/>
            </w:tcBorders>
            <w:shd w:val="clear" w:color="auto" w:fill="auto"/>
            <w:vAlign w:val="center"/>
          </w:tcPr>
          <w:p w14:paraId="51E30AF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0.06</w:t>
            </w:r>
          </w:p>
        </w:tc>
        <w:tc>
          <w:tcPr>
            <w:tcW w:w="273" w:type="pct"/>
            <w:tcBorders>
              <w:tl2br w:val="nil"/>
              <w:tr2bl w:val="nil"/>
            </w:tcBorders>
            <w:shd w:val="clear" w:color="auto" w:fill="auto"/>
            <w:vAlign w:val="center"/>
          </w:tcPr>
          <w:p w14:paraId="28C6470C">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610A5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1941FEE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tcBorders>
              <w:tl2br w:val="nil"/>
              <w:tr2bl w:val="nil"/>
            </w:tcBorders>
            <w:shd w:val="clear" w:color="auto" w:fill="auto"/>
            <w:vAlign w:val="center"/>
          </w:tcPr>
          <w:p w14:paraId="4D744EC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萨依巴格村居民区</w:t>
            </w:r>
          </w:p>
        </w:tc>
        <w:tc>
          <w:tcPr>
            <w:tcW w:w="455" w:type="pct"/>
            <w:tcBorders>
              <w:tl2br w:val="nil"/>
              <w:tr2bl w:val="nil"/>
            </w:tcBorders>
            <w:shd w:val="clear" w:color="auto" w:fill="auto"/>
            <w:vAlign w:val="center"/>
          </w:tcPr>
          <w:p w14:paraId="3BFD5B7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382" w:type="pct"/>
            <w:tcBorders>
              <w:tl2br w:val="nil"/>
              <w:tr2bl w:val="nil"/>
            </w:tcBorders>
            <w:shd w:val="clear" w:color="auto" w:fill="auto"/>
            <w:vAlign w:val="center"/>
          </w:tcPr>
          <w:p w14:paraId="3B3ECB31">
            <w:pPr>
              <w:autoSpaceDE w:val="0"/>
              <w:autoSpaceDN w:val="0"/>
              <w:spacing w:line="300" w:lineRule="exact"/>
              <w:jc w:val="center"/>
              <w:rPr>
                <w:rFonts w:hint="eastAsia"/>
                <w:highlight w:val="none"/>
              </w:rPr>
            </w:pPr>
            <w:r>
              <w:rPr>
                <w:rFonts w:hint="eastAsia"/>
                <w:highlight w:val="none"/>
              </w:rPr>
              <w:t>0.00</w:t>
            </w:r>
          </w:p>
        </w:tc>
        <w:tc>
          <w:tcPr>
            <w:tcW w:w="356" w:type="pct"/>
            <w:tcBorders>
              <w:tl2br w:val="nil"/>
              <w:tr2bl w:val="nil"/>
            </w:tcBorders>
            <w:shd w:val="clear" w:color="auto" w:fill="auto"/>
            <w:vAlign w:val="center"/>
          </w:tcPr>
          <w:p w14:paraId="222289F4">
            <w:pPr>
              <w:autoSpaceDE w:val="0"/>
              <w:autoSpaceDN w:val="0"/>
              <w:spacing w:line="300" w:lineRule="exact"/>
              <w:jc w:val="center"/>
              <w:rPr>
                <w:rFonts w:hint="eastAsia"/>
                <w:highlight w:val="none"/>
              </w:rPr>
            </w:pPr>
            <w:r>
              <w:rPr>
                <w:rFonts w:hint="eastAsia"/>
                <w:highlight w:val="none"/>
              </w:rPr>
              <w:t>平均值</w:t>
            </w:r>
          </w:p>
        </w:tc>
        <w:tc>
          <w:tcPr>
            <w:tcW w:w="371" w:type="pct"/>
            <w:tcBorders>
              <w:tl2br w:val="nil"/>
              <w:tr2bl w:val="nil"/>
            </w:tcBorders>
            <w:shd w:val="clear" w:color="auto" w:fill="auto"/>
            <w:vAlign w:val="center"/>
          </w:tcPr>
          <w:p w14:paraId="5CDEB687">
            <w:pPr>
              <w:autoSpaceDE w:val="0"/>
              <w:autoSpaceDN w:val="0"/>
              <w:spacing w:line="300" w:lineRule="exact"/>
              <w:jc w:val="center"/>
              <w:rPr>
                <w:rFonts w:hint="eastAsia"/>
                <w:highlight w:val="none"/>
              </w:rPr>
            </w:pPr>
            <w:r>
              <w:rPr>
                <w:rFonts w:hint="eastAsia"/>
                <w:highlight w:val="none"/>
              </w:rPr>
              <w:t>0.00</w:t>
            </w:r>
          </w:p>
        </w:tc>
        <w:tc>
          <w:tcPr>
            <w:tcW w:w="229" w:type="pct"/>
            <w:tcBorders>
              <w:tl2br w:val="nil"/>
              <w:tr2bl w:val="nil"/>
            </w:tcBorders>
            <w:shd w:val="clear" w:color="auto" w:fill="auto"/>
            <w:vAlign w:val="center"/>
          </w:tcPr>
          <w:p w14:paraId="191D7B8B">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132095C6">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0.0006</w:t>
            </w:r>
          </w:p>
        </w:tc>
        <w:tc>
          <w:tcPr>
            <w:tcW w:w="320" w:type="pct"/>
            <w:tcBorders>
              <w:tl2br w:val="nil"/>
              <w:tr2bl w:val="nil"/>
            </w:tcBorders>
            <w:shd w:val="clear" w:color="auto" w:fill="auto"/>
            <w:vAlign w:val="center"/>
          </w:tcPr>
          <w:p w14:paraId="2F0C24CD">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7C464DEA">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en-US"/>
              </w:rPr>
              <w:t>0.00</w:t>
            </w:r>
          </w:p>
        </w:tc>
        <w:tc>
          <w:tcPr>
            <w:tcW w:w="494" w:type="pct"/>
            <w:tcBorders>
              <w:tl2br w:val="nil"/>
              <w:tr2bl w:val="nil"/>
            </w:tcBorders>
            <w:shd w:val="clear" w:color="auto" w:fill="auto"/>
            <w:vAlign w:val="center"/>
          </w:tcPr>
          <w:p w14:paraId="5C422AA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0.0006</w:t>
            </w:r>
          </w:p>
        </w:tc>
        <w:tc>
          <w:tcPr>
            <w:tcW w:w="302" w:type="pct"/>
            <w:tcBorders>
              <w:tl2br w:val="nil"/>
              <w:tr2bl w:val="nil"/>
            </w:tcBorders>
            <w:shd w:val="clear" w:color="auto" w:fill="auto"/>
            <w:vAlign w:val="center"/>
          </w:tcPr>
          <w:p w14:paraId="5F561AB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0.06</w:t>
            </w:r>
          </w:p>
        </w:tc>
        <w:tc>
          <w:tcPr>
            <w:tcW w:w="273" w:type="pct"/>
            <w:tcBorders>
              <w:tl2br w:val="nil"/>
              <w:tr2bl w:val="nil"/>
            </w:tcBorders>
            <w:shd w:val="clear" w:color="auto" w:fill="auto"/>
            <w:vAlign w:val="center"/>
          </w:tcPr>
          <w:p w14:paraId="229CB583">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257A2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398776FA">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tcBorders>
              <w:tl2br w:val="nil"/>
              <w:tr2bl w:val="nil"/>
            </w:tcBorders>
            <w:shd w:val="clear" w:color="auto" w:fill="auto"/>
            <w:vAlign w:val="center"/>
          </w:tcPr>
          <w:p w14:paraId="7687D896">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帕特曼喀什村居民区</w:t>
            </w:r>
          </w:p>
        </w:tc>
        <w:tc>
          <w:tcPr>
            <w:tcW w:w="455" w:type="pct"/>
            <w:tcBorders>
              <w:tl2br w:val="nil"/>
              <w:tr2bl w:val="nil"/>
            </w:tcBorders>
            <w:shd w:val="clear" w:color="auto" w:fill="auto"/>
            <w:vAlign w:val="center"/>
          </w:tcPr>
          <w:p w14:paraId="0ACDBCC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382" w:type="pct"/>
            <w:tcBorders>
              <w:tl2br w:val="nil"/>
              <w:tr2bl w:val="nil"/>
            </w:tcBorders>
            <w:shd w:val="clear" w:color="auto" w:fill="auto"/>
            <w:vAlign w:val="center"/>
          </w:tcPr>
          <w:p w14:paraId="1CBDCD38">
            <w:pPr>
              <w:autoSpaceDE w:val="0"/>
              <w:autoSpaceDN w:val="0"/>
              <w:spacing w:line="300" w:lineRule="exact"/>
              <w:jc w:val="center"/>
              <w:rPr>
                <w:rFonts w:hint="eastAsia"/>
                <w:highlight w:val="none"/>
              </w:rPr>
            </w:pPr>
            <w:r>
              <w:rPr>
                <w:rFonts w:hint="eastAsia"/>
                <w:highlight w:val="none"/>
              </w:rPr>
              <w:t>0.00</w:t>
            </w:r>
          </w:p>
        </w:tc>
        <w:tc>
          <w:tcPr>
            <w:tcW w:w="356" w:type="pct"/>
            <w:tcBorders>
              <w:tl2br w:val="nil"/>
              <w:tr2bl w:val="nil"/>
            </w:tcBorders>
            <w:shd w:val="clear" w:color="auto" w:fill="auto"/>
            <w:vAlign w:val="center"/>
          </w:tcPr>
          <w:p w14:paraId="193AFB6E">
            <w:pPr>
              <w:autoSpaceDE w:val="0"/>
              <w:autoSpaceDN w:val="0"/>
              <w:spacing w:line="300" w:lineRule="exact"/>
              <w:jc w:val="center"/>
              <w:rPr>
                <w:rFonts w:hint="eastAsia"/>
                <w:highlight w:val="none"/>
              </w:rPr>
            </w:pPr>
            <w:r>
              <w:rPr>
                <w:rFonts w:hint="eastAsia"/>
                <w:highlight w:val="none"/>
              </w:rPr>
              <w:t>平均值</w:t>
            </w:r>
          </w:p>
        </w:tc>
        <w:tc>
          <w:tcPr>
            <w:tcW w:w="371" w:type="pct"/>
            <w:tcBorders>
              <w:tl2br w:val="nil"/>
              <w:tr2bl w:val="nil"/>
            </w:tcBorders>
            <w:shd w:val="clear" w:color="auto" w:fill="auto"/>
            <w:vAlign w:val="center"/>
          </w:tcPr>
          <w:p w14:paraId="109A9CFC">
            <w:pPr>
              <w:autoSpaceDE w:val="0"/>
              <w:autoSpaceDN w:val="0"/>
              <w:spacing w:line="300" w:lineRule="exact"/>
              <w:jc w:val="center"/>
              <w:rPr>
                <w:rFonts w:hint="eastAsia"/>
                <w:highlight w:val="none"/>
              </w:rPr>
            </w:pPr>
            <w:r>
              <w:rPr>
                <w:rFonts w:hint="eastAsia"/>
                <w:highlight w:val="none"/>
              </w:rPr>
              <w:t>0.00</w:t>
            </w:r>
          </w:p>
        </w:tc>
        <w:tc>
          <w:tcPr>
            <w:tcW w:w="229" w:type="pct"/>
            <w:tcBorders>
              <w:tl2br w:val="nil"/>
              <w:tr2bl w:val="nil"/>
            </w:tcBorders>
            <w:shd w:val="clear" w:color="auto" w:fill="auto"/>
            <w:vAlign w:val="center"/>
          </w:tcPr>
          <w:p w14:paraId="4FCF7722">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066B26C5">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0.0006</w:t>
            </w:r>
          </w:p>
        </w:tc>
        <w:tc>
          <w:tcPr>
            <w:tcW w:w="320" w:type="pct"/>
            <w:tcBorders>
              <w:tl2br w:val="nil"/>
              <w:tr2bl w:val="nil"/>
            </w:tcBorders>
            <w:shd w:val="clear" w:color="auto" w:fill="auto"/>
            <w:vAlign w:val="center"/>
          </w:tcPr>
          <w:p w14:paraId="1887DAEF">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17F5FDB2">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en-US"/>
              </w:rPr>
              <w:t>0.00</w:t>
            </w:r>
          </w:p>
        </w:tc>
        <w:tc>
          <w:tcPr>
            <w:tcW w:w="494" w:type="pct"/>
            <w:tcBorders>
              <w:tl2br w:val="nil"/>
              <w:tr2bl w:val="nil"/>
            </w:tcBorders>
            <w:shd w:val="clear" w:color="auto" w:fill="auto"/>
            <w:vAlign w:val="center"/>
          </w:tcPr>
          <w:p w14:paraId="25DF031F">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0.0006</w:t>
            </w:r>
          </w:p>
        </w:tc>
        <w:tc>
          <w:tcPr>
            <w:tcW w:w="302" w:type="pct"/>
            <w:tcBorders>
              <w:tl2br w:val="nil"/>
              <w:tr2bl w:val="nil"/>
            </w:tcBorders>
            <w:shd w:val="clear" w:color="auto" w:fill="auto"/>
            <w:vAlign w:val="center"/>
          </w:tcPr>
          <w:p w14:paraId="5B9FD7A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0.06</w:t>
            </w:r>
          </w:p>
        </w:tc>
        <w:tc>
          <w:tcPr>
            <w:tcW w:w="273" w:type="pct"/>
            <w:tcBorders>
              <w:tl2br w:val="nil"/>
              <w:tr2bl w:val="nil"/>
            </w:tcBorders>
            <w:shd w:val="clear" w:color="auto" w:fill="auto"/>
            <w:vAlign w:val="center"/>
          </w:tcPr>
          <w:p w14:paraId="26DBCC94">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12A35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184849DC">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tcBorders>
              <w:tl2br w:val="nil"/>
              <w:tr2bl w:val="nil"/>
            </w:tcBorders>
            <w:shd w:val="clear" w:color="auto" w:fill="auto"/>
            <w:vAlign w:val="center"/>
          </w:tcPr>
          <w:p w14:paraId="6022739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网格</w:t>
            </w:r>
          </w:p>
        </w:tc>
        <w:tc>
          <w:tcPr>
            <w:tcW w:w="455" w:type="pct"/>
            <w:tcBorders>
              <w:tl2br w:val="nil"/>
              <w:tr2bl w:val="nil"/>
            </w:tcBorders>
            <w:shd w:val="clear" w:color="auto" w:fill="auto"/>
            <w:vAlign w:val="center"/>
          </w:tcPr>
          <w:p w14:paraId="6C82A4B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382" w:type="pct"/>
            <w:tcBorders>
              <w:tl2br w:val="nil"/>
              <w:tr2bl w:val="nil"/>
            </w:tcBorders>
            <w:shd w:val="clear" w:color="auto" w:fill="auto"/>
            <w:vAlign w:val="center"/>
          </w:tcPr>
          <w:p w14:paraId="45809F9E">
            <w:pPr>
              <w:autoSpaceDE w:val="0"/>
              <w:autoSpaceDN w:val="0"/>
              <w:spacing w:line="300" w:lineRule="exact"/>
              <w:jc w:val="center"/>
              <w:rPr>
                <w:rFonts w:hint="eastAsia"/>
                <w:highlight w:val="none"/>
              </w:rPr>
            </w:pPr>
            <w:r>
              <w:rPr>
                <w:rFonts w:hint="eastAsia"/>
                <w:highlight w:val="none"/>
              </w:rPr>
              <w:t>0.00</w:t>
            </w:r>
          </w:p>
        </w:tc>
        <w:tc>
          <w:tcPr>
            <w:tcW w:w="356" w:type="pct"/>
            <w:tcBorders>
              <w:tl2br w:val="nil"/>
              <w:tr2bl w:val="nil"/>
            </w:tcBorders>
            <w:shd w:val="clear" w:color="auto" w:fill="auto"/>
            <w:vAlign w:val="center"/>
          </w:tcPr>
          <w:p w14:paraId="3681630B">
            <w:pPr>
              <w:autoSpaceDE w:val="0"/>
              <w:autoSpaceDN w:val="0"/>
              <w:spacing w:line="300" w:lineRule="exact"/>
              <w:jc w:val="center"/>
              <w:rPr>
                <w:rFonts w:hint="eastAsia"/>
                <w:highlight w:val="none"/>
              </w:rPr>
            </w:pPr>
            <w:r>
              <w:rPr>
                <w:rFonts w:hint="eastAsia"/>
                <w:highlight w:val="none"/>
              </w:rPr>
              <w:t>平均值</w:t>
            </w:r>
          </w:p>
        </w:tc>
        <w:tc>
          <w:tcPr>
            <w:tcW w:w="371" w:type="pct"/>
            <w:tcBorders>
              <w:tl2br w:val="nil"/>
              <w:tr2bl w:val="nil"/>
            </w:tcBorders>
            <w:shd w:val="clear" w:color="auto" w:fill="auto"/>
            <w:vAlign w:val="center"/>
          </w:tcPr>
          <w:p w14:paraId="6BA2D5BB">
            <w:pPr>
              <w:autoSpaceDE w:val="0"/>
              <w:autoSpaceDN w:val="0"/>
              <w:spacing w:line="300" w:lineRule="exact"/>
              <w:jc w:val="center"/>
              <w:rPr>
                <w:rFonts w:hint="eastAsia"/>
                <w:highlight w:val="none"/>
              </w:rPr>
            </w:pPr>
            <w:r>
              <w:rPr>
                <w:rFonts w:hint="eastAsia"/>
                <w:highlight w:val="none"/>
              </w:rPr>
              <w:t>0.00</w:t>
            </w:r>
          </w:p>
        </w:tc>
        <w:tc>
          <w:tcPr>
            <w:tcW w:w="229" w:type="pct"/>
            <w:tcBorders>
              <w:tl2br w:val="nil"/>
              <w:tr2bl w:val="nil"/>
            </w:tcBorders>
            <w:shd w:val="clear" w:color="auto" w:fill="auto"/>
            <w:vAlign w:val="center"/>
          </w:tcPr>
          <w:p w14:paraId="7008CFA1">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7E746A83">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0.0006</w:t>
            </w:r>
          </w:p>
        </w:tc>
        <w:tc>
          <w:tcPr>
            <w:tcW w:w="320" w:type="pct"/>
            <w:tcBorders>
              <w:tl2br w:val="nil"/>
              <w:tr2bl w:val="nil"/>
            </w:tcBorders>
            <w:shd w:val="clear" w:color="auto" w:fill="auto"/>
            <w:vAlign w:val="center"/>
          </w:tcPr>
          <w:p w14:paraId="17208745">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698DDCA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0.08</w:t>
            </w:r>
          </w:p>
        </w:tc>
        <w:tc>
          <w:tcPr>
            <w:tcW w:w="494" w:type="pct"/>
            <w:tcBorders>
              <w:tl2br w:val="nil"/>
              <w:tr2bl w:val="nil"/>
            </w:tcBorders>
            <w:shd w:val="clear" w:color="auto" w:fill="auto"/>
            <w:vAlign w:val="center"/>
          </w:tcPr>
          <w:p w14:paraId="7F75FE9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0.0</w:t>
            </w:r>
            <w:r>
              <w:rPr>
                <w:rFonts w:hint="eastAsia" w:ascii="Times New Roman" w:hAnsi="Times New Roman" w:cs="Times New Roman"/>
                <w:szCs w:val="21"/>
                <w:highlight w:val="none"/>
                <w:lang w:val="en-US" w:eastAsia="zh-CN"/>
              </w:rPr>
              <w:t>8</w:t>
            </w:r>
            <w:r>
              <w:rPr>
                <w:rFonts w:hint="eastAsia" w:ascii="Times New Roman" w:hAnsi="Times New Roman" w:cs="Times New Roman" w:eastAsiaTheme="minorEastAsia"/>
                <w:szCs w:val="21"/>
                <w:highlight w:val="none"/>
                <w:lang w:val="en-US" w:eastAsia="zh-CN"/>
              </w:rPr>
              <w:t>06</w:t>
            </w:r>
          </w:p>
        </w:tc>
        <w:tc>
          <w:tcPr>
            <w:tcW w:w="302" w:type="pct"/>
            <w:tcBorders>
              <w:tl2br w:val="nil"/>
              <w:tr2bl w:val="nil"/>
            </w:tcBorders>
            <w:shd w:val="clear" w:color="auto" w:fill="auto"/>
            <w:vAlign w:val="center"/>
          </w:tcPr>
          <w:p w14:paraId="43AADF6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8.06</w:t>
            </w:r>
          </w:p>
        </w:tc>
        <w:tc>
          <w:tcPr>
            <w:tcW w:w="273" w:type="pct"/>
            <w:tcBorders>
              <w:tl2br w:val="nil"/>
              <w:tr2bl w:val="nil"/>
            </w:tcBorders>
            <w:shd w:val="clear" w:color="auto" w:fill="auto"/>
            <w:vAlign w:val="center"/>
          </w:tcPr>
          <w:p w14:paraId="4D846B4D">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261DB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restart"/>
            <w:tcBorders>
              <w:tl2br w:val="nil"/>
              <w:tr2bl w:val="nil"/>
            </w:tcBorders>
            <w:shd w:val="clear" w:color="auto" w:fill="auto"/>
            <w:vAlign w:val="center"/>
          </w:tcPr>
          <w:p w14:paraId="7647827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As</w:t>
            </w:r>
          </w:p>
        </w:tc>
        <w:tc>
          <w:tcPr>
            <w:tcW w:w="748" w:type="pct"/>
            <w:tcBorders>
              <w:tl2br w:val="nil"/>
              <w:tr2bl w:val="nil"/>
            </w:tcBorders>
            <w:shd w:val="clear" w:color="auto" w:fill="auto"/>
            <w:vAlign w:val="center"/>
          </w:tcPr>
          <w:p w14:paraId="3CCF80EA">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兰干村居民区</w:t>
            </w:r>
          </w:p>
        </w:tc>
        <w:tc>
          <w:tcPr>
            <w:tcW w:w="455" w:type="pct"/>
            <w:tcBorders>
              <w:tl2br w:val="nil"/>
              <w:tr2bl w:val="nil"/>
            </w:tcBorders>
            <w:shd w:val="clear" w:color="auto" w:fill="auto"/>
            <w:vAlign w:val="center"/>
          </w:tcPr>
          <w:p w14:paraId="79730B0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1125" w:type="dxa"/>
            <w:tcBorders>
              <w:tl2br w:val="nil"/>
              <w:tr2bl w:val="nil"/>
            </w:tcBorders>
            <w:shd w:val="clear" w:color="auto" w:fill="auto"/>
            <w:vAlign w:val="center"/>
          </w:tcPr>
          <w:p w14:paraId="4E5D1103">
            <w:pPr>
              <w:autoSpaceDE w:val="0"/>
              <w:autoSpaceDN w:val="0"/>
              <w:spacing w:line="300" w:lineRule="exact"/>
              <w:jc w:val="center"/>
              <w:rPr>
                <w:rFonts w:hint="eastAsia"/>
                <w:highlight w:val="none"/>
              </w:rPr>
            </w:pPr>
            <w:r>
              <w:rPr>
                <w:rFonts w:hint="eastAsia"/>
                <w:highlight w:val="none"/>
              </w:rPr>
              <w:t>0.00</w:t>
            </w:r>
            <w:r>
              <w:rPr>
                <w:rFonts w:hint="eastAsia"/>
                <w:highlight w:val="none"/>
                <w:lang w:val="en-US" w:eastAsia="zh-CN"/>
              </w:rPr>
              <w:t>00</w:t>
            </w:r>
          </w:p>
        </w:tc>
        <w:tc>
          <w:tcPr>
            <w:tcW w:w="1047" w:type="dxa"/>
            <w:tcBorders>
              <w:tl2br w:val="nil"/>
              <w:tr2bl w:val="nil"/>
            </w:tcBorders>
            <w:shd w:val="clear" w:color="auto" w:fill="auto"/>
            <w:vAlign w:val="center"/>
          </w:tcPr>
          <w:p w14:paraId="7707667C">
            <w:pPr>
              <w:autoSpaceDE w:val="0"/>
              <w:autoSpaceDN w:val="0"/>
              <w:spacing w:line="300" w:lineRule="exact"/>
              <w:jc w:val="center"/>
              <w:rPr>
                <w:rFonts w:hint="eastAsia"/>
                <w:highlight w:val="none"/>
              </w:rPr>
            </w:pPr>
            <w:r>
              <w:rPr>
                <w:rFonts w:hint="eastAsia"/>
                <w:highlight w:val="none"/>
              </w:rPr>
              <w:t>平均值</w:t>
            </w:r>
          </w:p>
        </w:tc>
        <w:tc>
          <w:tcPr>
            <w:tcW w:w="1093" w:type="dxa"/>
            <w:tcBorders>
              <w:tl2br w:val="nil"/>
              <w:tr2bl w:val="nil"/>
            </w:tcBorders>
            <w:shd w:val="clear" w:color="auto" w:fill="auto"/>
            <w:vAlign w:val="center"/>
          </w:tcPr>
          <w:p w14:paraId="4F7C30E8">
            <w:pPr>
              <w:autoSpaceDE w:val="0"/>
              <w:autoSpaceDN w:val="0"/>
              <w:spacing w:line="300" w:lineRule="exact"/>
              <w:jc w:val="center"/>
              <w:rPr>
                <w:rFonts w:hint="eastAsia"/>
                <w:highlight w:val="none"/>
              </w:rPr>
            </w:pPr>
            <w:r>
              <w:rPr>
                <w:rFonts w:hint="eastAsia"/>
                <w:highlight w:val="none"/>
                <w:lang w:val="en-US" w:eastAsia="zh-CN"/>
              </w:rPr>
              <w:t>0.17</w:t>
            </w:r>
          </w:p>
        </w:tc>
        <w:tc>
          <w:tcPr>
            <w:tcW w:w="675" w:type="dxa"/>
            <w:tcBorders>
              <w:tl2br w:val="nil"/>
              <w:tr2bl w:val="nil"/>
            </w:tcBorders>
            <w:shd w:val="clear" w:color="auto" w:fill="auto"/>
            <w:vAlign w:val="center"/>
          </w:tcPr>
          <w:p w14:paraId="709848AB">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1ADC0A16">
            <w:pPr>
              <w:autoSpaceDE w:val="0"/>
              <w:autoSpaceDN w:val="0"/>
              <w:spacing w:line="300" w:lineRule="exact"/>
              <w:jc w:val="center"/>
              <w:rPr>
                <w:rFonts w:hint="default" w:ascii="Times New Roman" w:hAnsi="Times New Roman" w:cs="Times New Roman" w:eastAsiaTheme="minorEastAsia"/>
                <w:kern w:val="2"/>
                <w:sz w:val="21"/>
                <w:szCs w:val="24"/>
                <w:highlight w:val="none"/>
                <w:lang w:val="en-US" w:eastAsia="zh-CN" w:bidi="ar-SA"/>
              </w:rPr>
            </w:pPr>
            <w:r>
              <w:rPr>
                <w:rFonts w:hint="eastAsia" w:ascii="Times New Roman" w:hAnsi="Times New Roman" w:cs="Times New Roman"/>
                <w:highlight w:val="none"/>
                <w:lang w:val="en-US" w:eastAsia="zh-CN"/>
              </w:rPr>
              <w:t>0.0007</w:t>
            </w:r>
          </w:p>
        </w:tc>
        <w:tc>
          <w:tcPr>
            <w:tcW w:w="320" w:type="pct"/>
            <w:tcBorders>
              <w:tl2br w:val="nil"/>
              <w:tr2bl w:val="nil"/>
            </w:tcBorders>
            <w:shd w:val="clear" w:color="auto" w:fill="auto"/>
            <w:vAlign w:val="center"/>
          </w:tcPr>
          <w:p w14:paraId="692D2BE2">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0928A9E2">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en-US"/>
              </w:rPr>
              <w:t>0.00</w:t>
            </w:r>
          </w:p>
        </w:tc>
        <w:tc>
          <w:tcPr>
            <w:tcW w:w="494" w:type="pct"/>
            <w:tcBorders>
              <w:tl2br w:val="nil"/>
              <w:tr2bl w:val="nil"/>
            </w:tcBorders>
            <w:shd w:val="clear" w:color="auto" w:fill="auto"/>
            <w:vAlign w:val="center"/>
          </w:tcPr>
          <w:p w14:paraId="30DC315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0.0007</w:t>
            </w:r>
          </w:p>
        </w:tc>
        <w:tc>
          <w:tcPr>
            <w:tcW w:w="302" w:type="pct"/>
            <w:tcBorders>
              <w:tl2br w:val="nil"/>
              <w:tr2bl w:val="nil"/>
            </w:tcBorders>
            <w:shd w:val="clear" w:color="auto" w:fill="auto"/>
            <w:vAlign w:val="center"/>
          </w:tcPr>
          <w:p w14:paraId="46B2E86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11.667</w:t>
            </w:r>
          </w:p>
        </w:tc>
        <w:tc>
          <w:tcPr>
            <w:tcW w:w="273" w:type="pct"/>
            <w:tcBorders>
              <w:tl2br w:val="nil"/>
              <w:tr2bl w:val="nil"/>
            </w:tcBorders>
            <w:shd w:val="clear" w:color="auto" w:fill="auto"/>
            <w:vAlign w:val="center"/>
          </w:tcPr>
          <w:p w14:paraId="340F816C">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7C04C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5BE91E8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tcBorders>
              <w:tl2br w:val="nil"/>
              <w:tr2bl w:val="nil"/>
            </w:tcBorders>
            <w:shd w:val="clear" w:color="auto" w:fill="auto"/>
            <w:vAlign w:val="center"/>
          </w:tcPr>
          <w:p w14:paraId="6DB7872A">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萨依巴格村居民区</w:t>
            </w:r>
          </w:p>
        </w:tc>
        <w:tc>
          <w:tcPr>
            <w:tcW w:w="455" w:type="pct"/>
            <w:tcBorders>
              <w:tl2br w:val="nil"/>
              <w:tr2bl w:val="nil"/>
            </w:tcBorders>
            <w:shd w:val="clear" w:color="auto" w:fill="auto"/>
            <w:vAlign w:val="center"/>
          </w:tcPr>
          <w:p w14:paraId="52502ED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1125" w:type="dxa"/>
            <w:tcBorders>
              <w:tl2br w:val="nil"/>
              <w:tr2bl w:val="nil"/>
            </w:tcBorders>
            <w:shd w:val="clear" w:color="auto" w:fill="auto"/>
            <w:vAlign w:val="center"/>
          </w:tcPr>
          <w:p w14:paraId="0C185AD8">
            <w:pPr>
              <w:autoSpaceDE w:val="0"/>
              <w:autoSpaceDN w:val="0"/>
              <w:spacing w:line="300" w:lineRule="exact"/>
              <w:jc w:val="center"/>
              <w:rPr>
                <w:rFonts w:hint="eastAsia"/>
                <w:highlight w:val="none"/>
              </w:rPr>
            </w:pPr>
            <w:r>
              <w:rPr>
                <w:rFonts w:hint="eastAsia"/>
                <w:highlight w:val="none"/>
              </w:rPr>
              <w:t>0.00</w:t>
            </w:r>
            <w:r>
              <w:rPr>
                <w:rFonts w:hint="eastAsia"/>
                <w:highlight w:val="none"/>
                <w:lang w:val="en-US" w:eastAsia="zh-CN"/>
              </w:rPr>
              <w:t>00</w:t>
            </w:r>
          </w:p>
        </w:tc>
        <w:tc>
          <w:tcPr>
            <w:tcW w:w="1047" w:type="dxa"/>
            <w:tcBorders>
              <w:tl2br w:val="nil"/>
              <w:tr2bl w:val="nil"/>
            </w:tcBorders>
            <w:shd w:val="clear" w:color="auto" w:fill="auto"/>
            <w:vAlign w:val="center"/>
          </w:tcPr>
          <w:p w14:paraId="51DBE7BC">
            <w:pPr>
              <w:autoSpaceDE w:val="0"/>
              <w:autoSpaceDN w:val="0"/>
              <w:spacing w:line="300" w:lineRule="exact"/>
              <w:jc w:val="center"/>
              <w:rPr>
                <w:rFonts w:hint="eastAsia"/>
                <w:highlight w:val="none"/>
              </w:rPr>
            </w:pPr>
            <w:r>
              <w:rPr>
                <w:rFonts w:hint="eastAsia"/>
                <w:highlight w:val="none"/>
              </w:rPr>
              <w:t>平均值</w:t>
            </w:r>
          </w:p>
        </w:tc>
        <w:tc>
          <w:tcPr>
            <w:tcW w:w="1093" w:type="dxa"/>
            <w:tcBorders>
              <w:tl2br w:val="nil"/>
              <w:tr2bl w:val="nil"/>
            </w:tcBorders>
            <w:shd w:val="clear" w:color="auto" w:fill="auto"/>
            <w:vAlign w:val="center"/>
          </w:tcPr>
          <w:p w14:paraId="43FD562D">
            <w:pPr>
              <w:autoSpaceDE w:val="0"/>
              <w:autoSpaceDN w:val="0"/>
              <w:spacing w:line="300" w:lineRule="exact"/>
              <w:jc w:val="center"/>
              <w:rPr>
                <w:rFonts w:hint="eastAsia"/>
                <w:highlight w:val="none"/>
              </w:rPr>
            </w:pPr>
            <w:r>
              <w:rPr>
                <w:rFonts w:hint="eastAsia"/>
                <w:highlight w:val="none"/>
                <w:lang w:val="en-US" w:eastAsia="zh-CN"/>
              </w:rPr>
              <w:t>0.33</w:t>
            </w:r>
          </w:p>
        </w:tc>
        <w:tc>
          <w:tcPr>
            <w:tcW w:w="675" w:type="dxa"/>
            <w:tcBorders>
              <w:tl2br w:val="nil"/>
              <w:tr2bl w:val="nil"/>
            </w:tcBorders>
            <w:shd w:val="clear" w:color="auto" w:fill="auto"/>
            <w:vAlign w:val="center"/>
          </w:tcPr>
          <w:p w14:paraId="2DA50789">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479E176B">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0.0007</w:t>
            </w:r>
          </w:p>
        </w:tc>
        <w:tc>
          <w:tcPr>
            <w:tcW w:w="320" w:type="pct"/>
            <w:tcBorders>
              <w:tl2br w:val="nil"/>
              <w:tr2bl w:val="nil"/>
            </w:tcBorders>
            <w:shd w:val="clear" w:color="auto" w:fill="auto"/>
            <w:vAlign w:val="center"/>
          </w:tcPr>
          <w:p w14:paraId="20C5F250">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776AE1BC">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en-US"/>
              </w:rPr>
              <w:t>0.00</w:t>
            </w:r>
          </w:p>
        </w:tc>
        <w:tc>
          <w:tcPr>
            <w:tcW w:w="494" w:type="pct"/>
            <w:tcBorders>
              <w:tl2br w:val="nil"/>
              <w:tr2bl w:val="nil"/>
            </w:tcBorders>
            <w:shd w:val="clear" w:color="auto" w:fill="auto"/>
            <w:vAlign w:val="center"/>
          </w:tcPr>
          <w:p w14:paraId="14E1497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0.0007</w:t>
            </w:r>
          </w:p>
        </w:tc>
        <w:tc>
          <w:tcPr>
            <w:tcW w:w="302" w:type="pct"/>
            <w:tcBorders>
              <w:tl2br w:val="nil"/>
              <w:tr2bl w:val="nil"/>
            </w:tcBorders>
            <w:shd w:val="clear" w:color="auto" w:fill="auto"/>
            <w:vAlign w:val="center"/>
          </w:tcPr>
          <w:p w14:paraId="3A18A88A">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11.667</w:t>
            </w:r>
          </w:p>
        </w:tc>
        <w:tc>
          <w:tcPr>
            <w:tcW w:w="273" w:type="pct"/>
            <w:tcBorders>
              <w:tl2br w:val="nil"/>
              <w:tr2bl w:val="nil"/>
            </w:tcBorders>
            <w:shd w:val="clear" w:color="auto" w:fill="auto"/>
            <w:vAlign w:val="center"/>
          </w:tcPr>
          <w:p w14:paraId="1AA0A56F">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218A3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5D422F4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tcBorders>
              <w:tl2br w:val="nil"/>
              <w:tr2bl w:val="nil"/>
            </w:tcBorders>
            <w:shd w:val="clear" w:color="auto" w:fill="auto"/>
            <w:vAlign w:val="center"/>
          </w:tcPr>
          <w:p w14:paraId="2164CDE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帕特曼喀什村居民区</w:t>
            </w:r>
          </w:p>
        </w:tc>
        <w:tc>
          <w:tcPr>
            <w:tcW w:w="455" w:type="pct"/>
            <w:tcBorders>
              <w:tl2br w:val="nil"/>
              <w:tr2bl w:val="nil"/>
            </w:tcBorders>
            <w:shd w:val="clear" w:color="auto" w:fill="auto"/>
            <w:vAlign w:val="center"/>
          </w:tcPr>
          <w:p w14:paraId="3F9AA04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1125" w:type="dxa"/>
            <w:tcBorders>
              <w:tl2br w:val="nil"/>
              <w:tr2bl w:val="nil"/>
            </w:tcBorders>
            <w:shd w:val="clear" w:color="auto" w:fill="auto"/>
            <w:vAlign w:val="center"/>
          </w:tcPr>
          <w:p w14:paraId="1188AFC9">
            <w:pPr>
              <w:autoSpaceDE w:val="0"/>
              <w:autoSpaceDN w:val="0"/>
              <w:spacing w:line="300" w:lineRule="exact"/>
              <w:jc w:val="center"/>
              <w:rPr>
                <w:rFonts w:hint="eastAsia"/>
                <w:highlight w:val="none"/>
              </w:rPr>
            </w:pPr>
            <w:r>
              <w:rPr>
                <w:rFonts w:hint="eastAsia"/>
                <w:highlight w:val="none"/>
              </w:rPr>
              <w:t>0.00</w:t>
            </w:r>
            <w:r>
              <w:rPr>
                <w:rFonts w:hint="eastAsia"/>
                <w:highlight w:val="none"/>
                <w:lang w:val="en-US" w:eastAsia="zh-CN"/>
              </w:rPr>
              <w:t>00</w:t>
            </w:r>
          </w:p>
        </w:tc>
        <w:tc>
          <w:tcPr>
            <w:tcW w:w="1047" w:type="dxa"/>
            <w:tcBorders>
              <w:tl2br w:val="nil"/>
              <w:tr2bl w:val="nil"/>
            </w:tcBorders>
            <w:shd w:val="clear" w:color="auto" w:fill="auto"/>
            <w:vAlign w:val="center"/>
          </w:tcPr>
          <w:p w14:paraId="57396931">
            <w:pPr>
              <w:autoSpaceDE w:val="0"/>
              <w:autoSpaceDN w:val="0"/>
              <w:spacing w:line="300" w:lineRule="exact"/>
              <w:jc w:val="center"/>
              <w:rPr>
                <w:rFonts w:hint="eastAsia"/>
                <w:highlight w:val="none"/>
              </w:rPr>
            </w:pPr>
            <w:r>
              <w:rPr>
                <w:rFonts w:hint="eastAsia"/>
                <w:highlight w:val="none"/>
              </w:rPr>
              <w:t>平均值</w:t>
            </w:r>
          </w:p>
        </w:tc>
        <w:tc>
          <w:tcPr>
            <w:tcW w:w="1093" w:type="dxa"/>
            <w:tcBorders>
              <w:tl2br w:val="nil"/>
              <w:tr2bl w:val="nil"/>
            </w:tcBorders>
            <w:shd w:val="clear" w:color="auto" w:fill="auto"/>
            <w:vAlign w:val="center"/>
          </w:tcPr>
          <w:p w14:paraId="25DE5A2C">
            <w:pPr>
              <w:autoSpaceDE w:val="0"/>
              <w:autoSpaceDN w:val="0"/>
              <w:spacing w:line="300" w:lineRule="exact"/>
              <w:jc w:val="center"/>
              <w:rPr>
                <w:rFonts w:hint="eastAsia"/>
                <w:highlight w:val="none"/>
              </w:rPr>
            </w:pPr>
            <w:r>
              <w:rPr>
                <w:rFonts w:hint="eastAsia"/>
                <w:highlight w:val="none"/>
                <w:lang w:val="en-US" w:eastAsia="zh-CN"/>
              </w:rPr>
              <w:t>0.17</w:t>
            </w:r>
          </w:p>
        </w:tc>
        <w:tc>
          <w:tcPr>
            <w:tcW w:w="675" w:type="dxa"/>
            <w:tcBorders>
              <w:tl2br w:val="nil"/>
              <w:tr2bl w:val="nil"/>
            </w:tcBorders>
            <w:shd w:val="clear" w:color="auto" w:fill="auto"/>
            <w:vAlign w:val="center"/>
          </w:tcPr>
          <w:p w14:paraId="489343FD">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331937D3">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0.0007</w:t>
            </w:r>
          </w:p>
        </w:tc>
        <w:tc>
          <w:tcPr>
            <w:tcW w:w="320" w:type="pct"/>
            <w:tcBorders>
              <w:tl2br w:val="nil"/>
              <w:tr2bl w:val="nil"/>
            </w:tcBorders>
            <w:shd w:val="clear" w:color="auto" w:fill="auto"/>
            <w:vAlign w:val="center"/>
          </w:tcPr>
          <w:p w14:paraId="0F2106D6">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7EE3B198">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en-US"/>
              </w:rPr>
              <w:t>0.00</w:t>
            </w:r>
          </w:p>
        </w:tc>
        <w:tc>
          <w:tcPr>
            <w:tcW w:w="494" w:type="pct"/>
            <w:tcBorders>
              <w:tl2br w:val="nil"/>
              <w:tr2bl w:val="nil"/>
            </w:tcBorders>
            <w:shd w:val="clear" w:color="auto" w:fill="auto"/>
            <w:vAlign w:val="center"/>
          </w:tcPr>
          <w:p w14:paraId="00C69F1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0.0007</w:t>
            </w:r>
          </w:p>
        </w:tc>
        <w:tc>
          <w:tcPr>
            <w:tcW w:w="302" w:type="pct"/>
            <w:tcBorders>
              <w:tl2br w:val="nil"/>
              <w:tr2bl w:val="nil"/>
            </w:tcBorders>
            <w:shd w:val="clear" w:color="auto" w:fill="auto"/>
            <w:vAlign w:val="center"/>
          </w:tcPr>
          <w:p w14:paraId="2E78F63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11.667</w:t>
            </w:r>
          </w:p>
        </w:tc>
        <w:tc>
          <w:tcPr>
            <w:tcW w:w="273" w:type="pct"/>
            <w:tcBorders>
              <w:tl2br w:val="nil"/>
              <w:tr2bl w:val="nil"/>
            </w:tcBorders>
            <w:shd w:val="clear" w:color="auto" w:fill="auto"/>
            <w:vAlign w:val="center"/>
          </w:tcPr>
          <w:p w14:paraId="6691DA55">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1127A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11DCFDE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tcBorders>
              <w:tl2br w:val="nil"/>
              <w:tr2bl w:val="nil"/>
            </w:tcBorders>
            <w:shd w:val="clear" w:color="auto" w:fill="auto"/>
            <w:vAlign w:val="center"/>
          </w:tcPr>
          <w:p w14:paraId="231650BA">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网格</w:t>
            </w:r>
          </w:p>
        </w:tc>
        <w:tc>
          <w:tcPr>
            <w:tcW w:w="455" w:type="pct"/>
            <w:tcBorders>
              <w:tl2br w:val="nil"/>
              <w:tr2bl w:val="nil"/>
            </w:tcBorders>
            <w:shd w:val="clear" w:color="auto" w:fill="auto"/>
            <w:vAlign w:val="center"/>
          </w:tcPr>
          <w:p w14:paraId="2DBF06F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1125" w:type="dxa"/>
            <w:tcBorders>
              <w:tl2br w:val="nil"/>
              <w:tr2bl w:val="nil"/>
            </w:tcBorders>
            <w:shd w:val="clear" w:color="auto" w:fill="auto"/>
            <w:vAlign w:val="center"/>
          </w:tcPr>
          <w:p w14:paraId="043BC6CB">
            <w:pPr>
              <w:autoSpaceDE w:val="0"/>
              <w:autoSpaceDN w:val="0"/>
              <w:spacing w:line="300" w:lineRule="exact"/>
              <w:jc w:val="center"/>
              <w:rPr>
                <w:rFonts w:hint="eastAsia"/>
                <w:highlight w:val="none"/>
              </w:rPr>
            </w:pPr>
            <w:r>
              <w:rPr>
                <w:rFonts w:hint="eastAsia"/>
                <w:highlight w:val="none"/>
                <w:lang w:val="en-US" w:eastAsia="zh-CN"/>
              </w:rPr>
              <w:t>0.0014</w:t>
            </w:r>
          </w:p>
        </w:tc>
        <w:tc>
          <w:tcPr>
            <w:tcW w:w="1047" w:type="dxa"/>
            <w:tcBorders>
              <w:tl2br w:val="nil"/>
              <w:tr2bl w:val="nil"/>
            </w:tcBorders>
            <w:shd w:val="clear" w:color="auto" w:fill="auto"/>
            <w:vAlign w:val="center"/>
          </w:tcPr>
          <w:p w14:paraId="163679DB">
            <w:pPr>
              <w:autoSpaceDE w:val="0"/>
              <w:autoSpaceDN w:val="0"/>
              <w:spacing w:line="300" w:lineRule="exact"/>
              <w:jc w:val="center"/>
              <w:rPr>
                <w:rFonts w:hint="eastAsia"/>
                <w:highlight w:val="none"/>
              </w:rPr>
            </w:pPr>
            <w:r>
              <w:rPr>
                <w:rFonts w:hint="eastAsia"/>
                <w:highlight w:val="none"/>
              </w:rPr>
              <w:t>平均值</w:t>
            </w:r>
          </w:p>
        </w:tc>
        <w:tc>
          <w:tcPr>
            <w:tcW w:w="1093" w:type="dxa"/>
            <w:tcBorders>
              <w:tl2br w:val="nil"/>
              <w:tr2bl w:val="nil"/>
            </w:tcBorders>
            <w:shd w:val="clear" w:color="auto" w:fill="auto"/>
            <w:vAlign w:val="center"/>
          </w:tcPr>
          <w:p w14:paraId="419CAE5E">
            <w:pPr>
              <w:autoSpaceDE w:val="0"/>
              <w:autoSpaceDN w:val="0"/>
              <w:spacing w:line="300" w:lineRule="exact"/>
              <w:jc w:val="center"/>
              <w:rPr>
                <w:rFonts w:hint="eastAsia"/>
                <w:highlight w:val="none"/>
              </w:rPr>
            </w:pPr>
            <w:r>
              <w:rPr>
                <w:rFonts w:hint="eastAsia"/>
                <w:highlight w:val="none"/>
                <w:lang w:val="en-US" w:eastAsia="zh-CN"/>
              </w:rPr>
              <w:t>23.83</w:t>
            </w:r>
          </w:p>
        </w:tc>
        <w:tc>
          <w:tcPr>
            <w:tcW w:w="675" w:type="dxa"/>
            <w:tcBorders>
              <w:tl2br w:val="nil"/>
              <w:tr2bl w:val="nil"/>
            </w:tcBorders>
            <w:shd w:val="clear" w:color="auto" w:fill="auto"/>
            <w:vAlign w:val="center"/>
          </w:tcPr>
          <w:p w14:paraId="3F3E1FAC">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7F2F86D0">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0.0007</w:t>
            </w:r>
          </w:p>
        </w:tc>
        <w:tc>
          <w:tcPr>
            <w:tcW w:w="320" w:type="pct"/>
            <w:tcBorders>
              <w:tl2br w:val="nil"/>
              <w:tr2bl w:val="nil"/>
            </w:tcBorders>
            <w:shd w:val="clear" w:color="auto" w:fill="auto"/>
            <w:vAlign w:val="center"/>
          </w:tcPr>
          <w:p w14:paraId="2B254B49">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1E07D38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en-US"/>
              </w:rPr>
              <w:t>0.00</w:t>
            </w:r>
            <w:r>
              <w:rPr>
                <w:rFonts w:hint="eastAsia" w:ascii="Times New Roman" w:hAnsi="Times New Roman" w:cs="Times New Roman"/>
                <w:szCs w:val="21"/>
                <w:highlight w:val="none"/>
                <w:lang w:val="en-US" w:eastAsia="zh-CN"/>
              </w:rPr>
              <w:t>09</w:t>
            </w:r>
          </w:p>
        </w:tc>
        <w:tc>
          <w:tcPr>
            <w:tcW w:w="494" w:type="pct"/>
            <w:tcBorders>
              <w:tl2br w:val="nil"/>
              <w:tr2bl w:val="nil"/>
            </w:tcBorders>
            <w:shd w:val="clear" w:color="auto" w:fill="auto"/>
            <w:vAlign w:val="center"/>
          </w:tcPr>
          <w:p w14:paraId="24B98E18">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0.00</w:t>
            </w:r>
            <w:r>
              <w:rPr>
                <w:rFonts w:hint="eastAsia" w:ascii="Times New Roman" w:hAnsi="Times New Roman" w:cs="Times New Roman"/>
                <w:szCs w:val="21"/>
                <w:highlight w:val="none"/>
                <w:lang w:val="en-US" w:eastAsia="zh-CN"/>
              </w:rPr>
              <w:t>16</w:t>
            </w:r>
          </w:p>
        </w:tc>
        <w:tc>
          <w:tcPr>
            <w:tcW w:w="302" w:type="pct"/>
            <w:tcBorders>
              <w:tl2br w:val="nil"/>
              <w:tr2bl w:val="nil"/>
            </w:tcBorders>
            <w:shd w:val="clear" w:color="auto" w:fill="auto"/>
            <w:vAlign w:val="center"/>
          </w:tcPr>
          <w:p w14:paraId="7AE23E1C">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35.00</w:t>
            </w:r>
          </w:p>
        </w:tc>
        <w:tc>
          <w:tcPr>
            <w:tcW w:w="273" w:type="pct"/>
            <w:tcBorders>
              <w:tl2br w:val="nil"/>
              <w:tr2bl w:val="nil"/>
            </w:tcBorders>
            <w:shd w:val="clear" w:color="auto" w:fill="auto"/>
            <w:vAlign w:val="center"/>
          </w:tcPr>
          <w:p w14:paraId="4344E07D">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552ED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0" w:type="pct"/>
            <w:vMerge w:val="restart"/>
            <w:tcBorders>
              <w:tl2br w:val="nil"/>
              <w:tr2bl w:val="nil"/>
            </w:tcBorders>
            <w:shd w:val="clear" w:color="auto" w:fill="auto"/>
            <w:vAlign w:val="center"/>
          </w:tcPr>
          <w:p w14:paraId="7A2FECE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Cd</w:t>
            </w:r>
          </w:p>
        </w:tc>
        <w:tc>
          <w:tcPr>
            <w:tcW w:w="748" w:type="pct"/>
            <w:tcBorders>
              <w:tl2br w:val="nil"/>
              <w:tr2bl w:val="nil"/>
            </w:tcBorders>
            <w:shd w:val="clear" w:color="auto" w:fill="auto"/>
            <w:vAlign w:val="center"/>
          </w:tcPr>
          <w:p w14:paraId="037EC431">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兰干村居民区</w:t>
            </w:r>
          </w:p>
        </w:tc>
        <w:tc>
          <w:tcPr>
            <w:tcW w:w="455" w:type="pct"/>
            <w:tcBorders>
              <w:tl2br w:val="nil"/>
              <w:tr2bl w:val="nil"/>
            </w:tcBorders>
            <w:shd w:val="clear" w:color="auto" w:fill="auto"/>
            <w:vAlign w:val="center"/>
          </w:tcPr>
          <w:p w14:paraId="2AB7494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382" w:type="pct"/>
            <w:tcBorders>
              <w:tl2br w:val="nil"/>
              <w:tr2bl w:val="nil"/>
            </w:tcBorders>
            <w:shd w:val="clear" w:color="auto" w:fill="auto"/>
            <w:vAlign w:val="center"/>
          </w:tcPr>
          <w:p w14:paraId="643391EE">
            <w:pPr>
              <w:autoSpaceDE w:val="0"/>
              <w:autoSpaceDN w:val="0"/>
              <w:spacing w:line="300" w:lineRule="exact"/>
              <w:jc w:val="center"/>
              <w:rPr>
                <w:rFonts w:hint="eastAsia"/>
                <w:highlight w:val="none"/>
              </w:rPr>
            </w:pPr>
            <w:r>
              <w:rPr>
                <w:rFonts w:hint="eastAsia"/>
                <w:highlight w:val="none"/>
              </w:rPr>
              <w:t>0.00</w:t>
            </w:r>
          </w:p>
        </w:tc>
        <w:tc>
          <w:tcPr>
            <w:tcW w:w="356" w:type="pct"/>
            <w:tcBorders>
              <w:tl2br w:val="nil"/>
              <w:tr2bl w:val="nil"/>
            </w:tcBorders>
            <w:shd w:val="clear" w:color="auto" w:fill="auto"/>
            <w:vAlign w:val="center"/>
          </w:tcPr>
          <w:p w14:paraId="14F59102">
            <w:pPr>
              <w:autoSpaceDE w:val="0"/>
              <w:autoSpaceDN w:val="0"/>
              <w:spacing w:line="300" w:lineRule="exact"/>
              <w:jc w:val="center"/>
              <w:rPr>
                <w:rFonts w:hint="eastAsia"/>
                <w:highlight w:val="none"/>
              </w:rPr>
            </w:pPr>
            <w:r>
              <w:rPr>
                <w:rFonts w:hint="eastAsia"/>
                <w:highlight w:val="none"/>
              </w:rPr>
              <w:t>平均值</w:t>
            </w:r>
          </w:p>
        </w:tc>
        <w:tc>
          <w:tcPr>
            <w:tcW w:w="371" w:type="pct"/>
            <w:tcBorders>
              <w:tl2br w:val="nil"/>
              <w:tr2bl w:val="nil"/>
            </w:tcBorders>
            <w:shd w:val="clear" w:color="auto" w:fill="auto"/>
            <w:vAlign w:val="center"/>
          </w:tcPr>
          <w:p w14:paraId="45B96FDD">
            <w:pPr>
              <w:autoSpaceDE w:val="0"/>
              <w:autoSpaceDN w:val="0"/>
              <w:spacing w:line="300" w:lineRule="exact"/>
              <w:jc w:val="center"/>
              <w:rPr>
                <w:rFonts w:hint="eastAsia"/>
                <w:highlight w:val="none"/>
              </w:rPr>
            </w:pPr>
            <w:r>
              <w:rPr>
                <w:rFonts w:hint="eastAsia"/>
                <w:highlight w:val="none"/>
              </w:rPr>
              <w:t>0.00</w:t>
            </w:r>
          </w:p>
        </w:tc>
        <w:tc>
          <w:tcPr>
            <w:tcW w:w="229" w:type="pct"/>
            <w:tcBorders>
              <w:tl2br w:val="nil"/>
              <w:tr2bl w:val="nil"/>
            </w:tcBorders>
            <w:shd w:val="clear" w:color="auto" w:fill="auto"/>
            <w:vAlign w:val="center"/>
          </w:tcPr>
          <w:p w14:paraId="1EB96513">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365D5F9B">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0.00003</w:t>
            </w:r>
          </w:p>
        </w:tc>
        <w:tc>
          <w:tcPr>
            <w:tcW w:w="320" w:type="pct"/>
            <w:tcBorders>
              <w:tl2br w:val="nil"/>
              <w:tr2bl w:val="nil"/>
            </w:tcBorders>
            <w:shd w:val="clear" w:color="auto" w:fill="auto"/>
            <w:vAlign w:val="center"/>
          </w:tcPr>
          <w:p w14:paraId="2321BCE0">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5A5B43F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en-US"/>
              </w:rPr>
              <w:t>0.00</w:t>
            </w:r>
          </w:p>
        </w:tc>
        <w:tc>
          <w:tcPr>
            <w:tcW w:w="494" w:type="pct"/>
            <w:tcBorders>
              <w:tl2br w:val="nil"/>
              <w:tr2bl w:val="nil"/>
            </w:tcBorders>
            <w:shd w:val="clear" w:color="auto" w:fill="auto"/>
            <w:vAlign w:val="center"/>
          </w:tcPr>
          <w:p w14:paraId="592EACD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0.00003</w:t>
            </w:r>
          </w:p>
        </w:tc>
        <w:tc>
          <w:tcPr>
            <w:tcW w:w="302" w:type="pct"/>
            <w:tcBorders>
              <w:tl2br w:val="nil"/>
              <w:tr2bl w:val="nil"/>
            </w:tcBorders>
            <w:shd w:val="clear" w:color="auto" w:fill="auto"/>
            <w:vAlign w:val="center"/>
          </w:tcPr>
          <w:p w14:paraId="37C9BBFF">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0.6</w:t>
            </w:r>
          </w:p>
        </w:tc>
        <w:tc>
          <w:tcPr>
            <w:tcW w:w="273" w:type="pct"/>
            <w:tcBorders>
              <w:tl2br w:val="nil"/>
              <w:tr2bl w:val="nil"/>
            </w:tcBorders>
            <w:shd w:val="clear" w:color="auto" w:fill="auto"/>
            <w:vAlign w:val="center"/>
          </w:tcPr>
          <w:p w14:paraId="2A51C6D5">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5BE9C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078F4FE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tcBorders>
              <w:tl2br w:val="nil"/>
              <w:tr2bl w:val="nil"/>
            </w:tcBorders>
            <w:shd w:val="clear" w:color="auto" w:fill="auto"/>
            <w:vAlign w:val="center"/>
          </w:tcPr>
          <w:p w14:paraId="749B4D0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萨依巴格村居民区</w:t>
            </w:r>
          </w:p>
        </w:tc>
        <w:tc>
          <w:tcPr>
            <w:tcW w:w="455" w:type="pct"/>
            <w:tcBorders>
              <w:tl2br w:val="nil"/>
              <w:tr2bl w:val="nil"/>
            </w:tcBorders>
            <w:shd w:val="clear" w:color="auto" w:fill="auto"/>
            <w:vAlign w:val="center"/>
          </w:tcPr>
          <w:p w14:paraId="25C9805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382" w:type="pct"/>
            <w:tcBorders>
              <w:tl2br w:val="nil"/>
              <w:tr2bl w:val="nil"/>
            </w:tcBorders>
            <w:shd w:val="clear" w:color="auto" w:fill="auto"/>
            <w:vAlign w:val="center"/>
          </w:tcPr>
          <w:p w14:paraId="3CB91E4C">
            <w:pPr>
              <w:autoSpaceDE w:val="0"/>
              <w:autoSpaceDN w:val="0"/>
              <w:spacing w:line="300" w:lineRule="exact"/>
              <w:jc w:val="center"/>
              <w:rPr>
                <w:rFonts w:hint="eastAsia"/>
                <w:highlight w:val="none"/>
              </w:rPr>
            </w:pPr>
            <w:r>
              <w:rPr>
                <w:rFonts w:hint="eastAsia"/>
                <w:highlight w:val="none"/>
              </w:rPr>
              <w:t>0.00</w:t>
            </w:r>
          </w:p>
        </w:tc>
        <w:tc>
          <w:tcPr>
            <w:tcW w:w="356" w:type="pct"/>
            <w:tcBorders>
              <w:tl2br w:val="nil"/>
              <w:tr2bl w:val="nil"/>
            </w:tcBorders>
            <w:shd w:val="clear" w:color="auto" w:fill="auto"/>
            <w:vAlign w:val="center"/>
          </w:tcPr>
          <w:p w14:paraId="706DBB1C">
            <w:pPr>
              <w:autoSpaceDE w:val="0"/>
              <w:autoSpaceDN w:val="0"/>
              <w:spacing w:line="300" w:lineRule="exact"/>
              <w:jc w:val="center"/>
              <w:rPr>
                <w:rFonts w:hint="eastAsia"/>
                <w:highlight w:val="none"/>
              </w:rPr>
            </w:pPr>
            <w:r>
              <w:rPr>
                <w:rFonts w:hint="eastAsia"/>
                <w:highlight w:val="none"/>
              </w:rPr>
              <w:t>平均值</w:t>
            </w:r>
          </w:p>
        </w:tc>
        <w:tc>
          <w:tcPr>
            <w:tcW w:w="371" w:type="pct"/>
            <w:tcBorders>
              <w:tl2br w:val="nil"/>
              <w:tr2bl w:val="nil"/>
            </w:tcBorders>
            <w:shd w:val="clear" w:color="auto" w:fill="auto"/>
            <w:vAlign w:val="center"/>
          </w:tcPr>
          <w:p w14:paraId="3340C304">
            <w:pPr>
              <w:autoSpaceDE w:val="0"/>
              <w:autoSpaceDN w:val="0"/>
              <w:spacing w:line="300" w:lineRule="exact"/>
              <w:jc w:val="center"/>
              <w:rPr>
                <w:rFonts w:hint="eastAsia"/>
                <w:highlight w:val="none"/>
              </w:rPr>
            </w:pPr>
            <w:r>
              <w:rPr>
                <w:rFonts w:hint="eastAsia"/>
                <w:highlight w:val="none"/>
              </w:rPr>
              <w:t>0.00</w:t>
            </w:r>
          </w:p>
        </w:tc>
        <w:tc>
          <w:tcPr>
            <w:tcW w:w="229" w:type="pct"/>
            <w:tcBorders>
              <w:tl2br w:val="nil"/>
              <w:tr2bl w:val="nil"/>
            </w:tcBorders>
            <w:shd w:val="clear" w:color="auto" w:fill="auto"/>
            <w:vAlign w:val="center"/>
          </w:tcPr>
          <w:p w14:paraId="112DCEC3">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6D2D0F10">
            <w:pPr>
              <w:autoSpaceDE w:val="0"/>
              <w:autoSpaceDN w:val="0"/>
              <w:spacing w:line="300" w:lineRule="exact"/>
              <w:jc w:val="center"/>
              <w:rPr>
                <w:rFonts w:hint="default" w:ascii="Times New Roman" w:hAnsi="Times New Roman" w:cs="Times New Roman" w:eastAsiaTheme="minorEastAsia"/>
                <w:highlight w:val="none"/>
                <w:lang w:val="en-US"/>
              </w:rPr>
            </w:pPr>
            <w:r>
              <w:rPr>
                <w:rFonts w:hint="eastAsia" w:ascii="Times New Roman" w:hAnsi="Times New Roman" w:cs="Times New Roman"/>
                <w:highlight w:val="none"/>
                <w:lang w:val="en-US" w:eastAsia="zh-CN"/>
              </w:rPr>
              <w:t>0.00003</w:t>
            </w:r>
          </w:p>
        </w:tc>
        <w:tc>
          <w:tcPr>
            <w:tcW w:w="320" w:type="pct"/>
            <w:tcBorders>
              <w:tl2br w:val="nil"/>
              <w:tr2bl w:val="nil"/>
            </w:tcBorders>
            <w:shd w:val="clear" w:color="auto" w:fill="auto"/>
            <w:vAlign w:val="center"/>
          </w:tcPr>
          <w:p w14:paraId="6ADDDCD8">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6CD12863">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en-US"/>
              </w:rPr>
              <w:t>0.00</w:t>
            </w:r>
          </w:p>
        </w:tc>
        <w:tc>
          <w:tcPr>
            <w:tcW w:w="494" w:type="pct"/>
            <w:tcBorders>
              <w:tl2br w:val="nil"/>
              <w:tr2bl w:val="nil"/>
            </w:tcBorders>
            <w:shd w:val="clear" w:color="auto" w:fill="auto"/>
            <w:vAlign w:val="center"/>
          </w:tcPr>
          <w:p w14:paraId="7111766C">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0.00003</w:t>
            </w:r>
          </w:p>
        </w:tc>
        <w:tc>
          <w:tcPr>
            <w:tcW w:w="302" w:type="pct"/>
            <w:tcBorders>
              <w:tl2br w:val="nil"/>
              <w:tr2bl w:val="nil"/>
            </w:tcBorders>
            <w:shd w:val="clear" w:color="auto" w:fill="auto"/>
            <w:vAlign w:val="center"/>
          </w:tcPr>
          <w:p w14:paraId="1E440C2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0.6</w:t>
            </w:r>
          </w:p>
        </w:tc>
        <w:tc>
          <w:tcPr>
            <w:tcW w:w="273" w:type="pct"/>
            <w:tcBorders>
              <w:tl2br w:val="nil"/>
              <w:tr2bl w:val="nil"/>
            </w:tcBorders>
            <w:shd w:val="clear" w:color="auto" w:fill="auto"/>
            <w:vAlign w:val="center"/>
          </w:tcPr>
          <w:p w14:paraId="6D55B2EA">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39EF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1A66EB6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tcBorders>
              <w:tl2br w:val="nil"/>
              <w:tr2bl w:val="nil"/>
            </w:tcBorders>
            <w:shd w:val="clear" w:color="auto" w:fill="auto"/>
            <w:vAlign w:val="center"/>
          </w:tcPr>
          <w:p w14:paraId="7BFF91C4">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帕特曼喀什村居民区</w:t>
            </w:r>
          </w:p>
        </w:tc>
        <w:tc>
          <w:tcPr>
            <w:tcW w:w="455" w:type="pct"/>
            <w:tcBorders>
              <w:tl2br w:val="nil"/>
              <w:tr2bl w:val="nil"/>
            </w:tcBorders>
            <w:shd w:val="clear" w:color="auto" w:fill="auto"/>
            <w:vAlign w:val="center"/>
          </w:tcPr>
          <w:p w14:paraId="0DE6A9E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382" w:type="pct"/>
            <w:tcBorders>
              <w:tl2br w:val="nil"/>
              <w:tr2bl w:val="nil"/>
            </w:tcBorders>
            <w:shd w:val="clear" w:color="auto" w:fill="auto"/>
            <w:vAlign w:val="center"/>
          </w:tcPr>
          <w:p w14:paraId="4F169485">
            <w:pPr>
              <w:autoSpaceDE w:val="0"/>
              <w:autoSpaceDN w:val="0"/>
              <w:spacing w:line="300" w:lineRule="exact"/>
              <w:jc w:val="center"/>
              <w:rPr>
                <w:rFonts w:hint="eastAsia"/>
                <w:highlight w:val="none"/>
              </w:rPr>
            </w:pPr>
            <w:r>
              <w:rPr>
                <w:rFonts w:hint="eastAsia"/>
                <w:highlight w:val="none"/>
              </w:rPr>
              <w:t>0.00</w:t>
            </w:r>
          </w:p>
        </w:tc>
        <w:tc>
          <w:tcPr>
            <w:tcW w:w="356" w:type="pct"/>
            <w:tcBorders>
              <w:tl2br w:val="nil"/>
              <w:tr2bl w:val="nil"/>
            </w:tcBorders>
            <w:shd w:val="clear" w:color="auto" w:fill="auto"/>
            <w:vAlign w:val="center"/>
          </w:tcPr>
          <w:p w14:paraId="2E41A059">
            <w:pPr>
              <w:autoSpaceDE w:val="0"/>
              <w:autoSpaceDN w:val="0"/>
              <w:spacing w:line="300" w:lineRule="exact"/>
              <w:jc w:val="center"/>
              <w:rPr>
                <w:rFonts w:hint="eastAsia"/>
                <w:highlight w:val="none"/>
              </w:rPr>
            </w:pPr>
            <w:r>
              <w:rPr>
                <w:rFonts w:hint="eastAsia"/>
                <w:highlight w:val="none"/>
              </w:rPr>
              <w:t>平均值</w:t>
            </w:r>
          </w:p>
        </w:tc>
        <w:tc>
          <w:tcPr>
            <w:tcW w:w="371" w:type="pct"/>
            <w:tcBorders>
              <w:tl2br w:val="nil"/>
              <w:tr2bl w:val="nil"/>
            </w:tcBorders>
            <w:shd w:val="clear" w:color="auto" w:fill="auto"/>
            <w:vAlign w:val="center"/>
          </w:tcPr>
          <w:p w14:paraId="7025951F">
            <w:pPr>
              <w:autoSpaceDE w:val="0"/>
              <w:autoSpaceDN w:val="0"/>
              <w:spacing w:line="300" w:lineRule="exact"/>
              <w:jc w:val="center"/>
              <w:rPr>
                <w:rFonts w:hint="eastAsia"/>
                <w:highlight w:val="none"/>
              </w:rPr>
            </w:pPr>
            <w:r>
              <w:rPr>
                <w:rFonts w:hint="eastAsia"/>
                <w:highlight w:val="none"/>
              </w:rPr>
              <w:t>0.00</w:t>
            </w:r>
          </w:p>
        </w:tc>
        <w:tc>
          <w:tcPr>
            <w:tcW w:w="229" w:type="pct"/>
            <w:tcBorders>
              <w:tl2br w:val="nil"/>
              <w:tr2bl w:val="nil"/>
            </w:tcBorders>
            <w:shd w:val="clear" w:color="auto" w:fill="auto"/>
            <w:vAlign w:val="center"/>
          </w:tcPr>
          <w:p w14:paraId="342D085C">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13EC6DAA">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0.00003</w:t>
            </w:r>
          </w:p>
        </w:tc>
        <w:tc>
          <w:tcPr>
            <w:tcW w:w="320" w:type="pct"/>
            <w:tcBorders>
              <w:tl2br w:val="nil"/>
              <w:tr2bl w:val="nil"/>
            </w:tcBorders>
            <w:shd w:val="clear" w:color="auto" w:fill="auto"/>
            <w:vAlign w:val="center"/>
          </w:tcPr>
          <w:p w14:paraId="26FD8E7F">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741834B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en-US"/>
              </w:rPr>
              <w:t>0.00</w:t>
            </w:r>
          </w:p>
        </w:tc>
        <w:tc>
          <w:tcPr>
            <w:tcW w:w="494" w:type="pct"/>
            <w:tcBorders>
              <w:tl2br w:val="nil"/>
              <w:tr2bl w:val="nil"/>
            </w:tcBorders>
            <w:shd w:val="clear" w:color="auto" w:fill="auto"/>
            <w:vAlign w:val="center"/>
          </w:tcPr>
          <w:p w14:paraId="5EBBBFF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0.00003</w:t>
            </w:r>
          </w:p>
        </w:tc>
        <w:tc>
          <w:tcPr>
            <w:tcW w:w="302" w:type="pct"/>
            <w:tcBorders>
              <w:tl2br w:val="nil"/>
              <w:tr2bl w:val="nil"/>
            </w:tcBorders>
            <w:shd w:val="clear" w:color="auto" w:fill="auto"/>
            <w:vAlign w:val="center"/>
          </w:tcPr>
          <w:p w14:paraId="52722324">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0.6</w:t>
            </w:r>
          </w:p>
        </w:tc>
        <w:tc>
          <w:tcPr>
            <w:tcW w:w="273" w:type="pct"/>
            <w:tcBorders>
              <w:tl2br w:val="nil"/>
              <w:tr2bl w:val="nil"/>
            </w:tcBorders>
            <w:shd w:val="clear" w:color="auto" w:fill="auto"/>
            <w:vAlign w:val="center"/>
          </w:tcPr>
          <w:p w14:paraId="3C8CC6BC">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139A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7B82185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tcBorders>
              <w:tl2br w:val="nil"/>
              <w:tr2bl w:val="nil"/>
            </w:tcBorders>
            <w:shd w:val="clear" w:color="auto" w:fill="auto"/>
            <w:vAlign w:val="center"/>
          </w:tcPr>
          <w:p w14:paraId="3F78237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网格</w:t>
            </w:r>
          </w:p>
        </w:tc>
        <w:tc>
          <w:tcPr>
            <w:tcW w:w="455" w:type="pct"/>
            <w:tcBorders>
              <w:tl2br w:val="nil"/>
              <w:tr2bl w:val="nil"/>
            </w:tcBorders>
            <w:shd w:val="clear" w:color="auto" w:fill="auto"/>
            <w:vAlign w:val="center"/>
          </w:tcPr>
          <w:p w14:paraId="04F0220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382" w:type="pct"/>
            <w:tcBorders>
              <w:tl2br w:val="nil"/>
              <w:tr2bl w:val="nil"/>
            </w:tcBorders>
            <w:shd w:val="clear" w:color="auto" w:fill="auto"/>
            <w:vAlign w:val="center"/>
          </w:tcPr>
          <w:p w14:paraId="31AD9AD6">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0.00</w:t>
            </w:r>
          </w:p>
        </w:tc>
        <w:tc>
          <w:tcPr>
            <w:tcW w:w="356" w:type="pct"/>
            <w:tcBorders>
              <w:tl2br w:val="nil"/>
              <w:tr2bl w:val="nil"/>
            </w:tcBorders>
            <w:shd w:val="clear" w:color="auto" w:fill="auto"/>
            <w:vAlign w:val="center"/>
          </w:tcPr>
          <w:p w14:paraId="5EF62668">
            <w:pPr>
              <w:autoSpaceDE w:val="0"/>
              <w:autoSpaceDN w:val="0"/>
              <w:spacing w:line="300" w:lineRule="exact"/>
              <w:jc w:val="center"/>
              <w:rPr>
                <w:rFonts w:hint="eastAsia"/>
                <w:highlight w:val="none"/>
              </w:rPr>
            </w:pPr>
            <w:r>
              <w:rPr>
                <w:rFonts w:hint="eastAsia"/>
                <w:highlight w:val="none"/>
              </w:rPr>
              <w:t>平均值</w:t>
            </w:r>
          </w:p>
        </w:tc>
        <w:tc>
          <w:tcPr>
            <w:tcW w:w="371" w:type="pct"/>
            <w:tcBorders>
              <w:tl2br w:val="nil"/>
              <w:tr2bl w:val="nil"/>
            </w:tcBorders>
            <w:shd w:val="clear" w:color="auto" w:fill="auto"/>
            <w:vAlign w:val="center"/>
          </w:tcPr>
          <w:p w14:paraId="4BEF1169">
            <w:pPr>
              <w:autoSpaceDE w:val="0"/>
              <w:autoSpaceDN w:val="0"/>
              <w:spacing w:line="300" w:lineRule="exact"/>
              <w:jc w:val="center"/>
              <w:rPr>
                <w:rFonts w:hint="eastAsia"/>
                <w:highlight w:val="none"/>
              </w:rPr>
            </w:pPr>
            <w:r>
              <w:rPr>
                <w:rFonts w:hint="eastAsia"/>
                <w:highlight w:val="none"/>
              </w:rPr>
              <w:t>0.00</w:t>
            </w:r>
          </w:p>
        </w:tc>
        <w:tc>
          <w:tcPr>
            <w:tcW w:w="229" w:type="pct"/>
            <w:tcBorders>
              <w:tl2br w:val="nil"/>
              <w:tr2bl w:val="nil"/>
            </w:tcBorders>
            <w:shd w:val="clear" w:color="auto" w:fill="auto"/>
            <w:vAlign w:val="center"/>
          </w:tcPr>
          <w:p w14:paraId="48ED3C4D">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1EF0235C">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0.00003</w:t>
            </w:r>
          </w:p>
        </w:tc>
        <w:tc>
          <w:tcPr>
            <w:tcW w:w="320" w:type="pct"/>
            <w:tcBorders>
              <w:tl2br w:val="nil"/>
              <w:tr2bl w:val="nil"/>
            </w:tcBorders>
            <w:shd w:val="clear" w:color="auto" w:fill="auto"/>
            <w:vAlign w:val="center"/>
          </w:tcPr>
          <w:p w14:paraId="6366BDA8">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540EF0C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highlight w:val="none"/>
              </w:rPr>
              <w:t>0.00</w:t>
            </w:r>
            <w:r>
              <w:rPr>
                <w:rFonts w:hint="eastAsia"/>
                <w:highlight w:val="none"/>
                <w:lang w:val="en-US" w:eastAsia="zh-CN"/>
              </w:rPr>
              <w:t>07</w:t>
            </w:r>
          </w:p>
        </w:tc>
        <w:tc>
          <w:tcPr>
            <w:tcW w:w="494" w:type="pct"/>
            <w:tcBorders>
              <w:tl2br w:val="nil"/>
              <w:tr2bl w:val="nil"/>
            </w:tcBorders>
            <w:shd w:val="clear" w:color="auto" w:fill="auto"/>
            <w:vAlign w:val="center"/>
          </w:tcPr>
          <w:p w14:paraId="247AC75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0.000</w:t>
            </w:r>
            <w:r>
              <w:rPr>
                <w:rFonts w:hint="eastAsia" w:ascii="Times New Roman" w:hAnsi="Times New Roman" w:cs="Times New Roman"/>
                <w:szCs w:val="21"/>
                <w:highlight w:val="none"/>
                <w:lang w:val="en-US" w:eastAsia="zh-CN"/>
              </w:rPr>
              <w:t>7</w:t>
            </w:r>
            <w:r>
              <w:rPr>
                <w:rFonts w:hint="eastAsia" w:ascii="Times New Roman" w:hAnsi="Times New Roman" w:cs="Times New Roman" w:eastAsiaTheme="minorEastAsia"/>
                <w:szCs w:val="21"/>
                <w:highlight w:val="none"/>
                <w:lang w:val="en-US" w:eastAsia="zh-CN"/>
              </w:rPr>
              <w:t>3</w:t>
            </w:r>
          </w:p>
        </w:tc>
        <w:tc>
          <w:tcPr>
            <w:tcW w:w="302" w:type="pct"/>
            <w:tcBorders>
              <w:tl2br w:val="nil"/>
              <w:tr2bl w:val="nil"/>
            </w:tcBorders>
            <w:shd w:val="clear" w:color="auto" w:fill="auto"/>
            <w:vAlign w:val="center"/>
          </w:tcPr>
          <w:p w14:paraId="41A6630F">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14.4</w:t>
            </w:r>
          </w:p>
        </w:tc>
        <w:tc>
          <w:tcPr>
            <w:tcW w:w="273" w:type="pct"/>
            <w:tcBorders>
              <w:tl2br w:val="nil"/>
              <w:tr2bl w:val="nil"/>
            </w:tcBorders>
            <w:shd w:val="clear" w:color="auto" w:fill="auto"/>
            <w:vAlign w:val="center"/>
          </w:tcPr>
          <w:p w14:paraId="509DA332">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7A0C7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restart"/>
            <w:tcBorders>
              <w:tl2br w:val="nil"/>
              <w:tr2bl w:val="nil"/>
            </w:tcBorders>
            <w:shd w:val="clear" w:color="auto" w:fill="auto"/>
            <w:vAlign w:val="center"/>
          </w:tcPr>
          <w:p w14:paraId="48993AC1">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二噁英</w:t>
            </w:r>
          </w:p>
        </w:tc>
        <w:tc>
          <w:tcPr>
            <w:tcW w:w="748" w:type="pct"/>
            <w:tcBorders>
              <w:tl2br w:val="nil"/>
              <w:tr2bl w:val="nil"/>
            </w:tcBorders>
            <w:shd w:val="clear" w:color="auto" w:fill="auto"/>
            <w:vAlign w:val="center"/>
          </w:tcPr>
          <w:p w14:paraId="297778B3">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兰干村居民区</w:t>
            </w:r>
          </w:p>
        </w:tc>
        <w:tc>
          <w:tcPr>
            <w:tcW w:w="455" w:type="pct"/>
            <w:tcBorders>
              <w:tl2br w:val="nil"/>
              <w:tr2bl w:val="nil"/>
            </w:tcBorders>
            <w:shd w:val="clear" w:color="auto" w:fill="auto"/>
            <w:vAlign w:val="center"/>
          </w:tcPr>
          <w:p w14:paraId="068D3A6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382" w:type="pct"/>
            <w:tcBorders>
              <w:tl2br w:val="nil"/>
              <w:tr2bl w:val="nil"/>
            </w:tcBorders>
            <w:shd w:val="clear" w:color="auto" w:fill="auto"/>
            <w:vAlign w:val="center"/>
          </w:tcPr>
          <w:p w14:paraId="57C0C8BC">
            <w:pPr>
              <w:autoSpaceDE w:val="0"/>
              <w:autoSpaceDN w:val="0"/>
              <w:spacing w:line="300" w:lineRule="exact"/>
              <w:jc w:val="center"/>
              <w:rPr>
                <w:rFonts w:hint="eastAsia"/>
                <w:highlight w:val="none"/>
              </w:rPr>
            </w:pPr>
            <w:r>
              <w:rPr>
                <w:rFonts w:hint="eastAsia"/>
                <w:highlight w:val="none"/>
              </w:rPr>
              <w:t>0.00</w:t>
            </w:r>
          </w:p>
        </w:tc>
        <w:tc>
          <w:tcPr>
            <w:tcW w:w="356" w:type="pct"/>
            <w:tcBorders>
              <w:tl2br w:val="nil"/>
              <w:tr2bl w:val="nil"/>
            </w:tcBorders>
            <w:shd w:val="clear" w:color="auto" w:fill="auto"/>
            <w:vAlign w:val="center"/>
          </w:tcPr>
          <w:p w14:paraId="39E9F42A">
            <w:pPr>
              <w:autoSpaceDE w:val="0"/>
              <w:autoSpaceDN w:val="0"/>
              <w:spacing w:line="300" w:lineRule="exact"/>
              <w:jc w:val="center"/>
              <w:rPr>
                <w:rFonts w:hint="eastAsia"/>
                <w:highlight w:val="none"/>
              </w:rPr>
            </w:pPr>
            <w:r>
              <w:rPr>
                <w:rFonts w:hint="eastAsia"/>
                <w:highlight w:val="none"/>
              </w:rPr>
              <w:t>平均值</w:t>
            </w:r>
          </w:p>
        </w:tc>
        <w:tc>
          <w:tcPr>
            <w:tcW w:w="371" w:type="pct"/>
            <w:tcBorders>
              <w:tl2br w:val="nil"/>
              <w:tr2bl w:val="nil"/>
            </w:tcBorders>
            <w:shd w:val="clear" w:color="auto" w:fill="auto"/>
            <w:vAlign w:val="center"/>
          </w:tcPr>
          <w:p w14:paraId="27F8A54E">
            <w:pPr>
              <w:autoSpaceDE w:val="0"/>
              <w:autoSpaceDN w:val="0"/>
              <w:spacing w:line="300" w:lineRule="exact"/>
              <w:jc w:val="center"/>
              <w:rPr>
                <w:rFonts w:hint="eastAsia"/>
                <w:highlight w:val="none"/>
              </w:rPr>
            </w:pPr>
            <w:r>
              <w:rPr>
                <w:rFonts w:hint="eastAsia"/>
                <w:highlight w:val="none"/>
              </w:rPr>
              <w:t>0.00</w:t>
            </w:r>
          </w:p>
        </w:tc>
        <w:tc>
          <w:tcPr>
            <w:tcW w:w="229" w:type="pct"/>
            <w:tcBorders>
              <w:tl2br w:val="nil"/>
              <w:tr2bl w:val="nil"/>
            </w:tcBorders>
            <w:shd w:val="clear" w:color="auto" w:fill="auto"/>
            <w:vAlign w:val="center"/>
          </w:tcPr>
          <w:p w14:paraId="07BDD00B">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67776B02">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0.0000000013</w:t>
            </w:r>
          </w:p>
        </w:tc>
        <w:tc>
          <w:tcPr>
            <w:tcW w:w="320" w:type="pct"/>
            <w:tcBorders>
              <w:tl2br w:val="nil"/>
              <w:tr2bl w:val="nil"/>
            </w:tcBorders>
            <w:shd w:val="clear" w:color="auto" w:fill="auto"/>
            <w:vAlign w:val="center"/>
          </w:tcPr>
          <w:p w14:paraId="26AF53BB">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79E40778">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w:t>
            </w:r>
          </w:p>
        </w:tc>
        <w:tc>
          <w:tcPr>
            <w:tcW w:w="494" w:type="pct"/>
            <w:tcBorders>
              <w:tl2br w:val="nil"/>
              <w:tr2bl w:val="nil"/>
            </w:tcBorders>
            <w:shd w:val="clear" w:color="auto" w:fill="auto"/>
            <w:vAlign w:val="center"/>
          </w:tcPr>
          <w:p w14:paraId="2628C793">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0.000000013</w:t>
            </w:r>
          </w:p>
        </w:tc>
        <w:tc>
          <w:tcPr>
            <w:tcW w:w="302" w:type="pct"/>
            <w:tcBorders>
              <w:tl2br w:val="nil"/>
              <w:tr2bl w:val="nil"/>
            </w:tcBorders>
            <w:shd w:val="clear" w:color="auto" w:fill="auto"/>
            <w:vAlign w:val="center"/>
          </w:tcPr>
          <w:p w14:paraId="5F0B25B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1.95</w:t>
            </w:r>
          </w:p>
        </w:tc>
        <w:tc>
          <w:tcPr>
            <w:tcW w:w="273" w:type="pct"/>
            <w:tcBorders>
              <w:tl2br w:val="nil"/>
              <w:tr2bl w:val="nil"/>
            </w:tcBorders>
            <w:shd w:val="clear" w:color="auto" w:fill="auto"/>
            <w:vAlign w:val="center"/>
          </w:tcPr>
          <w:p w14:paraId="787467AF">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02E55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034168E4">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tcBorders>
              <w:tl2br w:val="nil"/>
              <w:tr2bl w:val="nil"/>
            </w:tcBorders>
            <w:shd w:val="clear" w:color="auto" w:fill="auto"/>
            <w:vAlign w:val="center"/>
          </w:tcPr>
          <w:p w14:paraId="12124D6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萨依巴格村居民区</w:t>
            </w:r>
          </w:p>
        </w:tc>
        <w:tc>
          <w:tcPr>
            <w:tcW w:w="455" w:type="pct"/>
            <w:tcBorders>
              <w:tl2br w:val="nil"/>
              <w:tr2bl w:val="nil"/>
            </w:tcBorders>
            <w:shd w:val="clear" w:color="auto" w:fill="auto"/>
            <w:vAlign w:val="center"/>
          </w:tcPr>
          <w:p w14:paraId="786A3F5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382" w:type="pct"/>
            <w:tcBorders>
              <w:tl2br w:val="nil"/>
              <w:tr2bl w:val="nil"/>
            </w:tcBorders>
            <w:shd w:val="clear" w:color="auto" w:fill="auto"/>
            <w:vAlign w:val="center"/>
          </w:tcPr>
          <w:p w14:paraId="58231BD0">
            <w:pPr>
              <w:autoSpaceDE w:val="0"/>
              <w:autoSpaceDN w:val="0"/>
              <w:spacing w:line="300" w:lineRule="exact"/>
              <w:jc w:val="center"/>
              <w:rPr>
                <w:rFonts w:hint="eastAsia"/>
                <w:highlight w:val="none"/>
              </w:rPr>
            </w:pPr>
            <w:r>
              <w:rPr>
                <w:rFonts w:hint="eastAsia"/>
                <w:highlight w:val="none"/>
              </w:rPr>
              <w:t>0.00</w:t>
            </w:r>
          </w:p>
        </w:tc>
        <w:tc>
          <w:tcPr>
            <w:tcW w:w="356" w:type="pct"/>
            <w:tcBorders>
              <w:tl2br w:val="nil"/>
              <w:tr2bl w:val="nil"/>
            </w:tcBorders>
            <w:shd w:val="clear" w:color="auto" w:fill="auto"/>
            <w:vAlign w:val="center"/>
          </w:tcPr>
          <w:p w14:paraId="11A5C036">
            <w:pPr>
              <w:autoSpaceDE w:val="0"/>
              <w:autoSpaceDN w:val="0"/>
              <w:spacing w:line="300" w:lineRule="exact"/>
              <w:jc w:val="center"/>
              <w:rPr>
                <w:rFonts w:hint="eastAsia"/>
                <w:highlight w:val="none"/>
              </w:rPr>
            </w:pPr>
            <w:r>
              <w:rPr>
                <w:rFonts w:hint="eastAsia"/>
                <w:highlight w:val="none"/>
              </w:rPr>
              <w:t>平均值</w:t>
            </w:r>
          </w:p>
        </w:tc>
        <w:tc>
          <w:tcPr>
            <w:tcW w:w="371" w:type="pct"/>
            <w:tcBorders>
              <w:tl2br w:val="nil"/>
              <w:tr2bl w:val="nil"/>
            </w:tcBorders>
            <w:shd w:val="clear" w:color="auto" w:fill="auto"/>
            <w:vAlign w:val="center"/>
          </w:tcPr>
          <w:p w14:paraId="26BB4574">
            <w:pPr>
              <w:autoSpaceDE w:val="0"/>
              <w:autoSpaceDN w:val="0"/>
              <w:spacing w:line="300" w:lineRule="exact"/>
              <w:jc w:val="center"/>
              <w:rPr>
                <w:rFonts w:hint="eastAsia"/>
                <w:highlight w:val="none"/>
              </w:rPr>
            </w:pPr>
            <w:r>
              <w:rPr>
                <w:rFonts w:hint="eastAsia"/>
                <w:highlight w:val="none"/>
              </w:rPr>
              <w:t>0.00</w:t>
            </w:r>
          </w:p>
        </w:tc>
        <w:tc>
          <w:tcPr>
            <w:tcW w:w="229" w:type="pct"/>
            <w:tcBorders>
              <w:tl2br w:val="nil"/>
              <w:tr2bl w:val="nil"/>
            </w:tcBorders>
            <w:shd w:val="clear" w:color="auto" w:fill="auto"/>
            <w:vAlign w:val="center"/>
          </w:tcPr>
          <w:p w14:paraId="257BC633">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226E46D0">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0.0000000013</w:t>
            </w:r>
          </w:p>
        </w:tc>
        <w:tc>
          <w:tcPr>
            <w:tcW w:w="320" w:type="pct"/>
            <w:tcBorders>
              <w:tl2br w:val="nil"/>
              <w:tr2bl w:val="nil"/>
            </w:tcBorders>
            <w:shd w:val="clear" w:color="auto" w:fill="auto"/>
            <w:vAlign w:val="center"/>
          </w:tcPr>
          <w:p w14:paraId="0D655CF1">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490728A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w:t>
            </w:r>
          </w:p>
        </w:tc>
        <w:tc>
          <w:tcPr>
            <w:tcW w:w="494" w:type="pct"/>
            <w:tcBorders>
              <w:tl2br w:val="nil"/>
              <w:tr2bl w:val="nil"/>
            </w:tcBorders>
            <w:shd w:val="clear" w:color="auto" w:fill="auto"/>
            <w:vAlign w:val="center"/>
          </w:tcPr>
          <w:p w14:paraId="0CDE61F8">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0.000000013</w:t>
            </w:r>
          </w:p>
        </w:tc>
        <w:tc>
          <w:tcPr>
            <w:tcW w:w="302" w:type="pct"/>
            <w:tcBorders>
              <w:tl2br w:val="nil"/>
              <w:tr2bl w:val="nil"/>
            </w:tcBorders>
            <w:shd w:val="clear" w:color="auto" w:fill="auto"/>
            <w:vAlign w:val="center"/>
          </w:tcPr>
          <w:p w14:paraId="76B8943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1.95</w:t>
            </w:r>
          </w:p>
        </w:tc>
        <w:tc>
          <w:tcPr>
            <w:tcW w:w="273" w:type="pct"/>
            <w:tcBorders>
              <w:tl2br w:val="nil"/>
              <w:tr2bl w:val="nil"/>
            </w:tcBorders>
            <w:shd w:val="clear" w:color="auto" w:fill="auto"/>
            <w:vAlign w:val="center"/>
          </w:tcPr>
          <w:p w14:paraId="67C4BFDA">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55F15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1A2FC991">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tcBorders>
              <w:tl2br w:val="nil"/>
              <w:tr2bl w:val="nil"/>
            </w:tcBorders>
            <w:shd w:val="clear" w:color="auto" w:fill="auto"/>
            <w:vAlign w:val="center"/>
          </w:tcPr>
          <w:p w14:paraId="4B53804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帕特曼喀什村居民区</w:t>
            </w:r>
          </w:p>
        </w:tc>
        <w:tc>
          <w:tcPr>
            <w:tcW w:w="455" w:type="pct"/>
            <w:tcBorders>
              <w:tl2br w:val="nil"/>
              <w:tr2bl w:val="nil"/>
            </w:tcBorders>
            <w:shd w:val="clear" w:color="auto" w:fill="auto"/>
            <w:vAlign w:val="center"/>
          </w:tcPr>
          <w:p w14:paraId="1352C81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382" w:type="pct"/>
            <w:tcBorders>
              <w:tl2br w:val="nil"/>
              <w:tr2bl w:val="nil"/>
            </w:tcBorders>
            <w:shd w:val="clear" w:color="auto" w:fill="auto"/>
            <w:vAlign w:val="center"/>
          </w:tcPr>
          <w:p w14:paraId="05095A35">
            <w:pPr>
              <w:autoSpaceDE w:val="0"/>
              <w:autoSpaceDN w:val="0"/>
              <w:spacing w:line="300" w:lineRule="exact"/>
              <w:jc w:val="center"/>
              <w:rPr>
                <w:rFonts w:hint="eastAsia"/>
                <w:highlight w:val="none"/>
              </w:rPr>
            </w:pPr>
            <w:r>
              <w:rPr>
                <w:rFonts w:hint="eastAsia"/>
                <w:highlight w:val="none"/>
              </w:rPr>
              <w:t>0.00</w:t>
            </w:r>
          </w:p>
        </w:tc>
        <w:tc>
          <w:tcPr>
            <w:tcW w:w="356" w:type="pct"/>
            <w:tcBorders>
              <w:tl2br w:val="nil"/>
              <w:tr2bl w:val="nil"/>
            </w:tcBorders>
            <w:shd w:val="clear" w:color="auto" w:fill="auto"/>
            <w:vAlign w:val="center"/>
          </w:tcPr>
          <w:p w14:paraId="74A35893">
            <w:pPr>
              <w:autoSpaceDE w:val="0"/>
              <w:autoSpaceDN w:val="0"/>
              <w:spacing w:line="300" w:lineRule="exact"/>
              <w:jc w:val="center"/>
              <w:rPr>
                <w:rFonts w:hint="eastAsia"/>
                <w:highlight w:val="none"/>
              </w:rPr>
            </w:pPr>
            <w:r>
              <w:rPr>
                <w:rFonts w:hint="eastAsia"/>
                <w:highlight w:val="none"/>
              </w:rPr>
              <w:t>平均值</w:t>
            </w:r>
          </w:p>
        </w:tc>
        <w:tc>
          <w:tcPr>
            <w:tcW w:w="371" w:type="pct"/>
            <w:tcBorders>
              <w:tl2br w:val="nil"/>
              <w:tr2bl w:val="nil"/>
            </w:tcBorders>
            <w:shd w:val="clear" w:color="auto" w:fill="auto"/>
            <w:vAlign w:val="center"/>
          </w:tcPr>
          <w:p w14:paraId="7A834EBB">
            <w:pPr>
              <w:autoSpaceDE w:val="0"/>
              <w:autoSpaceDN w:val="0"/>
              <w:spacing w:line="300" w:lineRule="exact"/>
              <w:jc w:val="center"/>
              <w:rPr>
                <w:rFonts w:hint="eastAsia"/>
                <w:highlight w:val="none"/>
              </w:rPr>
            </w:pPr>
            <w:r>
              <w:rPr>
                <w:rFonts w:hint="eastAsia"/>
                <w:highlight w:val="none"/>
              </w:rPr>
              <w:t>0.00</w:t>
            </w:r>
          </w:p>
        </w:tc>
        <w:tc>
          <w:tcPr>
            <w:tcW w:w="229" w:type="pct"/>
            <w:tcBorders>
              <w:tl2br w:val="nil"/>
              <w:tr2bl w:val="nil"/>
            </w:tcBorders>
            <w:shd w:val="clear" w:color="auto" w:fill="auto"/>
            <w:vAlign w:val="center"/>
          </w:tcPr>
          <w:p w14:paraId="675BAEAC">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07453E35">
            <w:pPr>
              <w:autoSpaceDE w:val="0"/>
              <w:autoSpaceDN w:val="0"/>
              <w:spacing w:line="300" w:lineRule="exact"/>
              <w:jc w:val="center"/>
              <w:rPr>
                <w:rFonts w:hint="default" w:ascii="Times New Roman" w:hAnsi="Times New Roman" w:cs="Times New Roman" w:eastAsiaTheme="minorEastAsia"/>
                <w:highlight w:val="none"/>
                <w:lang w:val="en-US"/>
              </w:rPr>
            </w:pPr>
            <w:r>
              <w:rPr>
                <w:rFonts w:hint="eastAsia" w:ascii="Times New Roman" w:hAnsi="Times New Roman" w:cs="Times New Roman"/>
                <w:highlight w:val="none"/>
                <w:lang w:val="en-US" w:eastAsia="zh-CN"/>
              </w:rPr>
              <w:t>0.0000000013</w:t>
            </w:r>
          </w:p>
        </w:tc>
        <w:tc>
          <w:tcPr>
            <w:tcW w:w="320" w:type="pct"/>
            <w:tcBorders>
              <w:tl2br w:val="nil"/>
              <w:tr2bl w:val="nil"/>
            </w:tcBorders>
            <w:shd w:val="clear" w:color="auto" w:fill="auto"/>
            <w:vAlign w:val="center"/>
          </w:tcPr>
          <w:p w14:paraId="4B3F3F46">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5FAE3681">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w:t>
            </w:r>
          </w:p>
        </w:tc>
        <w:tc>
          <w:tcPr>
            <w:tcW w:w="494" w:type="pct"/>
            <w:tcBorders>
              <w:tl2br w:val="nil"/>
              <w:tr2bl w:val="nil"/>
            </w:tcBorders>
            <w:shd w:val="clear" w:color="auto" w:fill="auto"/>
            <w:vAlign w:val="center"/>
          </w:tcPr>
          <w:p w14:paraId="0412A5DC">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0.000000013</w:t>
            </w:r>
          </w:p>
        </w:tc>
        <w:tc>
          <w:tcPr>
            <w:tcW w:w="302" w:type="pct"/>
            <w:tcBorders>
              <w:tl2br w:val="nil"/>
              <w:tr2bl w:val="nil"/>
            </w:tcBorders>
            <w:shd w:val="clear" w:color="auto" w:fill="auto"/>
            <w:vAlign w:val="center"/>
          </w:tcPr>
          <w:p w14:paraId="66198F88">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1.95</w:t>
            </w:r>
          </w:p>
        </w:tc>
        <w:tc>
          <w:tcPr>
            <w:tcW w:w="273" w:type="pct"/>
            <w:tcBorders>
              <w:tl2br w:val="nil"/>
              <w:tr2bl w:val="nil"/>
            </w:tcBorders>
            <w:shd w:val="clear" w:color="auto" w:fill="auto"/>
            <w:vAlign w:val="center"/>
          </w:tcPr>
          <w:p w14:paraId="3218F144">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57AD2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5E353E2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tcBorders>
              <w:tl2br w:val="nil"/>
              <w:tr2bl w:val="nil"/>
            </w:tcBorders>
            <w:shd w:val="clear" w:color="auto" w:fill="auto"/>
            <w:vAlign w:val="center"/>
          </w:tcPr>
          <w:p w14:paraId="4BE0587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网格</w:t>
            </w:r>
          </w:p>
        </w:tc>
        <w:tc>
          <w:tcPr>
            <w:tcW w:w="455" w:type="pct"/>
            <w:tcBorders>
              <w:tl2br w:val="nil"/>
              <w:tr2bl w:val="nil"/>
            </w:tcBorders>
            <w:shd w:val="clear" w:color="auto" w:fill="auto"/>
            <w:vAlign w:val="center"/>
          </w:tcPr>
          <w:p w14:paraId="59F4310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年平均</w:t>
            </w:r>
          </w:p>
        </w:tc>
        <w:tc>
          <w:tcPr>
            <w:tcW w:w="382" w:type="pct"/>
            <w:tcBorders>
              <w:tl2br w:val="nil"/>
              <w:tr2bl w:val="nil"/>
            </w:tcBorders>
            <w:shd w:val="clear" w:color="auto" w:fill="auto"/>
            <w:vAlign w:val="center"/>
          </w:tcPr>
          <w:p w14:paraId="103BD5E6">
            <w:pPr>
              <w:autoSpaceDE w:val="0"/>
              <w:autoSpaceDN w:val="0"/>
              <w:spacing w:line="300" w:lineRule="exact"/>
              <w:jc w:val="center"/>
              <w:rPr>
                <w:rFonts w:hint="eastAsia"/>
                <w:highlight w:val="none"/>
              </w:rPr>
            </w:pPr>
            <w:r>
              <w:rPr>
                <w:rFonts w:hint="eastAsia"/>
                <w:highlight w:val="none"/>
              </w:rPr>
              <w:t>0.00</w:t>
            </w:r>
          </w:p>
        </w:tc>
        <w:tc>
          <w:tcPr>
            <w:tcW w:w="356" w:type="pct"/>
            <w:tcBorders>
              <w:tl2br w:val="nil"/>
              <w:tr2bl w:val="nil"/>
            </w:tcBorders>
            <w:shd w:val="clear" w:color="auto" w:fill="auto"/>
            <w:vAlign w:val="center"/>
          </w:tcPr>
          <w:p w14:paraId="62073519">
            <w:pPr>
              <w:autoSpaceDE w:val="0"/>
              <w:autoSpaceDN w:val="0"/>
              <w:spacing w:line="300" w:lineRule="exact"/>
              <w:jc w:val="center"/>
              <w:rPr>
                <w:rFonts w:hint="eastAsia"/>
                <w:highlight w:val="none"/>
              </w:rPr>
            </w:pPr>
            <w:r>
              <w:rPr>
                <w:rFonts w:hint="eastAsia"/>
                <w:highlight w:val="none"/>
              </w:rPr>
              <w:t>平均值</w:t>
            </w:r>
          </w:p>
        </w:tc>
        <w:tc>
          <w:tcPr>
            <w:tcW w:w="371" w:type="pct"/>
            <w:tcBorders>
              <w:tl2br w:val="nil"/>
              <w:tr2bl w:val="nil"/>
            </w:tcBorders>
            <w:shd w:val="clear" w:color="auto" w:fill="auto"/>
            <w:vAlign w:val="center"/>
          </w:tcPr>
          <w:p w14:paraId="63C454F5">
            <w:pPr>
              <w:autoSpaceDE w:val="0"/>
              <w:autoSpaceDN w:val="0"/>
              <w:spacing w:line="300" w:lineRule="exact"/>
              <w:jc w:val="center"/>
              <w:rPr>
                <w:rFonts w:hint="eastAsia"/>
                <w:highlight w:val="none"/>
              </w:rPr>
            </w:pPr>
            <w:r>
              <w:rPr>
                <w:rFonts w:hint="eastAsia"/>
                <w:highlight w:val="none"/>
              </w:rPr>
              <w:t>0.00</w:t>
            </w:r>
          </w:p>
        </w:tc>
        <w:tc>
          <w:tcPr>
            <w:tcW w:w="229" w:type="pct"/>
            <w:tcBorders>
              <w:tl2br w:val="nil"/>
              <w:tr2bl w:val="nil"/>
            </w:tcBorders>
            <w:shd w:val="clear" w:color="auto" w:fill="auto"/>
            <w:vAlign w:val="center"/>
          </w:tcPr>
          <w:p w14:paraId="64873C59">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5FD5DFF7">
            <w:pPr>
              <w:autoSpaceDE w:val="0"/>
              <w:autoSpaceDN w:val="0"/>
              <w:spacing w:line="300" w:lineRule="exact"/>
              <w:jc w:val="center"/>
              <w:rPr>
                <w:rFonts w:hint="default" w:ascii="Times New Roman" w:hAnsi="Times New Roman" w:cs="Times New Roman" w:eastAsiaTheme="minorEastAsia"/>
                <w:highlight w:val="none"/>
                <w:lang w:val="en-US"/>
              </w:rPr>
            </w:pPr>
            <w:r>
              <w:rPr>
                <w:rFonts w:hint="eastAsia" w:ascii="Times New Roman" w:hAnsi="Times New Roman" w:cs="Times New Roman"/>
                <w:highlight w:val="none"/>
                <w:lang w:val="en-US" w:eastAsia="zh-CN"/>
              </w:rPr>
              <w:t>0.0000000013</w:t>
            </w:r>
          </w:p>
        </w:tc>
        <w:tc>
          <w:tcPr>
            <w:tcW w:w="320" w:type="pct"/>
            <w:tcBorders>
              <w:tl2br w:val="nil"/>
              <w:tr2bl w:val="nil"/>
            </w:tcBorders>
            <w:shd w:val="clear" w:color="auto" w:fill="auto"/>
            <w:vAlign w:val="center"/>
          </w:tcPr>
          <w:p w14:paraId="02933479">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03E9995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w:t>
            </w:r>
          </w:p>
        </w:tc>
        <w:tc>
          <w:tcPr>
            <w:tcW w:w="494" w:type="pct"/>
            <w:tcBorders>
              <w:tl2br w:val="nil"/>
              <w:tr2bl w:val="nil"/>
            </w:tcBorders>
            <w:shd w:val="clear" w:color="auto" w:fill="auto"/>
            <w:vAlign w:val="center"/>
          </w:tcPr>
          <w:p w14:paraId="132B8306">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0.000000013</w:t>
            </w:r>
          </w:p>
        </w:tc>
        <w:tc>
          <w:tcPr>
            <w:tcW w:w="302" w:type="pct"/>
            <w:tcBorders>
              <w:tl2br w:val="nil"/>
              <w:tr2bl w:val="nil"/>
            </w:tcBorders>
            <w:shd w:val="clear" w:color="auto" w:fill="auto"/>
            <w:vAlign w:val="center"/>
          </w:tcPr>
          <w:p w14:paraId="415210E3">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1.95</w:t>
            </w:r>
          </w:p>
        </w:tc>
        <w:tc>
          <w:tcPr>
            <w:tcW w:w="273" w:type="pct"/>
            <w:tcBorders>
              <w:tl2br w:val="nil"/>
              <w:tr2bl w:val="nil"/>
            </w:tcBorders>
            <w:shd w:val="clear" w:color="auto" w:fill="auto"/>
            <w:vAlign w:val="center"/>
          </w:tcPr>
          <w:p w14:paraId="6C3548C0">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29CBF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0" w:type="pct"/>
            <w:vMerge w:val="restart"/>
            <w:tcBorders>
              <w:tl2br w:val="nil"/>
              <w:tr2bl w:val="nil"/>
            </w:tcBorders>
            <w:shd w:val="clear" w:color="auto" w:fill="auto"/>
            <w:vAlign w:val="center"/>
          </w:tcPr>
          <w:p w14:paraId="66597D9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HF</w:t>
            </w:r>
          </w:p>
        </w:tc>
        <w:tc>
          <w:tcPr>
            <w:tcW w:w="748" w:type="pct"/>
            <w:tcBorders>
              <w:tl2br w:val="nil"/>
              <w:tr2bl w:val="nil"/>
            </w:tcBorders>
            <w:shd w:val="clear" w:color="auto" w:fill="auto"/>
            <w:vAlign w:val="center"/>
          </w:tcPr>
          <w:p w14:paraId="74F04D2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兰干村居民区</w:t>
            </w:r>
          </w:p>
        </w:tc>
        <w:tc>
          <w:tcPr>
            <w:tcW w:w="455" w:type="pct"/>
            <w:tcBorders>
              <w:tl2br w:val="nil"/>
              <w:tr2bl w:val="nil"/>
            </w:tcBorders>
            <w:shd w:val="clear" w:color="auto" w:fill="auto"/>
            <w:vAlign w:val="center"/>
          </w:tcPr>
          <w:p w14:paraId="151770B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382" w:type="pct"/>
            <w:tcBorders>
              <w:tl2br w:val="nil"/>
              <w:tr2bl w:val="nil"/>
            </w:tcBorders>
            <w:shd w:val="clear" w:color="auto" w:fill="auto"/>
            <w:vAlign w:val="center"/>
          </w:tcPr>
          <w:p w14:paraId="703A7D5C">
            <w:pPr>
              <w:autoSpaceDE w:val="0"/>
              <w:autoSpaceDN w:val="0"/>
              <w:spacing w:line="300" w:lineRule="exact"/>
              <w:jc w:val="center"/>
              <w:rPr>
                <w:rFonts w:hint="eastAsia"/>
                <w:highlight w:val="none"/>
              </w:rPr>
            </w:pPr>
            <w:r>
              <w:rPr>
                <w:rFonts w:hint="eastAsia"/>
                <w:highlight w:val="none"/>
              </w:rPr>
              <w:t>0.00</w:t>
            </w:r>
          </w:p>
        </w:tc>
        <w:tc>
          <w:tcPr>
            <w:tcW w:w="356" w:type="pct"/>
            <w:tcBorders>
              <w:tl2br w:val="nil"/>
              <w:tr2bl w:val="nil"/>
            </w:tcBorders>
            <w:shd w:val="clear" w:color="auto" w:fill="auto"/>
            <w:vAlign w:val="center"/>
          </w:tcPr>
          <w:p w14:paraId="1E2B804D">
            <w:pPr>
              <w:autoSpaceDE w:val="0"/>
              <w:autoSpaceDN w:val="0"/>
              <w:spacing w:line="300" w:lineRule="exact"/>
              <w:jc w:val="center"/>
              <w:rPr>
                <w:rFonts w:hint="eastAsia"/>
                <w:highlight w:val="none"/>
              </w:rPr>
            </w:pPr>
            <w:r>
              <w:rPr>
                <w:rFonts w:hint="eastAsia"/>
                <w:highlight w:val="none"/>
              </w:rPr>
              <w:t>250409</w:t>
            </w:r>
          </w:p>
        </w:tc>
        <w:tc>
          <w:tcPr>
            <w:tcW w:w="371" w:type="pct"/>
            <w:tcBorders>
              <w:tl2br w:val="nil"/>
              <w:tr2bl w:val="nil"/>
            </w:tcBorders>
            <w:shd w:val="clear" w:color="auto" w:fill="auto"/>
            <w:vAlign w:val="center"/>
          </w:tcPr>
          <w:p w14:paraId="27BDD10E">
            <w:pPr>
              <w:autoSpaceDE w:val="0"/>
              <w:autoSpaceDN w:val="0"/>
              <w:spacing w:line="300" w:lineRule="exact"/>
              <w:jc w:val="center"/>
              <w:rPr>
                <w:rFonts w:hint="eastAsia"/>
                <w:highlight w:val="none"/>
              </w:rPr>
            </w:pPr>
            <w:r>
              <w:rPr>
                <w:rFonts w:hint="eastAsia"/>
                <w:highlight w:val="none"/>
              </w:rPr>
              <w:t>0.00</w:t>
            </w:r>
          </w:p>
        </w:tc>
        <w:tc>
          <w:tcPr>
            <w:tcW w:w="229" w:type="pct"/>
            <w:tcBorders>
              <w:tl2br w:val="nil"/>
              <w:tr2bl w:val="nil"/>
            </w:tcBorders>
            <w:shd w:val="clear" w:color="auto" w:fill="auto"/>
            <w:vAlign w:val="center"/>
          </w:tcPr>
          <w:p w14:paraId="45E3474B">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0.00</w:t>
            </w:r>
          </w:p>
        </w:tc>
        <w:tc>
          <w:tcPr>
            <w:tcW w:w="362" w:type="pct"/>
            <w:tcBorders>
              <w:tl2br w:val="nil"/>
              <w:tr2bl w:val="nil"/>
            </w:tcBorders>
            <w:shd w:val="clear" w:color="auto" w:fill="auto"/>
            <w:vAlign w:val="center"/>
          </w:tcPr>
          <w:p w14:paraId="71DB118E">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0.89</w:t>
            </w:r>
          </w:p>
        </w:tc>
        <w:tc>
          <w:tcPr>
            <w:tcW w:w="320" w:type="pct"/>
            <w:tcBorders>
              <w:tl2br w:val="nil"/>
              <w:tr2bl w:val="nil"/>
            </w:tcBorders>
            <w:shd w:val="clear" w:color="auto" w:fill="auto"/>
            <w:vAlign w:val="center"/>
          </w:tcPr>
          <w:p w14:paraId="1D4FA3B2">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032EABEF">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w:t>
            </w:r>
          </w:p>
        </w:tc>
        <w:tc>
          <w:tcPr>
            <w:tcW w:w="494" w:type="pct"/>
            <w:tcBorders>
              <w:tl2br w:val="nil"/>
              <w:tr2bl w:val="nil"/>
            </w:tcBorders>
            <w:shd w:val="clear" w:color="auto" w:fill="auto"/>
            <w:vAlign w:val="center"/>
          </w:tcPr>
          <w:p w14:paraId="452DBDB1">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0.89</w:t>
            </w:r>
          </w:p>
        </w:tc>
        <w:tc>
          <w:tcPr>
            <w:tcW w:w="302" w:type="pct"/>
            <w:tcBorders>
              <w:tl2br w:val="nil"/>
              <w:tr2bl w:val="nil"/>
            </w:tcBorders>
            <w:shd w:val="clear" w:color="auto" w:fill="auto"/>
            <w:vAlign w:val="center"/>
          </w:tcPr>
          <w:p w14:paraId="38E2717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12.714</w:t>
            </w:r>
          </w:p>
        </w:tc>
        <w:tc>
          <w:tcPr>
            <w:tcW w:w="273" w:type="pct"/>
            <w:tcBorders>
              <w:tl2br w:val="nil"/>
              <w:tr2bl w:val="nil"/>
            </w:tcBorders>
            <w:shd w:val="clear" w:color="auto" w:fill="auto"/>
            <w:vAlign w:val="center"/>
          </w:tcPr>
          <w:p w14:paraId="1127AB0B">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27AB5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3C803EAC">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tcBorders>
              <w:tl2br w:val="nil"/>
              <w:tr2bl w:val="nil"/>
            </w:tcBorders>
            <w:shd w:val="clear" w:color="auto" w:fill="auto"/>
            <w:vAlign w:val="center"/>
          </w:tcPr>
          <w:p w14:paraId="41F633B2">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萨依巴格村居民区</w:t>
            </w:r>
          </w:p>
        </w:tc>
        <w:tc>
          <w:tcPr>
            <w:tcW w:w="455" w:type="pct"/>
            <w:tcBorders>
              <w:tl2br w:val="nil"/>
              <w:tr2bl w:val="nil"/>
            </w:tcBorders>
            <w:shd w:val="clear" w:color="auto" w:fill="auto"/>
            <w:vAlign w:val="center"/>
          </w:tcPr>
          <w:p w14:paraId="7241943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382" w:type="pct"/>
            <w:tcBorders>
              <w:tl2br w:val="nil"/>
              <w:tr2bl w:val="nil"/>
            </w:tcBorders>
            <w:shd w:val="clear" w:color="auto" w:fill="auto"/>
            <w:vAlign w:val="center"/>
          </w:tcPr>
          <w:p w14:paraId="6DA8F0A4">
            <w:pPr>
              <w:autoSpaceDE w:val="0"/>
              <w:autoSpaceDN w:val="0"/>
              <w:spacing w:line="300" w:lineRule="exact"/>
              <w:jc w:val="center"/>
              <w:rPr>
                <w:rFonts w:hint="eastAsia"/>
                <w:highlight w:val="none"/>
              </w:rPr>
            </w:pPr>
            <w:r>
              <w:rPr>
                <w:rFonts w:hint="eastAsia"/>
                <w:highlight w:val="none"/>
              </w:rPr>
              <w:t>0.00</w:t>
            </w:r>
          </w:p>
        </w:tc>
        <w:tc>
          <w:tcPr>
            <w:tcW w:w="356" w:type="pct"/>
            <w:tcBorders>
              <w:tl2br w:val="nil"/>
              <w:tr2bl w:val="nil"/>
            </w:tcBorders>
            <w:shd w:val="clear" w:color="auto" w:fill="auto"/>
            <w:vAlign w:val="center"/>
          </w:tcPr>
          <w:p w14:paraId="69620F02">
            <w:pPr>
              <w:autoSpaceDE w:val="0"/>
              <w:autoSpaceDN w:val="0"/>
              <w:spacing w:line="300" w:lineRule="exact"/>
              <w:jc w:val="center"/>
              <w:rPr>
                <w:rFonts w:hint="eastAsia"/>
                <w:highlight w:val="none"/>
              </w:rPr>
            </w:pPr>
            <w:r>
              <w:rPr>
                <w:rFonts w:hint="eastAsia"/>
                <w:highlight w:val="none"/>
              </w:rPr>
              <w:t>250619</w:t>
            </w:r>
          </w:p>
        </w:tc>
        <w:tc>
          <w:tcPr>
            <w:tcW w:w="371" w:type="pct"/>
            <w:tcBorders>
              <w:tl2br w:val="nil"/>
              <w:tr2bl w:val="nil"/>
            </w:tcBorders>
            <w:shd w:val="clear" w:color="auto" w:fill="auto"/>
            <w:vAlign w:val="center"/>
          </w:tcPr>
          <w:p w14:paraId="6611E2C2">
            <w:pPr>
              <w:autoSpaceDE w:val="0"/>
              <w:autoSpaceDN w:val="0"/>
              <w:spacing w:line="300" w:lineRule="exact"/>
              <w:jc w:val="center"/>
              <w:rPr>
                <w:rFonts w:hint="eastAsia"/>
                <w:highlight w:val="none"/>
              </w:rPr>
            </w:pPr>
            <w:r>
              <w:rPr>
                <w:rFonts w:hint="eastAsia"/>
                <w:highlight w:val="none"/>
              </w:rPr>
              <w:t>0.0</w:t>
            </w:r>
            <w:r>
              <w:rPr>
                <w:rFonts w:hint="eastAsia"/>
                <w:highlight w:val="none"/>
                <w:lang w:val="en-US" w:eastAsia="zh-CN"/>
              </w:rPr>
              <w:t>1</w:t>
            </w:r>
          </w:p>
        </w:tc>
        <w:tc>
          <w:tcPr>
            <w:tcW w:w="229" w:type="pct"/>
            <w:tcBorders>
              <w:tl2br w:val="nil"/>
              <w:tr2bl w:val="nil"/>
            </w:tcBorders>
            <w:shd w:val="clear" w:color="auto" w:fill="auto"/>
            <w:vAlign w:val="center"/>
          </w:tcPr>
          <w:p w14:paraId="79A4B6D6">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0.00</w:t>
            </w:r>
          </w:p>
        </w:tc>
        <w:tc>
          <w:tcPr>
            <w:tcW w:w="362" w:type="pct"/>
            <w:tcBorders>
              <w:tl2br w:val="nil"/>
              <w:tr2bl w:val="nil"/>
            </w:tcBorders>
            <w:shd w:val="clear" w:color="auto" w:fill="auto"/>
            <w:vAlign w:val="center"/>
          </w:tcPr>
          <w:p w14:paraId="3B55F544">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0.89</w:t>
            </w:r>
          </w:p>
        </w:tc>
        <w:tc>
          <w:tcPr>
            <w:tcW w:w="320" w:type="pct"/>
            <w:tcBorders>
              <w:tl2br w:val="nil"/>
              <w:tr2bl w:val="nil"/>
            </w:tcBorders>
            <w:shd w:val="clear" w:color="auto" w:fill="auto"/>
            <w:vAlign w:val="center"/>
          </w:tcPr>
          <w:p w14:paraId="0B3F9BF1">
            <w:pPr>
              <w:autoSpaceDE w:val="0"/>
              <w:autoSpaceDN w:val="0"/>
              <w:spacing w:line="300" w:lineRule="exact"/>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47825F1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w:t>
            </w:r>
          </w:p>
        </w:tc>
        <w:tc>
          <w:tcPr>
            <w:tcW w:w="494" w:type="pct"/>
            <w:tcBorders>
              <w:tl2br w:val="nil"/>
              <w:tr2bl w:val="nil"/>
            </w:tcBorders>
            <w:shd w:val="clear" w:color="auto" w:fill="auto"/>
            <w:vAlign w:val="center"/>
          </w:tcPr>
          <w:p w14:paraId="3215F77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0.89</w:t>
            </w:r>
          </w:p>
        </w:tc>
        <w:tc>
          <w:tcPr>
            <w:tcW w:w="302" w:type="pct"/>
            <w:tcBorders>
              <w:tl2br w:val="nil"/>
              <w:tr2bl w:val="nil"/>
            </w:tcBorders>
            <w:shd w:val="clear" w:color="auto" w:fill="auto"/>
            <w:vAlign w:val="center"/>
          </w:tcPr>
          <w:p w14:paraId="04E5AB28">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12.714</w:t>
            </w:r>
          </w:p>
        </w:tc>
        <w:tc>
          <w:tcPr>
            <w:tcW w:w="273" w:type="pct"/>
            <w:tcBorders>
              <w:tl2br w:val="nil"/>
              <w:tr2bl w:val="nil"/>
            </w:tcBorders>
            <w:shd w:val="clear" w:color="auto" w:fill="auto"/>
            <w:vAlign w:val="center"/>
          </w:tcPr>
          <w:p w14:paraId="2043AF90">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01352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5C93768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tcBorders>
              <w:tl2br w:val="nil"/>
              <w:tr2bl w:val="nil"/>
            </w:tcBorders>
            <w:shd w:val="clear" w:color="auto" w:fill="auto"/>
            <w:vAlign w:val="center"/>
          </w:tcPr>
          <w:p w14:paraId="1DCE9A6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帕特曼喀什村居民区</w:t>
            </w:r>
          </w:p>
        </w:tc>
        <w:tc>
          <w:tcPr>
            <w:tcW w:w="455" w:type="pct"/>
            <w:tcBorders>
              <w:tl2br w:val="nil"/>
              <w:tr2bl w:val="nil"/>
            </w:tcBorders>
            <w:shd w:val="clear" w:color="auto" w:fill="auto"/>
            <w:vAlign w:val="center"/>
          </w:tcPr>
          <w:p w14:paraId="3C462DA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382" w:type="pct"/>
            <w:tcBorders>
              <w:tl2br w:val="nil"/>
              <w:tr2bl w:val="nil"/>
            </w:tcBorders>
            <w:shd w:val="clear" w:color="auto" w:fill="auto"/>
            <w:vAlign w:val="center"/>
          </w:tcPr>
          <w:p w14:paraId="14539207">
            <w:pPr>
              <w:autoSpaceDE w:val="0"/>
              <w:autoSpaceDN w:val="0"/>
              <w:spacing w:line="300" w:lineRule="exact"/>
              <w:jc w:val="center"/>
              <w:rPr>
                <w:rFonts w:hint="eastAsia"/>
                <w:highlight w:val="none"/>
              </w:rPr>
            </w:pPr>
            <w:r>
              <w:rPr>
                <w:rFonts w:hint="eastAsia"/>
                <w:highlight w:val="none"/>
              </w:rPr>
              <w:t>0.00</w:t>
            </w:r>
          </w:p>
        </w:tc>
        <w:tc>
          <w:tcPr>
            <w:tcW w:w="356" w:type="pct"/>
            <w:tcBorders>
              <w:tl2br w:val="nil"/>
              <w:tr2bl w:val="nil"/>
            </w:tcBorders>
            <w:shd w:val="clear" w:color="auto" w:fill="auto"/>
            <w:vAlign w:val="center"/>
          </w:tcPr>
          <w:p w14:paraId="086509CC">
            <w:pPr>
              <w:autoSpaceDE w:val="0"/>
              <w:autoSpaceDN w:val="0"/>
              <w:spacing w:line="300" w:lineRule="exact"/>
              <w:jc w:val="center"/>
              <w:rPr>
                <w:rFonts w:hint="eastAsia"/>
                <w:highlight w:val="none"/>
              </w:rPr>
            </w:pPr>
            <w:r>
              <w:rPr>
                <w:rFonts w:hint="eastAsia"/>
                <w:highlight w:val="none"/>
              </w:rPr>
              <w:t>251215</w:t>
            </w:r>
          </w:p>
        </w:tc>
        <w:tc>
          <w:tcPr>
            <w:tcW w:w="371" w:type="pct"/>
            <w:tcBorders>
              <w:tl2br w:val="nil"/>
              <w:tr2bl w:val="nil"/>
            </w:tcBorders>
            <w:shd w:val="clear" w:color="auto" w:fill="auto"/>
            <w:vAlign w:val="center"/>
          </w:tcPr>
          <w:p w14:paraId="2B5EC970">
            <w:pPr>
              <w:autoSpaceDE w:val="0"/>
              <w:autoSpaceDN w:val="0"/>
              <w:spacing w:line="300" w:lineRule="exact"/>
              <w:jc w:val="center"/>
              <w:rPr>
                <w:rFonts w:hint="eastAsia"/>
                <w:highlight w:val="none"/>
              </w:rPr>
            </w:pPr>
            <w:r>
              <w:rPr>
                <w:rFonts w:hint="eastAsia"/>
                <w:highlight w:val="none"/>
              </w:rPr>
              <w:t>0.00</w:t>
            </w:r>
          </w:p>
        </w:tc>
        <w:tc>
          <w:tcPr>
            <w:tcW w:w="229" w:type="pct"/>
            <w:tcBorders>
              <w:tl2br w:val="nil"/>
              <w:tr2bl w:val="nil"/>
            </w:tcBorders>
            <w:shd w:val="clear" w:color="auto" w:fill="auto"/>
            <w:vAlign w:val="center"/>
          </w:tcPr>
          <w:p w14:paraId="44800888">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0.00</w:t>
            </w:r>
          </w:p>
        </w:tc>
        <w:tc>
          <w:tcPr>
            <w:tcW w:w="362" w:type="pct"/>
            <w:tcBorders>
              <w:tl2br w:val="nil"/>
              <w:tr2bl w:val="nil"/>
            </w:tcBorders>
            <w:shd w:val="clear" w:color="auto" w:fill="auto"/>
            <w:vAlign w:val="center"/>
          </w:tcPr>
          <w:p w14:paraId="076C0DA8">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0.89</w:t>
            </w:r>
          </w:p>
        </w:tc>
        <w:tc>
          <w:tcPr>
            <w:tcW w:w="320" w:type="pct"/>
            <w:tcBorders>
              <w:tl2br w:val="nil"/>
              <w:tr2bl w:val="nil"/>
            </w:tcBorders>
            <w:shd w:val="clear" w:color="auto" w:fill="auto"/>
            <w:vAlign w:val="center"/>
          </w:tcPr>
          <w:p w14:paraId="4F7A7C1F">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6FC16928">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w:t>
            </w:r>
          </w:p>
        </w:tc>
        <w:tc>
          <w:tcPr>
            <w:tcW w:w="494" w:type="pct"/>
            <w:tcBorders>
              <w:tl2br w:val="nil"/>
              <w:tr2bl w:val="nil"/>
            </w:tcBorders>
            <w:shd w:val="clear" w:color="auto" w:fill="auto"/>
            <w:vAlign w:val="center"/>
          </w:tcPr>
          <w:p w14:paraId="01C12026">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0.89</w:t>
            </w:r>
          </w:p>
        </w:tc>
        <w:tc>
          <w:tcPr>
            <w:tcW w:w="302" w:type="pct"/>
            <w:tcBorders>
              <w:tl2br w:val="nil"/>
              <w:tr2bl w:val="nil"/>
            </w:tcBorders>
            <w:shd w:val="clear" w:color="auto" w:fill="auto"/>
            <w:vAlign w:val="center"/>
          </w:tcPr>
          <w:p w14:paraId="075DAA4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12.714</w:t>
            </w:r>
          </w:p>
        </w:tc>
        <w:tc>
          <w:tcPr>
            <w:tcW w:w="273" w:type="pct"/>
            <w:tcBorders>
              <w:tl2br w:val="nil"/>
              <w:tr2bl w:val="nil"/>
            </w:tcBorders>
            <w:shd w:val="clear" w:color="auto" w:fill="auto"/>
            <w:vAlign w:val="center"/>
          </w:tcPr>
          <w:p w14:paraId="19924441">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4A03D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589D8DA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tcBorders>
              <w:tl2br w:val="nil"/>
              <w:tr2bl w:val="nil"/>
            </w:tcBorders>
            <w:shd w:val="clear" w:color="auto" w:fill="auto"/>
            <w:vAlign w:val="center"/>
          </w:tcPr>
          <w:p w14:paraId="68561EE4">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网格</w:t>
            </w:r>
          </w:p>
        </w:tc>
        <w:tc>
          <w:tcPr>
            <w:tcW w:w="455" w:type="pct"/>
            <w:tcBorders>
              <w:tl2br w:val="nil"/>
              <w:tr2bl w:val="nil"/>
            </w:tcBorders>
            <w:shd w:val="clear" w:color="auto" w:fill="auto"/>
            <w:vAlign w:val="center"/>
          </w:tcPr>
          <w:p w14:paraId="1A640BE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en-US"/>
              </w:rPr>
              <w:t>日平均</w:t>
            </w:r>
          </w:p>
        </w:tc>
        <w:tc>
          <w:tcPr>
            <w:tcW w:w="382" w:type="pct"/>
            <w:tcBorders>
              <w:tl2br w:val="nil"/>
              <w:tr2bl w:val="nil"/>
            </w:tcBorders>
            <w:shd w:val="clear" w:color="auto" w:fill="auto"/>
            <w:vAlign w:val="center"/>
          </w:tcPr>
          <w:p w14:paraId="23E04216">
            <w:pPr>
              <w:autoSpaceDE w:val="0"/>
              <w:autoSpaceDN w:val="0"/>
              <w:spacing w:line="300" w:lineRule="exact"/>
              <w:jc w:val="center"/>
              <w:rPr>
                <w:rFonts w:hint="eastAsia"/>
                <w:highlight w:val="none"/>
              </w:rPr>
            </w:pPr>
            <w:r>
              <w:rPr>
                <w:rFonts w:hint="eastAsia"/>
                <w:highlight w:val="none"/>
              </w:rPr>
              <w:t>0.0</w:t>
            </w:r>
            <w:r>
              <w:rPr>
                <w:rFonts w:hint="eastAsia"/>
                <w:highlight w:val="none"/>
                <w:lang w:val="en-US" w:eastAsia="zh-CN"/>
              </w:rPr>
              <w:t>1</w:t>
            </w:r>
          </w:p>
        </w:tc>
        <w:tc>
          <w:tcPr>
            <w:tcW w:w="356" w:type="pct"/>
            <w:tcBorders>
              <w:tl2br w:val="nil"/>
              <w:tr2bl w:val="nil"/>
            </w:tcBorders>
            <w:shd w:val="clear" w:color="auto" w:fill="auto"/>
            <w:vAlign w:val="center"/>
          </w:tcPr>
          <w:p w14:paraId="3605B304">
            <w:pPr>
              <w:autoSpaceDE w:val="0"/>
              <w:autoSpaceDN w:val="0"/>
              <w:spacing w:line="300" w:lineRule="exact"/>
              <w:jc w:val="center"/>
              <w:rPr>
                <w:rFonts w:hint="eastAsia"/>
                <w:highlight w:val="none"/>
              </w:rPr>
            </w:pPr>
            <w:r>
              <w:rPr>
                <w:rFonts w:hint="eastAsia"/>
                <w:highlight w:val="none"/>
                <w:lang w:val="en-US" w:eastAsia="zh-CN"/>
              </w:rPr>
              <w:t>250927</w:t>
            </w:r>
          </w:p>
        </w:tc>
        <w:tc>
          <w:tcPr>
            <w:tcW w:w="371" w:type="pct"/>
            <w:tcBorders>
              <w:tl2br w:val="nil"/>
              <w:tr2bl w:val="nil"/>
            </w:tcBorders>
            <w:shd w:val="clear" w:color="auto" w:fill="auto"/>
            <w:vAlign w:val="center"/>
          </w:tcPr>
          <w:p w14:paraId="26D116A7">
            <w:pPr>
              <w:autoSpaceDE w:val="0"/>
              <w:autoSpaceDN w:val="0"/>
              <w:spacing w:line="300" w:lineRule="exact"/>
              <w:jc w:val="center"/>
              <w:rPr>
                <w:rFonts w:hint="eastAsia"/>
                <w:highlight w:val="none"/>
              </w:rPr>
            </w:pPr>
            <w:r>
              <w:rPr>
                <w:rFonts w:hint="eastAsia"/>
                <w:highlight w:val="none"/>
              </w:rPr>
              <w:t>0.</w:t>
            </w:r>
            <w:r>
              <w:rPr>
                <w:rFonts w:hint="eastAsia"/>
                <w:highlight w:val="none"/>
                <w:lang w:val="en-US" w:eastAsia="zh-CN"/>
              </w:rPr>
              <w:t>19</w:t>
            </w:r>
          </w:p>
        </w:tc>
        <w:tc>
          <w:tcPr>
            <w:tcW w:w="229" w:type="pct"/>
            <w:tcBorders>
              <w:tl2br w:val="nil"/>
              <w:tr2bl w:val="nil"/>
            </w:tcBorders>
            <w:shd w:val="clear" w:color="auto" w:fill="auto"/>
            <w:vAlign w:val="center"/>
          </w:tcPr>
          <w:p w14:paraId="4DEC9A9F">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0.0</w:t>
            </w:r>
            <w:r>
              <w:rPr>
                <w:rFonts w:hint="eastAsia"/>
                <w:highlight w:val="none"/>
                <w:lang w:val="en-US" w:eastAsia="zh-CN"/>
              </w:rPr>
              <w:t>1</w:t>
            </w:r>
          </w:p>
        </w:tc>
        <w:tc>
          <w:tcPr>
            <w:tcW w:w="362" w:type="pct"/>
            <w:tcBorders>
              <w:tl2br w:val="nil"/>
              <w:tr2bl w:val="nil"/>
            </w:tcBorders>
            <w:shd w:val="clear" w:color="auto" w:fill="auto"/>
            <w:vAlign w:val="center"/>
          </w:tcPr>
          <w:p w14:paraId="6B761E62">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0.89</w:t>
            </w:r>
          </w:p>
        </w:tc>
        <w:tc>
          <w:tcPr>
            <w:tcW w:w="320" w:type="pct"/>
            <w:tcBorders>
              <w:tl2br w:val="nil"/>
              <w:tr2bl w:val="nil"/>
            </w:tcBorders>
            <w:shd w:val="clear" w:color="auto" w:fill="auto"/>
            <w:vAlign w:val="center"/>
          </w:tcPr>
          <w:p w14:paraId="3D29B29E">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67E3A5F4">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w:t>
            </w:r>
          </w:p>
        </w:tc>
        <w:tc>
          <w:tcPr>
            <w:tcW w:w="494" w:type="pct"/>
            <w:tcBorders>
              <w:tl2br w:val="nil"/>
              <w:tr2bl w:val="nil"/>
            </w:tcBorders>
            <w:shd w:val="clear" w:color="auto" w:fill="auto"/>
            <w:vAlign w:val="center"/>
          </w:tcPr>
          <w:p w14:paraId="7F2D8AB6">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0.89</w:t>
            </w:r>
          </w:p>
        </w:tc>
        <w:tc>
          <w:tcPr>
            <w:tcW w:w="302" w:type="pct"/>
            <w:tcBorders>
              <w:tl2br w:val="nil"/>
              <w:tr2bl w:val="nil"/>
            </w:tcBorders>
            <w:shd w:val="clear" w:color="auto" w:fill="auto"/>
            <w:vAlign w:val="center"/>
          </w:tcPr>
          <w:p w14:paraId="7C5ECF9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eastAsiaTheme="minorEastAsia"/>
                <w:szCs w:val="21"/>
                <w:highlight w:val="none"/>
                <w:lang w:val="en-US" w:eastAsia="zh-CN"/>
              </w:rPr>
              <w:t>12.714</w:t>
            </w:r>
          </w:p>
        </w:tc>
        <w:tc>
          <w:tcPr>
            <w:tcW w:w="273" w:type="pct"/>
            <w:tcBorders>
              <w:tl2br w:val="nil"/>
              <w:tr2bl w:val="nil"/>
            </w:tcBorders>
            <w:shd w:val="clear" w:color="auto" w:fill="auto"/>
            <w:vAlign w:val="center"/>
          </w:tcPr>
          <w:p w14:paraId="38F493D6">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szCs w:val="21"/>
                <w:highlight w:val="none"/>
                <w:lang w:val="en-US" w:eastAsia="zh-CN"/>
              </w:rPr>
              <w:t>达标</w:t>
            </w:r>
          </w:p>
        </w:tc>
      </w:tr>
      <w:tr w14:paraId="689BD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restart"/>
            <w:tcBorders>
              <w:tl2br w:val="nil"/>
              <w:tr2bl w:val="nil"/>
            </w:tcBorders>
            <w:shd w:val="clear" w:color="auto" w:fill="auto"/>
            <w:vAlign w:val="center"/>
          </w:tcPr>
          <w:p w14:paraId="73DC70D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NH</w:t>
            </w:r>
            <w:r>
              <w:rPr>
                <w:rFonts w:hint="eastAsia" w:ascii="Times New Roman" w:hAnsi="Times New Roman" w:cs="Times New Roman"/>
                <w:szCs w:val="21"/>
                <w:highlight w:val="none"/>
                <w:vertAlign w:val="subscript"/>
                <w:lang w:val="en-US" w:eastAsia="zh-CN"/>
              </w:rPr>
              <w:t>3</w:t>
            </w:r>
          </w:p>
        </w:tc>
        <w:tc>
          <w:tcPr>
            <w:tcW w:w="748" w:type="pct"/>
            <w:tcBorders>
              <w:tl2br w:val="nil"/>
              <w:tr2bl w:val="nil"/>
            </w:tcBorders>
            <w:shd w:val="clear" w:color="auto" w:fill="auto"/>
            <w:vAlign w:val="center"/>
          </w:tcPr>
          <w:p w14:paraId="2A01FAF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兰干村居民区</w:t>
            </w:r>
          </w:p>
        </w:tc>
        <w:tc>
          <w:tcPr>
            <w:tcW w:w="455" w:type="pct"/>
            <w:tcBorders>
              <w:tl2br w:val="nil"/>
              <w:tr2bl w:val="nil"/>
            </w:tcBorders>
            <w:shd w:val="clear" w:color="auto" w:fill="auto"/>
            <w:vAlign w:val="center"/>
          </w:tcPr>
          <w:p w14:paraId="1BF0D46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小时平均值</w:t>
            </w:r>
          </w:p>
        </w:tc>
        <w:tc>
          <w:tcPr>
            <w:tcW w:w="382" w:type="pct"/>
            <w:tcBorders>
              <w:tl2br w:val="nil"/>
              <w:tr2bl w:val="nil"/>
            </w:tcBorders>
            <w:shd w:val="clear" w:color="auto" w:fill="auto"/>
            <w:vAlign w:val="center"/>
          </w:tcPr>
          <w:p w14:paraId="2342400D">
            <w:pPr>
              <w:autoSpaceDE w:val="0"/>
              <w:autoSpaceDN w:val="0"/>
              <w:spacing w:line="300" w:lineRule="exact"/>
              <w:jc w:val="center"/>
              <w:rPr>
                <w:rFonts w:hint="eastAsia"/>
                <w:highlight w:val="none"/>
              </w:rPr>
            </w:pPr>
            <w:r>
              <w:rPr>
                <w:rFonts w:hint="eastAsia"/>
                <w:highlight w:val="none"/>
                <w:lang w:val="en-US" w:eastAsia="zh-CN"/>
              </w:rPr>
              <w:t>0.00</w:t>
            </w:r>
          </w:p>
        </w:tc>
        <w:tc>
          <w:tcPr>
            <w:tcW w:w="356" w:type="pct"/>
            <w:tcBorders>
              <w:tl2br w:val="nil"/>
              <w:tr2bl w:val="nil"/>
            </w:tcBorders>
            <w:shd w:val="clear" w:color="auto" w:fill="auto"/>
            <w:vAlign w:val="center"/>
          </w:tcPr>
          <w:p w14:paraId="358A0314">
            <w:pPr>
              <w:autoSpaceDE w:val="0"/>
              <w:autoSpaceDN w:val="0"/>
              <w:spacing w:line="300" w:lineRule="exact"/>
              <w:jc w:val="center"/>
              <w:rPr>
                <w:rFonts w:hint="eastAsia"/>
                <w:highlight w:val="none"/>
                <w:lang w:val="en-US" w:eastAsia="zh-CN"/>
              </w:rPr>
            </w:pPr>
            <w:r>
              <w:rPr>
                <w:rFonts w:hint="eastAsia"/>
                <w:highlight w:val="none"/>
                <w:lang w:val="en-US" w:eastAsia="zh-CN"/>
              </w:rPr>
              <w:t>25070323</w:t>
            </w:r>
          </w:p>
        </w:tc>
        <w:tc>
          <w:tcPr>
            <w:tcW w:w="371" w:type="pct"/>
            <w:tcBorders>
              <w:tl2br w:val="nil"/>
              <w:tr2bl w:val="nil"/>
            </w:tcBorders>
            <w:shd w:val="clear" w:color="auto" w:fill="auto"/>
            <w:vAlign w:val="center"/>
          </w:tcPr>
          <w:p w14:paraId="0A9CA283">
            <w:pPr>
              <w:autoSpaceDE w:val="0"/>
              <w:autoSpaceDN w:val="0"/>
              <w:spacing w:line="300" w:lineRule="exact"/>
              <w:jc w:val="center"/>
              <w:rPr>
                <w:rFonts w:hint="eastAsia"/>
                <w:highlight w:val="none"/>
              </w:rPr>
            </w:pPr>
            <w:r>
              <w:rPr>
                <w:rFonts w:hint="eastAsia"/>
                <w:highlight w:val="none"/>
                <w:lang w:val="en-US" w:eastAsia="zh-CN"/>
              </w:rPr>
              <w:t>0.00</w:t>
            </w:r>
          </w:p>
        </w:tc>
        <w:tc>
          <w:tcPr>
            <w:tcW w:w="229" w:type="pct"/>
            <w:tcBorders>
              <w:tl2br w:val="nil"/>
              <w:tr2bl w:val="nil"/>
            </w:tcBorders>
            <w:shd w:val="clear" w:color="auto" w:fill="auto"/>
            <w:vAlign w:val="center"/>
          </w:tcPr>
          <w:p w14:paraId="0FE3B70D">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达标</w:t>
            </w:r>
          </w:p>
        </w:tc>
        <w:tc>
          <w:tcPr>
            <w:tcW w:w="362" w:type="pct"/>
            <w:tcBorders>
              <w:tl2br w:val="nil"/>
              <w:tr2bl w:val="nil"/>
            </w:tcBorders>
            <w:shd w:val="clear" w:color="auto" w:fill="auto"/>
            <w:vAlign w:val="center"/>
          </w:tcPr>
          <w:p w14:paraId="5BB64971">
            <w:pPr>
              <w:autoSpaceDE w:val="0"/>
              <w:autoSpaceDN w:val="0"/>
              <w:spacing w:line="300" w:lineRule="exact"/>
              <w:jc w:val="center"/>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50</w:t>
            </w:r>
          </w:p>
        </w:tc>
        <w:tc>
          <w:tcPr>
            <w:tcW w:w="320" w:type="pct"/>
            <w:tcBorders>
              <w:tl2br w:val="nil"/>
              <w:tr2bl w:val="nil"/>
            </w:tcBorders>
            <w:shd w:val="clear" w:color="auto" w:fill="auto"/>
            <w:vAlign w:val="center"/>
          </w:tcPr>
          <w:p w14:paraId="34417F5D">
            <w:pPr>
              <w:autoSpaceDE w:val="0"/>
              <w:autoSpaceDN w:val="0"/>
              <w:spacing w:line="300" w:lineRule="exact"/>
              <w:jc w:val="center"/>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4493E22D">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highlight w:val="none"/>
                <w:lang w:val="en-US" w:eastAsia="zh-CN"/>
              </w:rPr>
              <w:t>0</w:t>
            </w:r>
          </w:p>
        </w:tc>
        <w:tc>
          <w:tcPr>
            <w:tcW w:w="494" w:type="pct"/>
            <w:tcBorders>
              <w:tl2br w:val="nil"/>
              <w:tr2bl w:val="nil"/>
            </w:tcBorders>
            <w:shd w:val="clear" w:color="auto" w:fill="auto"/>
            <w:vAlign w:val="center"/>
          </w:tcPr>
          <w:p w14:paraId="0802D92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50.26</w:t>
            </w:r>
          </w:p>
        </w:tc>
        <w:tc>
          <w:tcPr>
            <w:tcW w:w="302" w:type="pct"/>
            <w:tcBorders>
              <w:tl2br w:val="nil"/>
              <w:tr2bl w:val="nil"/>
            </w:tcBorders>
            <w:shd w:val="clear" w:color="auto" w:fill="auto"/>
            <w:vAlign w:val="center"/>
          </w:tcPr>
          <w:p w14:paraId="3A059EA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25.13</w:t>
            </w:r>
          </w:p>
        </w:tc>
        <w:tc>
          <w:tcPr>
            <w:tcW w:w="273" w:type="pct"/>
            <w:tcBorders>
              <w:tl2br w:val="nil"/>
              <w:tr2bl w:val="nil"/>
            </w:tcBorders>
            <w:shd w:val="clear" w:color="auto" w:fill="auto"/>
            <w:vAlign w:val="center"/>
          </w:tcPr>
          <w:p w14:paraId="6DE338CB">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达标</w:t>
            </w:r>
          </w:p>
        </w:tc>
      </w:tr>
      <w:tr w14:paraId="25177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295AE91F">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tcBorders>
              <w:tl2br w:val="nil"/>
              <w:tr2bl w:val="nil"/>
            </w:tcBorders>
            <w:shd w:val="clear" w:color="auto" w:fill="auto"/>
            <w:vAlign w:val="center"/>
          </w:tcPr>
          <w:p w14:paraId="2FCCC9A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萨依巴格村居民区</w:t>
            </w:r>
          </w:p>
        </w:tc>
        <w:tc>
          <w:tcPr>
            <w:tcW w:w="455" w:type="pct"/>
            <w:tcBorders>
              <w:tl2br w:val="nil"/>
              <w:tr2bl w:val="nil"/>
            </w:tcBorders>
            <w:shd w:val="clear" w:color="auto" w:fill="auto"/>
            <w:vAlign w:val="center"/>
          </w:tcPr>
          <w:p w14:paraId="485FE3DC">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小时平均值</w:t>
            </w:r>
          </w:p>
        </w:tc>
        <w:tc>
          <w:tcPr>
            <w:tcW w:w="382" w:type="pct"/>
            <w:tcBorders>
              <w:tl2br w:val="nil"/>
              <w:tr2bl w:val="nil"/>
            </w:tcBorders>
            <w:shd w:val="clear" w:color="auto" w:fill="auto"/>
            <w:vAlign w:val="center"/>
          </w:tcPr>
          <w:p w14:paraId="1FAE630D">
            <w:pPr>
              <w:autoSpaceDE w:val="0"/>
              <w:autoSpaceDN w:val="0"/>
              <w:spacing w:line="300" w:lineRule="exact"/>
              <w:jc w:val="center"/>
              <w:rPr>
                <w:rFonts w:hint="eastAsia"/>
                <w:highlight w:val="none"/>
              </w:rPr>
            </w:pPr>
            <w:r>
              <w:rPr>
                <w:rFonts w:hint="eastAsia"/>
                <w:highlight w:val="none"/>
                <w:lang w:val="en-US" w:eastAsia="zh-CN"/>
              </w:rPr>
              <w:t>0.00</w:t>
            </w:r>
          </w:p>
        </w:tc>
        <w:tc>
          <w:tcPr>
            <w:tcW w:w="356" w:type="pct"/>
            <w:tcBorders>
              <w:tl2br w:val="nil"/>
              <w:tr2bl w:val="nil"/>
            </w:tcBorders>
            <w:shd w:val="clear" w:color="auto" w:fill="auto"/>
            <w:vAlign w:val="center"/>
          </w:tcPr>
          <w:p w14:paraId="4421CCE2">
            <w:pPr>
              <w:autoSpaceDE w:val="0"/>
              <w:autoSpaceDN w:val="0"/>
              <w:spacing w:line="300" w:lineRule="exact"/>
              <w:jc w:val="center"/>
              <w:rPr>
                <w:rFonts w:hint="eastAsia"/>
                <w:highlight w:val="none"/>
                <w:lang w:val="en-US" w:eastAsia="zh-CN"/>
              </w:rPr>
            </w:pPr>
            <w:r>
              <w:rPr>
                <w:rFonts w:hint="eastAsia"/>
                <w:highlight w:val="none"/>
                <w:lang w:val="en-US" w:eastAsia="zh-CN"/>
              </w:rPr>
              <w:t>25021123</w:t>
            </w:r>
          </w:p>
        </w:tc>
        <w:tc>
          <w:tcPr>
            <w:tcW w:w="371" w:type="pct"/>
            <w:tcBorders>
              <w:tl2br w:val="nil"/>
              <w:tr2bl w:val="nil"/>
            </w:tcBorders>
            <w:shd w:val="clear" w:color="auto" w:fill="auto"/>
            <w:vAlign w:val="center"/>
          </w:tcPr>
          <w:p w14:paraId="0F8C0C4C">
            <w:pPr>
              <w:autoSpaceDE w:val="0"/>
              <w:autoSpaceDN w:val="0"/>
              <w:spacing w:line="300" w:lineRule="exact"/>
              <w:jc w:val="center"/>
              <w:rPr>
                <w:rFonts w:hint="eastAsia"/>
                <w:highlight w:val="none"/>
              </w:rPr>
            </w:pPr>
            <w:r>
              <w:rPr>
                <w:rFonts w:hint="eastAsia"/>
                <w:highlight w:val="none"/>
                <w:lang w:val="en-US" w:eastAsia="zh-CN"/>
              </w:rPr>
              <w:t>0.00</w:t>
            </w:r>
          </w:p>
        </w:tc>
        <w:tc>
          <w:tcPr>
            <w:tcW w:w="229" w:type="pct"/>
            <w:tcBorders>
              <w:tl2br w:val="nil"/>
              <w:tr2bl w:val="nil"/>
            </w:tcBorders>
            <w:shd w:val="clear" w:color="auto" w:fill="auto"/>
            <w:vAlign w:val="center"/>
          </w:tcPr>
          <w:p w14:paraId="64F39E1A">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达标</w:t>
            </w:r>
          </w:p>
        </w:tc>
        <w:tc>
          <w:tcPr>
            <w:tcW w:w="362" w:type="pct"/>
            <w:tcBorders>
              <w:tl2br w:val="nil"/>
              <w:tr2bl w:val="nil"/>
            </w:tcBorders>
            <w:shd w:val="clear" w:color="auto" w:fill="auto"/>
            <w:vAlign w:val="center"/>
          </w:tcPr>
          <w:p w14:paraId="582CB9F0">
            <w:pPr>
              <w:autoSpaceDE w:val="0"/>
              <w:autoSpaceDN w:val="0"/>
              <w:spacing w:line="300" w:lineRule="exact"/>
              <w:jc w:val="center"/>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50</w:t>
            </w:r>
          </w:p>
        </w:tc>
        <w:tc>
          <w:tcPr>
            <w:tcW w:w="320" w:type="pct"/>
            <w:tcBorders>
              <w:tl2br w:val="nil"/>
              <w:tr2bl w:val="nil"/>
            </w:tcBorders>
            <w:shd w:val="clear" w:color="auto" w:fill="auto"/>
            <w:vAlign w:val="center"/>
          </w:tcPr>
          <w:p w14:paraId="177ADE54">
            <w:pPr>
              <w:autoSpaceDE w:val="0"/>
              <w:autoSpaceDN w:val="0"/>
              <w:spacing w:line="300" w:lineRule="exact"/>
              <w:jc w:val="center"/>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0A5E19F6">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highlight w:val="none"/>
                <w:lang w:val="en-US" w:eastAsia="zh-CN"/>
              </w:rPr>
              <w:t>0</w:t>
            </w:r>
          </w:p>
        </w:tc>
        <w:tc>
          <w:tcPr>
            <w:tcW w:w="494" w:type="pct"/>
            <w:tcBorders>
              <w:tl2br w:val="nil"/>
              <w:tr2bl w:val="nil"/>
            </w:tcBorders>
            <w:shd w:val="clear" w:color="auto" w:fill="auto"/>
            <w:vAlign w:val="center"/>
          </w:tcPr>
          <w:p w14:paraId="0959B63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50.71</w:t>
            </w:r>
          </w:p>
        </w:tc>
        <w:tc>
          <w:tcPr>
            <w:tcW w:w="302" w:type="pct"/>
            <w:tcBorders>
              <w:tl2br w:val="nil"/>
              <w:tr2bl w:val="nil"/>
            </w:tcBorders>
            <w:shd w:val="clear" w:color="auto" w:fill="auto"/>
            <w:vAlign w:val="center"/>
          </w:tcPr>
          <w:p w14:paraId="7787E8B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25.36</w:t>
            </w:r>
          </w:p>
        </w:tc>
        <w:tc>
          <w:tcPr>
            <w:tcW w:w="273" w:type="pct"/>
            <w:tcBorders>
              <w:tl2br w:val="nil"/>
              <w:tr2bl w:val="nil"/>
            </w:tcBorders>
            <w:shd w:val="clear" w:color="auto" w:fill="auto"/>
            <w:vAlign w:val="center"/>
          </w:tcPr>
          <w:p w14:paraId="06B06563">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达标</w:t>
            </w:r>
          </w:p>
        </w:tc>
      </w:tr>
      <w:tr w14:paraId="38531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31B614C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tcBorders>
              <w:tl2br w:val="nil"/>
              <w:tr2bl w:val="nil"/>
            </w:tcBorders>
            <w:shd w:val="clear" w:color="auto" w:fill="auto"/>
            <w:vAlign w:val="center"/>
          </w:tcPr>
          <w:p w14:paraId="747BD82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帕特曼喀什村居民区</w:t>
            </w:r>
          </w:p>
        </w:tc>
        <w:tc>
          <w:tcPr>
            <w:tcW w:w="455" w:type="pct"/>
            <w:tcBorders>
              <w:tl2br w:val="nil"/>
              <w:tr2bl w:val="nil"/>
            </w:tcBorders>
            <w:shd w:val="clear" w:color="auto" w:fill="auto"/>
            <w:vAlign w:val="center"/>
          </w:tcPr>
          <w:p w14:paraId="0D73261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小时平均值</w:t>
            </w:r>
          </w:p>
        </w:tc>
        <w:tc>
          <w:tcPr>
            <w:tcW w:w="382" w:type="pct"/>
            <w:tcBorders>
              <w:tl2br w:val="nil"/>
              <w:tr2bl w:val="nil"/>
            </w:tcBorders>
            <w:shd w:val="clear" w:color="auto" w:fill="auto"/>
            <w:vAlign w:val="center"/>
          </w:tcPr>
          <w:p w14:paraId="316AD707">
            <w:pPr>
              <w:autoSpaceDE w:val="0"/>
              <w:autoSpaceDN w:val="0"/>
              <w:spacing w:line="300" w:lineRule="exact"/>
              <w:jc w:val="center"/>
              <w:rPr>
                <w:rFonts w:hint="eastAsia"/>
                <w:highlight w:val="none"/>
              </w:rPr>
            </w:pPr>
            <w:r>
              <w:rPr>
                <w:rFonts w:hint="eastAsia"/>
                <w:highlight w:val="none"/>
                <w:lang w:val="en-US" w:eastAsia="zh-CN"/>
              </w:rPr>
              <w:t>0.00</w:t>
            </w:r>
          </w:p>
        </w:tc>
        <w:tc>
          <w:tcPr>
            <w:tcW w:w="356" w:type="pct"/>
            <w:tcBorders>
              <w:tl2br w:val="nil"/>
              <w:tr2bl w:val="nil"/>
            </w:tcBorders>
            <w:shd w:val="clear" w:color="auto" w:fill="auto"/>
            <w:vAlign w:val="center"/>
          </w:tcPr>
          <w:p w14:paraId="2208691A">
            <w:pPr>
              <w:autoSpaceDE w:val="0"/>
              <w:autoSpaceDN w:val="0"/>
              <w:spacing w:line="300" w:lineRule="exact"/>
              <w:jc w:val="center"/>
              <w:rPr>
                <w:rFonts w:hint="eastAsia"/>
                <w:highlight w:val="none"/>
                <w:lang w:val="en-US" w:eastAsia="zh-CN"/>
              </w:rPr>
            </w:pPr>
            <w:r>
              <w:rPr>
                <w:rFonts w:hint="eastAsia"/>
                <w:highlight w:val="none"/>
                <w:lang w:val="en-US" w:eastAsia="zh-CN"/>
              </w:rPr>
              <w:t>25051721</w:t>
            </w:r>
          </w:p>
        </w:tc>
        <w:tc>
          <w:tcPr>
            <w:tcW w:w="371" w:type="pct"/>
            <w:tcBorders>
              <w:tl2br w:val="nil"/>
              <w:tr2bl w:val="nil"/>
            </w:tcBorders>
            <w:shd w:val="clear" w:color="auto" w:fill="auto"/>
            <w:vAlign w:val="center"/>
          </w:tcPr>
          <w:p w14:paraId="5B0DA047">
            <w:pPr>
              <w:autoSpaceDE w:val="0"/>
              <w:autoSpaceDN w:val="0"/>
              <w:spacing w:line="300" w:lineRule="exact"/>
              <w:jc w:val="center"/>
              <w:rPr>
                <w:rFonts w:hint="eastAsia"/>
                <w:highlight w:val="none"/>
              </w:rPr>
            </w:pPr>
            <w:r>
              <w:rPr>
                <w:rFonts w:hint="default"/>
                <w:highlight w:val="none"/>
                <w:lang w:val="en-US" w:eastAsia="zh-CN"/>
              </w:rPr>
              <w:t>0.</w:t>
            </w:r>
            <w:r>
              <w:rPr>
                <w:rFonts w:hint="eastAsia"/>
                <w:highlight w:val="none"/>
                <w:lang w:val="en-US" w:eastAsia="zh-CN"/>
              </w:rPr>
              <w:t>00</w:t>
            </w:r>
          </w:p>
        </w:tc>
        <w:tc>
          <w:tcPr>
            <w:tcW w:w="229" w:type="pct"/>
            <w:tcBorders>
              <w:tl2br w:val="nil"/>
              <w:tr2bl w:val="nil"/>
            </w:tcBorders>
            <w:shd w:val="clear" w:color="auto" w:fill="auto"/>
            <w:vAlign w:val="center"/>
          </w:tcPr>
          <w:p w14:paraId="0B97D426">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43FF2E75">
            <w:pPr>
              <w:autoSpaceDE w:val="0"/>
              <w:autoSpaceDN w:val="0"/>
              <w:spacing w:line="300" w:lineRule="exact"/>
              <w:jc w:val="center"/>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50</w:t>
            </w:r>
          </w:p>
        </w:tc>
        <w:tc>
          <w:tcPr>
            <w:tcW w:w="320" w:type="pct"/>
            <w:tcBorders>
              <w:tl2br w:val="nil"/>
              <w:tr2bl w:val="nil"/>
            </w:tcBorders>
            <w:shd w:val="clear" w:color="auto" w:fill="auto"/>
            <w:vAlign w:val="center"/>
          </w:tcPr>
          <w:p w14:paraId="03656B4E">
            <w:pPr>
              <w:autoSpaceDE w:val="0"/>
              <w:autoSpaceDN w:val="0"/>
              <w:spacing w:line="300" w:lineRule="exact"/>
              <w:jc w:val="center"/>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68195A85">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highlight w:val="none"/>
                <w:lang w:val="en-US" w:eastAsia="zh-CN"/>
              </w:rPr>
              <w:t>0</w:t>
            </w:r>
          </w:p>
        </w:tc>
        <w:tc>
          <w:tcPr>
            <w:tcW w:w="494" w:type="pct"/>
            <w:tcBorders>
              <w:tl2br w:val="nil"/>
              <w:tr2bl w:val="nil"/>
            </w:tcBorders>
            <w:shd w:val="clear" w:color="auto" w:fill="auto"/>
            <w:vAlign w:val="center"/>
          </w:tcPr>
          <w:p w14:paraId="3333E0B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50.46</w:t>
            </w:r>
          </w:p>
        </w:tc>
        <w:tc>
          <w:tcPr>
            <w:tcW w:w="302" w:type="pct"/>
            <w:tcBorders>
              <w:tl2br w:val="nil"/>
              <w:tr2bl w:val="nil"/>
            </w:tcBorders>
            <w:shd w:val="clear" w:color="auto" w:fill="auto"/>
            <w:vAlign w:val="center"/>
          </w:tcPr>
          <w:p w14:paraId="74409BE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25.23</w:t>
            </w:r>
          </w:p>
        </w:tc>
        <w:tc>
          <w:tcPr>
            <w:tcW w:w="273" w:type="pct"/>
            <w:tcBorders>
              <w:tl2br w:val="nil"/>
              <w:tr2bl w:val="nil"/>
            </w:tcBorders>
            <w:shd w:val="clear" w:color="auto" w:fill="auto"/>
            <w:vAlign w:val="center"/>
          </w:tcPr>
          <w:p w14:paraId="38EF547C">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达标</w:t>
            </w:r>
          </w:p>
        </w:tc>
      </w:tr>
      <w:tr w14:paraId="3318D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5CB9377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tcBorders>
              <w:tl2br w:val="nil"/>
              <w:tr2bl w:val="nil"/>
            </w:tcBorders>
            <w:shd w:val="clear" w:color="auto" w:fill="auto"/>
            <w:vAlign w:val="center"/>
          </w:tcPr>
          <w:p w14:paraId="58FDE67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网格</w:t>
            </w:r>
          </w:p>
        </w:tc>
        <w:tc>
          <w:tcPr>
            <w:tcW w:w="455" w:type="pct"/>
            <w:tcBorders>
              <w:tl2br w:val="nil"/>
              <w:tr2bl w:val="nil"/>
            </w:tcBorders>
            <w:shd w:val="clear" w:color="auto" w:fill="auto"/>
            <w:vAlign w:val="center"/>
          </w:tcPr>
          <w:p w14:paraId="2AF6CDE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小时平均值</w:t>
            </w:r>
          </w:p>
        </w:tc>
        <w:tc>
          <w:tcPr>
            <w:tcW w:w="382" w:type="pct"/>
            <w:tcBorders>
              <w:tl2br w:val="nil"/>
              <w:tr2bl w:val="nil"/>
            </w:tcBorders>
            <w:shd w:val="clear" w:color="auto" w:fill="auto"/>
            <w:vAlign w:val="center"/>
          </w:tcPr>
          <w:p w14:paraId="6B750A11">
            <w:pPr>
              <w:autoSpaceDE w:val="0"/>
              <w:autoSpaceDN w:val="0"/>
              <w:spacing w:line="300" w:lineRule="exact"/>
              <w:jc w:val="center"/>
              <w:rPr>
                <w:rFonts w:hint="eastAsia"/>
                <w:highlight w:val="none"/>
              </w:rPr>
            </w:pPr>
            <w:r>
              <w:rPr>
                <w:rFonts w:hint="eastAsia"/>
                <w:highlight w:val="none"/>
                <w:lang w:val="en-US" w:eastAsia="zh-CN"/>
              </w:rPr>
              <w:t>0.04</w:t>
            </w:r>
          </w:p>
        </w:tc>
        <w:tc>
          <w:tcPr>
            <w:tcW w:w="356" w:type="pct"/>
            <w:tcBorders>
              <w:tl2br w:val="nil"/>
              <w:tr2bl w:val="nil"/>
            </w:tcBorders>
            <w:shd w:val="clear" w:color="auto" w:fill="auto"/>
            <w:vAlign w:val="center"/>
          </w:tcPr>
          <w:p w14:paraId="21347D96">
            <w:pPr>
              <w:autoSpaceDE w:val="0"/>
              <w:autoSpaceDN w:val="0"/>
              <w:spacing w:line="300" w:lineRule="exact"/>
              <w:jc w:val="center"/>
              <w:rPr>
                <w:rFonts w:hint="eastAsia"/>
                <w:highlight w:val="none"/>
                <w:lang w:val="en-US" w:eastAsia="zh-CN"/>
              </w:rPr>
            </w:pPr>
            <w:r>
              <w:rPr>
                <w:rFonts w:hint="eastAsia"/>
                <w:highlight w:val="none"/>
                <w:lang w:val="en-US" w:eastAsia="zh-CN"/>
              </w:rPr>
              <w:t>25092907</w:t>
            </w:r>
          </w:p>
        </w:tc>
        <w:tc>
          <w:tcPr>
            <w:tcW w:w="371" w:type="pct"/>
            <w:tcBorders>
              <w:tl2br w:val="nil"/>
              <w:tr2bl w:val="nil"/>
            </w:tcBorders>
            <w:shd w:val="clear" w:color="auto" w:fill="auto"/>
            <w:vAlign w:val="center"/>
          </w:tcPr>
          <w:p w14:paraId="07C1B646">
            <w:pPr>
              <w:autoSpaceDE w:val="0"/>
              <w:autoSpaceDN w:val="0"/>
              <w:spacing w:line="300" w:lineRule="exact"/>
              <w:jc w:val="center"/>
              <w:rPr>
                <w:rFonts w:hint="eastAsia"/>
                <w:highlight w:val="none"/>
              </w:rPr>
            </w:pPr>
            <w:r>
              <w:rPr>
                <w:rFonts w:hint="eastAsia"/>
                <w:highlight w:val="none"/>
                <w:lang w:val="en-US" w:eastAsia="zh-CN"/>
              </w:rPr>
              <w:t>0.02</w:t>
            </w:r>
          </w:p>
        </w:tc>
        <w:tc>
          <w:tcPr>
            <w:tcW w:w="229" w:type="pct"/>
            <w:tcBorders>
              <w:tl2br w:val="nil"/>
              <w:tr2bl w:val="nil"/>
            </w:tcBorders>
            <w:shd w:val="clear" w:color="auto" w:fill="auto"/>
            <w:vAlign w:val="center"/>
          </w:tcPr>
          <w:p w14:paraId="6C107CB3">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达标</w:t>
            </w:r>
          </w:p>
        </w:tc>
        <w:tc>
          <w:tcPr>
            <w:tcW w:w="362" w:type="pct"/>
            <w:tcBorders>
              <w:tl2br w:val="nil"/>
              <w:tr2bl w:val="nil"/>
            </w:tcBorders>
            <w:shd w:val="clear" w:color="auto" w:fill="auto"/>
            <w:vAlign w:val="center"/>
          </w:tcPr>
          <w:p w14:paraId="2F2B55A4">
            <w:pPr>
              <w:autoSpaceDE w:val="0"/>
              <w:autoSpaceDN w:val="0"/>
              <w:spacing w:line="300" w:lineRule="exact"/>
              <w:jc w:val="center"/>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50</w:t>
            </w:r>
          </w:p>
        </w:tc>
        <w:tc>
          <w:tcPr>
            <w:tcW w:w="320" w:type="pct"/>
            <w:tcBorders>
              <w:tl2br w:val="nil"/>
              <w:tr2bl w:val="nil"/>
            </w:tcBorders>
            <w:shd w:val="clear" w:color="auto" w:fill="auto"/>
            <w:vAlign w:val="center"/>
          </w:tcPr>
          <w:p w14:paraId="2B3707F1">
            <w:pPr>
              <w:autoSpaceDE w:val="0"/>
              <w:autoSpaceDN w:val="0"/>
              <w:spacing w:line="300" w:lineRule="exact"/>
              <w:jc w:val="center"/>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31B9CECC">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highlight w:val="none"/>
                <w:lang w:val="en-US" w:eastAsia="zh-CN"/>
              </w:rPr>
              <w:t>0</w:t>
            </w:r>
          </w:p>
        </w:tc>
        <w:tc>
          <w:tcPr>
            <w:tcW w:w="494" w:type="pct"/>
            <w:tcBorders>
              <w:tl2br w:val="nil"/>
              <w:tr2bl w:val="nil"/>
            </w:tcBorders>
            <w:shd w:val="clear" w:color="auto" w:fill="auto"/>
            <w:vAlign w:val="center"/>
          </w:tcPr>
          <w:p w14:paraId="04F938F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62.44</w:t>
            </w:r>
          </w:p>
        </w:tc>
        <w:tc>
          <w:tcPr>
            <w:tcW w:w="302" w:type="pct"/>
            <w:tcBorders>
              <w:tl2br w:val="nil"/>
              <w:tr2bl w:val="nil"/>
            </w:tcBorders>
            <w:shd w:val="clear" w:color="auto" w:fill="auto"/>
            <w:vAlign w:val="center"/>
          </w:tcPr>
          <w:p w14:paraId="27B84DA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31.22</w:t>
            </w:r>
          </w:p>
        </w:tc>
        <w:tc>
          <w:tcPr>
            <w:tcW w:w="273" w:type="pct"/>
            <w:tcBorders>
              <w:tl2br w:val="nil"/>
              <w:tr2bl w:val="nil"/>
            </w:tcBorders>
            <w:shd w:val="clear" w:color="auto" w:fill="auto"/>
            <w:vAlign w:val="center"/>
          </w:tcPr>
          <w:p w14:paraId="262AEE71">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达标</w:t>
            </w:r>
          </w:p>
        </w:tc>
      </w:tr>
      <w:tr w14:paraId="6B2FC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0" w:type="pct"/>
            <w:vMerge w:val="restart"/>
            <w:tcBorders>
              <w:tl2br w:val="nil"/>
              <w:tr2bl w:val="nil"/>
            </w:tcBorders>
            <w:shd w:val="clear" w:color="auto" w:fill="auto"/>
            <w:vAlign w:val="center"/>
          </w:tcPr>
          <w:p w14:paraId="7043A1B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H</w:t>
            </w:r>
            <w:r>
              <w:rPr>
                <w:rFonts w:hint="eastAsia" w:ascii="Times New Roman" w:hAnsi="Times New Roman" w:cs="Times New Roman"/>
                <w:szCs w:val="21"/>
                <w:highlight w:val="none"/>
                <w:vertAlign w:val="subscript"/>
                <w:lang w:val="en-US" w:eastAsia="zh-CN"/>
              </w:rPr>
              <w:t>2</w:t>
            </w:r>
            <w:r>
              <w:rPr>
                <w:rFonts w:hint="eastAsia" w:ascii="Times New Roman" w:hAnsi="Times New Roman" w:cs="Times New Roman"/>
                <w:szCs w:val="21"/>
                <w:highlight w:val="none"/>
                <w:lang w:val="en-US" w:eastAsia="zh-CN"/>
              </w:rPr>
              <w:t>S</w:t>
            </w:r>
          </w:p>
        </w:tc>
        <w:tc>
          <w:tcPr>
            <w:tcW w:w="748" w:type="pct"/>
            <w:tcBorders>
              <w:tl2br w:val="nil"/>
              <w:tr2bl w:val="nil"/>
            </w:tcBorders>
            <w:shd w:val="clear" w:color="auto" w:fill="auto"/>
            <w:vAlign w:val="center"/>
          </w:tcPr>
          <w:p w14:paraId="60DF54B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兰干村居民区</w:t>
            </w:r>
          </w:p>
        </w:tc>
        <w:tc>
          <w:tcPr>
            <w:tcW w:w="455" w:type="pct"/>
            <w:tcBorders>
              <w:tl2br w:val="nil"/>
              <w:tr2bl w:val="nil"/>
            </w:tcBorders>
            <w:shd w:val="clear" w:color="auto" w:fill="auto"/>
            <w:vAlign w:val="center"/>
          </w:tcPr>
          <w:p w14:paraId="1D95006A">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小时平均值</w:t>
            </w:r>
          </w:p>
        </w:tc>
        <w:tc>
          <w:tcPr>
            <w:tcW w:w="382" w:type="pct"/>
            <w:tcBorders>
              <w:tl2br w:val="nil"/>
              <w:tr2bl w:val="nil"/>
            </w:tcBorders>
            <w:shd w:val="clear" w:color="auto" w:fill="auto"/>
            <w:vAlign w:val="center"/>
          </w:tcPr>
          <w:p w14:paraId="36A754E2">
            <w:pPr>
              <w:autoSpaceDE w:val="0"/>
              <w:autoSpaceDN w:val="0"/>
              <w:spacing w:line="300" w:lineRule="exact"/>
              <w:jc w:val="center"/>
              <w:rPr>
                <w:rFonts w:hint="eastAsia"/>
                <w:highlight w:val="none"/>
              </w:rPr>
            </w:pPr>
            <w:r>
              <w:rPr>
                <w:rFonts w:hint="eastAsia"/>
                <w:highlight w:val="none"/>
                <w:lang w:val="en-US" w:eastAsia="zh-CN"/>
              </w:rPr>
              <w:t>0.005</w:t>
            </w:r>
          </w:p>
        </w:tc>
        <w:tc>
          <w:tcPr>
            <w:tcW w:w="356" w:type="pct"/>
            <w:tcBorders>
              <w:tl2br w:val="nil"/>
              <w:tr2bl w:val="nil"/>
            </w:tcBorders>
            <w:shd w:val="clear" w:color="auto" w:fill="auto"/>
            <w:vAlign w:val="center"/>
          </w:tcPr>
          <w:p w14:paraId="2EC16ACD">
            <w:pPr>
              <w:autoSpaceDE w:val="0"/>
              <w:autoSpaceDN w:val="0"/>
              <w:spacing w:line="300" w:lineRule="exact"/>
              <w:jc w:val="center"/>
              <w:rPr>
                <w:rFonts w:hint="eastAsia"/>
                <w:highlight w:val="none"/>
                <w:lang w:val="en-US" w:eastAsia="zh-CN"/>
              </w:rPr>
            </w:pPr>
            <w:r>
              <w:rPr>
                <w:rFonts w:hint="eastAsia"/>
                <w:highlight w:val="none"/>
                <w:lang w:val="en-US" w:eastAsia="zh-CN"/>
              </w:rPr>
              <w:t>25070323</w:t>
            </w:r>
          </w:p>
        </w:tc>
        <w:tc>
          <w:tcPr>
            <w:tcW w:w="371" w:type="pct"/>
            <w:tcBorders>
              <w:tl2br w:val="nil"/>
              <w:tr2bl w:val="nil"/>
            </w:tcBorders>
            <w:shd w:val="clear" w:color="auto" w:fill="auto"/>
            <w:vAlign w:val="center"/>
          </w:tcPr>
          <w:p w14:paraId="55AFA0E3">
            <w:pPr>
              <w:autoSpaceDE w:val="0"/>
              <w:autoSpaceDN w:val="0"/>
              <w:spacing w:line="300" w:lineRule="exact"/>
              <w:jc w:val="center"/>
              <w:rPr>
                <w:rFonts w:hint="eastAsia"/>
                <w:highlight w:val="none"/>
              </w:rPr>
            </w:pPr>
            <w:r>
              <w:rPr>
                <w:rFonts w:hint="eastAsia"/>
                <w:highlight w:val="none"/>
                <w:lang w:val="en-US" w:eastAsia="zh-CN"/>
              </w:rPr>
              <w:t>0.05</w:t>
            </w:r>
          </w:p>
        </w:tc>
        <w:tc>
          <w:tcPr>
            <w:tcW w:w="229" w:type="pct"/>
            <w:tcBorders>
              <w:tl2br w:val="nil"/>
              <w:tr2bl w:val="nil"/>
            </w:tcBorders>
            <w:shd w:val="clear" w:color="auto" w:fill="auto"/>
            <w:vAlign w:val="center"/>
          </w:tcPr>
          <w:p w14:paraId="5F3F18B1">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达标</w:t>
            </w:r>
          </w:p>
        </w:tc>
        <w:tc>
          <w:tcPr>
            <w:tcW w:w="362" w:type="pct"/>
            <w:tcBorders>
              <w:tl2br w:val="nil"/>
              <w:tr2bl w:val="nil"/>
            </w:tcBorders>
            <w:shd w:val="clear" w:color="auto" w:fill="auto"/>
            <w:vAlign w:val="center"/>
          </w:tcPr>
          <w:p w14:paraId="4BDE070E">
            <w:pPr>
              <w:autoSpaceDE w:val="0"/>
              <w:autoSpaceDN w:val="0"/>
              <w:spacing w:line="300" w:lineRule="exact"/>
              <w:jc w:val="center"/>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2</w:t>
            </w:r>
          </w:p>
        </w:tc>
        <w:tc>
          <w:tcPr>
            <w:tcW w:w="320" w:type="pct"/>
            <w:tcBorders>
              <w:tl2br w:val="nil"/>
              <w:tr2bl w:val="nil"/>
            </w:tcBorders>
            <w:shd w:val="clear" w:color="auto" w:fill="auto"/>
            <w:vAlign w:val="center"/>
          </w:tcPr>
          <w:p w14:paraId="73F99D2F">
            <w:pPr>
              <w:autoSpaceDE w:val="0"/>
              <w:autoSpaceDN w:val="0"/>
              <w:spacing w:line="300" w:lineRule="exact"/>
              <w:jc w:val="center"/>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3C3E1BA4">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highlight w:val="none"/>
                <w:lang w:val="en-US" w:eastAsia="zh-CN"/>
              </w:rPr>
              <w:t>0</w:t>
            </w:r>
          </w:p>
        </w:tc>
        <w:tc>
          <w:tcPr>
            <w:tcW w:w="494" w:type="pct"/>
            <w:tcBorders>
              <w:tl2br w:val="nil"/>
              <w:tr2bl w:val="nil"/>
            </w:tcBorders>
            <w:shd w:val="clear" w:color="auto" w:fill="auto"/>
            <w:vAlign w:val="center"/>
          </w:tcPr>
          <w:p w14:paraId="253DD5F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2.01</w:t>
            </w:r>
          </w:p>
        </w:tc>
        <w:tc>
          <w:tcPr>
            <w:tcW w:w="302" w:type="pct"/>
            <w:tcBorders>
              <w:tl2br w:val="nil"/>
              <w:tr2bl w:val="nil"/>
            </w:tcBorders>
            <w:shd w:val="clear" w:color="auto" w:fill="auto"/>
            <w:vAlign w:val="center"/>
          </w:tcPr>
          <w:p w14:paraId="620199E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20.1</w:t>
            </w:r>
          </w:p>
        </w:tc>
        <w:tc>
          <w:tcPr>
            <w:tcW w:w="273" w:type="pct"/>
            <w:tcBorders>
              <w:tl2br w:val="nil"/>
              <w:tr2bl w:val="nil"/>
            </w:tcBorders>
            <w:shd w:val="clear" w:color="auto" w:fill="auto"/>
            <w:vAlign w:val="center"/>
          </w:tcPr>
          <w:p w14:paraId="03A39AA8">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达标</w:t>
            </w:r>
          </w:p>
        </w:tc>
      </w:tr>
      <w:tr w14:paraId="23F2E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6374D9CF">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tcBorders>
              <w:tl2br w:val="nil"/>
              <w:tr2bl w:val="nil"/>
            </w:tcBorders>
            <w:shd w:val="clear" w:color="auto" w:fill="auto"/>
            <w:vAlign w:val="center"/>
          </w:tcPr>
          <w:p w14:paraId="1343192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萨依巴格村居民区</w:t>
            </w:r>
          </w:p>
        </w:tc>
        <w:tc>
          <w:tcPr>
            <w:tcW w:w="455" w:type="pct"/>
            <w:tcBorders>
              <w:tl2br w:val="nil"/>
              <w:tr2bl w:val="nil"/>
            </w:tcBorders>
            <w:shd w:val="clear" w:color="auto" w:fill="auto"/>
            <w:vAlign w:val="center"/>
          </w:tcPr>
          <w:p w14:paraId="1792F596">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小时平均值</w:t>
            </w:r>
          </w:p>
        </w:tc>
        <w:tc>
          <w:tcPr>
            <w:tcW w:w="382" w:type="pct"/>
            <w:tcBorders>
              <w:tl2br w:val="nil"/>
              <w:tr2bl w:val="nil"/>
            </w:tcBorders>
            <w:shd w:val="clear" w:color="auto" w:fill="auto"/>
            <w:vAlign w:val="center"/>
          </w:tcPr>
          <w:p w14:paraId="1743D1D4">
            <w:pPr>
              <w:autoSpaceDE w:val="0"/>
              <w:autoSpaceDN w:val="0"/>
              <w:spacing w:line="300" w:lineRule="exact"/>
              <w:jc w:val="center"/>
              <w:rPr>
                <w:rFonts w:hint="eastAsia"/>
                <w:highlight w:val="none"/>
              </w:rPr>
            </w:pPr>
            <w:r>
              <w:rPr>
                <w:rFonts w:hint="eastAsia"/>
                <w:highlight w:val="none"/>
                <w:lang w:val="en-US" w:eastAsia="zh-CN"/>
              </w:rPr>
              <w:t>0.006</w:t>
            </w:r>
          </w:p>
        </w:tc>
        <w:tc>
          <w:tcPr>
            <w:tcW w:w="356" w:type="pct"/>
            <w:tcBorders>
              <w:tl2br w:val="nil"/>
              <w:tr2bl w:val="nil"/>
            </w:tcBorders>
            <w:shd w:val="clear" w:color="auto" w:fill="auto"/>
            <w:vAlign w:val="center"/>
          </w:tcPr>
          <w:p w14:paraId="3F46E0CA">
            <w:pPr>
              <w:autoSpaceDE w:val="0"/>
              <w:autoSpaceDN w:val="0"/>
              <w:spacing w:line="300" w:lineRule="exact"/>
              <w:jc w:val="center"/>
              <w:rPr>
                <w:rFonts w:hint="eastAsia"/>
                <w:highlight w:val="none"/>
                <w:lang w:val="en-US" w:eastAsia="zh-CN"/>
              </w:rPr>
            </w:pPr>
            <w:r>
              <w:rPr>
                <w:rFonts w:hint="eastAsia"/>
                <w:highlight w:val="none"/>
                <w:lang w:val="en-US" w:eastAsia="zh-CN"/>
              </w:rPr>
              <w:t>25021123</w:t>
            </w:r>
          </w:p>
        </w:tc>
        <w:tc>
          <w:tcPr>
            <w:tcW w:w="371" w:type="pct"/>
            <w:tcBorders>
              <w:tl2br w:val="nil"/>
              <w:tr2bl w:val="nil"/>
            </w:tcBorders>
            <w:shd w:val="clear" w:color="auto" w:fill="auto"/>
            <w:vAlign w:val="center"/>
          </w:tcPr>
          <w:p w14:paraId="1DBAD04E">
            <w:pPr>
              <w:autoSpaceDE w:val="0"/>
              <w:autoSpaceDN w:val="0"/>
              <w:spacing w:line="300" w:lineRule="exact"/>
              <w:jc w:val="center"/>
              <w:rPr>
                <w:rFonts w:hint="eastAsia"/>
                <w:highlight w:val="none"/>
              </w:rPr>
            </w:pPr>
            <w:r>
              <w:rPr>
                <w:rFonts w:hint="eastAsia"/>
                <w:highlight w:val="none"/>
                <w:lang w:val="en-US" w:eastAsia="zh-CN"/>
              </w:rPr>
              <w:t>0.06</w:t>
            </w:r>
          </w:p>
        </w:tc>
        <w:tc>
          <w:tcPr>
            <w:tcW w:w="229" w:type="pct"/>
            <w:tcBorders>
              <w:tl2br w:val="nil"/>
              <w:tr2bl w:val="nil"/>
            </w:tcBorders>
            <w:shd w:val="clear" w:color="auto" w:fill="auto"/>
            <w:vAlign w:val="center"/>
          </w:tcPr>
          <w:p w14:paraId="278CC5B3">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c>
          <w:tcPr>
            <w:tcW w:w="362" w:type="pct"/>
            <w:tcBorders>
              <w:tl2br w:val="nil"/>
              <w:tr2bl w:val="nil"/>
            </w:tcBorders>
            <w:shd w:val="clear" w:color="auto" w:fill="auto"/>
            <w:vAlign w:val="center"/>
          </w:tcPr>
          <w:p w14:paraId="5528CA2B">
            <w:pPr>
              <w:autoSpaceDE w:val="0"/>
              <w:autoSpaceDN w:val="0"/>
              <w:spacing w:line="300" w:lineRule="exact"/>
              <w:jc w:val="center"/>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2</w:t>
            </w:r>
          </w:p>
        </w:tc>
        <w:tc>
          <w:tcPr>
            <w:tcW w:w="320" w:type="pct"/>
            <w:tcBorders>
              <w:tl2br w:val="nil"/>
              <w:tr2bl w:val="nil"/>
            </w:tcBorders>
            <w:shd w:val="clear" w:color="auto" w:fill="auto"/>
            <w:vAlign w:val="center"/>
          </w:tcPr>
          <w:p w14:paraId="26AB961B">
            <w:pPr>
              <w:autoSpaceDE w:val="0"/>
              <w:autoSpaceDN w:val="0"/>
              <w:spacing w:line="300" w:lineRule="exact"/>
              <w:jc w:val="center"/>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09A1DAE7">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highlight w:val="none"/>
                <w:lang w:val="en-US" w:eastAsia="zh-CN"/>
              </w:rPr>
              <w:t>0</w:t>
            </w:r>
          </w:p>
        </w:tc>
        <w:tc>
          <w:tcPr>
            <w:tcW w:w="494" w:type="pct"/>
            <w:tcBorders>
              <w:tl2br w:val="nil"/>
              <w:tr2bl w:val="nil"/>
            </w:tcBorders>
            <w:shd w:val="clear" w:color="auto" w:fill="auto"/>
            <w:vAlign w:val="center"/>
          </w:tcPr>
          <w:p w14:paraId="770DD3F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2.01</w:t>
            </w:r>
          </w:p>
        </w:tc>
        <w:tc>
          <w:tcPr>
            <w:tcW w:w="302" w:type="pct"/>
            <w:tcBorders>
              <w:tl2br w:val="nil"/>
              <w:tr2bl w:val="nil"/>
            </w:tcBorders>
            <w:shd w:val="clear" w:color="auto" w:fill="auto"/>
            <w:vAlign w:val="center"/>
          </w:tcPr>
          <w:p w14:paraId="35313BF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20.1</w:t>
            </w:r>
          </w:p>
        </w:tc>
        <w:tc>
          <w:tcPr>
            <w:tcW w:w="273" w:type="pct"/>
            <w:tcBorders>
              <w:tl2br w:val="nil"/>
              <w:tr2bl w:val="nil"/>
            </w:tcBorders>
            <w:shd w:val="clear" w:color="auto" w:fill="auto"/>
            <w:vAlign w:val="center"/>
          </w:tcPr>
          <w:p w14:paraId="21406D7B">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达标</w:t>
            </w:r>
          </w:p>
        </w:tc>
      </w:tr>
      <w:tr w14:paraId="4FB5D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75BD94E6">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tcBorders>
              <w:tl2br w:val="nil"/>
              <w:tr2bl w:val="nil"/>
            </w:tcBorders>
            <w:shd w:val="clear" w:color="auto" w:fill="auto"/>
            <w:vAlign w:val="center"/>
          </w:tcPr>
          <w:p w14:paraId="586A05F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帕特曼喀什村居民区</w:t>
            </w:r>
          </w:p>
        </w:tc>
        <w:tc>
          <w:tcPr>
            <w:tcW w:w="455" w:type="pct"/>
            <w:tcBorders>
              <w:tl2br w:val="nil"/>
              <w:tr2bl w:val="nil"/>
            </w:tcBorders>
            <w:shd w:val="clear" w:color="auto" w:fill="auto"/>
            <w:vAlign w:val="center"/>
          </w:tcPr>
          <w:p w14:paraId="40E4DED2">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小时平均值</w:t>
            </w:r>
          </w:p>
        </w:tc>
        <w:tc>
          <w:tcPr>
            <w:tcW w:w="382" w:type="pct"/>
            <w:tcBorders>
              <w:tl2br w:val="nil"/>
              <w:tr2bl w:val="nil"/>
            </w:tcBorders>
            <w:shd w:val="clear" w:color="auto" w:fill="auto"/>
            <w:vAlign w:val="center"/>
          </w:tcPr>
          <w:p w14:paraId="05054D17">
            <w:pPr>
              <w:autoSpaceDE w:val="0"/>
              <w:autoSpaceDN w:val="0"/>
              <w:spacing w:line="300" w:lineRule="exact"/>
              <w:jc w:val="center"/>
              <w:rPr>
                <w:rFonts w:hint="eastAsia"/>
                <w:highlight w:val="none"/>
              </w:rPr>
            </w:pPr>
            <w:r>
              <w:rPr>
                <w:rFonts w:hint="eastAsia"/>
                <w:highlight w:val="none"/>
                <w:lang w:val="en-US" w:eastAsia="zh-CN"/>
              </w:rPr>
              <w:t>0.004</w:t>
            </w:r>
          </w:p>
        </w:tc>
        <w:tc>
          <w:tcPr>
            <w:tcW w:w="356" w:type="pct"/>
            <w:tcBorders>
              <w:tl2br w:val="nil"/>
              <w:tr2bl w:val="nil"/>
            </w:tcBorders>
            <w:shd w:val="clear" w:color="auto" w:fill="auto"/>
            <w:vAlign w:val="center"/>
          </w:tcPr>
          <w:p w14:paraId="143496EC">
            <w:pPr>
              <w:autoSpaceDE w:val="0"/>
              <w:autoSpaceDN w:val="0"/>
              <w:spacing w:line="300" w:lineRule="exact"/>
              <w:jc w:val="center"/>
              <w:rPr>
                <w:rFonts w:hint="eastAsia"/>
                <w:highlight w:val="none"/>
                <w:lang w:val="en-US" w:eastAsia="zh-CN"/>
              </w:rPr>
            </w:pPr>
            <w:r>
              <w:rPr>
                <w:rFonts w:hint="eastAsia"/>
                <w:highlight w:val="none"/>
                <w:lang w:val="en-US" w:eastAsia="zh-CN"/>
              </w:rPr>
              <w:t>25051721</w:t>
            </w:r>
          </w:p>
        </w:tc>
        <w:tc>
          <w:tcPr>
            <w:tcW w:w="371" w:type="pct"/>
            <w:tcBorders>
              <w:tl2br w:val="nil"/>
              <w:tr2bl w:val="nil"/>
            </w:tcBorders>
            <w:shd w:val="clear" w:color="auto" w:fill="auto"/>
            <w:vAlign w:val="center"/>
          </w:tcPr>
          <w:p w14:paraId="3FB682C2">
            <w:pPr>
              <w:autoSpaceDE w:val="0"/>
              <w:autoSpaceDN w:val="0"/>
              <w:spacing w:line="300" w:lineRule="exact"/>
              <w:jc w:val="center"/>
              <w:rPr>
                <w:rFonts w:hint="eastAsia"/>
                <w:highlight w:val="none"/>
              </w:rPr>
            </w:pPr>
            <w:r>
              <w:rPr>
                <w:rFonts w:hint="eastAsia"/>
                <w:highlight w:val="none"/>
                <w:lang w:val="en-US" w:eastAsia="zh-CN"/>
              </w:rPr>
              <w:t>0.04</w:t>
            </w:r>
          </w:p>
        </w:tc>
        <w:tc>
          <w:tcPr>
            <w:tcW w:w="229" w:type="pct"/>
            <w:tcBorders>
              <w:tl2br w:val="nil"/>
              <w:tr2bl w:val="nil"/>
            </w:tcBorders>
            <w:shd w:val="clear" w:color="auto" w:fill="auto"/>
            <w:vAlign w:val="center"/>
          </w:tcPr>
          <w:p w14:paraId="76245146">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达标</w:t>
            </w:r>
          </w:p>
        </w:tc>
        <w:tc>
          <w:tcPr>
            <w:tcW w:w="362" w:type="pct"/>
            <w:tcBorders>
              <w:tl2br w:val="nil"/>
              <w:tr2bl w:val="nil"/>
            </w:tcBorders>
            <w:shd w:val="clear" w:color="auto" w:fill="auto"/>
            <w:vAlign w:val="center"/>
          </w:tcPr>
          <w:p w14:paraId="30684D9F">
            <w:pPr>
              <w:autoSpaceDE w:val="0"/>
              <w:autoSpaceDN w:val="0"/>
              <w:spacing w:line="300" w:lineRule="exact"/>
              <w:jc w:val="center"/>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2</w:t>
            </w:r>
          </w:p>
        </w:tc>
        <w:tc>
          <w:tcPr>
            <w:tcW w:w="320" w:type="pct"/>
            <w:tcBorders>
              <w:tl2br w:val="nil"/>
              <w:tr2bl w:val="nil"/>
            </w:tcBorders>
            <w:shd w:val="clear" w:color="auto" w:fill="auto"/>
            <w:vAlign w:val="center"/>
          </w:tcPr>
          <w:p w14:paraId="790F2D30">
            <w:pPr>
              <w:autoSpaceDE w:val="0"/>
              <w:autoSpaceDN w:val="0"/>
              <w:spacing w:line="300" w:lineRule="exact"/>
              <w:jc w:val="center"/>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11897D0F">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highlight w:val="none"/>
                <w:lang w:val="en-US" w:eastAsia="zh-CN"/>
              </w:rPr>
              <w:t>0</w:t>
            </w:r>
          </w:p>
        </w:tc>
        <w:tc>
          <w:tcPr>
            <w:tcW w:w="494" w:type="pct"/>
            <w:tcBorders>
              <w:tl2br w:val="nil"/>
              <w:tr2bl w:val="nil"/>
            </w:tcBorders>
            <w:shd w:val="clear" w:color="auto" w:fill="auto"/>
            <w:vAlign w:val="center"/>
          </w:tcPr>
          <w:p w14:paraId="4098104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2.01</w:t>
            </w:r>
          </w:p>
        </w:tc>
        <w:tc>
          <w:tcPr>
            <w:tcW w:w="302" w:type="pct"/>
            <w:tcBorders>
              <w:tl2br w:val="nil"/>
              <w:tr2bl w:val="nil"/>
            </w:tcBorders>
            <w:shd w:val="clear" w:color="auto" w:fill="auto"/>
            <w:vAlign w:val="center"/>
          </w:tcPr>
          <w:p w14:paraId="01DA1A1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20.1</w:t>
            </w:r>
          </w:p>
        </w:tc>
        <w:tc>
          <w:tcPr>
            <w:tcW w:w="273" w:type="pct"/>
            <w:tcBorders>
              <w:tl2br w:val="nil"/>
              <w:tr2bl w:val="nil"/>
            </w:tcBorders>
            <w:shd w:val="clear" w:color="auto" w:fill="auto"/>
            <w:vAlign w:val="center"/>
          </w:tcPr>
          <w:p w14:paraId="6E9B4B64">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达标</w:t>
            </w:r>
          </w:p>
        </w:tc>
      </w:tr>
      <w:tr w14:paraId="5CC50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0" w:type="pct"/>
            <w:vMerge w:val="continue"/>
            <w:tcBorders>
              <w:tl2br w:val="nil"/>
              <w:tr2bl w:val="nil"/>
            </w:tcBorders>
            <w:shd w:val="clear" w:color="auto" w:fill="auto"/>
            <w:vAlign w:val="center"/>
          </w:tcPr>
          <w:p w14:paraId="2E14588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748" w:type="pct"/>
            <w:tcBorders>
              <w:tl2br w:val="nil"/>
              <w:tr2bl w:val="nil"/>
            </w:tcBorders>
            <w:shd w:val="clear" w:color="auto" w:fill="auto"/>
            <w:vAlign w:val="center"/>
          </w:tcPr>
          <w:p w14:paraId="5F767DC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网格</w:t>
            </w:r>
          </w:p>
        </w:tc>
        <w:tc>
          <w:tcPr>
            <w:tcW w:w="455" w:type="pct"/>
            <w:tcBorders>
              <w:tl2br w:val="nil"/>
              <w:tr2bl w:val="nil"/>
            </w:tcBorders>
            <w:shd w:val="clear" w:color="auto" w:fill="auto"/>
            <w:vAlign w:val="center"/>
          </w:tcPr>
          <w:p w14:paraId="1724CB9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小时平均值</w:t>
            </w:r>
          </w:p>
        </w:tc>
        <w:tc>
          <w:tcPr>
            <w:tcW w:w="382" w:type="pct"/>
            <w:tcBorders>
              <w:tl2br w:val="nil"/>
              <w:tr2bl w:val="nil"/>
            </w:tcBorders>
            <w:shd w:val="clear" w:color="auto" w:fill="auto"/>
            <w:vAlign w:val="center"/>
          </w:tcPr>
          <w:p w14:paraId="3F242DA0">
            <w:pPr>
              <w:autoSpaceDE w:val="0"/>
              <w:autoSpaceDN w:val="0"/>
              <w:spacing w:line="300" w:lineRule="exact"/>
              <w:jc w:val="center"/>
              <w:rPr>
                <w:rFonts w:hint="eastAsia"/>
                <w:highlight w:val="none"/>
              </w:rPr>
            </w:pPr>
            <w:r>
              <w:rPr>
                <w:rFonts w:hint="eastAsia"/>
                <w:highlight w:val="none"/>
                <w:lang w:val="en-US" w:eastAsia="zh-CN"/>
              </w:rPr>
              <w:t>0.05</w:t>
            </w:r>
          </w:p>
        </w:tc>
        <w:tc>
          <w:tcPr>
            <w:tcW w:w="356" w:type="pct"/>
            <w:tcBorders>
              <w:tl2br w:val="nil"/>
              <w:tr2bl w:val="nil"/>
            </w:tcBorders>
            <w:shd w:val="clear" w:color="auto" w:fill="auto"/>
            <w:vAlign w:val="center"/>
          </w:tcPr>
          <w:p w14:paraId="469A819D">
            <w:pPr>
              <w:autoSpaceDE w:val="0"/>
              <w:autoSpaceDN w:val="0"/>
              <w:spacing w:line="300" w:lineRule="exact"/>
              <w:jc w:val="center"/>
              <w:rPr>
                <w:rFonts w:hint="eastAsia"/>
                <w:highlight w:val="none"/>
                <w:lang w:val="en-US" w:eastAsia="zh-CN"/>
              </w:rPr>
            </w:pPr>
            <w:r>
              <w:rPr>
                <w:rFonts w:hint="eastAsia"/>
                <w:highlight w:val="none"/>
                <w:lang w:val="en-US" w:eastAsia="zh-CN"/>
              </w:rPr>
              <w:t>25071811</w:t>
            </w:r>
          </w:p>
        </w:tc>
        <w:tc>
          <w:tcPr>
            <w:tcW w:w="371" w:type="pct"/>
            <w:tcBorders>
              <w:tl2br w:val="nil"/>
              <w:tr2bl w:val="nil"/>
            </w:tcBorders>
            <w:shd w:val="clear" w:color="auto" w:fill="auto"/>
            <w:vAlign w:val="center"/>
          </w:tcPr>
          <w:p w14:paraId="0EA2C16F">
            <w:pPr>
              <w:autoSpaceDE w:val="0"/>
              <w:autoSpaceDN w:val="0"/>
              <w:spacing w:line="300" w:lineRule="exact"/>
              <w:jc w:val="center"/>
              <w:rPr>
                <w:rFonts w:hint="eastAsia"/>
                <w:highlight w:val="none"/>
              </w:rPr>
            </w:pPr>
            <w:r>
              <w:rPr>
                <w:rFonts w:hint="eastAsia"/>
                <w:highlight w:val="none"/>
                <w:lang w:val="en-US" w:eastAsia="zh-CN"/>
              </w:rPr>
              <w:t>0.50</w:t>
            </w:r>
          </w:p>
        </w:tc>
        <w:tc>
          <w:tcPr>
            <w:tcW w:w="229" w:type="pct"/>
            <w:tcBorders>
              <w:tl2br w:val="nil"/>
              <w:tr2bl w:val="nil"/>
            </w:tcBorders>
            <w:shd w:val="clear" w:color="auto" w:fill="auto"/>
            <w:vAlign w:val="center"/>
          </w:tcPr>
          <w:p w14:paraId="0A9AFB58">
            <w:pPr>
              <w:autoSpaceDE w:val="0"/>
              <w:autoSpaceDN w:val="0"/>
              <w:spacing w:line="300" w:lineRule="exact"/>
              <w:jc w:val="center"/>
              <w:rPr>
                <w:rFonts w:hint="default" w:ascii="Times New Roman" w:hAnsi="Times New Roman" w:cs="Times New Roman" w:eastAsiaTheme="minorEastAsia"/>
                <w:highlight w:val="none"/>
              </w:rPr>
            </w:pPr>
            <w:r>
              <w:rPr>
                <w:rFonts w:hint="eastAsia" w:ascii="Times New Roman" w:hAnsi="Times New Roman" w:cs="Times New Roman"/>
                <w:highlight w:val="none"/>
                <w:lang w:val="en-US" w:eastAsia="zh-CN"/>
              </w:rPr>
              <w:t>达标</w:t>
            </w:r>
          </w:p>
        </w:tc>
        <w:tc>
          <w:tcPr>
            <w:tcW w:w="362" w:type="pct"/>
            <w:tcBorders>
              <w:tl2br w:val="nil"/>
              <w:tr2bl w:val="nil"/>
            </w:tcBorders>
            <w:shd w:val="clear" w:color="auto" w:fill="auto"/>
            <w:vAlign w:val="center"/>
          </w:tcPr>
          <w:p w14:paraId="7C081459">
            <w:pPr>
              <w:autoSpaceDE w:val="0"/>
              <w:autoSpaceDN w:val="0"/>
              <w:spacing w:line="300" w:lineRule="exact"/>
              <w:jc w:val="center"/>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2</w:t>
            </w:r>
          </w:p>
        </w:tc>
        <w:tc>
          <w:tcPr>
            <w:tcW w:w="320" w:type="pct"/>
            <w:tcBorders>
              <w:tl2br w:val="nil"/>
              <w:tr2bl w:val="nil"/>
            </w:tcBorders>
            <w:shd w:val="clear" w:color="auto" w:fill="auto"/>
            <w:vAlign w:val="center"/>
          </w:tcPr>
          <w:p w14:paraId="656F9BEC">
            <w:pPr>
              <w:autoSpaceDE w:val="0"/>
              <w:autoSpaceDN w:val="0"/>
              <w:spacing w:line="300" w:lineRule="exact"/>
              <w:jc w:val="center"/>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0</w:t>
            </w:r>
          </w:p>
        </w:tc>
        <w:tc>
          <w:tcPr>
            <w:tcW w:w="461" w:type="pct"/>
            <w:tcBorders>
              <w:tl2br w:val="nil"/>
              <w:tr2bl w:val="nil"/>
            </w:tcBorders>
            <w:shd w:val="clear" w:color="auto" w:fill="auto"/>
            <w:vAlign w:val="center"/>
          </w:tcPr>
          <w:p w14:paraId="2AD430FA">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highlight w:val="none"/>
                <w:lang w:val="en-US" w:eastAsia="zh-CN"/>
              </w:rPr>
              <w:t>0</w:t>
            </w:r>
          </w:p>
        </w:tc>
        <w:tc>
          <w:tcPr>
            <w:tcW w:w="494" w:type="pct"/>
            <w:tcBorders>
              <w:tl2br w:val="nil"/>
              <w:tr2bl w:val="nil"/>
            </w:tcBorders>
            <w:shd w:val="clear" w:color="auto" w:fill="auto"/>
            <w:vAlign w:val="center"/>
          </w:tcPr>
          <w:p w14:paraId="42CFB5D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2.25</w:t>
            </w:r>
          </w:p>
        </w:tc>
        <w:tc>
          <w:tcPr>
            <w:tcW w:w="302" w:type="pct"/>
            <w:tcBorders>
              <w:tl2br w:val="nil"/>
              <w:tr2bl w:val="nil"/>
            </w:tcBorders>
            <w:shd w:val="clear" w:color="auto" w:fill="auto"/>
            <w:vAlign w:val="center"/>
          </w:tcPr>
          <w:p w14:paraId="169934C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22.5</w:t>
            </w:r>
          </w:p>
        </w:tc>
        <w:tc>
          <w:tcPr>
            <w:tcW w:w="273" w:type="pct"/>
            <w:tcBorders>
              <w:tl2br w:val="nil"/>
              <w:tr2bl w:val="nil"/>
            </w:tcBorders>
            <w:shd w:val="clear" w:color="auto" w:fill="auto"/>
            <w:vAlign w:val="center"/>
          </w:tcPr>
          <w:p w14:paraId="08297B53">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达标</w:t>
            </w:r>
          </w:p>
        </w:tc>
      </w:tr>
    </w:tbl>
    <w:p w14:paraId="5A40AA07">
      <w:pPr>
        <w:bidi w:val="0"/>
        <w:rPr>
          <w:rFonts w:hint="default"/>
          <w:lang w:val="en-US" w:eastAsia="en-US"/>
        </w:rPr>
        <w:sectPr>
          <w:pgSz w:w="16839" w:h="11907" w:orient="landscape"/>
          <w:pgMar w:top="1533" w:right="1106" w:bottom="1425" w:left="1245" w:header="829" w:footer="991" w:gutter="0"/>
          <w:pgBorders>
            <w:top w:val="none" w:sz="0" w:space="0"/>
            <w:left w:val="none" w:sz="0" w:space="0"/>
            <w:bottom w:val="none" w:sz="0" w:space="0"/>
            <w:right w:val="none" w:sz="0" w:space="0"/>
          </w:pgBorders>
          <w:pgNumType w:fmt="decimal"/>
          <w:cols w:space="720" w:num="1"/>
        </w:sectPr>
      </w:pPr>
    </w:p>
    <w:p w14:paraId="45F99D8C">
      <w:pPr>
        <w:pStyle w:val="20"/>
        <w:snapToGrid w:val="0"/>
        <w:jc w:val="left"/>
        <w:rPr>
          <w:rFonts w:hint="default" w:ascii="Times New Roman" w:hAnsi="Times New Roman" w:cs="Times New Roman" w:eastAsiaTheme="minorEastAsia"/>
          <w:b/>
          <w:bCs/>
          <w:color w:val="000000" w:themeColor="text1"/>
          <w:highlight w:val="none"/>
          <w:lang w:val="en-US" w:eastAsia="zh-CN"/>
          <w14:textFill>
            <w14:solidFill>
              <w14:schemeClr w14:val="tx1"/>
            </w14:solidFill>
          </w14:textFill>
        </w:rPr>
      </w:pPr>
      <w:r>
        <w:rPr>
          <w:rFonts w:hint="default" w:ascii="Times New Roman" w:hAnsi="Times New Roman" w:cs="Times New Roman" w:eastAsiaTheme="minorEastAsia"/>
          <w:b/>
          <w:bCs/>
          <w:color w:val="000000" w:themeColor="text1"/>
          <w:lang w:val="en-US" w:eastAsia="en-US"/>
          <w14:textFill>
            <w14:solidFill>
              <w14:schemeClr w14:val="tx1"/>
            </w14:solidFill>
          </w14:textFill>
        </w:rPr>
        <w:t>本</w:t>
      </w:r>
      <w:r>
        <w:rPr>
          <w:rFonts w:hint="eastAsia" w:ascii="Times New Roman" w:hAnsi="Times New Roman" w:cs="Times New Roman" w:eastAsiaTheme="minorEastAsia"/>
          <w:b/>
          <w:bCs/>
          <w:color w:val="000000" w:themeColor="text1"/>
          <w:lang w:val="en-US" w:eastAsia="zh-CN"/>
          <w14:textFill>
            <w14:solidFill>
              <w14:schemeClr w14:val="tx1"/>
            </w14:solidFill>
          </w14:textFill>
        </w:rPr>
        <w:t>项目</w:t>
      </w:r>
      <w:r>
        <w:rPr>
          <w:rFonts w:hint="eastAsia" w:ascii="Times New Roman" w:hAnsi="Times New Roman" w:cs="Times New Roman" w:eastAsiaTheme="minorEastAsia"/>
          <w:b/>
          <w:bCs/>
          <w:color w:val="000000" w:themeColor="text1"/>
          <w:highlight w:val="none"/>
          <w:lang w:val="en-US" w:eastAsia="zh-CN"/>
          <w14:textFill>
            <w14:solidFill>
              <w14:schemeClr w14:val="tx1"/>
            </w14:solidFill>
          </w14:textFill>
        </w:rPr>
        <w:t>大气环境影响评价结论：</w:t>
      </w:r>
    </w:p>
    <w:p w14:paraId="28A18A63">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（1）新增污染源正常排放下短期浓度贡献值最大浓度占标率及年均浓度贡献值最大浓度占标率结论：</w:t>
      </w:r>
    </w:p>
    <w:p w14:paraId="32FB21D5">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en-US"/>
        </w:rPr>
      </w:pPr>
      <w:r>
        <w:rPr>
          <w:rFonts w:hint="default" w:ascii="Times New Roman" w:hAnsi="Times New Roman" w:cs="Times New Roman" w:eastAsiaTheme="minorEastAsia"/>
          <w:sz w:val="24"/>
          <w:lang w:val="en-US" w:eastAsia="en-US"/>
        </w:rPr>
        <w:t>本项目主要污染物在短期浓度贡献值的最大值和年均浓度贡献值的最大值，结果见表5</w:t>
      </w:r>
      <w:r>
        <w:rPr>
          <w:rFonts w:hint="default" w:ascii="Times New Roman" w:hAnsi="Times New Roman" w:cs="Times New Roman" w:eastAsiaTheme="minorEastAsia"/>
          <w:sz w:val="24"/>
          <w:lang w:val="en-US" w:eastAsia="zh-CN"/>
        </w:rPr>
        <w:t>.2-13</w:t>
      </w:r>
      <w:r>
        <w:rPr>
          <w:rFonts w:hint="default" w:ascii="Times New Roman" w:hAnsi="Times New Roman" w:cs="Times New Roman" w:eastAsiaTheme="minorEastAsia"/>
          <w:sz w:val="24"/>
          <w:lang w:val="en-US" w:eastAsia="en-US"/>
        </w:rPr>
        <w:t>。</w:t>
      </w:r>
    </w:p>
    <w:p w14:paraId="53131C7A">
      <w:pPr>
        <w:adjustRightInd w:val="0"/>
        <w:snapToGrid w:val="0"/>
        <w:spacing w:before="250" w:beforeLines="50"/>
        <w:ind w:firstLine="422" w:firstLineChars="200"/>
        <w:jc w:val="center"/>
        <w:rPr>
          <w:rFonts w:hint="default" w:ascii="Times New Roman" w:hAnsi="Times New Roman" w:cs="Times New Roman" w:eastAsiaTheme="minorEastAsia"/>
          <w:b/>
          <w:szCs w:val="21"/>
          <w:lang w:val="en-US" w:eastAsia="en-US"/>
        </w:rPr>
      </w:pPr>
      <w:r>
        <w:rPr>
          <w:rFonts w:hint="default" w:ascii="Times New Roman" w:hAnsi="Times New Roman" w:cs="Times New Roman" w:eastAsiaTheme="minorEastAsia"/>
          <w:b/>
          <w:szCs w:val="21"/>
          <w:lang w:val="en-US" w:eastAsia="en-US"/>
        </w:rPr>
        <w:t>表5</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2-1</w:t>
      </w:r>
      <w:r>
        <w:rPr>
          <w:rFonts w:hint="default" w:ascii="Times New Roman" w:hAnsi="Times New Roman" w:cs="Times New Roman" w:eastAsiaTheme="minorEastAsia"/>
          <w:b/>
          <w:szCs w:val="21"/>
          <w:lang w:val="en-US" w:eastAsia="zh-CN"/>
        </w:rPr>
        <w:t xml:space="preserve">3  </w:t>
      </w:r>
      <w:r>
        <w:rPr>
          <w:rFonts w:hint="eastAsia" w:ascii="Times New Roman" w:hAnsi="Times New Roman" w:cs="Times New Roman"/>
          <w:b/>
          <w:szCs w:val="21"/>
          <w:lang w:val="en-US" w:eastAsia="zh-CN"/>
        </w:rPr>
        <w:t>项目</w:t>
      </w:r>
      <w:r>
        <w:rPr>
          <w:rFonts w:hint="default" w:ascii="Times New Roman" w:hAnsi="Times New Roman" w:cs="Times New Roman" w:eastAsiaTheme="minorEastAsia"/>
          <w:b/>
          <w:szCs w:val="21"/>
          <w:lang w:val="en-US" w:eastAsia="en-US"/>
        </w:rPr>
        <w:t>各污染物短期、年均浓度最大贡献值结果</w:t>
      </w:r>
    </w:p>
    <w:tbl>
      <w:tblPr>
        <w:tblStyle w:val="16"/>
        <w:tblW w:w="5004" w:type="pct"/>
        <w:tblInd w:w="0" w:type="dxa"/>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autofit"/>
        <w:tblCellMar>
          <w:top w:w="0" w:type="dxa"/>
          <w:left w:w="0" w:type="dxa"/>
          <w:bottom w:w="0" w:type="dxa"/>
          <w:right w:w="0" w:type="dxa"/>
        </w:tblCellMar>
      </w:tblPr>
      <w:tblGrid>
        <w:gridCol w:w="1577"/>
        <w:gridCol w:w="1049"/>
        <w:gridCol w:w="2259"/>
        <w:gridCol w:w="1218"/>
        <w:gridCol w:w="2220"/>
      </w:tblGrid>
      <w:tr w14:paraId="245D944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7" w:type="pct"/>
            <w:tcBorders>
              <w:tl2br w:val="nil"/>
              <w:tr2bl w:val="nil"/>
            </w:tcBorders>
            <w:vAlign w:val="center"/>
          </w:tcPr>
          <w:p w14:paraId="6646A890">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污染物</w:t>
            </w:r>
          </w:p>
        </w:tc>
        <w:tc>
          <w:tcPr>
            <w:tcW w:w="630" w:type="pct"/>
            <w:tcBorders>
              <w:tl2br w:val="nil"/>
              <w:tr2bl w:val="nil"/>
            </w:tcBorders>
            <w:vAlign w:val="center"/>
          </w:tcPr>
          <w:p w14:paraId="2FA88F1B">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评价时段</w:t>
            </w:r>
          </w:p>
        </w:tc>
        <w:tc>
          <w:tcPr>
            <w:tcW w:w="1356" w:type="pct"/>
            <w:tcBorders>
              <w:tl2br w:val="nil"/>
              <w:tr2bl w:val="nil"/>
            </w:tcBorders>
            <w:vAlign w:val="center"/>
          </w:tcPr>
          <w:p w14:paraId="661A5C4A">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浓度最大值</w:t>
            </w:r>
            <w:r>
              <w:rPr>
                <w:rFonts w:hint="default" w:ascii="Times New Roman" w:hAnsi="Times New Roman" w:cs="Times New Roman" w:eastAsiaTheme="minorEastAsia"/>
                <w:szCs w:val="21"/>
                <w:lang w:val="en-US" w:eastAsia="zh-CN"/>
              </w:rPr>
              <w:t>（μ</w:t>
            </w:r>
            <w:r>
              <w:rPr>
                <w:rFonts w:hint="default" w:ascii="Times New Roman" w:hAnsi="Times New Roman" w:cs="Times New Roman" w:eastAsiaTheme="minorEastAsia"/>
                <w:szCs w:val="21"/>
                <w:lang w:val="en-US" w:eastAsia="en-US"/>
              </w:rPr>
              <w:t>g/m</w:t>
            </w:r>
            <w:r>
              <w:rPr>
                <w:rFonts w:hint="default" w:ascii="Times New Roman" w:hAnsi="Times New Roman" w:cs="Times New Roman" w:eastAsiaTheme="minorEastAsia"/>
                <w:szCs w:val="21"/>
                <w:vertAlign w:val="superscript"/>
                <w:lang w:val="en-US" w:eastAsia="en-US"/>
              </w:rPr>
              <w:t>3</w:t>
            </w:r>
            <w:r>
              <w:rPr>
                <w:rFonts w:hint="default" w:ascii="Times New Roman" w:hAnsi="Times New Roman" w:cs="Times New Roman" w:eastAsiaTheme="minorEastAsia"/>
                <w:szCs w:val="21"/>
                <w:vertAlign w:val="baseline"/>
                <w:lang w:val="en-US" w:eastAsia="zh-CN"/>
              </w:rPr>
              <w:t>）</w:t>
            </w:r>
          </w:p>
        </w:tc>
        <w:tc>
          <w:tcPr>
            <w:tcW w:w="731" w:type="pct"/>
            <w:tcBorders>
              <w:tl2br w:val="nil"/>
              <w:tr2bl w:val="nil"/>
            </w:tcBorders>
            <w:vAlign w:val="center"/>
          </w:tcPr>
          <w:p w14:paraId="24EEB589">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占标率</w:t>
            </w:r>
            <w:r>
              <w:rPr>
                <w:rFonts w:hint="default"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en-US"/>
              </w:rPr>
              <w:t>%</w:t>
            </w:r>
            <w:r>
              <w:rPr>
                <w:rFonts w:hint="default" w:ascii="Times New Roman" w:hAnsi="Times New Roman" w:cs="Times New Roman" w:eastAsiaTheme="minorEastAsia"/>
                <w:szCs w:val="21"/>
                <w:lang w:val="en-US" w:eastAsia="zh-CN"/>
              </w:rPr>
              <w:t>）</w:t>
            </w:r>
          </w:p>
        </w:tc>
        <w:tc>
          <w:tcPr>
            <w:tcW w:w="1333" w:type="pct"/>
            <w:tcBorders>
              <w:tl2br w:val="nil"/>
              <w:tr2bl w:val="nil"/>
            </w:tcBorders>
            <w:vAlign w:val="center"/>
          </w:tcPr>
          <w:p w14:paraId="3B6E927C">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达标情况</w:t>
            </w:r>
          </w:p>
        </w:tc>
      </w:tr>
      <w:tr w14:paraId="655D9CD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7" w:type="pct"/>
            <w:vMerge w:val="restart"/>
            <w:tcBorders>
              <w:tl2br w:val="nil"/>
              <w:tr2bl w:val="nil"/>
            </w:tcBorders>
            <w:vAlign w:val="center"/>
          </w:tcPr>
          <w:p w14:paraId="639C3904">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NO</w:t>
            </w:r>
            <w:r>
              <w:rPr>
                <w:rFonts w:hint="default" w:ascii="Times New Roman" w:hAnsi="Times New Roman" w:cs="Times New Roman" w:eastAsiaTheme="minorEastAsia"/>
                <w:szCs w:val="21"/>
                <w:vertAlign w:val="subscript"/>
                <w:lang w:val="en-US" w:eastAsia="zh-CN"/>
              </w:rPr>
              <w:t>X</w:t>
            </w:r>
          </w:p>
        </w:tc>
        <w:tc>
          <w:tcPr>
            <w:tcW w:w="630" w:type="pct"/>
            <w:tcBorders>
              <w:tl2br w:val="nil"/>
              <w:tr2bl w:val="nil"/>
            </w:tcBorders>
            <w:vAlign w:val="center"/>
          </w:tcPr>
          <w:p w14:paraId="66C1F752">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日平均</w:t>
            </w:r>
          </w:p>
        </w:tc>
        <w:tc>
          <w:tcPr>
            <w:tcW w:w="1356" w:type="pct"/>
            <w:tcBorders>
              <w:tl2br w:val="nil"/>
              <w:tr2bl w:val="nil"/>
            </w:tcBorders>
            <w:shd w:val="clear" w:color="auto" w:fill="auto"/>
            <w:vAlign w:val="center"/>
          </w:tcPr>
          <w:p w14:paraId="7EC9F984">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0.49</w:t>
            </w:r>
          </w:p>
        </w:tc>
        <w:tc>
          <w:tcPr>
            <w:tcW w:w="731" w:type="pct"/>
            <w:tcBorders>
              <w:tl2br w:val="nil"/>
              <w:tr2bl w:val="nil"/>
            </w:tcBorders>
            <w:shd w:val="clear" w:color="auto" w:fill="auto"/>
            <w:vAlign w:val="center"/>
          </w:tcPr>
          <w:p w14:paraId="3E12A1FE">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0.61</w:t>
            </w:r>
          </w:p>
        </w:tc>
        <w:tc>
          <w:tcPr>
            <w:tcW w:w="1333" w:type="pct"/>
            <w:tcBorders>
              <w:tl2br w:val="nil"/>
              <w:tr2bl w:val="nil"/>
            </w:tcBorders>
            <w:vAlign w:val="center"/>
          </w:tcPr>
          <w:p w14:paraId="399D2CF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达标</w:t>
            </w:r>
            <w:r>
              <w:rPr>
                <w:rFonts w:hint="default" w:ascii="Times New Roman" w:hAnsi="Times New Roman" w:cs="Times New Roman" w:eastAsiaTheme="minorEastAsia"/>
                <w:szCs w:val="21"/>
                <w:highlight w:val="none"/>
                <w:lang w:val="en-US" w:eastAsia="zh-CN"/>
              </w:rPr>
              <w:t>，</w:t>
            </w:r>
            <w:r>
              <w:rPr>
                <w:rFonts w:hint="default" w:ascii="Times New Roman" w:hAnsi="Times New Roman" w:cs="Times New Roman" w:eastAsiaTheme="minorEastAsia"/>
                <w:szCs w:val="21"/>
                <w:highlight w:val="none"/>
                <w:lang w:val="en-US" w:eastAsia="en-US"/>
              </w:rPr>
              <w:t>占标率≤100%</w:t>
            </w:r>
          </w:p>
        </w:tc>
      </w:tr>
      <w:tr w14:paraId="747616A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7" w:type="pct"/>
            <w:vMerge w:val="continue"/>
            <w:tcBorders>
              <w:tl2br w:val="nil"/>
              <w:tr2bl w:val="nil"/>
            </w:tcBorders>
            <w:vAlign w:val="center"/>
          </w:tcPr>
          <w:p w14:paraId="66994B85">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630" w:type="pct"/>
            <w:tcBorders>
              <w:tl2br w:val="nil"/>
              <w:tr2bl w:val="nil"/>
            </w:tcBorders>
            <w:vAlign w:val="center"/>
          </w:tcPr>
          <w:p w14:paraId="66C93B1A">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年平均</w:t>
            </w:r>
          </w:p>
        </w:tc>
        <w:tc>
          <w:tcPr>
            <w:tcW w:w="1356" w:type="pct"/>
            <w:tcBorders>
              <w:tl2br w:val="nil"/>
              <w:tr2bl w:val="nil"/>
            </w:tcBorders>
            <w:shd w:val="clear" w:color="auto" w:fill="auto"/>
            <w:vAlign w:val="center"/>
          </w:tcPr>
          <w:p w14:paraId="4DB386C9">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0.12</w:t>
            </w:r>
          </w:p>
        </w:tc>
        <w:tc>
          <w:tcPr>
            <w:tcW w:w="731" w:type="pct"/>
            <w:tcBorders>
              <w:tl2br w:val="nil"/>
              <w:tr2bl w:val="nil"/>
            </w:tcBorders>
            <w:shd w:val="clear" w:color="auto" w:fill="auto"/>
            <w:vAlign w:val="center"/>
          </w:tcPr>
          <w:p w14:paraId="587FACAF">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0.31</w:t>
            </w:r>
          </w:p>
        </w:tc>
        <w:tc>
          <w:tcPr>
            <w:tcW w:w="1333" w:type="pct"/>
            <w:tcBorders>
              <w:tl2br w:val="nil"/>
              <w:tr2bl w:val="nil"/>
            </w:tcBorders>
            <w:vAlign w:val="center"/>
          </w:tcPr>
          <w:p w14:paraId="366BF3F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达标，占标率≤30%</w:t>
            </w:r>
          </w:p>
        </w:tc>
      </w:tr>
      <w:tr w14:paraId="7C08A09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7" w:type="pct"/>
            <w:vMerge w:val="restart"/>
            <w:tcBorders>
              <w:tl2br w:val="nil"/>
              <w:tr2bl w:val="nil"/>
            </w:tcBorders>
            <w:vAlign w:val="center"/>
          </w:tcPr>
          <w:p w14:paraId="7F8F7397">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zh-CN"/>
              </w:rPr>
              <w:t>PM</w:t>
            </w:r>
            <w:r>
              <w:rPr>
                <w:rFonts w:hint="default" w:ascii="Times New Roman" w:hAnsi="Times New Roman" w:cs="Times New Roman" w:eastAsiaTheme="minorEastAsia"/>
                <w:szCs w:val="21"/>
                <w:vertAlign w:val="subscript"/>
                <w:lang w:val="en-US" w:eastAsia="zh-CN"/>
              </w:rPr>
              <w:t>10</w:t>
            </w:r>
          </w:p>
        </w:tc>
        <w:tc>
          <w:tcPr>
            <w:tcW w:w="630" w:type="pct"/>
            <w:tcBorders>
              <w:tl2br w:val="nil"/>
              <w:tr2bl w:val="nil"/>
            </w:tcBorders>
            <w:vAlign w:val="center"/>
          </w:tcPr>
          <w:p w14:paraId="60AC4B2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日平均</w:t>
            </w:r>
          </w:p>
        </w:tc>
        <w:tc>
          <w:tcPr>
            <w:tcW w:w="1356" w:type="pct"/>
            <w:tcBorders>
              <w:tl2br w:val="nil"/>
              <w:tr2bl w:val="nil"/>
            </w:tcBorders>
            <w:shd w:val="clear" w:color="auto" w:fill="auto"/>
            <w:vAlign w:val="center"/>
          </w:tcPr>
          <w:p w14:paraId="568836E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0.06</w:t>
            </w:r>
          </w:p>
        </w:tc>
        <w:tc>
          <w:tcPr>
            <w:tcW w:w="731" w:type="pct"/>
            <w:tcBorders>
              <w:tl2br w:val="nil"/>
              <w:tr2bl w:val="nil"/>
            </w:tcBorders>
            <w:shd w:val="clear" w:color="auto" w:fill="auto"/>
            <w:vAlign w:val="center"/>
          </w:tcPr>
          <w:p w14:paraId="65C19A1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0.05</w:t>
            </w:r>
          </w:p>
        </w:tc>
        <w:tc>
          <w:tcPr>
            <w:tcW w:w="1333" w:type="pct"/>
            <w:tcBorders>
              <w:tl2br w:val="nil"/>
              <w:tr2bl w:val="nil"/>
            </w:tcBorders>
            <w:vAlign w:val="center"/>
          </w:tcPr>
          <w:p w14:paraId="2D191CA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达标</w:t>
            </w:r>
            <w:r>
              <w:rPr>
                <w:rFonts w:hint="default" w:ascii="Times New Roman" w:hAnsi="Times New Roman" w:cs="Times New Roman" w:eastAsiaTheme="minorEastAsia"/>
                <w:szCs w:val="21"/>
                <w:highlight w:val="none"/>
                <w:lang w:val="en-US" w:eastAsia="zh-CN"/>
              </w:rPr>
              <w:t>，</w:t>
            </w:r>
            <w:r>
              <w:rPr>
                <w:rFonts w:hint="default" w:ascii="Times New Roman" w:hAnsi="Times New Roman" w:cs="Times New Roman" w:eastAsiaTheme="minorEastAsia"/>
                <w:szCs w:val="21"/>
                <w:highlight w:val="none"/>
                <w:lang w:val="en-US" w:eastAsia="en-US"/>
              </w:rPr>
              <w:t>占标率≤100%</w:t>
            </w:r>
          </w:p>
        </w:tc>
      </w:tr>
      <w:tr w14:paraId="55C300D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7" w:type="pct"/>
            <w:vMerge w:val="continue"/>
            <w:tcBorders>
              <w:tl2br w:val="nil"/>
              <w:tr2bl w:val="nil"/>
            </w:tcBorders>
            <w:vAlign w:val="center"/>
          </w:tcPr>
          <w:p w14:paraId="279C6508">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630" w:type="pct"/>
            <w:tcBorders>
              <w:tl2br w:val="nil"/>
              <w:tr2bl w:val="nil"/>
            </w:tcBorders>
            <w:vAlign w:val="center"/>
          </w:tcPr>
          <w:p w14:paraId="6EB45782">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年平均</w:t>
            </w:r>
          </w:p>
        </w:tc>
        <w:tc>
          <w:tcPr>
            <w:tcW w:w="1356" w:type="pct"/>
            <w:tcBorders>
              <w:tl2br w:val="nil"/>
              <w:tr2bl w:val="nil"/>
            </w:tcBorders>
            <w:shd w:val="clear" w:color="auto" w:fill="auto"/>
            <w:vAlign w:val="center"/>
          </w:tcPr>
          <w:p w14:paraId="4F3FDD6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0.02</w:t>
            </w:r>
          </w:p>
        </w:tc>
        <w:tc>
          <w:tcPr>
            <w:tcW w:w="731" w:type="pct"/>
            <w:tcBorders>
              <w:tl2br w:val="nil"/>
              <w:tr2bl w:val="nil"/>
            </w:tcBorders>
            <w:shd w:val="clear" w:color="auto" w:fill="auto"/>
            <w:vAlign w:val="center"/>
          </w:tcPr>
          <w:p w14:paraId="38A8399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0.03</w:t>
            </w:r>
          </w:p>
        </w:tc>
        <w:tc>
          <w:tcPr>
            <w:tcW w:w="1333" w:type="pct"/>
            <w:tcBorders>
              <w:tl2br w:val="nil"/>
              <w:tr2bl w:val="nil"/>
            </w:tcBorders>
            <w:vAlign w:val="center"/>
          </w:tcPr>
          <w:p w14:paraId="32C92308">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达标，占标率≤30%</w:t>
            </w:r>
          </w:p>
        </w:tc>
      </w:tr>
      <w:tr w14:paraId="63B80AA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190" w:hRule="atLeast"/>
        </w:trPr>
        <w:tc>
          <w:tcPr>
            <w:tcW w:w="947" w:type="pct"/>
            <w:vMerge w:val="restart"/>
            <w:tcBorders>
              <w:tl2br w:val="nil"/>
              <w:tr2bl w:val="nil"/>
            </w:tcBorders>
            <w:vAlign w:val="center"/>
          </w:tcPr>
          <w:p w14:paraId="4DAAB76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PM</w:t>
            </w:r>
            <w:r>
              <w:rPr>
                <w:rFonts w:hint="default" w:ascii="Times New Roman" w:hAnsi="Times New Roman" w:cs="Times New Roman" w:eastAsiaTheme="minorEastAsia"/>
                <w:szCs w:val="21"/>
                <w:vertAlign w:val="subscript"/>
                <w:lang w:val="en-US" w:eastAsia="zh-CN"/>
              </w:rPr>
              <w:t>2.5</w:t>
            </w:r>
          </w:p>
        </w:tc>
        <w:tc>
          <w:tcPr>
            <w:tcW w:w="630" w:type="pct"/>
            <w:tcBorders>
              <w:tl2br w:val="nil"/>
              <w:tr2bl w:val="nil"/>
            </w:tcBorders>
            <w:vAlign w:val="center"/>
          </w:tcPr>
          <w:p w14:paraId="427CA4A6">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日平均</w:t>
            </w:r>
          </w:p>
        </w:tc>
        <w:tc>
          <w:tcPr>
            <w:tcW w:w="1356" w:type="pct"/>
            <w:tcBorders>
              <w:tl2br w:val="nil"/>
              <w:tr2bl w:val="nil"/>
            </w:tcBorders>
            <w:shd w:val="clear" w:color="auto" w:fill="auto"/>
            <w:vAlign w:val="center"/>
          </w:tcPr>
          <w:p w14:paraId="49AE6C7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0.03</w:t>
            </w:r>
          </w:p>
        </w:tc>
        <w:tc>
          <w:tcPr>
            <w:tcW w:w="731" w:type="pct"/>
            <w:tcBorders>
              <w:tl2br w:val="nil"/>
              <w:tr2bl w:val="nil"/>
            </w:tcBorders>
            <w:shd w:val="clear" w:color="auto" w:fill="auto"/>
            <w:vAlign w:val="center"/>
          </w:tcPr>
          <w:p w14:paraId="5BBDC47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0.05</w:t>
            </w:r>
          </w:p>
        </w:tc>
        <w:tc>
          <w:tcPr>
            <w:tcW w:w="1333" w:type="pct"/>
            <w:tcBorders>
              <w:tl2br w:val="nil"/>
              <w:tr2bl w:val="nil"/>
            </w:tcBorders>
            <w:vAlign w:val="center"/>
          </w:tcPr>
          <w:p w14:paraId="6E4AE72C">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达标</w:t>
            </w:r>
            <w:r>
              <w:rPr>
                <w:rFonts w:hint="default" w:ascii="Times New Roman" w:hAnsi="Times New Roman" w:cs="Times New Roman" w:eastAsiaTheme="minorEastAsia"/>
                <w:szCs w:val="21"/>
                <w:highlight w:val="none"/>
                <w:lang w:val="en-US" w:eastAsia="zh-CN"/>
              </w:rPr>
              <w:t>，</w:t>
            </w:r>
            <w:r>
              <w:rPr>
                <w:rFonts w:hint="default" w:ascii="Times New Roman" w:hAnsi="Times New Roman" w:cs="Times New Roman" w:eastAsiaTheme="minorEastAsia"/>
                <w:szCs w:val="21"/>
                <w:highlight w:val="none"/>
                <w:lang w:val="en-US" w:eastAsia="en-US"/>
              </w:rPr>
              <w:t>占标率≤100%</w:t>
            </w:r>
          </w:p>
        </w:tc>
      </w:tr>
      <w:tr w14:paraId="4E60A51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7" w:type="pct"/>
            <w:vMerge w:val="continue"/>
            <w:tcBorders>
              <w:tl2br w:val="nil"/>
              <w:tr2bl w:val="nil"/>
            </w:tcBorders>
            <w:vAlign w:val="center"/>
          </w:tcPr>
          <w:p w14:paraId="6D9C0703">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630" w:type="pct"/>
            <w:tcBorders>
              <w:tl2br w:val="nil"/>
              <w:tr2bl w:val="nil"/>
            </w:tcBorders>
            <w:vAlign w:val="center"/>
          </w:tcPr>
          <w:p w14:paraId="07D249F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年平均</w:t>
            </w:r>
          </w:p>
        </w:tc>
        <w:tc>
          <w:tcPr>
            <w:tcW w:w="1356" w:type="pct"/>
            <w:tcBorders>
              <w:tl2br w:val="nil"/>
              <w:tr2bl w:val="nil"/>
            </w:tcBorders>
            <w:shd w:val="clear" w:color="auto" w:fill="auto"/>
            <w:vAlign w:val="center"/>
          </w:tcPr>
          <w:p w14:paraId="20B730B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0.01</w:t>
            </w:r>
          </w:p>
        </w:tc>
        <w:tc>
          <w:tcPr>
            <w:tcW w:w="731" w:type="pct"/>
            <w:tcBorders>
              <w:tl2br w:val="nil"/>
              <w:tr2bl w:val="nil"/>
            </w:tcBorders>
            <w:shd w:val="clear" w:color="auto" w:fill="auto"/>
            <w:vAlign w:val="center"/>
          </w:tcPr>
          <w:p w14:paraId="11D037B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0.03</w:t>
            </w:r>
          </w:p>
        </w:tc>
        <w:tc>
          <w:tcPr>
            <w:tcW w:w="1333" w:type="pct"/>
            <w:tcBorders>
              <w:tl2br w:val="nil"/>
              <w:tr2bl w:val="nil"/>
            </w:tcBorders>
            <w:vAlign w:val="center"/>
          </w:tcPr>
          <w:p w14:paraId="130ECED1">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达标，占标率≤30%</w:t>
            </w:r>
          </w:p>
        </w:tc>
      </w:tr>
      <w:tr w14:paraId="7A33B53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140" w:hRule="atLeast"/>
        </w:trPr>
        <w:tc>
          <w:tcPr>
            <w:tcW w:w="947" w:type="pct"/>
            <w:vMerge w:val="restart"/>
            <w:tcBorders>
              <w:tl2br w:val="nil"/>
              <w:tr2bl w:val="nil"/>
            </w:tcBorders>
            <w:vAlign w:val="center"/>
          </w:tcPr>
          <w:p w14:paraId="3A6A848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en-US"/>
              </w:rPr>
              <w:t>SO</w:t>
            </w:r>
            <w:r>
              <w:rPr>
                <w:rFonts w:hint="default" w:ascii="Times New Roman" w:hAnsi="Times New Roman" w:cs="Times New Roman" w:eastAsiaTheme="minorEastAsia"/>
                <w:szCs w:val="21"/>
                <w:vertAlign w:val="subscript"/>
                <w:lang w:val="en-US" w:eastAsia="en-US"/>
              </w:rPr>
              <w:t>2</w:t>
            </w:r>
          </w:p>
        </w:tc>
        <w:tc>
          <w:tcPr>
            <w:tcW w:w="630" w:type="pct"/>
            <w:tcBorders>
              <w:tl2br w:val="nil"/>
              <w:tr2bl w:val="nil"/>
            </w:tcBorders>
            <w:vAlign w:val="center"/>
          </w:tcPr>
          <w:p w14:paraId="7A55C33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日平均</w:t>
            </w:r>
          </w:p>
        </w:tc>
        <w:tc>
          <w:tcPr>
            <w:tcW w:w="1356" w:type="pct"/>
            <w:tcBorders>
              <w:tl2br w:val="nil"/>
              <w:tr2bl w:val="nil"/>
            </w:tcBorders>
            <w:shd w:val="clear" w:color="auto" w:fill="auto"/>
            <w:vAlign w:val="center"/>
          </w:tcPr>
          <w:p w14:paraId="3787D54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0.08</w:t>
            </w:r>
          </w:p>
        </w:tc>
        <w:tc>
          <w:tcPr>
            <w:tcW w:w="731" w:type="pct"/>
            <w:tcBorders>
              <w:tl2br w:val="nil"/>
              <w:tr2bl w:val="nil"/>
            </w:tcBorders>
            <w:shd w:val="clear" w:color="auto" w:fill="auto"/>
            <w:vAlign w:val="center"/>
          </w:tcPr>
          <w:p w14:paraId="5DAE7B7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0.06</w:t>
            </w:r>
          </w:p>
        </w:tc>
        <w:tc>
          <w:tcPr>
            <w:tcW w:w="1333" w:type="pct"/>
            <w:tcBorders>
              <w:tl2br w:val="nil"/>
              <w:tr2bl w:val="nil"/>
            </w:tcBorders>
            <w:vAlign w:val="center"/>
          </w:tcPr>
          <w:p w14:paraId="548E332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达标</w:t>
            </w:r>
            <w:r>
              <w:rPr>
                <w:rFonts w:hint="default" w:ascii="Times New Roman" w:hAnsi="Times New Roman" w:cs="Times New Roman" w:eastAsiaTheme="minorEastAsia"/>
                <w:szCs w:val="21"/>
                <w:highlight w:val="none"/>
                <w:lang w:val="en-US" w:eastAsia="zh-CN"/>
              </w:rPr>
              <w:t>，</w:t>
            </w:r>
            <w:r>
              <w:rPr>
                <w:rFonts w:hint="default" w:ascii="Times New Roman" w:hAnsi="Times New Roman" w:cs="Times New Roman" w:eastAsiaTheme="minorEastAsia"/>
                <w:szCs w:val="21"/>
                <w:highlight w:val="none"/>
                <w:lang w:val="en-US" w:eastAsia="en-US"/>
              </w:rPr>
              <w:t>占标率≤100%</w:t>
            </w:r>
          </w:p>
        </w:tc>
      </w:tr>
      <w:tr w14:paraId="226CCF9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7" w:type="pct"/>
            <w:vMerge w:val="continue"/>
            <w:tcBorders>
              <w:tl2br w:val="nil"/>
              <w:tr2bl w:val="nil"/>
            </w:tcBorders>
            <w:vAlign w:val="center"/>
          </w:tcPr>
          <w:p w14:paraId="0FAAA5F0">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630" w:type="pct"/>
            <w:tcBorders>
              <w:tl2br w:val="nil"/>
              <w:tr2bl w:val="nil"/>
            </w:tcBorders>
            <w:vAlign w:val="center"/>
          </w:tcPr>
          <w:p w14:paraId="017569A1">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年平均</w:t>
            </w:r>
          </w:p>
        </w:tc>
        <w:tc>
          <w:tcPr>
            <w:tcW w:w="1356" w:type="pct"/>
            <w:tcBorders>
              <w:tl2br w:val="nil"/>
              <w:tr2bl w:val="nil"/>
            </w:tcBorders>
            <w:shd w:val="clear" w:color="auto" w:fill="auto"/>
            <w:vAlign w:val="center"/>
          </w:tcPr>
          <w:p w14:paraId="5B9DA72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0.03</w:t>
            </w:r>
          </w:p>
        </w:tc>
        <w:tc>
          <w:tcPr>
            <w:tcW w:w="731" w:type="pct"/>
            <w:tcBorders>
              <w:tl2br w:val="nil"/>
              <w:tr2bl w:val="nil"/>
            </w:tcBorders>
            <w:shd w:val="clear" w:color="auto" w:fill="auto"/>
            <w:vAlign w:val="center"/>
          </w:tcPr>
          <w:p w14:paraId="455493D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0.04</w:t>
            </w:r>
          </w:p>
        </w:tc>
        <w:tc>
          <w:tcPr>
            <w:tcW w:w="1333" w:type="pct"/>
            <w:tcBorders>
              <w:tl2br w:val="nil"/>
              <w:tr2bl w:val="nil"/>
            </w:tcBorders>
            <w:vAlign w:val="center"/>
          </w:tcPr>
          <w:p w14:paraId="67A92612">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达标，占标率≤30%</w:t>
            </w:r>
          </w:p>
        </w:tc>
      </w:tr>
      <w:tr w14:paraId="26F137A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7" w:type="pct"/>
            <w:tcBorders>
              <w:tl2br w:val="nil"/>
              <w:tr2bl w:val="nil"/>
            </w:tcBorders>
            <w:vAlign w:val="center"/>
          </w:tcPr>
          <w:p w14:paraId="671074A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CO</w:t>
            </w:r>
          </w:p>
        </w:tc>
        <w:tc>
          <w:tcPr>
            <w:tcW w:w="630" w:type="pct"/>
            <w:tcBorders>
              <w:tl2br w:val="nil"/>
              <w:tr2bl w:val="nil"/>
            </w:tcBorders>
            <w:vAlign w:val="center"/>
          </w:tcPr>
          <w:p w14:paraId="6AB8D63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日平均</w:t>
            </w:r>
          </w:p>
        </w:tc>
        <w:tc>
          <w:tcPr>
            <w:tcW w:w="1356" w:type="pct"/>
            <w:tcBorders>
              <w:tl2br w:val="nil"/>
              <w:tr2bl w:val="nil"/>
            </w:tcBorders>
            <w:shd w:val="clear" w:color="auto" w:fill="auto"/>
            <w:vAlign w:val="center"/>
          </w:tcPr>
          <w:p w14:paraId="3F14EC56">
            <w:pPr>
              <w:autoSpaceDE w:val="0"/>
              <w:autoSpaceDN w:val="0"/>
              <w:spacing w:line="300" w:lineRule="exact"/>
              <w:jc w:val="center"/>
              <w:rPr>
                <w:rFonts w:hint="default"/>
                <w:highlight w:val="none"/>
                <w:lang w:val="en-US" w:eastAsia="zh-CN"/>
              </w:rPr>
            </w:pPr>
            <w:r>
              <w:rPr>
                <w:rFonts w:hint="eastAsia" w:ascii="Times New Roman" w:hAnsi="Times New Roman" w:cs="Times New Roman"/>
                <w:highlight w:val="none"/>
                <w:lang w:val="en-US" w:eastAsia="zh-CN"/>
              </w:rPr>
              <w:t>0.00</w:t>
            </w:r>
          </w:p>
        </w:tc>
        <w:tc>
          <w:tcPr>
            <w:tcW w:w="731" w:type="pct"/>
            <w:tcBorders>
              <w:tl2br w:val="nil"/>
              <w:tr2bl w:val="nil"/>
            </w:tcBorders>
            <w:shd w:val="clear" w:color="auto" w:fill="auto"/>
            <w:vAlign w:val="center"/>
          </w:tcPr>
          <w:p w14:paraId="23BD453D">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0.02</w:t>
            </w:r>
          </w:p>
        </w:tc>
        <w:tc>
          <w:tcPr>
            <w:tcW w:w="1333" w:type="pct"/>
            <w:tcBorders>
              <w:tl2br w:val="nil"/>
              <w:tr2bl w:val="nil"/>
            </w:tcBorders>
            <w:vAlign w:val="center"/>
          </w:tcPr>
          <w:p w14:paraId="445CBEB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达标</w:t>
            </w:r>
            <w:r>
              <w:rPr>
                <w:rFonts w:hint="default" w:ascii="Times New Roman" w:hAnsi="Times New Roman" w:cs="Times New Roman" w:eastAsiaTheme="minorEastAsia"/>
                <w:szCs w:val="21"/>
                <w:highlight w:val="none"/>
                <w:lang w:val="en-US" w:eastAsia="zh-CN"/>
              </w:rPr>
              <w:t>，</w:t>
            </w:r>
            <w:r>
              <w:rPr>
                <w:rFonts w:hint="default" w:ascii="Times New Roman" w:hAnsi="Times New Roman" w:cs="Times New Roman" w:eastAsiaTheme="minorEastAsia"/>
                <w:szCs w:val="21"/>
                <w:highlight w:val="none"/>
                <w:lang w:val="en-US" w:eastAsia="en-US"/>
              </w:rPr>
              <w:t>占标率≤100%</w:t>
            </w:r>
          </w:p>
        </w:tc>
      </w:tr>
      <w:tr w14:paraId="35357B0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7" w:type="pct"/>
            <w:tcBorders>
              <w:tl2br w:val="nil"/>
              <w:tr2bl w:val="nil"/>
            </w:tcBorders>
            <w:vAlign w:val="center"/>
          </w:tcPr>
          <w:p w14:paraId="4E141BF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HCl</w:t>
            </w:r>
          </w:p>
        </w:tc>
        <w:tc>
          <w:tcPr>
            <w:tcW w:w="630" w:type="pct"/>
            <w:tcBorders>
              <w:tl2br w:val="nil"/>
              <w:tr2bl w:val="nil"/>
            </w:tcBorders>
            <w:vAlign w:val="center"/>
          </w:tcPr>
          <w:p w14:paraId="7AF4528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日平均</w:t>
            </w:r>
          </w:p>
        </w:tc>
        <w:tc>
          <w:tcPr>
            <w:tcW w:w="1356" w:type="pct"/>
            <w:tcBorders>
              <w:tl2br w:val="nil"/>
              <w:tr2bl w:val="nil"/>
            </w:tcBorders>
            <w:shd w:val="clear" w:color="auto" w:fill="auto"/>
            <w:vAlign w:val="center"/>
          </w:tcPr>
          <w:p w14:paraId="03DBD5BB">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0.06</w:t>
            </w:r>
          </w:p>
        </w:tc>
        <w:tc>
          <w:tcPr>
            <w:tcW w:w="731" w:type="pct"/>
            <w:tcBorders>
              <w:tl2br w:val="nil"/>
              <w:tr2bl w:val="nil"/>
            </w:tcBorders>
            <w:shd w:val="clear" w:color="auto" w:fill="auto"/>
            <w:vAlign w:val="center"/>
          </w:tcPr>
          <w:p w14:paraId="49D879E4">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0.39</w:t>
            </w:r>
          </w:p>
        </w:tc>
        <w:tc>
          <w:tcPr>
            <w:tcW w:w="1333" w:type="pct"/>
            <w:tcBorders>
              <w:tl2br w:val="nil"/>
              <w:tr2bl w:val="nil"/>
            </w:tcBorders>
            <w:vAlign w:val="center"/>
          </w:tcPr>
          <w:p w14:paraId="244FE8D3">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达标</w:t>
            </w:r>
            <w:r>
              <w:rPr>
                <w:rFonts w:hint="default" w:ascii="Times New Roman" w:hAnsi="Times New Roman" w:cs="Times New Roman" w:eastAsiaTheme="minorEastAsia"/>
                <w:szCs w:val="21"/>
                <w:highlight w:val="none"/>
                <w:lang w:val="en-US" w:eastAsia="zh-CN"/>
              </w:rPr>
              <w:t>，</w:t>
            </w:r>
            <w:r>
              <w:rPr>
                <w:rFonts w:hint="default" w:ascii="Times New Roman" w:hAnsi="Times New Roman" w:cs="Times New Roman" w:eastAsiaTheme="minorEastAsia"/>
                <w:szCs w:val="21"/>
                <w:highlight w:val="none"/>
                <w:lang w:val="en-US" w:eastAsia="en-US"/>
              </w:rPr>
              <w:t>占标率≤100%</w:t>
            </w:r>
          </w:p>
        </w:tc>
      </w:tr>
      <w:tr w14:paraId="404DEB0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7" w:type="pct"/>
            <w:tcBorders>
              <w:tl2br w:val="nil"/>
              <w:tr2bl w:val="nil"/>
            </w:tcBorders>
            <w:vAlign w:val="center"/>
          </w:tcPr>
          <w:p w14:paraId="40318FE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Hg</w:t>
            </w:r>
          </w:p>
        </w:tc>
        <w:tc>
          <w:tcPr>
            <w:tcW w:w="630" w:type="pct"/>
            <w:tcBorders>
              <w:tl2br w:val="nil"/>
              <w:tr2bl w:val="nil"/>
            </w:tcBorders>
            <w:vAlign w:val="center"/>
          </w:tcPr>
          <w:p w14:paraId="1D6802F2">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年平均</w:t>
            </w:r>
          </w:p>
        </w:tc>
        <w:tc>
          <w:tcPr>
            <w:tcW w:w="1356" w:type="pct"/>
            <w:tcBorders>
              <w:tl2br w:val="nil"/>
              <w:tr2bl w:val="nil"/>
            </w:tcBorders>
            <w:shd w:val="clear" w:color="auto" w:fill="auto"/>
            <w:vAlign w:val="center"/>
          </w:tcPr>
          <w:p w14:paraId="52494EF2">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0.00</w:t>
            </w:r>
          </w:p>
        </w:tc>
        <w:tc>
          <w:tcPr>
            <w:tcW w:w="731" w:type="pct"/>
            <w:tcBorders>
              <w:tl2br w:val="nil"/>
              <w:tr2bl w:val="nil"/>
            </w:tcBorders>
            <w:shd w:val="clear" w:color="auto" w:fill="auto"/>
            <w:vAlign w:val="center"/>
          </w:tcPr>
          <w:p w14:paraId="31AB0E67">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0.00</w:t>
            </w:r>
          </w:p>
        </w:tc>
        <w:tc>
          <w:tcPr>
            <w:tcW w:w="1333" w:type="pct"/>
            <w:tcBorders>
              <w:tl2br w:val="nil"/>
              <w:tr2bl w:val="nil"/>
            </w:tcBorders>
            <w:vAlign w:val="center"/>
          </w:tcPr>
          <w:p w14:paraId="28659C98">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达标，占标率≤30%</w:t>
            </w:r>
          </w:p>
        </w:tc>
      </w:tr>
      <w:tr w14:paraId="54BBA14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7" w:type="pct"/>
            <w:tcBorders>
              <w:tl2br w:val="nil"/>
              <w:tr2bl w:val="nil"/>
            </w:tcBorders>
            <w:vAlign w:val="center"/>
          </w:tcPr>
          <w:p w14:paraId="578F56D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Pb</w:t>
            </w:r>
          </w:p>
        </w:tc>
        <w:tc>
          <w:tcPr>
            <w:tcW w:w="630" w:type="pct"/>
            <w:tcBorders>
              <w:tl2br w:val="nil"/>
              <w:tr2bl w:val="nil"/>
            </w:tcBorders>
            <w:vAlign w:val="center"/>
          </w:tcPr>
          <w:p w14:paraId="0088F09C">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年平均</w:t>
            </w:r>
          </w:p>
        </w:tc>
        <w:tc>
          <w:tcPr>
            <w:tcW w:w="1356" w:type="pct"/>
            <w:tcBorders>
              <w:tl2br w:val="nil"/>
              <w:tr2bl w:val="nil"/>
            </w:tcBorders>
            <w:shd w:val="clear" w:color="auto" w:fill="auto"/>
            <w:vAlign w:val="center"/>
          </w:tcPr>
          <w:p w14:paraId="6F1FA993">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0.00</w:t>
            </w:r>
          </w:p>
        </w:tc>
        <w:tc>
          <w:tcPr>
            <w:tcW w:w="731" w:type="pct"/>
            <w:tcBorders>
              <w:tl2br w:val="nil"/>
              <w:tr2bl w:val="nil"/>
            </w:tcBorders>
            <w:shd w:val="clear" w:color="auto" w:fill="auto"/>
            <w:vAlign w:val="center"/>
          </w:tcPr>
          <w:p w14:paraId="0B80FF73">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0.00</w:t>
            </w:r>
          </w:p>
        </w:tc>
        <w:tc>
          <w:tcPr>
            <w:tcW w:w="1333" w:type="pct"/>
            <w:tcBorders>
              <w:tl2br w:val="nil"/>
              <w:tr2bl w:val="nil"/>
            </w:tcBorders>
            <w:vAlign w:val="center"/>
          </w:tcPr>
          <w:p w14:paraId="5E038AF2">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达标，占标率≤30%</w:t>
            </w:r>
          </w:p>
        </w:tc>
      </w:tr>
      <w:tr w14:paraId="0FE6841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7" w:type="pct"/>
            <w:tcBorders>
              <w:tl2br w:val="nil"/>
              <w:tr2bl w:val="nil"/>
            </w:tcBorders>
            <w:vAlign w:val="center"/>
          </w:tcPr>
          <w:p w14:paraId="51FC65D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As</w:t>
            </w:r>
          </w:p>
        </w:tc>
        <w:tc>
          <w:tcPr>
            <w:tcW w:w="630" w:type="pct"/>
            <w:tcBorders>
              <w:tl2br w:val="nil"/>
              <w:tr2bl w:val="nil"/>
            </w:tcBorders>
            <w:vAlign w:val="center"/>
          </w:tcPr>
          <w:p w14:paraId="50904FEA">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年平均</w:t>
            </w:r>
          </w:p>
        </w:tc>
        <w:tc>
          <w:tcPr>
            <w:tcW w:w="1356" w:type="pct"/>
            <w:tcBorders>
              <w:tl2br w:val="nil"/>
              <w:tr2bl w:val="nil"/>
            </w:tcBorders>
            <w:shd w:val="clear" w:color="auto" w:fill="auto"/>
            <w:vAlign w:val="center"/>
          </w:tcPr>
          <w:p w14:paraId="5624F58E">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0.0014</w:t>
            </w:r>
          </w:p>
        </w:tc>
        <w:tc>
          <w:tcPr>
            <w:tcW w:w="731" w:type="pct"/>
            <w:tcBorders>
              <w:tl2br w:val="nil"/>
              <w:tr2bl w:val="nil"/>
            </w:tcBorders>
            <w:shd w:val="clear" w:color="auto" w:fill="auto"/>
            <w:vAlign w:val="center"/>
          </w:tcPr>
          <w:p w14:paraId="3A7B373C">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23.83</w:t>
            </w:r>
          </w:p>
        </w:tc>
        <w:tc>
          <w:tcPr>
            <w:tcW w:w="1333" w:type="pct"/>
            <w:tcBorders>
              <w:tl2br w:val="nil"/>
              <w:tr2bl w:val="nil"/>
            </w:tcBorders>
            <w:vAlign w:val="center"/>
          </w:tcPr>
          <w:p w14:paraId="708A9053">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达标，占标率≤30%</w:t>
            </w:r>
          </w:p>
        </w:tc>
      </w:tr>
      <w:tr w14:paraId="79445F6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7" w:type="pct"/>
            <w:tcBorders>
              <w:tl2br w:val="nil"/>
              <w:tr2bl w:val="nil"/>
            </w:tcBorders>
            <w:vAlign w:val="center"/>
          </w:tcPr>
          <w:p w14:paraId="29A5E74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Cd</w:t>
            </w:r>
          </w:p>
        </w:tc>
        <w:tc>
          <w:tcPr>
            <w:tcW w:w="630" w:type="pct"/>
            <w:tcBorders>
              <w:tl2br w:val="nil"/>
              <w:tr2bl w:val="nil"/>
            </w:tcBorders>
            <w:vAlign w:val="center"/>
          </w:tcPr>
          <w:p w14:paraId="008C9E9F">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年平均</w:t>
            </w:r>
          </w:p>
        </w:tc>
        <w:tc>
          <w:tcPr>
            <w:tcW w:w="1356" w:type="pct"/>
            <w:tcBorders>
              <w:tl2br w:val="nil"/>
              <w:tr2bl w:val="nil"/>
            </w:tcBorders>
            <w:shd w:val="clear" w:color="auto" w:fill="auto"/>
            <w:vAlign w:val="center"/>
          </w:tcPr>
          <w:p w14:paraId="07CE78C2">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0.00</w:t>
            </w:r>
          </w:p>
        </w:tc>
        <w:tc>
          <w:tcPr>
            <w:tcW w:w="731" w:type="pct"/>
            <w:tcBorders>
              <w:tl2br w:val="nil"/>
              <w:tr2bl w:val="nil"/>
            </w:tcBorders>
            <w:shd w:val="clear" w:color="auto" w:fill="auto"/>
            <w:vAlign w:val="center"/>
          </w:tcPr>
          <w:p w14:paraId="2AC953AC">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0.00</w:t>
            </w:r>
          </w:p>
        </w:tc>
        <w:tc>
          <w:tcPr>
            <w:tcW w:w="1333" w:type="pct"/>
            <w:tcBorders>
              <w:tl2br w:val="nil"/>
              <w:tr2bl w:val="nil"/>
            </w:tcBorders>
            <w:vAlign w:val="center"/>
          </w:tcPr>
          <w:p w14:paraId="4C62DAE2">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达标，占标率≤30%</w:t>
            </w:r>
          </w:p>
        </w:tc>
      </w:tr>
      <w:tr w14:paraId="5E7EEC8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7" w:type="pct"/>
            <w:tcBorders>
              <w:tl2br w:val="nil"/>
              <w:tr2bl w:val="nil"/>
            </w:tcBorders>
            <w:vAlign w:val="center"/>
          </w:tcPr>
          <w:p w14:paraId="08A1D84E">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二噁英</w:t>
            </w:r>
          </w:p>
        </w:tc>
        <w:tc>
          <w:tcPr>
            <w:tcW w:w="630" w:type="pct"/>
            <w:tcBorders>
              <w:tl2br w:val="nil"/>
              <w:tr2bl w:val="nil"/>
            </w:tcBorders>
            <w:vAlign w:val="center"/>
          </w:tcPr>
          <w:p w14:paraId="39E99EB0">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日平均</w:t>
            </w:r>
          </w:p>
        </w:tc>
        <w:tc>
          <w:tcPr>
            <w:tcW w:w="1356" w:type="pct"/>
            <w:tcBorders>
              <w:tl2br w:val="nil"/>
              <w:tr2bl w:val="nil"/>
            </w:tcBorders>
            <w:shd w:val="clear" w:color="auto" w:fill="auto"/>
            <w:vAlign w:val="center"/>
          </w:tcPr>
          <w:p w14:paraId="195FA6C9">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0.00</w:t>
            </w:r>
          </w:p>
        </w:tc>
        <w:tc>
          <w:tcPr>
            <w:tcW w:w="731" w:type="pct"/>
            <w:tcBorders>
              <w:tl2br w:val="nil"/>
              <w:tr2bl w:val="nil"/>
            </w:tcBorders>
            <w:shd w:val="clear" w:color="auto" w:fill="auto"/>
            <w:vAlign w:val="center"/>
          </w:tcPr>
          <w:p w14:paraId="503CEA18">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0.00</w:t>
            </w:r>
          </w:p>
        </w:tc>
        <w:tc>
          <w:tcPr>
            <w:tcW w:w="1333" w:type="pct"/>
            <w:tcBorders>
              <w:tl2br w:val="nil"/>
              <w:tr2bl w:val="nil"/>
            </w:tcBorders>
            <w:vAlign w:val="center"/>
          </w:tcPr>
          <w:p w14:paraId="24C06E9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达标</w:t>
            </w:r>
            <w:r>
              <w:rPr>
                <w:rFonts w:hint="default" w:ascii="Times New Roman" w:hAnsi="Times New Roman" w:cs="Times New Roman" w:eastAsiaTheme="minorEastAsia"/>
                <w:szCs w:val="21"/>
                <w:highlight w:val="none"/>
                <w:lang w:val="en-US" w:eastAsia="zh-CN"/>
              </w:rPr>
              <w:t>，</w:t>
            </w:r>
            <w:r>
              <w:rPr>
                <w:rFonts w:hint="default" w:ascii="Times New Roman" w:hAnsi="Times New Roman" w:cs="Times New Roman" w:eastAsiaTheme="minorEastAsia"/>
                <w:szCs w:val="21"/>
                <w:highlight w:val="none"/>
                <w:lang w:val="en-US" w:eastAsia="en-US"/>
              </w:rPr>
              <w:t>占标率≤100%</w:t>
            </w:r>
          </w:p>
        </w:tc>
      </w:tr>
      <w:tr w14:paraId="6619BDD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7" w:type="pct"/>
            <w:tcBorders>
              <w:tl2br w:val="nil"/>
              <w:tr2bl w:val="nil"/>
            </w:tcBorders>
            <w:vAlign w:val="center"/>
          </w:tcPr>
          <w:p w14:paraId="3B2195B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HF</w:t>
            </w:r>
          </w:p>
        </w:tc>
        <w:tc>
          <w:tcPr>
            <w:tcW w:w="630" w:type="pct"/>
            <w:tcBorders>
              <w:tl2br w:val="nil"/>
              <w:tr2bl w:val="nil"/>
            </w:tcBorders>
            <w:vAlign w:val="center"/>
          </w:tcPr>
          <w:p w14:paraId="708BD842">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日平均</w:t>
            </w:r>
          </w:p>
        </w:tc>
        <w:tc>
          <w:tcPr>
            <w:tcW w:w="1356" w:type="pct"/>
            <w:tcBorders>
              <w:tl2br w:val="nil"/>
              <w:tr2bl w:val="nil"/>
            </w:tcBorders>
            <w:shd w:val="clear" w:color="auto" w:fill="auto"/>
            <w:vAlign w:val="center"/>
          </w:tcPr>
          <w:p w14:paraId="0010E5AB">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0.01</w:t>
            </w:r>
          </w:p>
        </w:tc>
        <w:tc>
          <w:tcPr>
            <w:tcW w:w="731" w:type="pct"/>
            <w:tcBorders>
              <w:tl2br w:val="nil"/>
              <w:tr2bl w:val="nil"/>
            </w:tcBorders>
            <w:shd w:val="clear" w:color="auto" w:fill="auto"/>
            <w:vAlign w:val="center"/>
          </w:tcPr>
          <w:p w14:paraId="096D390A">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0.19</w:t>
            </w:r>
          </w:p>
        </w:tc>
        <w:tc>
          <w:tcPr>
            <w:tcW w:w="1333" w:type="pct"/>
            <w:tcBorders>
              <w:tl2br w:val="nil"/>
              <w:tr2bl w:val="nil"/>
            </w:tcBorders>
            <w:vAlign w:val="center"/>
          </w:tcPr>
          <w:p w14:paraId="32210382">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达标</w:t>
            </w:r>
            <w:r>
              <w:rPr>
                <w:rFonts w:hint="default" w:ascii="Times New Roman" w:hAnsi="Times New Roman" w:cs="Times New Roman" w:eastAsiaTheme="minorEastAsia"/>
                <w:szCs w:val="21"/>
                <w:highlight w:val="none"/>
                <w:lang w:val="en-US" w:eastAsia="zh-CN"/>
              </w:rPr>
              <w:t>，</w:t>
            </w:r>
            <w:r>
              <w:rPr>
                <w:rFonts w:hint="default" w:ascii="Times New Roman" w:hAnsi="Times New Roman" w:cs="Times New Roman" w:eastAsiaTheme="minorEastAsia"/>
                <w:szCs w:val="21"/>
                <w:highlight w:val="none"/>
                <w:lang w:val="en-US" w:eastAsia="en-US"/>
              </w:rPr>
              <w:t>占标率≤100%</w:t>
            </w:r>
          </w:p>
        </w:tc>
      </w:tr>
    </w:tbl>
    <w:p w14:paraId="70DC393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en-US"/>
        </w:rPr>
        <w:t>由表5</w:t>
      </w:r>
      <w:r>
        <w:rPr>
          <w:rFonts w:hint="default"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en-US"/>
        </w:rPr>
        <w:t>2-</w:t>
      </w:r>
      <w:r>
        <w:rPr>
          <w:rFonts w:hint="default" w:ascii="Times New Roman" w:hAnsi="Times New Roman" w:cs="Times New Roman" w:eastAsiaTheme="minorEastAsia"/>
          <w:sz w:val="24"/>
          <w:lang w:val="en-US" w:eastAsia="zh-CN"/>
        </w:rPr>
        <w:t>13</w:t>
      </w:r>
      <w:r>
        <w:rPr>
          <w:rFonts w:hint="default" w:ascii="Times New Roman" w:hAnsi="Times New Roman" w:cs="Times New Roman" w:eastAsiaTheme="minorEastAsia"/>
          <w:sz w:val="24"/>
          <w:lang w:val="en-US" w:eastAsia="en-US"/>
        </w:rPr>
        <w:t>可知：本项目投运后各污染物最大小时和日均浓度</w:t>
      </w:r>
      <w:r>
        <w:rPr>
          <w:rFonts w:hint="eastAsia" w:ascii="Times New Roman" w:hAnsi="Times New Roman" w:cs="Times New Roman" w:eastAsiaTheme="minorEastAsia"/>
          <w:sz w:val="24"/>
          <w:lang w:val="en-US" w:eastAsia="zh-CN"/>
        </w:rPr>
        <w:t>贡献</w:t>
      </w:r>
      <w:r>
        <w:rPr>
          <w:rFonts w:hint="default" w:ascii="Times New Roman" w:hAnsi="Times New Roman" w:cs="Times New Roman" w:eastAsiaTheme="minorEastAsia"/>
          <w:sz w:val="24"/>
          <w:lang w:val="en-US" w:eastAsia="en-US"/>
        </w:rPr>
        <w:t>值占标率均≤100%，满足《环境空气质量标准》</w:t>
      </w:r>
      <w:r>
        <w:rPr>
          <w:rFonts w:hint="default"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en-US"/>
        </w:rPr>
        <w:t>GB3095-20</w:t>
      </w:r>
      <w:r>
        <w:rPr>
          <w:rFonts w:hint="eastAsia" w:ascii="Times New Roman" w:hAnsi="Times New Roman" w:cs="Times New Roman" w:eastAsiaTheme="minorEastAsia"/>
          <w:sz w:val="24"/>
          <w:lang w:val="en-US" w:eastAsia="zh-CN"/>
        </w:rPr>
        <w:t>26</w:t>
      </w:r>
      <w:r>
        <w:rPr>
          <w:rFonts w:hint="default"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en-US"/>
        </w:rPr>
        <w:t>二级标准值；污染物年均浓度贡献值均满足《环境空气质量标准》</w:t>
      </w:r>
      <w:r>
        <w:rPr>
          <w:rFonts w:hint="default"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en-US"/>
        </w:rPr>
        <w:t>GB3095-20</w:t>
      </w:r>
      <w:r>
        <w:rPr>
          <w:rFonts w:hint="eastAsia" w:ascii="Times New Roman" w:hAnsi="Times New Roman" w:cs="Times New Roman" w:eastAsiaTheme="minorEastAsia"/>
          <w:sz w:val="24"/>
          <w:lang w:val="en-US" w:eastAsia="zh-CN"/>
        </w:rPr>
        <w:t>26</w:t>
      </w:r>
      <w:r>
        <w:rPr>
          <w:rFonts w:hint="default"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en-US"/>
        </w:rPr>
        <w:t>二级标准值，且占标率≤30%。</w:t>
      </w:r>
    </w:p>
    <w:p w14:paraId="3E5372F6">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（2）项目排放的基本污染物贡献值叠加背景值、减去区域消减源的环境影响结论：</w:t>
      </w:r>
    </w:p>
    <w:p w14:paraId="287F2EDE">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项目排放的基本污染物NOx的贡献值叠加背景值、减去区域消减源的环境影响后的日均浓度和年均浓度最大占标率分别为</w:t>
      </w:r>
      <w:r>
        <w:rPr>
          <w:rFonts w:hint="eastAsia" w:ascii="Times New Roman" w:hAnsi="Times New Roman" w:cs="Times New Roman"/>
          <w:sz w:val="24"/>
          <w:highlight w:val="none"/>
          <w:lang w:val="en-US" w:eastAsia="zh-CN"/>
        </w:rPr>
        <w:t>95.33</w:t>
      </w:r>
      <w:r>
        <w:rPr>
          <w:rFonts w:hint="eastAsia" w:ascii="Times New Roman" w:hAnsi="Times New Roman" w:cs="Times New Roman" w:eastAsiaTheme="minorEastAsia"/>
          <w:sz w:val="24"/>
          <w:highlight w:val="none"/>
          <w:lang w:val="en-US" w:eastAsia="zh-CN"/>
        </w:rPr>
        <w:t>%和</w:t>
      </w:r>
      <w:r>
        <w:rPr>
          <w:rFonts w:hint="eastAsia" w:ascii="Times New Roman" w:hAnsi="Times New Roman" w:cs="Times New Roman"/>
          <w:sz w:val="24"/>
          <w:highlight w:val="none"/>
          <w:lang w:val="en-US" w:eastAsia="zh-CN"/>
        </w:rPr>
        <w:t>91.18</w:t>
      </w:r>
      <w:r>
        <w:rPr>
          <w:rFonts w:hint="eastAsia" w:ascii="Times New Roman" w:hAnsi="Times New Roman" w:cs="Times New Roman" w:eastAsiaTheme="minorEastAsia"/>
          <w:sz w:val="24"/>
          <w:highlight w:val="none"/>
          <w:lang w:val="en-US" w:eastAsia="zh-CN"/>
        </w:rPr>
        <w:t>%，满足《环境空气质量标准》（GB3095-2026）中的二级标准。</w:t>
      </w:r>
    </w:p>
    <w:p w14:paraId="2851B4A5">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项目排放的基本污染物PM10的贡献值叠加其他在建、拟建污染源、减去区域消减源、环境影响后的98%保证率日均浓度和年均浓度最大占标率分别为</w:t>
      </w:r>
      <w:r>
        <w:rPr>
          <w:rFonts w:hint="eastAsia" w:ascii="Times New Roman" w:hAnsi="Times New Roman" w:cs="Times New Roman"/>
          <w:sz w:val="24"/>
          <w:highlight w:val="none"/>
          <w:lang w:val="en-US" w:eastAsia="zh-CN"/>
        </w:rPr>
        <w:t>27.25</w:t>
      </w:r>
      <w:r>
        <w:rPr>
          <w:rFonts w:hint="eastAsia" w:ascii="Times New Roman" w:hAnsi="Times New Roman" w:cs="Times New Roman" w:eastAsiaTheme="minorEastAsia"/>
          <w:sz w:val="24"/>
          <w:highlight w:val="none"/>
          <w:lang w:val="en-US" w:eastAsia="zh-CN"/>
        </w:rPr>
        <w:t>%和</w:t>
      </w:r>
      <w:r>
        <w:rPr>
          <w:rFonts w:hint="eastAsia" w:ascii="Times New Roman" w:hAnsi="Times New Roman" w:cs="Times New Roman"/>
          <w:sz w:val="24"/>
          <w:highlight w:val="none"/>
          <w:lang w:val="en-US" w:eastAsia="zh-CN"/>
        </w:rPr>
        <w:t>5.67</w:t>
      </w:r>
      <w:r>
        <w:rPr>
          <w:rFonts w:hint="eastAsia" w:ascii="Times New Roman" w:hAnsi="Times New Roman" w:cs="Times New Roman" w:eastAsiaTheme="minorEastAsia"/>
          <w:sz w:val="24"/>
          <w:highlight w:val="none"/>
          <w:lang w:val="en-US" w:eastAsia="zh-CN"/>
        </w:rPr>
        <w:t>%，满足《环境空气质量标准》（GB3095-2026）中的二级标准。</w:t>
      </w:r>
    </w:p>
    <w:p w14:paraId="12E2DCC7">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项目排放的基本污染物PM</w:t>
      </w:r>
      <w:r>
        <w:rPr>
          <w:rFonts w:hint="eastAsia" w:ascii="Times New Roman" w:hAnsi="Times New Roman" w:cs="Times New Roman" w:eastAsiaTheme="minorEastAsia"/>
          <w:sz w:val="24"/>
          <w:highlight w:val="none"/>
          <w:vertAlign w:val="subscript"/>
          <w:lang w:val="en-US" w:eastAsia="zh-CN"/>
        </w:rPr>
        <w:t>25</w:t>
      </w:r>
      <w:r>
        <w:rPr>
          <w:rFonts w:hint="eastAsia" w:ascii="Times New Roman" w:hAnsi="Times New Roman" w:cs="Times New Roman" w:eastAsiaTheme="minorEastAsia"/>
          <w:sz w:val="24"/>
          <w:highlight w:val="none"/>
          <w:lang w:val="en-US" w:eastAsia="zh-CN"/>
        </w:rPr>
        <w:t>的贡献值叠加其他在建、拟建污染源、减去区域消减源的环境影响后的日均浓度和年均浓度最大占标率分别为</w:t>
      </w:r>
      <w:r>
        <w:rPr>
          <w:rFonts w:hint="eastAsia" w:ascii="Times New Roman" w:hAnsi="Times New Roman" w:cs="Times New Roman"/>
          <w:sz w:val="24"/>
          <w:highlight w:val="none"/>
          <w:lang w:val="en-US" w:eastAsia="zh-CN"/>
        </w:rPr>
        <w:t>27.25</w:t>
      </w:r>
      <w:r>
        <w:rPr>
          <w:rFonts w:hint="eastAsia" w:ascii="Times New Roman" w:hAnsi="Times New Roman" w:cs="Times New Roman" w:eastAsiaTheme="minorEastAsia"/>
          <w:sz w:val="24"/>
          <w:highlight w:val="none"/>
          <w:lang w:val="en-US" w:eastAsia="zh-CN"/>
        </w:rPr>
        <w:t>%和</w:t>
      </w:r>
      <w:r>
        <w:rPr>
          <w:rFonts w:hint="eastAsia" w:ascii="Times New Roman" w:hAnsi="Times New Roman" w:cs="Times New Roman"/>
          <w:sz w:val="24"/>
          <w:highlight w:val="none"/>
          <w:lang w:val="en-US" w:eastAsia="zh-CN"/>
        </w:rPr>
        <w:t>5.63</w:t>
      </w:r>
      <w:r>
        <w:rPr>
          <w:rFonts w:hint="eastAsia" w:ascii="Times New Roman" w:hAnsi="Times New Roman" w:cs="Times New Roman" w:eastAsiaTheme="minorEastAsia"/>
          <w:sz w:val="24"/>
          <w:highlight w:val="none"/>
          <w:lang w:val="en-US" w:eastAsia="zh-CN"/>
        </w:rPr>
        <w:t>%，满足《环境空气质量标准》（GB3095-2026）中的二级标准。</w:t>
      </w:r>
    </w:p>
    <w:p w14:paraId="6E3CB84B">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项目排放的基本污染物SO</w:t>
      </w:r>
      <w:r>
        <w:rPr>
          <w:rFonts w:hint="eastAsia" w:ascii="Times New Roman" w:hAnsi="Times New Roman" w:cs="Times New Roman" w:eastAsiaTheme="minorEastAsia"/>
          <w:sz w:val="24"/>
          <w:highlight w:val="none"/>
          <w:vertAlign w:val="subscript"/>
          <w:lang w:val="en-US" w:eastAsia="zh-CN"/>
        </w:rPr>
        <w:t>2</w:t>
      </w:r>
      <w:r>
        <w:rPr>
          <w:rFonts w:hint="eastAsia" w:ascii="Times New Roman" w:hAnsi="Times New Roman" w:cs="Times New Roman" w:eastAsiaTheme="minorEastAsia"/>
          <w:sz w:val="24"/>
          <w:highlight w:val="none"/>
          <w:lang w:val="en-US" w:eastAsia="zh-CN"/>
        </w:rPr>
        <w:t>的贡献值叠加区域背景值及其他在建、拟建污染源、减去区域消减源的环境影响后的98%保证率日均浓度和年均浓度最大占标率分别为</w:t>
      </w:r>
      <w:r>
        <w:rPr>
          <w:rFonts w:hint="eastAsia" w:ascii="Times New Roman" w:hAnsi="Times New Roman" w:cs="Times New Roman"/>
          <w:sz w:val="24"/>
          <w:highlight w:val="none"/>
          <w:lang w:val="en-US" w:eastAsia="zh-CN"/>
        </w:rPr>
        <w:t>53.41</w:t>
      </w:r>
      <w:r>
        <w:rPr>
          <w:rFonts w:hint="eastAsia" w:ascii="Times New Roman" w:hAnsi="Times New Roman" w:cs="Times New Roman" w:eastAsiaTheme="minorEastAsia"/>
          <w:sz w:val="24"/>
          <w:highlight w:val="none"/>
          <w:lang w:val="en-US" w:eastAsia="zh-CN"/>
        </w:rPr>
        <w:t>%和</w:t>
      </w:r>
      <w:r>
        <w:rPr>
          <w:rFonts w:hint="eastAsia" w:ascii="Times New Roman" w:hAnsi="Times New Roman" w:cs="Times New Roman"/>
          <w:sz w:val="24"/>
          <w:highlight w:val="none"/>
          <w:lang w:val="en-US" w:eastAsia="zh-CN"/>
        </w:rPr>
        <w:t>38.13</w:t>
      </w:r>
      <w:r>
        <w:rPr>
          <w:rFonts w:hint="eastAsia" w:ascii="Times New Roman" w:hAnsi="Times New Roman" w:cs="Times New Roman" w:eastAsiaTheme="minorEastAsia"/>
          <w:sz w:val="24"/>
          <w:highlight w:val="none"/>
          <w:lang w:val="en-US" w:eastAsia="zh-CN"/>
        </w:rPr>
        <w:t>%，满足《环境空气质量标准》（GB3095-2026）中的二级标准。</w:t>
      </w:r>
    </w:p>
    <w:p w14:paraId="00683ADB">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项目排放的基本污染物CO的贡献值叠加区域背景值、减去区域消减源的环境影响后的98%保证率日均浓度最大占标率为25%，满足《环境空气质量标准》（GB3095-2026）中的二级标准。</w:t>
      </w:r>
    </w:p>
    <w:p w14:paraId="29D8B3E8">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项目排放的基本污染物HCl的贡献值叠加区域背景值、减去区域消减源的环境影响后的日均浓度最大占标率为67.067%，满足《环境影响评价技术导则 大气环境》（HJ2.2-2018）附录D限值要求。</w:t>
      </w:r>
    </w:p>
    <w:p w14:paraId="4CE8ECBD">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项目排放的基本污染物Hg的贡献值叠加区域背景值、减去区域消减源的环境影响后的年均浓度最大占标率为20%，满足《环境空气质量标准》（GB3095-2026）标准。</w:t>
      </w:r>
    </w:p>
    <w:p w14:paraId="4757856E">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项目排放的基本污染物Pb的贡献值叠加区域背景值、减去区域消减源的环境影响后的年均浓度最大占标率为</w:t>
      </w:r>
      <w:r>
        <w:rPr>
          <w:rFonts w:hint="eastAsia" w:ascii="Times New Roman" w:hAnsi="Times New Roman" w:cs="Times New Roman"/>
          <w:sz w:val="24"/>
          <w:highlight w:val="none"/>
          <w:lang w:val="en-US" w:eastAsia="zh-CN"/>
        </w:rPr>
        <w:t>8.06</w:t>
      </w:r>
      <w:r>
        <w:rPr>
          <w:rFonts w:hint="eastAsia" w:ascii="Times New Roman" w:hAnsi="Times New Roman" w:cs="Times New Roman" w:eastAsiaTheme="minorEastAsia"/>
          <w:sz w:val="24"/>
          <w:highlight w:val="none"/>
          <w:lang w:val="en-US" w:eastAsia="zh-CN"/>
        </w:rPr>
        <w:t>%，满足《环境空气质量标准》（GB3095-2026）标准。</w:t>
      </w:r>
    </w:p>
    <w:p w14:paraId="229A301D">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项目排放的基本污染物As的贡献值叠加区域背景值、减去区域消减源的环境影响后的年均浓度最大占标率为</w:t>
      </w:r>
      <w:r>
        <w:rPr>
          <w:rFonts w:hint="eastAsia" w:ascii="Times New Roman" w:hAnsi="Times New Roman" w:cs="Times New Roman"/>
          <w:sz w:val="24"/>
          <w:highlight w:val="none"/>
          <w:lang w:val="en-US" w:eastAsia="zh-CN"/>
        </w:rPr>
        <w:t>35</w:t>
      </w:r>
      <w:r>
        <w:rPr>
          <w:rFonts w:hint="eastAsia" w:ascii="Times New Roman" w:hAnsi="Times New Roman" w:cs="Times New Roman" w:eastAsiaTheme="minorEastAsia"/>
          <w:sz w:val="24"/>
          <w:highlight w:val="none"/>
          <w:lang w:val="en-US" w:eastAsia="zh-CN"/>
        </w:rPr>
        <w:t>%，满足《环境空气质量标准》（GB3095-2026）标准。</w:t>
      </w:r>
    </w:p>
    <w:p w14:paraId="21275188">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项目排放的基本污染物Cd的贡献值叠加区域背景值、减去区域消减源的环境影响后的年均浓度最大占标率为</w:t>
      </w:r>
      <w:r>
        <w:rPr>
          <w:rFonts w:hint="eastAsia" w:ascii="Times New Roman" w:hAnsi="Times New Roman" w:cs="Times New Roman"/>
          <w:sz w:val="24"/>
          <w:highlight w:val="none"/>
          <w:lang w:val="en-US" w:eastAsia="zh-CN"/>
        </w:rPr>
        <w:t>14.4</w:t>
      </w:r>
      <w:r>
        <w:rPr>
          <w:rFonts w:hint="eastAsia" w:ascii="Times New Roman" w:hAnsi="Times New Roman" w:cs="Times New Roman" w:eastAsiaTheme="minorEastAsia"/>
          <w:sz w:val="24"/>
          <w:highlight w:val="none"/>
          <w:lang w:val="en-US" w:eastAsia="zh-CN"/>
        </w:rPr>
        <w:t>%，满足《环境空气质量标准》（GB3095-2026）标准。</w:t>
      </w:r>
    </w:p>
    <w:p w14:paraId="2E105F93">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项目排放的基本污染物二噁英的贡献值叠加区域背景值、减去区域消减源的环境影响后的日均浓度最大占标率为1.95%，满足《关于进一步加强生物质发电项目环境影响评价管理工作的通知》（环发〔2008〕82号）。</w:t>
      </w:r>
    </w:p>
    <w:p w14:paraId="6959C4E9">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项目排放的基本污染物HF的贡献值叠加区域背景值、减去区域消减源的环境影响后的日均浓度最大占标率为12.714%，满足《环境空气质量标准》（GB3095-2026）标准。</w:t>
      </w:r>
    </w:p>
    <w:p w14:paraId="27D1ACA6">
      <w:pPr>
        <w:rPr>
          <w:rFonts w:hint="default"/>
          <w:highlight w:val="none"/>
          <w:lang w:val="en-US" w:eastAsia="en-US"/>
        </w:rPr>
      </w:pPr>
      <w:r>
        <w:rPr>
          <w:rFonts w:hint="default" w:ascii="Times New Roman" w:hAnsi="Times New Roman" w:cs="Times New Roman" w:eastAsiaTheme="minorEastAsia"/>
          <w:sz w:val="24"/>
          <w:highlight w:val="none"/>
          <w:lang w:val="en-US" w:eastAsia="en-US"/>
        </w:rPr>
        <w:br w:type="page"/>
      </w:r>
    </w:p>
    <w:p w14:paraId="1BA20486">
      <w:pPr>
        <w:pStyle w:val="20"/>
        <w:snapToGrid w:val="0"/>
        <w:ind w:left="0" w:leftChars="0" w:firstLine="480" w:firstLineChars="200"/>
        <w:jc w:val="left"/>
        <w:rPr>
          <w:rFonts w:hint="default" w:ascii="Times New Roman" w:hAnsi="Times New Roman" w:cs="Times New Roman" w:eastAsiaTheme="minorEastAsia"/>
          <w:color w:val="auto"/>
          <w:lang w:val="en-US" w:eastAsia="en-US"/>
        </w:rPr>
      </w:pPr>
      <w:r>
        <w:rPr>
          <w:rFonts w:hint="default" w:ascii="Times New Roman" w:hAnsi="Times New Roman" w:cs="Times New Roman" w:eastAsiaTheme="minorEastAsia"/>
          <w:color w:val="auto"/>
          <w:lang w:val="en-US" w:eastAsia="zh-CN"/>
        </w:rPr>
        <w:t>（5）</w:t>
      </w:r>
      <w:r>
        <w:rPr>
          <w:rFonts w:hint="default" w:ascii="Times New Roman" w:hAnsi="Times New Roman" w:cs="Times New Roman" w:eastAsiaTheme="minorEastAsia"/>
          <w:color w:val="auto"/>
          <w:lang w:val="en-US" w:eastAsia="en-US"/>
        </w:rPr>
        <w:t>网格浓度分布图</w:t>
      </w:r>
    </w:p>
    <w:p w14:paraId="2C43BD1B">
      <w:pPr>
        <w:pStyle w:val="20"/>
        <w:snapToGrid w:val="0"/>
        <w:jc w:val="left"/>
        <w:rPr>
          <w:rFonts w:hint="default" w:ascii="Times New Roman" w:hAnsi="Times New Roman" w:cs="Times New Roman" w:eastAsiaTheme="minorEastAsia"/>
          <w:color w:val="auto"/>
          <w:lang w:val="en-US" w:eastAsia="en-US"/>
        </w:rPr>
      </w:pPr>
      <w:r>
        <w:rPr>
          <w:rFonts w:hint="default" w:ascii="Times New Roman" w:hAnsi="Times New Roman" w:cs="Times New Roman" w:eastAsiaTheme="minorEastAsia"/>
          <w:color w:val="auto"/>
          <w:lang w:val="en-US" w:eastAsia="en-US"/>
        </w:rPr>
        <w:t>①</w:t>
      </w:r>
      <w:r>
        <w:rPr>
          <w:rFonts w:hint="default" w:ascii="Times New Roman" w:hAnsi="Times New Roman" w:cs="Times New Roman" w:eastAsiaTheme="minorEastAsia"/>
          <w:color w:val="auto"/>
          <w:lang w:val="en-US" w:eastAsia="zh-CN"/>
        </w:rPr>
        <w:t>N</w:t>
      </w:r>
      <w:r>
        <w:rPr>
          <w:rFonts w:hint="default" w:ascii="Times New Roman" w:hAnsi="Times New Roman" w:cs="Times New Roman" w:eastAsiaTheme="minorEastAsia"/>
          <w:color w:val="auto"/>
          <w:lang w:val="en-US" w:eastAsia="en-US"/>
        </w:rPr>
        <w:t>O</w:t>
      </w:r>
      <w:r>
        <w:rPr>
          <w:rFonts w:hint="default" w:ascii="Times New Roman" w:hAnsi="Times New Roman" w:cs="Times New Roman" w:eastAsiaTheme="minorEastAsia"/>
          <w:color w:val="auto"/>
          <w:vertAlign w:val="subscript"/>
          <w:lang w:val="en-US" w:eastAsia="zh-CN"/>
        </w:rPr>
        <w:t>X</w:t>
      </w:r>
      <w:r>
        <w:rPr>
          <w:rFonts w:hint="default" w:ascii="Times New Roman" w:hAnsi="Times New Roman" w:cs="Times New Roman" w:eastAsiaTheme="minorEastAsia"/>
          <w:color w:val="auto"/>
          <w:lang w:val="en-US" w:eastAsia="en-US"/>
        </w:rPr>
        <w:t>质量浓度分布图</w:t>
      </w:r>
    </w:p>
    <w:p w14:paraId="054E05D8">
      <w:pPr>
        <w:pStyle w:val="20"/>
        <w:snapToGrid w:val="0"/>
        <w:jc w:val="left"/>
        <w:rPr>
          <w:rFonts w:hint="default" w:ascii="Times New Roman" w:hAnsi="Times New Roman" w:cs="Times New Roman" w:eastAsiaTheme="minorEastAsia"/>
          <w:color w:val="auto"/>
          <w:lang w:val="en-US" w:eastAsia="en-US"/>
        </w:rPr>
      </w:pPr>
      <w:r>
        <w:rPr>
          <w:rFonts w:hint="default" w:ascii="Times New Roman" w:hAnsi="Times New Roman" w:cs="Times New Roman" w:eastAsiaTheme="minorEastAsia"/>
          <w:color w:val="auto"/>
          <w:lang w:val="en-US" w:eastAsia="en-US"/>
        </w:rPr>
        <w:t>根据20</w:t>
      </w:r>
      <w:r>
        <w:rPr>
          <w:rFonts w:hint="default" w:ascii="Times New Roman" w:hAnsi="Times New Roman" w:cs="Times New Roman" w:eastAsiaTheme="minorEastAsia"/>
          <w:color w:val="auto"/>
          <w:lang w:val="en-US" w:eastAsia="zh-CN"/>
        </w:rPr>
        <w:t>2</w:t>
      </w:r>
      <w:r>
        <w:rPr>
          <w:rFonts w:hint="eastAsia" w:ascii="Times New Roman" w:hAnsi="Times New Roman" w:cs="Times New Roman" w:eastAsiaTheme="minorEastAsia"/>
          <w:color w:val="auto"/>
          <w:lang w:val="en-US" w:eastAsia="zh-CN"/>
        </w:rPr>
        <w:t>5</w:t>
      </w:r>
      <w:r>
        <w:rPr>
          <w:rFonts w:hint="default" w:ascii="Times New Roman" w:hAnsi="Times New Roman" w:cs="Times New Roman" w:eastAsiaTheme="minorEastAsia"/>
          <w:color w:val="auto"/>
          <w:lang w:val="en-US" w:eastAsia="en-US"/>
        </w:rPr>
        <w:t>年预测气象条件，叠加现状浓度后</w:t>
      </w:r>
      <w:r>
        <w:rPr>
          <w:rFonts w:hint="default" w:ascii="Times New Roman" w:hAnsi="Times New Roman" w:cs="Times New Roman" w:eastAsiaTheme="minorEastAsia"/>
          <w:color w:val="auto"/>
          <w:lang w:val="en-US" w:eastAsia="zh-CN"/>
        </w:rPr>
        <w:t>N</w:t>
      </w:r>
      <w:r>
        <w:rPr>
          <w:rFonts w:hint="default" w:ascii="Times New Roman" w:hAnsi="Times New Roman" w:cs="Times New Roman" w:eastAsiaTheme="minorEastAsia"/>
          <w:color w:val="auto"/>
          <w:lang w:val="en-US" w:eastAsia="en-US"/>
        </w:rPr>
        <w:t>O</w:t>
      </w:r>
      <w:r>
        <w:rPr>
          <w:rFonts w:hint="default" w:ascii="Times New Roman" w:hAnsi="Times New Roman" w:cs="Times New Roman" w:eastAsiaTheme="minorEastAsia"/>
          <w:color w:val="auto"/>
          <w:vertAlign w:val="subscript"/>
          <w:lang w:val="en-US" w:eastAsia="zh-CN"/>
        </w:rPr>
        <w:t>X</w:t>
      </w:r>
      <w:r>
        <w:rPr>
          <w:rFonts w:hint="default" w:ascii="Times New Roman" w:hAnsi="Times New Roman" w:cs="Times New Roman" w:eastAsiaTheme="minorEastAsia"/>
          <w:color w:val="auto"/>
          <w:lang w:val="en-US" w:eastAsia="en-US"/>
        </w:rPr>
        <w:t>日平均质量浓度和</w:t>
      </w:r>
      <w:r>
        <w:rPr>
          <w:rFonts w:hint="default" w:ascii="Times New Roman" w:hAnsi="Times New Roman" w:cs="Times New Roman" w:eastAsiaTheme="minorEastAsia"/>
          <w:color w:val="auto"/>
          <w:lang w:val="en-US" w:eastAsia="zh-CN"/>
        </w:rPr>
        <w:t>N</w:t>
      </w:r>
      <w:r>
        <w:rPr>
          <w:rFonts w:hint="default" w:ascii="Times New Roman" w:hAnsi="Times New Roman" w:cs="Times New Roman" w:eastAsiaTheme="minorEastAsia"/>
          <w:color w:val="auto"/>
          <w:lang w:val="en-US" w:eastAsia="en-US"/>
        </w:rPr>
        <w:t>O</w:t>
      </w:r>
      <w:r>
        <w:rPr>
          <w:rFonts w:hint="default" w:ascii="Times New Roman" w:hAnsi="Times New Roman" w:cs="Times New Roman" w:eastAsiaTheme="minorEastAsia"/>
          <w:color w:val="auto"/>
          <w:vertAlign w:val="subscript"/>
          <w:lang w:val="en-US" w:eastAsia="zh-CN"/>
        </w:rPr>
        <w:t>X</w:t>
      </w:r>
      <w:r>
        <w:rPr>
          <w:rFonts w:hint="default" w:ascii="Times New Roman" w:hAnsi="Times New Roman" w:cs="Times New Roman" w:eastAsiaTheme="minorEastAsia"/>
          <w:color w:val="auto"/>
          <w:lang w:val="en-US" w:eastAsia="en-US"/>
        </w:rPr>
        <w:t>年平均质量浓度分布，见图5</w:t>
      </w:r>
      <w:r>
        <w:rPr>
          <w:rFonts w:hint="default"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en-US"/>
        </w:rPr>
        <w:t>2-</w:t>
      </w:r>
      <w:r>
        <w:rPr>
          <w:rFonts w:hint="eastAsia" w:ascii="Times New Roman" w:hAnsi="Times New Roman" w:cs="Times New Roman" w:eastAsiaTheme="minorEastAsia"/>
          <w:color w:val="auto"/>
          <w:lang w:val="en-US" w:eastAsia="zh-CN"/>
        </w:rPr>
        <w:t>9</w:t>
      </w:r>
      <w:r>
        <w:rPr>
          <w:rFonts w:hint="default" w:ascii="Times New Roman" w:hAnsi="Times New Roman" w:cs="Times New Roman" w:eastAsiaTheme="minorEastAsia"/>
          <w:color w:val="auto"/>
          <w:lang w:val="en-US" w:eastAsia="en-US"/>
        </w:rPr>
        <w:t>和5</w:t>
      </w:r>
      <w:r>
        <w:rPr>
          <w:rFonts w:hint="default"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en-US"/>
        </w:rPr>
        <w:t>2</w:t>
      </w:r>
      <w:r>
        <w:rPr>
          <w:rFonts w:hint="default" w:ascii="Times New Roman" w:hAnsi="Times New Roman" w:cs="Times New Roman" w:eastAsiaTheme="minorEastAsia"/>
          <w:color w:val="auto"/>
          <w:lang w:val="en-US" w:eastAsia="zh-CN"/>
        </w:rPr>
        <w:t>-1</w:t>
      </w:r>
      <w:r>
        <w:rPr>
          <w:rFonts w:hint="eastAsia" w:ascii="Times New Roman" w:hAnsi="Times New Roman" w:cs="Times New Roman" w:eastAsiaTheme="minorEastAsia"/>
          <w:color w:val="auto"/>
          <w:lang w:val="en-US" w:eastAsia="zh-CN"/>
        </w:rPr>
        <w:t>0</w:t>
      </w:r>
      <w:r>
        <w:rPr>
          <w:rFonts w:hint="default" w:ascii="Times New Roman" w:hAnsi="Times New Roman" w:cs="Times New Roman" w:eastAsiaTheme="minorEastAsia"/>
          <w:color w:val="auto"/>
          <w:lang w:val="en-US" w:eastAsia="en-US"/>
        </w:rPr>
        <w:t>。</w:t>
      </w:r>
    </w:p>
    <w:p w14:paraId="3BF1505A">
      <w:pPr>
        <w:adjustRightInd w:val="0"/>
        <w:snapToGrid w:val="0"/>
        <w:spacing w:before="250" w:beforeLines="50"/>
        <w:jc w:val="center"/>
      </w:pPr>
    </w:p>
    <w:p w14:paraId="36DE47B0">
      <w:pPr>
        <w:adjustRightInd w:val="0"/>
        <w:snapToGrid w:val="0"/>
        <w:spacing w:before="250" w:beforeLines="50"/>
        <w:jc w:val="center"/>
        <w:rPr>
          <w:rFonts w:hint="default" w:ascii="Times New Roman" w:hAnsi="Times New Roman" w:cs="Times New Roman" w:eastAsiaTheme="minorEastAsia"/>
          <w:b/>
          <w:szCs w:val="21"/>
          <w:lang w:val="en-US" w:eastAsia="en-US"/>
        </w:rPr>
      </w:pPr>
      <w:r>
        <w:rPr>
          <w:rFonts w:hint="default" w:ascii="Times New Roman" w:hAnsi="Times New Roman" w:cs="Times New Roman" w:eastAsiaTheme="minorEastAsia"/>
          <w:b/>
          <w:szCs w:val="21"/>
          <w:lang w:val="en-US" w:eastAsia="en-US"/>
        </w:rPr>
        <w:t>图5</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2-</w:t>
      </w:r>
      <w:r>
        <w:rPr>
          <w:rFonts w:hint="eastAsia" w:ascii="Times New Roman" w:hAnsi="Times New Roman" w:cs="Times New Roman"/>
          <w:b/>
          <w:szCs w:val="21"/>
          <w:lang w:val="en-US" w:eastAsia="zh-CN"/>
        </w:rPr>
        <w:t>9</w:t>
      </w:r>
      <w:r>
        <w:rPr>
          <w:rFonts w:hint="default" w:ascii="Times New Roman" w:hAnsi="Times New Roman" w:cs="Times New Roman" w:eastAsiaTheme="minorEastAsia"/>
          <w:b/>
          <w:szCs w:val="21"/>
          <w:lang w:val="en-US" w:eastAsia="en-US"/>
        </w:rPr>
        <w:t>叠加现状浓度后98%保证率</w:t>
      </w:r>
      <w:r>
        <w:rPr>
          <w:rFonts w:hint="default" w:ascii="Times New Roman" w:hAnsi="Times New Roman" w:cs="Times New Roman" w:eastAsiaTheme="minorEastAsia"/>
          <w:b/>
          <w:szCs w:val="21"/>
          <w:lang w:val="en-US" w:eastAsia="zh-CN"/>
        </w:rPr>
        <w:t>N</w:t>
      </w:r>
      <w:r>
        <w:rPr>
          <w:rFonts w:hint="default" w:ascii="Times New Roman" w:hAnsi="Times New Roman" w:cs="Times New Roman" w:eastAsiaTheme="minorEastAsia"/>
          <w:b/>
          <w:szCs w:val="21"/>
          <w:lang w:val="en-US" w:eastAsia="en-US"/>
        </w:rPr>
        <w:t>O</w:t>
      </w:r>
      <w:r>
        <w:rPr>
          <w:rFonts w:hint="default" w:ascii="Times New Roman" w:hAnsi="Times New Roman" w:cs="Times New Roman" w:eastAsiaTheme="minorEastAsia"/>
          <w:b/>
          <w:szCs w:val="21"/>
          <w:vertAlign w:val="subscript"/>
          <w:lang w:val="en-US" w:eastAsia="zh-CN"/>
        </w:rPr>
        <w:t>X</w:t>
      </w:r>
      <w:r>
        <w:rPr>
          <w:rFonts w:hint="default" w:ascii="Times New Roman" w:hAnsi="Times New Roman" w:cs="Times New Roman" w:eastAsiaTheme="minorEastAsia"/>
          <w:b/>
          <w:szCs w:val="21"/>
          <w:lang w:val="en-US" w:eastAsia="en-US"/>
        </w:rPr>
        <w:t>日平均质量浓度分布图</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单位</w:t>
      </w:r>
      <w:r>
        <w:rPr>
          <w:rFonts w:hint="default" w:ascii="Times New Roman" w:hAnsi="Times New Roman" w:cs="Times New Roman" w:eastAsiaTheme="minorEastAsia"/>
          <w:b/>
          <w:szCs w:val="21"/>
          <w:lang w:val="en-US" w:eastAsia="zh-CN"/>
        </w:rPr>
        <w:t>：μ</w:t>
      </w:r>
      <w:r>
        <w:rPr>
          <w:rFonts w:hint="default" w:ascii="Times New Roman" w:hAnsi="Times New Roman" w:cs="Times New Roman" w:eastAsiaTheme="minorEastAsia"/>
          <w:b/>
          <w:szCs w:val="21"/>
          <w:lang w:val="en-US" w:eastAsia="en-US"/>
        </w:rPr>
        <w:t>g/m</w:t>
      </w:r>
      <w:r>
        <w:rPr>
          <w:rFonts w:hint="default" w:ascii="Times New Roman" w:hAnsi="Times New Roman" w:cs="Times New Roman" w:eastAsiaTheme="minorEastAsia"/>
          <w:b/>
          <w:szCs w:val="21"/>
          <w:vertAlign w:val="superscript"/>
          <w:lang w:val="en-US" w:eastAsia="en-US"/>
        </w:rPr>
        <w:t>3</w:t>
      </w:r>
      <w:r>
        <w:rPr>
          <w:rFonts w:hint="default" w:ascii="Times New Roman" w:hAnsi="Times New Roman" w:cs="Times New Roman" w:eastAsiaTheme="minorEastAsia"/>
          <w:b/>
          <w:szCs w:val="21"/>
          <w:vertAlign w:val="baseline"/>
          <w:lang w:val="en-US" w:eastAsia="zh-CN"/>
        </w:rPr>
        <w:t>）</w:t>
      </w:r>
    </w:p>
    <w:p w14:paraId="36108562">
      <w:pPr>
        <w:adjustRightInd w:val="0"/>
        <w:snapToGrid w:val="0"/>
        <w:spacing w:before="250" w:beforeLines="50"/>
        <w:jc w:val="center"/>
        <w:rPr>
          <w:rFonts w:hint="default" w:ascii="Times New Roman" w:hAnsi="Times New Roman" w:cs="Times New Roman" w:eastAsiaTheme="minorEastAsia"/>
          <w:b/>
          <w:szCs w:val="21"/>
          <w:lang w:val="en-US" w:eastAsia="en-US"/>
        </w:rPr>
      </w:pPr>
    </w:p>
    <w:p w14:paraId="37E9EEA6">
      <w:pPr>
        <w:adjustRightInd w:val="0"/>
        <w:snapToGrid w:val="0"/>
        <w:spacing w:before="250" w:beforeLines="50"/>
        <w:jc w:val="center"/>
        <w:rPr>
          <w:rFonts w:hint="default" w:ascii="Times New Roman" w:hAnsi="Times New Roman" w:cs="Times New Roman" w:eastAsiaTheme="minorEastAsia"/>
          <w:b/>
          <w:szCs w:val="21"/>
          <w:lang w:val="en-US" w:eastAsia="en-US"/>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cs="Times New Roman" w:eastAsiaTheme="minorEastAsia"/>
          <w:b/>
          <w:szCs w:val="21"/>
          <w:lang w:val="en-US" w:eastAsia="en-US"/>
        </w:rPr>
        <w:t>图5</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2-</w:t>
      </w:r>
      <w:r>
        <w:rPr>
          <w:rFonts w:hint="default" w:ascii="Times New Roman" w:hAnsi="Times New Roman" w:cs="Times New Roman" w:eastAsiaTheme="minorEastAsia"/>
          <w:b/>
          <w:szCs w:val="21"/>
          <w:lang w:val="en-US" w:eastAsia="zh-CN"/>
        </w:rPr>
        <w:t>1</w:t>
      </w:r>
      <w:r>
        <w:rPr>
          <w:rFonts w:hint="eastAsia" w:ascii="Times New Roman" w:hAnsi="Times New Roman" w:cs="Times New Roman"/>
          <w:b/>
          <w:szCs w:val="21"/>
          <w:lang w:val="en-US" w:eastAsia="zh-CN"/>
        </w:rPr>
        <w:t>0</w:t>
      </w:r>
      <w:r>
        <w:rPr>
          <w:rFonts w:hint="default" w:ascii="Times New Roman" w:hAnsi="Times New Roman" w:cs="Times New Roman" w:eastAsiaTheme="minorEastAsia"/>
          <w:b/>
          <w:szCs w:val="21"/>
          <w:lang w:val="en-US" w:eastAsia="en-US"/>
        </w:rPr>
        <w:t>叠加现状浓度后</w:t>
      </w:r>
      <w:r>
        <w:rPr>
          <w:rFonts w:hint="default" w:ascii="Times New Roman" w:hAnsi="Times New Roman" w:cs="Times New Roman" w:eastAsiaTheme="minorEastAsia"/>
          <w:b/>
          <w:szCs w:val="21"/>
          <w:lang w:val="en-US" w:eastAsia="zh-CN"/>
        </w:rPr>
        <w:t>N</w:t>
      </w:r>
      <w:r>
        <w:rPr>
          <w:rFonts w:hint="default" w:ascii="Times New Roman" w:hAnsi="Times New Roman" w:cs="Times New Roman" w:eastAsiaTheme="minorEastAsia"/>
          <w:b/>
          <w:szCs w:val="21"/>
          <w:lang w:val="en-US" w:eastAsia="en-US"/>
        </w:rPr>
        <w:t>O</w:t>
      </w:r>
      <w:r>
        <w:rPr>
          <w:rFonts w:hint="default" w:ascii="Times New Roman" w:hAnsi="Times New Roman" w:cs="Times New Roman" w:eastAsiaTheme="minorEastAsia"/>
          <w:b/>
          <w:szCs w:val="21"/>
          <w:vertAlign w:val="subscript"/>
          <w:lang w:val="en-US" w:eastAsia="zh-CN"/>
        </w:rPr>
        <w:t>X</w:t>
      </w:r>
      <w:r>
        <w:rPr>
          <w:rFonts w:hint="default" w:ascii="Times New Roman" w:hAnsi="Times New Roman" w:cs="Times New Roman" w:eastAsiaTheme="minorEastAsia"/>
          <w:b/>
          <w:szCs w:val="21"/>
          <w:lang w:val="en-US" w:eastAsia="en-US"/>
        </w:rPr>
        <w:t>年平均质量浓度分布图</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单位</w:t>
      </w:r>
      <w:r>
        <w:rPr>
          <w:rFonts w:hint="default" w:ascii="Times New Roman" w:hAnsi="Times New Roman" w:cs="Times New Roman" w:eastAsiaTheme="minorEastAsia"/>
          <w:b/>
          <w:szCs w:val="21"/>
          <w:lang w:val="en-US" w:eastAsia="zh-CN"/>
        </w:rPr>
        <w:t>：μ</w:t>
      </w:r>
      <w:r>
        <w:rPr>
          <w:rFonts w:hint="default" w:ascii="Times New Roman" w:hAnsi="Times New Roman" w:cs="Times New Roman" w:eastAsiaTheme="minorEastAsia"/>
          <w:b/>
          <w:szCs w:val="21"/>
          <w:lang w:val="en-US" w:eastAsia="en-US"/>
        </w:rPr>
        <w:t>g/m</w:t>
      </w:r>
      <w:r>
        <w:rPr>
          <w:rFonts w:hint="default" w:ascii="Times New Roman" w:hAnsi="Times New Roman" w:cs="Times New Roman" w:eastAsiaTheme="minorEastAsia"/>
          <w:b/>
          <w:szCs w:val="21"/>
          <w:vertAlign w:val="superscript"/>
          <w:lang w:val="en-US" w:eastAsia="en-US"/>
        </w:rPr>
        <w:t>3</w:t>
      </w:r>
      <w:r>
        <w:rPr>
          <w:rFonts w:hint="default" w:ascii="Times New Roman" w:hAnsi="Times New Roman" w:cs="Times New Roman" w:eastAsiaTheme="minorEastAsia"/>
          <w:b/>
          <w:szCs w:val="21"/>
          <w:vertAlign w:val="baseline"/>
          <w:lang w:val="en-US" w:eastAsia="zh-CN"/>
        </w:rPr>
        <w:t>）</w:t>
      </w:r>
    </w:p>
    <w:p w14:paraId="34443A6F">
      <w:pPr>
        <w:pStyle w:val="20"/>
        <w:snapToGrid w:val="0"/>
        <w:ind w:left="0" w:leftChars="0" w:firstLine="480" w:firstLineChars="200"/>
        <w:jc w:val="left"/>
        <w:rPr>
          <w:rFonts w:hint="default" w:ascii="Times New Roman" w:hAnsi="Times New Roman" w:cs="Times New Roman" w:eastAsiaTheme="minorEastAsia"/>
          <w:color w:val="auto"/>
          <w:lang w:val="en-US" w:eastAsia="en-US"/>
        </w:rPr>
      </w:pPr>
      <w:r>
        <w:rPr>
          <w:rFonts w:hint="default" w:ascii="Times New Roman" w:hAnsi="Times New Roman" w:cs="Times New Roman" w:eastAsiaTheme="minorEastAsia"/>
          <w:color w:val="auto"/>
          <w:lang w:val="en-US" w:eastAsia="zh-CN"/>
        </w:rPr>
        <w:t>②PM</w:t>
      </w:r>
      <w:r>
        <w:rPr>
          <w:rFonts w:hint="default" w:ascii="Times New Roman" w:hAnsi="Times New Roman" w:cs="Times New Roman" w:eastAsiaTheme="minorEastAsia"/>
          <w:color w:val="auto"/>
          <w:vertAlign w:val="subscript"/>
          <w:lang w:val="en-US" w:eastAsia="zh-CN"/>
        </w:rPr>
        <w:t>10</w:t>
      </w:r>
      <w:r>
        <w:rPr>
          <w:rFonts w:hint="default" w:ascii="Times New Roman" w:hAnsi="Times New Roman" w:cs="Times New Roman" w:eastAsiaTheme="minorEastAsia"/>
          <w:color w:val="auto"/>
          <w:lang w:val="en-US" w:eastAsia="en-US"/>
        </w:rPr>
        <w:t>质量浓度分布图</w:t>
      </w:r>
    </w:p>
    <w:p w14:paraId="1DD3096B">
      <w:pPr>
        <w:pStyle w:val="20"/>
        <w:snapToGrid w:val="0"/>
        <w:jc w:val="left"/>
        <w:rPr>
          <w:rFonts w:hint="default" w:ascii="Times New Roman" w:hAnsi="Times New Roman" w:cs="Times New Roman" w:eastAsiaTheme="minorEastAsia"/>
          <w:color w:val="auto"/>
          <w:lang w:val="en-US" w:eastAsia="en-US"/>
        </w:rPr>
      </w:pPr>
      <w:r>
        <w:rPr>
          <w:rFonts w:hint="default" w:ascii="Times New Roman" w:hAnsi="Times New Roman" w:cs="Times New Roman" w:eastAsiaTheme="minorEastAsia"/>
          <w:color w:val="auto"/>
          <w:lang w:val="en-US" w:eastAsia="en-US"/>
        </w:rPr>
        <w:t>根据202</w:t>
      </w:r>
      <w:r>
        <w:rPr>
          <w:rFonts w:hint="eastAsia" w:ascii="Times New Roman" w:hAnsi="Times New Roman" w:cs="Times New Roman" w:eastAsiaTheme="minorEastAsia"/>
          <w:color w:val="auto"/>
          <w:lang w:val="en-US" w:eastAsia="zh-CN"/>
        </w:rPr>
        <w:t>5</w:t>
      </w:r>
      <w:r>
        <w:rPr>
          <w:rFonts w:hint="default" w:ascii="Times New Roman" w:hAnsi="Times New Roman" w:cs="Times New Roman" w:eastAsiaTheme="minorEastAsia"/>
          <w:color w:val="auto"/>
          <w:lang w:val="en-US" w:eastAsia="en-US"/>
        </w:rPr>
        <w:t>年预测气象条件，叠加现状浓度后网格</w:t>
      </w:r>
      <w:r>
        <w:rPr>
          <w:rFonts w:hint="default" w:ascii="Times New Roman" w:hAnsi="Times New Roman" w:cs="Times New Roman" w:eastAsiaTheme="minorEastAsia"/>
          <w:color w:val="auto"/>
          <w:lang w:val="en-US" w:eastAsia="zh-CN"/>
        </w:rPr>
        <w:t>PM</w:t>
      </w:r>
      <w:r>
        <w:rPr>
          <w:rFonts w:hint="default" w:ascii="Times New Roman" w:hAnsi="Times New Roman" w:cs="Times New Roman" w:eastAsiaTheme="minorEastAsia"/>
          <w:color w:val="auto"/>
          <w:vertAlign w:val="subscript"/>
          <w:lang w:val="en-US" w:eastAsia="zh-CN"/>
        </w:rPr>
        <w:t>10</w:t>
      </w:r>
      <w:r>
        <w:rPr>
          <w:rFonts w:hint="default" w:ascii="Times New Roman" w:hAnsi="Times New Roman" w:cs="Times New Roman" w:eastAsiaTheme="minorEastAsia"/>
          <w:color w:val="auto"/>
          <w:lang w:val="en-US" w:eastAsia="en-US"/>
        </w:rPr>
        <w:t>日平均质量浓度和年平均质量浓度分布，分别见图5</w:t>
      </w:r>
      <w:r>
        <w:rPr>
          <w:rFonts w:hint="default"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en-US"/>
        </w:rPr>
        <w:t>2-</w:t>
      </w:r>
      <w:r>
        <w:rPr>
          <w:rFonts w:hint="default" w:ascii="Times New Roman" w:hAnsi="Times New Roman" w:cs="Times New Roman" w:eastAsiaTheme="minorEastAsia"/>
          <w:color w:val="auto"/>
          <w:lang w:val="en-US" w:eastAsia="zh-CN"/>
        </w:rPr>
        <w:t>1</w:t>
      </w:r>
      <w:r>
        <w:rPr>
          <w:rFonts w:hint="eastAsia" w:ascii="Times New Roman" w:hAnsi="Times New Roman" w:cs="Times New Roman" w:eastAsiaTheme="minorEastAsia"/>
          <w:color w:val="auto"/>
          <w:lang w:val="en-US" w:eastAsia="zh-CN"/>
        </w:rPr>
        <w:t>1</w:t>
      </w:r>
      <w:r>
        <w:rPr>
          <w:rFonts w:hint="default" w:ascii="Times New Roman" w:hAnsi="Times New Roman" w:cs="Times New Roman" w:eastAsiaTheme="minorEastAsia"/>
          <w:color w:val="auto"/>
          <w:lang w:val="en-US" w:eastAsia="zh-CN"/>
        </w:rPr>
        <w:t>和</w:t>
      </w:r>
      <w:r>
        <w:rPr>
          <w:rFonts w:hint="default" w:ascii="Times New Roman" w:hAnsi="Times New Roman" w:cs="Times New Roman" w:eastAsiaTheme="minorEastAsia"/>
          <w:color w:val="auto"/>
          <w:lang w:val="en-US" w:eastAsia="en-US"/>
        </w:rPr>
        <w:t>图5</w:t>
      </w:r>
      <w:r>
        <w:rPr>
          <w:rFonts w:hint="default"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en-US"/>
        </w:rPr>
        <w:t>2-</w:t>
      </w:r>
      <w:r>
        <w:rPr>
          <w:rFonts w:hint="default" w:ascii="Times New Roman" w:hAnsi="Times New Roman" w:cs="Times New Roman" w:eastAsiaTheme="minorEastAsia"/>
          <w:color w:val="auto"/>
          <w:lang w:val="en-US" w:eastAsia="zh-CN"/>
        </w:rPr>
        <w:t>1</w:t>
      </w:r>
      <w:r>
        <w:rPr>
          <w:rFonts w:hint="eastAsia" w:ascii="Times New Roman" w:hAnsi="Times New Roman" w:cs="Times New Roman" w:eastAsiaTheme="minorEastAsia"/>
          <w:color w:val="auto"/>
          <w:lang w:val="en-US" w:eastAsia="zh-CN"/>
        </w:rPr>
        <w:t>2</w:t>
      </w:r>
      <w:r>
        <w:rPr>
          <w:rFonts w:hint="default" w:ascii="Times New Roman" w:hAnsi="Times New Roman" w:cs="Times New Roman" w:eastAsiaTheme="minorEastAsia"/>
          <w:color w:val="auto"/>
          <w:lang w:val="en-US" w:eastAsia="en-US"/>
        </w:rPr>
        <w:t>。</w:t>
      </w:r>
    </w:p>
    <w:p w14:paraId="1AC794DB">
      <w:pPr>
        <w:adjustRightInd w:val="0"/>
        <w:snapToGrid w:val="0"/>
        <w:spacing w:before="250" w:beforeLines="50"/>
        <w:jc w:val="center"/>
        <w:rPr>
          <w:rFonts w:hint="default" w:ascii="Times New Roman" w:hAnsi="Times New Roman" w:cs="Times New Roman" w:eastAsiaTheme="minorEastAsia"/>
          <w:b/>
          <w:szCs w:val="21"/>
          <w:lang w:val="en-US" w:eastAsia="en-US"/>
        </w:rPr>
      </w:pPr>
    </w:p>
    <w:p w14:paraId="4D043769">
      <w:pPr>
        <w:adjustRightInd w:val="0"/>
        <w:snapToGrid w:val="0"/>
        <w:spacing w:before="250" w:beforeLines="50"/>
        <w:jc w:val="center"/>
        <w:rPr>
          <w:rFonts w:hint="default" w:ascii="Times New Roman" w:hAnsi="Times New Roman" w:cs="Times New Roman" w:eastAsiaTheme="minorEastAsia"/>
          <w:b/>
          <w:szCs w:val="21"/>
          <w:lang w:val="en-US" w:eastAsia="en-US"/>
        </w:rPr>
      </w:pPr>
      <w:r>
        <w:rPr>
          <w:rFonts w:hint="default" w:ascii="Times New Roman" w:hAnsi="Times New Roman" w:cs="Times New Roman" w:eastAsiaTheme="minorEastAsia"/>
          <w:b/>
          <w:szCs w:val="21"/>
          <w:lang w:val="en-US" w:eastAsia="en-US"/>
        </w:rPr>
        <w:t>图5</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2-</w:t>
      </w:r>
      <w:r>
        <w:rPr>
          <w:rFonts w:hint="default" w:ascii="Times New Roman" w:hAnsi="Times New Roman" w:cs="Times New Roman" w:eastAsiaTheme="minorEastAsia"/>
          <w:b/>
          <w:szCs w:val="21"/>
          <w:lang w:val="en-US" w:eastAsia="zh-CN"/>
        </w:rPr>
        <w:t>1</w:t>
      </w:r>
      <w:r>
        <w:rPr>
          <w:rFonts w:hint="eastAsia" w:ascii="Times New Roman" w:hAnsi="Times New Roman" w:cs="Times New Roman"/>
          <w:b/>
          <w:szCs w:val="21"/>
          <w:lang w:val="en-US" w:eastAsia="zh-CN"/>
        </w:rPr>
        <w:t>1</w:t>
      </w:r>
      <w:r>
        <w:rPr>
          <w:rFonts w:hint="default" w:ascii="Times New Roman" w:hAnsi="Times New Roman" w:cs="Times New Roman" w:eastAsiaTheme="minorEastAsia"/>
          <w:b/>
          <w:szCs w:val="21"/>
          <w:lang w:val="en-US" w:eastAsia="en-US"/>
        </w:rPr>
        <w:t>叠加现状浓度后</w:t>
      </w:r>
      <w:r>
        <w:rPr>
          <w:rFonts w:hint="default" w:ascii="Times New Roman" w:hAnsi="Times New Roman" w:cs="Times New Roman" w:eastAsiaTheme="minorEastAsia"/>
          <w:b/>
          <w:szCs w:val="21"/>
          <w:lang w:val="en-US" w:eastAsia="zh-CN"/>
        </w:rPr>
        <w:t>PM</w:t>
      </w:r>
      <w:r>
        <w:rPr>
          <w:rFonts w:hint="default" w:ascii="Times New Roman" w:hAnsi="Times New Roman" w:cs="Times New Roman" w:eastAsiaTheme="minorEastAsia"/>
          <w:b/>
          <w:szCs w:val="21"/>
          <w:vertAlign w:val="subscript"/>
          <w:lang w:val="en-US" w:eastAsia="zh-CN"/>
        </w:rPr>
        <w:t>10</w:t>
      </w:r>
      <w:r>
        <w:rPr>
          <w:rFonts w:hint="default" w:ascii="Times New Roman" w:hAnsi="Times New Roman" w:cs="Times New Roman" w:eastAsiaTheme="minorEastAsia"/>
          <w:b/>
          <w:szCs w:val="21"/>
          <w:lang w:val="en-US" w:eastAsia="zh-CN"/>
        </w:rPr>
        <w:t>日</w:t>
      </w:r>
      <w:r>
        <w:rPr>
          <w:rFonts w:hint="default" w:ascii="Times New Roman" w:hAnsi="Times New Roman" w:cs="Times New Roman" w:eastAsiaTheme="minorEastAsia"/>
          <w:b/>
          <w:szCs w:val="21"/>
          <w:lang w:val="en-US" w:eastAsia="en-US"/>
        </w:rPr>
        <w:t>均质量浓度分布图</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单位</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μg/m</w:t>
      </w:r>
      <w:r>
        <w:rPr>
          <w:rFonts w:hint="default" w:ascii="Times New Roman" w:hAnsi="Times New Roman" w:cs="Times New Roman" w:eastAsiaTheme="minorEastAsia"/>
          <w:b/>
          <w:szCs w:val="21"/>
          <w:vertAlign w:val="superscript"/>
          <w:lang w:val="en-US" w:eastAsia="en-US"/>
        </w:rPr>
        <w:t>3</w:t>
      </w:r>
      <w:r>
        <w:rPr>
          <w:rFonts w:hint="default" w:ascii="Times New Roman" w:hAnsi="Times New Roman" w:cs="Times New Roman" w:eastAsiaTheme="minorEastAsia"/>
          <w:b/>
          <w:szCs w:val="21"/>
          <w:vertAlign w:val="baseline"/>
          <w:lang w:val="en-US" w:eastAsia="zh-CN"/>
        </w:rPr>
        <w:t>）</w:t>
      </w:r>
    </w:p>
    <w:p w14:paraId="6B70F388">
      <w:pPr>
        <w:adjustRightInd w:val="0"/>
        <w:snapToGrid w:val="0"/>
        <w:spacing w:before="250" w:beforeLines="50"/>
        <w:jc w:val="center"/>
      </w:pPr>
    </w:p>
    <w:p w14:paraId="28D030B4">
      <w:pPr>
        <w:adjustRightInd w:val="0"/>
        <w:snapToGrid w:val="0"/>
        <w:spacing w:before="250" w:beforeLines="50"/>
        <w:jc w:val="center"/>
        <w:rPr>
          <w:rFonts w:hint="default" w:ascii="Times New Roman" w:hAnsi="Times New Roman" w:cs="Times New Roman" w:eastAsiaTheme="minorEastAsia"/>
          <w:b/>
          <w:szCs w:val="21"/>
          <w:lang w:val="en-US" w:eastAsia="en-US"/>
        </w:rPr>
      </w:pPr>
      <w:r>
        <w:rPr>
          <w:rFonts w:hint="default" w:ascii="Times New Roman" w:hAnsi="Times New Roman" w:cs="Times New Roman" w:eastAsiaTheme="minorEastAsia"/>
          <w:b/>
          <w:szCs w:val="21"/>
          <w:lang w:val="en-US" w:eastAsia="en-US"/>
        </w:rPr>
        <w:t>图5</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2-</w:t>
      </w:r>
      <w:r>
        <w:rPr>
          <w:rFonts w:hint="default" w:ascii="Times New Roman" w:hAnsi="Times New Roman" w:cs="Times New Roman" w:eastAsiaTheme="minorEastAsia"/>
          <w:b/>
          <w:szCs w:val="21"/>
          <w:lang w:val="en-US" w:eastAsia="zh-CN"/>
        </w:rPr>
        <w:t>1</w:t>
      </w:r>
      <w:r>
        <w:rPr>
          <w:rFonts w:hint="eastAsia" w:ascii="Times New Roman" w:hAnsi="Times New Roman" w:cs="Times New Roman"/>
          <w:b/>
          <w:szCs w:val="21"/>
          <w:lang w:val="en-US" w:eastAsia="zh-CN"/>
        </w:rPr>
        <w:t>2</w:t>
      </w:r>
      <w:r>
        <w:rPr>
          <w:rFonts w:hint="default" w:ascii="Times New Roman" w:hAnsi="Times New Roman" w:cs="Times New Roman" w:eastAsiaTheme="minorEastAsia"/>
          <w:b/>
          <w:szCs w:val="21"/>
          <w:lang w:val="en-US" w:eastAsia="en-US"/>
        </w:rPr>
        <w:t>叠加现状浓度后</w:t>
      </w:r>
      <w:r>
        <w:rPr>
          <w:rFonts w:hint="default" w:ascii="Times New Roman" w:hAnsi="Times New Roman" w:cs="Times New Roman" w:eastAsiaTheme="minorEastAsia"/>
          <w:b/>
          <w:szCs w:val="21"/>
          <w:lang w:val="en-US" w:eastAsia="zh-CN"/>
        </w:rPr>
        <w:t>PM</w:t>
      </w:r>
      <w:r>
        <w:rPr>
          <w:rFonts w:hint="default" w:ascii="Times New Roman" w:hAnsi="Times New Roman" w:cs="Times New Roman" w:eastAsiaTheme="minorEastAsia"/>
          <w:b/>
          <w:szCs w:val="21"/>
          <w:vertAlign w:val="subscript"/>
          <w:lang w:val="en-US" w:eastAsia="zh-CN"/>
        </w:rPr>
        <w:t>10</w:t>
      </w:r>
      <w:r>
        <w:rPr>
          <w:rFonts w:hint="default" w:ascii="Times New Roman" w:hAnsi="Times New Roman" w:cs="Times New Roman" w:eastAsiaTheme="minorEastAsia"/>
          <w:b/>
          <w:szCs w:val="21"/>
          <w:lang w:val="en-US" w:eastAsia="zh-CN"/>
        </w:rPr>
        <w:t>日</w:t>
      </w:r>
      <w:r>
        <w:rPr>
          <w:rFonts w:hint="default" w:ascii="Times New Roman" w:hAnsi="Times New Roman" w:cs="Times New Roman" w:eastAsiaTheme="minorEastAsia"/>
          <w:b/>
          <w:szCs w:val="21"/>
          <w:lang w:val="en-US" w:eastAsia="en-US"/>
        </w:rPr>
        <w:t>均质量浓度分布图</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单位</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μg/m</w:t>
      </w:r>
      <w:r>
        <w:rPr>
          <w:rFonts w:hint="default" w:ascii="Times New Roman" w:hAnsi="Times New Roman" w:cs="Times New Roman" w:eastAsiaTheme="minorEastAsia"/>
          <w:b/>
          <w:szCs w:val="21"/>
          <w:vertAlign w:val="superscript"/>
          <w:lang w:val="en-US" w:eastAsia="en-US"/>
        </w:rPr>
        <w:t>3</w:t>
      </w:r>
      <w:r>
        <w:rPr>
          <w:rFonts w:hint="default" w:ascii="Times New Roman" w:hAnsi="Times New Roman" w:cs="Times New Roman" w:eastAsiaTheme="minorEastAsia"/>
          <w:b/>
          <w:szCs w:val="21"/>
          <w:vertAlign w:val="baseline"/>
          <w:lang w:val="en-US" w:eastAsia="zh-CN"/>
        </w:rPr>
        <w:t>）</w:t>
      </w:r>
    </w:p>
    <w:p w14:paraId="0C070D57">
      <w:pPr>
        <w:pStyle w:val="20"/>
        <w:snapToGrid w:val="0"/>
        <w:jc w:val="left"/>
        <w:rPr>
          <w:rFonts w:hint="default" w:ascii="Times New Roman" w:hAnsi="Times New Roman" w:cs="Times New Roman" w:eastAsiaTheme="minorEastAsia"/>
          <w:color w:val="auto"/>
          <w:lang w:val="en-US" w:eastAsia="en-US"/>
        </w:rPr>
      </w:pPr>
      <w:r>
        <w:rPr>
          <w:rFonts w:hint="default" w:ascii="Times New Roman" w:hAnsi="Times New Roman" w:cs="Times New Roman" w:eastAsiaTheme="minorEastAsia"/>
          <w:color w:val="auto"/>
          <w:lang w:val="en-US" w:eastAsia="en-US"/>
        </w:rPr>
        <w:br w:type="page"/>
      </w:r>
    </w:p>
    <w:p w14:paraId="2827B6CB">
      <w:pPr>
        <w:pStyle w:val="20"/>
        <w:snapToGrid w:val="0"/>
        <w:ind w:left="0" w:leftChars="0" w:firstLine="480" w:firstLineChars="200"/>
        <w:jc w:val="left"/>
        <w:rPr>
          <w:rFonts w:hint="default" w:ascii="Times New Roman" w:hAnsi="Times New Roman" w:cs="Times New Roman" w:eastAsiaTheme="minorEastAsia"/>
          <w:color w:val="auto"/>
          <w:lang w:val="en-US" w:eastAsia="en-US"/>
        </w:rPr>
      </w:pPr>
      <w:r>
        <w:rPr>
          <w:rFonts w:hint="default" w:ascii="Times New Roman" w:hAnsi="Times New Roman" w:cs="Times New Roman" w:eastAsiaTheme="minorEastAsia"/>
          <w:color w:val="auto"/>
          <w:lang w:val="en-US" w:eastAsia="zh-CN"/>
        </w:rPr>
        <w:t>③PM</w:t>
      </w:r>
      <w:r>
        <w:rPr>
          <w:rFonts w:hint="default" w:ascii="Times New Roman" w:hAnsi="Times New Roman" w:cs="Times New Roman" w:eastAsiaTheme="minorEastAsia"/>
          <w:color w:val="auto"/>
          <w:vertAlign w:val="subscript"/>
          <w:lang w:val="en-US" w:eastAsia="zh-CN"/>
        </w:rPr>
        <w:t>2.5</w:t>
      </w:r>
      <w:r>
        <w:rPr>
          <w:rFonts w:hint="default" w:ascii="Times New Roman" w:hAnsi="Times New Roman" w:cs="Times New Roman" w:eastAsiaTheme="minorEastAsia"/>
          <w:color w:val="auto"/>
          <w:lang w:val="en-US" w:eastAsia="en-US"/>
        </w:rPr>
        <w:t>质量浓度分布图</w:t>
      </w:r>
    </w:p>
    <w:p w14:paraId="1D47ACEC">
      <w:pPr>
        <w:pStyle w:val="20"/>
        <w:snapToGrid w:val="0"/>
        <w:jc w:val="left"/>
        <w:rPr>
          <w:rFonts w:hint="default" w:ascii="Times New Roman" w:hAnsi="Times New Roman" w:cs="Times New Roman" w:eastAsiaTheme="minorEastAsia"/>
          <w:b/>
          <w:szCs w:val="21"/>
          <w:lang w:val="en-US" w:eastAsia="en-US"/>
        </w:rPr>
      </w:pPr>
      <w:r>
        <w:rPr>
          <w:rFonts w:hint="default" w:ascii="Times New Roman" w:hAnsi="Times New Roman" w:cs="Times New Roman" w:eastAsiaTheme="minorEastAsia"/>
          <w:color w:val="auto"/>
          <w:lang w:val="en-US" w:eastAsia="en-US"/>
        </w:rPr>
        <w:t>根据202</w:t>
      </w:r>
      <w:r>
        <w:rPr>
          <w:rFonts w:hint="eastAsia" w:ascii="Times New Roman" w:hAnsi="Times New Roman" w:cs="Times New Roman" w:eastAsiaTheme="minorEastAsia"/>
          <w:color w:val="auto"/>
          <w:lang w:val="en-US" w:eastAsia="zh-CN"/>
        </w:rPr>
        <w:t>5</w:t>
      </w:r>
      <w:r>
        <w:rPr>
          <w:rFonts w:hint="default" w:ascii="Times New Roman" w:hAnsi="Times New Roman" w:cs="Times New Roman" w:eastAsiaTheme="minorEastAsia"/>
          <w:color w:val="auto"/>
          <w:lang w:val="en-US" w:eastAsia="en-US"/>
        </w:rPr>
        <w:t>年预测气象条件，叠加现状浓度后网格</w:t>
      </w:r>
      <w:r>
        <w:rPr>
          <w:rFonts w:hint="default" w:ascii="Times New Roman" w:hAnsi="Times New Roman" w:cs="Times New Roman" w:eastAsiaTheme="minorEastAsia"/>
          <w:color w:val="auto"/>
          <w:lang w:val="en-US" w:eastAsia="zh-CN"/>
        </w:rPr>
        <w:t>PM</w:t>
      </w:r>
      <w:r>
        <w:rPr>
          <w:rFonts w:hint="default" w:ascii="Times New Roman" w:hAnsi="Times New Roman" w:cs="Times New Roman" w:eastAsiaTheme="minorEastAsia"/>
          <w:color w:val="auto"/>
          <w:vertAlign w:val="subscript"/>
          <w:lang w:val="en-US" w:eastAsia="zh-CN"/>
        </w:rPr>
        <w:t>2.5</w:t>
      </w:r>
      <w:r>
        <w:rPr>
          <w:rFonts w:hint="default" w:ascii="Times New Roman" w:hAnsi="Times New Roman" w:cs="Times New Roman" w:eastAsiaTheme="minorEastAsia"/>
          <w:color w:val="auto"/>
          <w:lang w:val="en-US" w:eastAsia="en-US"/>
        </w:rPr>
        <w:t>日平均质量浓度和年平均质量浓度分布，分别见图5</w:t>
      </w:r>
      <w:r>
        <w:rPr>
          <w:rFonts w:hint="default"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en-US"/>
        </w:rPr>
        <w:t>2-</w:t>
      </w:r>
      <w:r>
        <w:rPr>
          <w:rFonts w:hint="default" w:ascii="Times New Roman" w:hAnsi="Times New Roman" w:cs="Times New Roman" w:eastAsiaTheme="minorEastAsia"/>
          <w:color w:val="auto"/>
          <w:lang w:val="en-US" w:eastAsia="zh-CN"/>
        </w:rPr>
        <w:t>1</w:t>
      </w:r>
      <w:r>
        <w:rPr>
          <w:rFonts w:hint="eastAsia" w:ascii="Times New Roman" w:hAnsi="Times New Roman" w:cs="Times New Roman" w:eastAsiaTheme="minorEastAsia"/>
          <w:color w:val="auto"/>
          <w:lang w:val="en-US" w:eastAsia="zh-CN"/>
        </w:rPr>
        <w:t>3</w:t>
      </w:r>
      <w:r>
        <w:rPr>
          <w:rFonts w:hint="default" w:ascii="Times New Roman" w:hAnsi="Times New Roman" w:cs="Times New Roman" w:eastAsiaTheme="minorEastAsia"/>
          <w:color w:val="auto"/>
          <w:lang w:val="en-US" w:eastAsia="zh-CN"/>
        </w:rPr>
        <w:t>和</w:t>
      </w:r>
      <w:r>
        <w:rPr>
          <w:rFonts w:hint="default" w:ascii="Times New Roman" w:hAnsi="Times New Roman" w:cs="Times New Roman" w:eastAsiaTheme="minorEastAsia"/>
          <w:color w:val="auto"/>
          <w:lang w:val="en-US" w:eastAsia="en-US"/>
        </w:rPr>
        <w:t>图5</w:t>
      </w:r>
      <w:r>
        <w:rPr>
          <w:rFonts w:hint="default"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en-US"/>
        </w:rPr>
        <w:t>2-</w:t>
      </w:r>
      <w:r>
        <w:rPr>
          <w:rFonts w:hint="eastAsia" w:ascii="Times New Roman" w:hAnsi="Times New Roman" w:cs="Times New Roman" w:eastAsiaTheme="minorEastAsia"/>
          <w:color w:val="auto"/>
          <w:lang w:val="en-US" w:eastAsia="zh-CN"/>
        </w:rPr>
        <w:t>14</w:t>
      </w:r>
      <w:r>
        <w:rPr>
          <w:rFonts w:hint="default" w:ascii="Times New Roman" w:hAnsi="Times New Roman" w:cs="Times New Roman" w:eastAsiaTheme="minorEastAsia"/>
          <w:color w:val="auto"/>
          <w:lang w:val="en-US" w:eastAsia="en-US"/>
        </w:rPr>
        <w:t>。</w:t>
      </w:r>
    </w:p>
    <w:p w14:paraId="652C6AA1">
      <w:pPr>
        <w:adjustRightInd w:val="0"/>
        <w:snapToGrid w:val="0"/>
        <w:spacing w:before="250" w:beforeLines="50"/>
        <w:jc w:val="center"/>
      </w:pPr>
    </w:p>
    <w:p w14:paraId="79B2B85D">
      <w:pPr>
        <w:adjustRightInd w:val="0"/>
        <w:snapToGrid w:val="0"/>
        <w:spacing w:before="250" w:beforeLines="50"/>
        <w:jc w:val="center"/>
        <w:rPr>
          <w:rFonts w:hint="default" w:ascii="Times New Roman" w:hAnsi="Times New Roman" w:cs="Times New Roman" w:eastAsiaTheme="minorEastAsia"/>
          <w:b/>
          <w:szCs w:val="21"/>
          <w:lang w:val="en-US" w:eastAsia="en-US"/>
        </w:rPr>
      </w:pPr>
      <w:r>
        <w:rPr>
          <w:rFonts w:hint="default" w:ascii="Times New Roman" w:hAnsi="Times New Roman" w:cs="Times New Roman" w:eastAsiaTheme="minorEastAsia"/>
          <w:b/>
          <w:szCs w:val="21"/>
          <w:lang w:val="en-US" w:eastAsia="en-US"/>
        </w:rPr>
        <w:t>图5</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2-</w:t>
      </w:r>
      <w:r>
        <w:rPr>
          <w:rFonts w:hint="default" w:ascii="Times New Roman" w:hAnsi="Times New Roman" w:cs="Times New Roman" w:eastAsiaTheme="minorEastAsia"/>
          <w:b/>
          <w:szCs w:val="21"/>
          <w:lang w:val="en-US" w:eastAsia="zh-CN"/>
        </w:rPr>
        <w:t>1</w:t>
      </w:r>
      <w:r>
        <w:rPr>
          <w:rFonts w:hint="eastAsia" w:ascii="Times New Roman" w:hAnsi="Times New Roman" w:cs="Times New Roman"/>
          <w:b/>
          <w:szCs w:val="21"/>
          <w:lang w:val="en-US" w:eastAsia="zh-CN"/>
        </w:rPr>
        <w:t>3</w:t>
      </w:r>
      <w:r>
        <w:rPr>
          <w:rFonts w:hint="default" w:ascii="Times New Roman" w:hAnsi="Times New Roman" w:cs="Times New Roman" w:eastAsiaTheme="minorEastAsia"/>
          <w:b/>
          <w:szCs w:val="21"/>
          <w:lang w:val="en-US" w:eastAsia="zh-CN"/>
        </w:rPr>
        <w:t xml:space="preserve"> </w:t>
      </w:r>
      <w:r>
        <w:rPr>
          <w:rFonts w:hint="default" w:ascii="Times New Roman" w:hAnsi="Times New Roman" w:cs="Times New Roman" w:eastAsiaTheme="minorEastAsia"/>
          <w:b/>
          <w:szCs w:val="21"/>
          <w:lang w:val="en-US" w:eastAsia="en-US"/>
        </w:rPr>
        <w:t>叠加现状浓度后</w:t>
      </w:r>
      <w:r>
        <w:rPr>
          <w:rFonts w:hint="default" w:ascii="Times New Roman" w:hAnsi="Times New Roman" w:cs="Times New Roman" w:eastAsiaTheme="minorEastAsia"/>
          <w:b/>
          <w:szCs w:val="21"/>
          <w:lang w:val="en-US" w:eastAsia="zh-CN"/>
        </w:rPr>
        <w:t>PM</w:t>
      </w:r>
      <w:r>
        <w:rPr>
          <w:rFonts w:hint="default" w:ascii="Times New Roman" w:hAnsi="Times New Roman" w:cs="Times New Roman" w:eastAsiaTheme="minorEastAsia"/>
          <w:b/>
          <w:szCs w:val="21"/>
          <w:vertAlign w:val="subscript"/>
          <w:lang w:val="en-US" w:eastAsia="zh-CN"/>
        </w:rPr>
        <w:t>2.5</w:t>
      </w:r>
      <w:r>
        <w:rPr>
          <w:rFonts w:hint="default" w:ascii="Times New Roman" w:hAnsi="Times New Roman" w:cs="Times New Roman" w:eastAsiaTheme="minorEastAsia"/>
          <w:b/>
          <w:szCs w:val="21"/>
          <w:lang w:val="en-US" w:eastAsia="zh-CN"/>
        </w:rPr>
        <w:t>日</w:t>
      </w:r>
      <w:r>
        <w:rPr>
          <w:rFonts w:hint="default" w:ascii="Times New Roman" w:hAnsi="Times New Roman" w:cs="Times New Roman" w:eastAsiaTheme="minorEastAsia"/>
          <w:b/>
          <w:szCs w:val="21"/>
          <w:lang w:val="en-US" w:eastAsia="en-US"/>
        </w:rPr>
        <w:t>均质量浓度分布图</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单位</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μg/m</w:t>
      </w:r>
      <w:r>
        <w:rPr>
          <w:rFonts w:hint="default" w:ascii="Times New Roman" w:hAnsi="Times New Roman" w:cs="Times New Roman" w:eastAsiaTheme="minorEastAsia"/>
          <w:b/>
          <w:szCs w:val="21"/>
          <w:vertAlign w:val="superscript"/>
          <w:lang w:val="en-US" w:eastAsia="en-US"/>
        </w:rPr>
        <w:t>3</w:t>
      </w:r>
      <w:r>
        <w:rPr>
          <w:rFonts w:hint="default" w:ascii="Times New Roman" w:hAnsi="Times New Roman" w:cs="Times New Roman" w:eastAsiaTheme="minorEastAsia"/>
          <w:b/>
          <w:szCs w:val="21"/>
          <w:vertAlign w:val="baseline"/>
          <w:lang w:val="en-US" w:eastAsia="zh-CN"/>
        </w:rPr>
        <w:t>）</w:t>
      </w:r>
    </w:p>
    <w:p w14:paraId="798B36D7">
      <w:pPr>
        <w:jc w:val="center"/>
      </w:pPr>
    </w:p>
    <w:p w14:paraId="472BD5FC">
      <w:pPr>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图5.2-</w:t>
      </w:r>
      <w:r>
        <w:rPr>
          <w:rFonts w:hint="eastAsia" w:ascii="Times New Roman" w:hAnsi="Times New Roman" w:cs="Times New Roman"/>
          <w:b/>
          <w:szCs w:val="21"/>
          <w:lang w:val="en-US" w:eastAsia="zh-CN"/>
        </w:rPr>
        <w:t>14</w:t>
      </w:r>
      <w:r>
        <w:rPr>
          <w:rFonts w:hint="default" w:ascii="Times New Roman" w:hAnsi="Times New Roman" w:cs="Times New Roman" w:eastAsiaTheme="minorEastAsia"/>
          <w:b/>
          <w:szCs w:val="21"/>
          <w:lang w:val="en-US" w:eastAsia="zh-CN"/>
        </w:rPr>
        <w:t xml:space="preserve"> </w:t>
      </w:r>
      <w:r>
        <w:rPr>
          <w:rFonts w:hint="default" w:ascii="Times New Roman" w:hAnsi="Times New Roman" w:cs="Times New Roman" w:eastAsiaTheme="minorEastAsia"/>
          <w:b/>
          <w:szCs w:val="21"/>
          <w:lang w:val="en-US" w:eastAsia="en-US"/>
        </w:rPr>
        <w:t>叠加现状浓度后</w:t>
      </w:r>
      <w:r>
        <w:rPr>
          <w:rFonts w:hint="default" w:ascii="Times New Roman" w:hAnsi="Times New Roman" w:cs="Times New Roman" w:eastAsiaTheme="minorEastAsia"/>
          <w:b/>
          <w:szCs w:val="21"/>
          <w:lang w:val="en-US" w:eastAsia="zh-CN"/>
        </w:rPr>
        <w:t>PM</w:t>
      </w:r>
      <w:r>
        <w:rPr>
          <w:rFonts w:hint="default" w:ascii="Times New Roman" w:hAnsi="Times New Roman" w:cs="Times New Roman" w:eastAsiaTheme="minorEastAsia"/>
          <w:b/>
          <w:szCs w:val="21"/>
          <w:vertAlign w:val="subscript"/>
          <w:lang w:val="en-US" w:eastAsia="zh-CN"/>
        </w:rPr>
        <w:t xml:space="preserve">2.5 </w:t>
      </w:r>
      <w:r>
        <w:rPr>
          <w:rFonts w:hint="eastAsia" w:ascii="Times New Roman" w:hAnsi="Times New Roman" w:cs="Times New Roman"/>
          <w:b/>
          <w:szCs w:val="21"/>
          <w:vertAlign w:val="baseline"/>
          <w:lang w:val="en-US" w:eastAsia="zh-CN"/>
        </w:rPr>
        <w:t>年</w:t>
      </w:r>
      <w:r>
        <w:rPr>
          <w:rFonts w:hint="default" w:ascii="Times New Roman" w:hAnsi="Times New Roman" w:cs="Times New Roman" w:eastAsiaTheme="minorEastAsia"/>
          <w:b/>
          <w:szCs w:val="21"/>
          <w:vertAlign w:val="baseline"/>
          <w:lang w:val="en-US" w:eastAsia="en-US"/>
        </w:rPr>
        <w:t>均</w:t>
      </w:r>
      <w:r>
        <w:rPr>
          <w:rFonts w:hint="default" w:ascii="Times New Roman" w:hAnsi="Times New Roman" w:cs="Times New Roman" w:eastAsiaTheme="minorEastAsia"/>
          <w:b/>
          <w:szCs w:val="21"/>
          <w:lang w:val="en-US" w:eastAsia="en-US"/>
        </w:rPr>
        <w:t>质量浓度分布图</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单位</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μg/m</w:t>
      </w:r>
      <w:r>
        <w:rPr>
          <w:rFonts w:hint="default" w:ascii="Times New Roman" w:hAnsi="Times New Roman" w:cs="Times New Roman" w:eastAsiaTheme="minorEastAsia"/>
          <w:b/>
          <w:szCs w:val="21"/>
          <w:vertAlign w:val="superscript"/>
          <w:lang w:val="en-US" w:eastAsia="en-US"/>
        </w:rPr>
        <w:t>3</w:t>
      </w:r>
      <w:r>
        <w:rPr>
          <w:rFonts w:hint="default" w:ascii="Times New Roman" w:hAnsi="Times New Roman" w:cs="Times New Roman" w:eastAsiaTheme="minorEastAsia"/>
          <w:b/>
          <w:szCs w:val="21"/>
          <w:lang w:val="en-US" w:eastAsia="zh-CN"/>
        </w:rPr>
        <w:t>）</w:t>
      </w:r>
    </w:p>
    <w:p w14:paraId="01917AB7">
      <w:pPr>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br w:type="page"/>
      </w:r>
    </w:p>
    <w:p w14:paraId="135AD024">
      <w:pPr>
        <w:pStyle w:val="20"/>
        <w:snapToGrid w:val="0"/>
        <w:ind w:left="0" w:leftChars="0" w:firstLine="480" w:firstLineChars="200"/>
        <w:jc w:val="left"/>
        <w:rPr>
          <w:rFonts w:hint="default" w:ascii="Times New Roman" w:hAnsi="Times New Roman" w:cs="Times New Roman" w:eastAsiaTheme="minorEastAsia"/>
          <w:color w:val="auto"/>
          <w:lang w:val="en-US" w:eastAsia="zh-CN"/>
        </w:rPr>
        <w:sectPr>
          <w:pgSz w:w="11906" w:h="16838"/>
          <w:pgMar w:top="1440" w:right="1800" w:bottom="1440" w:left="1800" w:header="851" w:footer="992" w:gutter="0"/>
          <w:pgNumType w:fmt="decimal"/>
          <w:cols w:space="425" w:num="1"/>
          <w:docGrid w:type="lines" w:linePitch="312" w:charSpace="0"/>
        </w:sectPr>
      </w:pPr>
    </w:p>
    <w:p w14:paraId="61B5B863">
      <w:pPr>
        <w:pStyle w:val="20"/>
        <w:snapToGrid w:val="0"/>
        <w:jc w:val="left"/>
        <w:rPr>
          <w:rFonts w:hint="default" w:ascii="Times New Roman" w:hAnsi="Times New Roman" w:cs="Times New Roman" w:eastAsiaTheme="minorEastAsia"/>
          <w:color w:val="auto"/>
          <w:lang w:val="en-US" w:eastAsia="en-US"/>
        </w:rPr>
      </w:pPr>
      <w:r>
        <w:rPr>
          <w:rFonts w:hint="default" w:ascii="Times New Roman" w:hAnsi="Times New Roman" w:cs="Times New Roman" w:eastAsiaTheme="minorEastAsia"/>
          <w:color w:val="auto"/>
          <w:lang w:val="en-US" w:eastAsia="en-US"/>
        </w:rPr>
        <w:t>④SO</w:t>
      </w:r>
      <w:r>
        <w:rPr>
          <w:rFonts w:hint="default" w:ascii="Times New Roman" w:hAnsi="Times New Roman" w:cs="Times New Roman" w:eastAsiaTheme="minorEastAsia"/>
          <w:color w:val="auto"/>
          <w:vertAlign w:val="subscript"/>
          <w:lang w:val="en-US" w:eastAsia="en-US"/>
        </w:rPr>
        <w:t>2</w:t>
      </w:r>
      <w:r>
        <w:rPr>
          <w:rFonts w:hint="default" w:ascii="Times New Roman" w:hAnsi="Times New Roman" w:cs="Times New Roman" w:eastAsiaTheme="minorEastAsia"/>
          <w:color w:val="auto"/>
          <w:lang w:val="en-US" w:eastAsia="en-US"/>
        </w:rPr>
        <w:t>质量浓度分布图</w:t>
      </w:r>
    </w:p>
    <w:p w14:paraId="0DB4D0C6">
      <w:pPr>
        <w:pStyle w:val="20"/>
        <w:snapToGrid w:val="0"/>
        <w:jc w:val="left"/>
        <w:rPr>
          <w:rFonts w:hint="default" w:ascii="Times New Roman" w:hAnsi="Times New Roman" w:cs="Times New Roman" w:eastAsiaTheme="minorEastAsia"/>
          <w:color w:val="auto"/>
          <w:lang w:val="en-US" w:eastAsia="en-US"/>
        </w:rPr>
      </w:pPr>
      <w:r>
        <w:rPr>
          <w:rFonts w:hint="default" w:ascii="Times New Roman" w:hAnsi="Times New Roman" w:cs="Times New Roman" w:eastAsiaTheme="minorEastAsia"/>
          <w:color w:val="auto"/>
          <w:lang w:val="en-US" w:eastAsia="en-US"/>
        </w:rPr>
        <w:t>根据20</w:t>
      </w:r>
      <w:r>
        <w:rPr>
          <w:rFonts w:hint="default" w:ascii="Times New Roman" w:hAnsi="Times New Roman" w:cs="Times New Roman" w:eastAsiaTheme="minorEastAsia"/>
          <w:color w:val="auto"/>
          <w:lang w:val="en-US" w:eastAsia="zh-CN"/>
        </w:rPr>
        <w:t>2</w:t>
      </w:r>
      <w:r>
        <w:rPr>
          <w:rFonts w:hint="eastAsia" w:ascii="Times New Roman" w:hAnsi="Times New Roman" w:cs="Times New Roman" w:eastAsiaTheme="minorEastAsia"/>
          <w:color w:val="auto"/>
          <w:lang w:val="en-US" w:eastAsia="zh-CN"/>
        </w:rPr>
        <w:t>5</w:t>
      </w:r>
      <w:r>
        <w:rPr>
          <w:rFonts w:hint="default" w:ascii="Times New Roman" w:hAnsi="Times New Roman" w:cs="Times New Roman" w:eastAsiaTheme="minorEastAsia"/>
          <w:color w:val="auto"/>
          <w:lang w:val="en-US" w:eastAsia="en-US"/>
        </w:rPr>
        <w:t>年预测气象条件，叠加现状浓度后98%保证率SO</w:t>
      </w:r>
      <w:r>
        <w:rPr>
          <w:rFonts w:hint="default" w:ascii="Times New Roman" w:hAnsi="Times New Roman" w:cs="Times New Roman" w:eastAsiaTheme="minorEastAsia"/>
          <w:color w:val="auto"/>
          <w:vertAlign w:val="subscript"/>
          <w:lang w:val="en-US" w:eastAsia="en-US"/>
        </w:rPr>
        <w:t>2</w:t>
      </w:r>
      <w:r>
        <w:rPr>
          <w:rFonts w:hint="default" w:ascii="Times New Roman" w:hAnsi="Times New Roman" w:cs="Times New Roman" w:eastAsiaTheme="minorEastAsia"/>
          <w:color w:val="auto"/>
          <w:lang w:val="en-US" w:eastAsia="en-US"/>
        </w:rPr>
        <w:t>日平均质量浓度和SO</w:t>
      </w:r>
      <w:r>
        <w:rPr>
          <w:rFonts w:hint="default" w:ascii="Times New Roman" w:hAnsi="Times New Roman" w:cs="Times New Roman" w:eastAsiaTheme="minorEastAsia"/>
          <w:color w:val="auto"/>
          <w:vertAlign w:val="subscript"/>
          <w:lang w:val="en-US" w:eastAsia="en-US"/>
        </w:rPr>
        <w:t>2</w:t>
      </w:r>
      <w:r>
        <w:rPr>
          <w:rFonts w:hint="default" w:ascii="Times New Roman" w:hAnsi="Times New Roman" w:cs="Times New Roman" w:eastAsiaTheme="minorEastAsia"/>
          <w:color w:val="auto"/>
          <w:lang w:val="en-US" w:eastAsia="en-US"/>
        </w:rPr>
        <w:t>年平均质量浓度分布，见图5</w:t>
      </w:r>
      <w:r>
        <w:rPr>
          <w:rFonts w:hint="default"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en-US"/>
        </w:rPr>
        <w:t>2-</w:t>
      </w:r>
      <w:r>
        <w:rPr>
          <w:rFonts w:hint="default" w:ascii="Times New Roman" w:hAnsi="Times New Roman" w:cs="Times New Roman" w:eastAsiaTheme="minorEastAsia"/>
          <w:color w:val="auto"/>
          <w:lang w:val="en-US" w:eastAsia="zh-CN"/>
        </w:rPr>
        <w:t>1</w:t>
      </w:r>
      <w:r>
        <w:rPr>
          <w:rFonts w:hint="eastAsia" w:ascii="Times New Roman" w:hAnsi="Times New Roman" w:cs="Times New Roman" w:eastAsiaTheme="minorEastAsia"/>
          <w:color w:val="auto"/>
          <w:lang w:val="en-US" w:eastAsia="zh-CN"/>
        </w:rPr>
        <w:t>5</w:t>
      </w:r>
      <w:r>
        <w:rPr>
          <w:rFonts w:hint="default" w:ascii="Times New Roman" w:hAnsi="Times New Roman" w:cs="Times New Roman" w:eastAsiaTheme="minorEastAsia"/>
          <w:color w:val="auto"/>
          <w:lang w:val="en-US" w:eastAsia="en-US"/>
        </w:rPr>
        <w:t>和5</w:t>
      </w:r>
      <w:r>
        <w:rPr>
          <w:rFonts w:hint="default"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en-US"/>
        </w:rPr>
        <w:t>2</w:t>
      </w:r>
      <w:r>
        <w:rPr>
          <w:rFonts w:hint="default" w:ascii="Times New Roman" w:hAnsi="Times New Roman" w:cs="Times New Roman" w:eastAsiaTheme="minorEastAsia"/>
          <w:color w:val="auto"/>
          <w:lang w:val="en-US" w:eastAsia="zh-CN"/>
        </w:rPr>
        <w:t>-1</w:t>
      </w:r>
      <w:r>
        <w:rPr>
          <w:rFonts w:hint="eastAsia" w:ascii="Times New Roman" w:hAnsi="Times New Roman" w:cs="Times New Roman" w:eastAsiaTheme="minorEastAsia"/>
          <w:color w:val="auto"/>
          <w:lang w:val="en-US" w:eastAsia="zh-CN"/>
        </w:rPr>
        <w:t>6</w:t>
      </w:r>
      <w:r>
        <w:rPr>
          <w:rFonts w:hint="default" w:ascii="Times New Roman" w:hAnsi="Times New Roman" w:cs="Times New Roman" w:eastAsiaTheme="minorEastAsia"/>
          <w:color w:val="auto"/>
          <w:lang w:val="en-US" w:eastAsia="en-US"/>
        </w:rPr>
        <w:t>。</w:t>
      </w:r>
    </w:p>
    <w:p w14:paraId="5259A60F">
      <w:pPr>
        <w:adjustRightInd w:val="0"/>
        <w:snapToGrid w:val="0"/>
        <w:spacing w:before="250" w:beforeLines="50"/>
        <w:jc w:val="center"/>
      </w:pPr>
    </w:p>
    <w:p w14:paraId="38AD371C">
      <w:pPr>
        <w:adjustRightInd w:val="0"/>
        <w:snapToGrid w:val="0"/>
        <w:spacing w:before="250" w:beforeLines="50"/>
        <w:jc w:val="center"/>
        <w:rPr>
          <w:rFonts w:hint="default" w:ascii="Times New Roman" w:hAnsi="Times New Roman" w:cs="Times New Roman" w:eastAsiaTheme="minorEastAsia"/>
          <w:b/>
          <w:szCs w:val="21"/>
          <w:vertAlign w:val="baseline"/>
          <w:lang w:val="en-US" w:eastAsia="zh-CN"/>
        </w:rPr>
      </w:pPr>
      <w:r>
        <w:rPr>
          <w:rFonts w:hint="default" w:ascii="Times New Roman" w:hAnsi="Times New Roman" w:cs="Times New Roman" w:eastAsiaTheme="minorEastAsia"/>
          <w:b/>
          <w:szCs w:val="21"/>
          <w:lang w:val="en-US" w:eastAsia="en-US"/>
        </w:rPr>
        <w:t>图5</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2-</w:t>
      </w:r>
      <w:r>
        <w:rPr>
          <w:rFonts w:hint="default" w:ascii="Times New Roman" w:hAnsi="Times New Roman" w:cs="Times New Roman" w:eastAsiaTheme="minorEastAsia"/>
          <w:b/>
          <w:szCs w:val="21"/>
          <w:lang w:val="en-US" w:eastAsia="zh-CN"/>
        </w:rPr>
        <w:t>1</w:t>
      </w:r>
      <w:r>
        <w:rPr>
          <w:rFonts w:hint="eastAsia" w:ascii="Times New Roman" w:hAnsi="Times New Roman" w:cs="Times New Roman"/>
          <w:b/>
          <w:szCs w:val="21"/>
          <w:lang w:val="en-US" w:eastAsia="zh-CN"/>
        </w:rPr>
        <w:t>5</w:t>
      </w:r>
      <w:r>
        <w:rPr>
          <w:rFonts w:hint="default" w:ascii="Times New Roman" w:hAnsi="Times New Roman" w:cs="Times New Roman" w:eastAsiaTheme="minorEastAsia"/>
          <w:b/>
          <w:szCs w:val="21"/>
          <w:lang w:val="en-US" w:eastAsia="en-US"/>
        </w:rPr>
        <w:t>叠加现状浓度后SO</w:t>
      </w:r>
      <w:r>
        <w:rPr>
          <w:rFonts w:hint="default" w:ascii="Times New Roman" w:hAnsi="Times New Roman" w:cs="Times New Roman" w:eastAsiaTheme="minorEastAsia"/>
          <w:b/>
          <w:szCs w:val="21"/>
          <w:vertAlign w:val="subscript"/>
          <w:lang w:val="en-US" w:eastAsia="en-US"/>
        </w:rPr>
        <w:t>2</w:t>
      </w:r>
      <w:r>
        <w:rPr>
          <w:rFonts w:hint="default" w:ascii="Times New Roman" w:hAnsi="Times New Roman" w:cs="Times New Roman" w:eastAsiaTheme="minorEastAsia"/>
          <w:b/>
          <w:szCs w:val="21"/>
          <w:lang w:val="en-US" w:eastAsia="en-US"/>
        </w:rPr>
        <w:t>日平均质量浓度分布图</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单位</w:t>
      </w:r>
      <w:r>
        <w:rPr>
          <w:rFonts w:hint="default" w:ascii="Times New Roman" w:hAnsi="Times New Roman" w:cs="Times New Roman" w:eastAsiaTheme="minorEastAsia"/>
          <w:b/>
          <w:szCs w:val="21"/>
          <w:lang w:val="en-US" w:eastAsia="zh-CN"/>
        </w:rPr>
        <w:t>：μ</w:t>
      </w:r>
      <w:r>
        <w:rPr>
          <w:rFonts w:hint="default" w:ascii="Times New Roman" w:hAnsi="Times New Roman" w:cs="Times New Roman" w:eastAsiaTheme="minorEastAsia"/>
          <w:b/>
          <w:szCs w:val="21"/>
          <w:lang w:val="en-US" w:eastAsia="en-US"/>
        </w:rPr>
        <w:t>g/m</w:t>
      </w:r>
      <w:r>
        <w:rPr>
          <w:rFonts w:hint="default" w:ascii="Times New Roman" w:hAnsi="Times New Roman" w:cs="Times New Roman" w:eastAsiaTheme="minorEastAsia"/>
          <w:b/>
          <w:szCs w:val="21"/>
          <w:vertAlign w:val="superscript"/>
          <w:lang w:val="en-US" w:eastAsia="en-US"/>
        </w:rPr>
        <w:t>3</w:t>
      </w:r>
      <w:r>
        <w:rPr>
          <w:rFonts w:hint="default" w:ascii="Times New Roman" w:hAnsi="Times New Roman" w:cs="Times New Roman" w:eastAsiaTheme="minorEastAsia"/>
          <w:b/>
          <w:szCs w:val="21"/>
          <w:vertAlign w:val="baseline"/>
          <w:lang w:val="en-US" w:eastAsia="zh-CN"/>
        </w:rPr>
        <w:t>）</w:t>
      </w:r>
    </w:p>
    <w:p w14:paraId="63764F7E">
      <w:pPr>
        <w:adjustRightInd w:val="0"/>
        <w:snapToGrid w:val="0"/>
        <w:spacing w:before="250" w:beforeLines="50"/>
        <w:jc w:val="center"/>
        <w:rPr>
          <w:rFonts w:hint="default" w:ascii="Times New Roman" w:hAnsi="Times New Roman" w:cs="Times New Roman" w:eastAsiaTheme="minorEastAsia"/>
          <w:b/>
          <w:szCs w:val="21"/>
          <w:vertAlign w:val="baseline"/>
          <w:lang w:val="en-US" w:eastAsia="en-US"/>
        </w:rPr>
      </w:pPr>
    </w:p>
    <w:p w14:paraId="0E2F7B65">
      <w:pPr>
        <w:adjustRightInd w:val="0"/>
        <w:snapToGrid w:val="0"/>
        <w:spacing w:before="250" w:beforeLines="50"/>
        <w:jc w:val="center"/>
        <w:rPr>
          <w:rFonts w:hint="default" w:ascii="Times New Roman" w:hAnsi="Times New Roman" w:cs="Times New Roman" w:eastAsiaTheme="minorEastAsia"/>
          <w:b/>
          <w:szCs w:val="21"/>
          <w:vertAlign w:val="superscript"/>
          <w:lang w:val="en-US" w:eastAsia="en-US"/>
        </w:rPr>
      </w:pPr>
      <w:r>
        <w:rPr>
          <w:rFonts w:hint="default" w:ascii="Times New Roman" w:hAnsi="Times New Roman" w:cs="Times New Roman" w:eastAsiaTheme="minorEastAsia"/>
          <w:b/>
          <w:szCs w:val="21"/>
          <w:lang w:val="en-US" w:eastAsia="en-US"/>
        </w:rPr>
        <w:t>图5</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2-</w:t>
      </w:r>
      <w:r>
        <w:rPr>
          <w:rFonts w:hint="default" w:ascii="Times New Roman" w:hAnsi="Times New Roman" w:cs="Times New Roman" w:eastAsiaTheme="minorEastAsia"/>
          <w:b/>
          <w:szCs w:val="21"/>
          <w:lang w:val="en-US" w:eastAsia="zh-CN"/>
        </w:rPr>
        <w:t>1</w:t>
      </w:r>
      <w:r>
        <w:rPr>
          <w:rFonts w:hint="eastAsia" w:ascii="Times New Roman" w:hAnsi="Times New Roman" w:cs="Times New Roman"/>
          <w:b/>
          <w:szCs w:val="21"/>
          <w:lang w:val="en-US" w:eastAsia="zh-CN"/>
        </w:rPr>
        <w:t>6</w:t>
      </w:r>
      <w:r>
        <w:rPr>
          <w:rFonts w:hint="default" w:ascii="Times New Roman" w:hAnsi="Times New Roman" w:cs="Times New Roman" w:eastAsiaTheme="minorEastAsia"/>
          <w:b/>
          <w:szCs w:val="21"/>
          <w:lang w:val="en-US" w:eastAsia="en-US"/>
        </w:rPr>
        <w:t>叠加现状浓度后SO</w:t>
      </w:r>
      <w:r>
        <w:rPr>
          <w:rFonts w:hint="default" w:ascii="Times New Roman" w:hAnsi="Times New Roman" w:cs="Times New Roman" w:eastAsiaTheme="minorEastAsia"/>
          <w:b/>
          <w:szCs w:val="21"/>
          <w:vertAlign w:val="subscript"/>
          <w:lang w:val="en-US" w:eastAsia="en-US"/>
        </w:rPr>
        <w:t>2</w:t>
      </w:r>
      <w:r>
        <w:rPr>
          <w:rFonts w:hint="default" w:ascii="Times New Roman" w:hAnsi="Times New Roman" w:cs="Times New Roman" w:eastAsiaTheme="minorEastAsia"/>
          <w:b/>
          <w:szCs w:val="21"/>
          <w:lang w:val="en-US" w:eastAsia="en-US"/>
        </w:rPr>
        <w:t>年平均质量浓度分布图</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单位</w:t>
      </w:r>
      <w:r>
        <w:rPr>
          <w:rFonts w:hint="default" w:ascii="Times New Roman" w:hAnsi="Times New Roman" w:cs="Times New Roman" w:eastAsiaTheme="minorEastAsia"/>
          <w:b/>
          <w:szCs w:val="21"/>
          <w:lang w:val="en-US" w:eastAsia="zh-CN"/>
        </w:rPr>
        <w:t>：μ</w:t>
      </w:r>
      <w:r>
        <w:rPr>
          <w:rFonts w:hint="default" w:ascii="Times New Roman" w:hAnsi="Times New Roman" w:cs="Times New Roman" w:eastAsiaTheme="minorEastAsia"/>
          <w:b/>
          <w:szCs w:val="21"/>
          <w:lang w:val="en-US" w:eastAsia="en-US"/>
        </w:rPr>
        <w:t>g/m</w:t>
      </w:r>
      <w:r>
        <w:rPr>
          <w:rFonts w:hint="default" w:ascii="Times New Roman" w:hAnsi="Times New Roman" w:cs="Times New Roman" w:eastAsiaTheme="minorEastAsia"/>
          <w:b/>
          <w:szCs w:val="21"/>
          <w:vertAlign w:val="superscript"/>
          <w:lang w:val="en-US" w:eastAsia="en-US"/>
        </w:rPr>
        <w:t>3</w:t>
      </w:r>
      <w:r>
        <w:rPr>
          <w:rFonts w:hint="default" w:ascii="Times New Roman" w:hAnsi="Times New Roman" w:cs="Times New Roman" w:eastAsiaTheme="minorEastAsia"/>
          <w:b/>
          <w:szCs w:val="21"/>
          <w:vertAlign w:val="baseline"/>
          <w:lang w:val="en-US" w:eastAsia="zh-CN"/>
        </w:rPr>
        <w:t>）</w:t>
      </w:r>
    </w:p>
    <w:p w14:paraId="52FDABF2">
      <w:pPr>
        <w:adjustRightInd w:val="0"/>
        <w:snapToGrid w:val="0"/>
        <w:spacing w:before="250" w:beforeLines="50"/>
        <w:ind w:firstLine="422" w:firstLineChars="200"/>
        <w:jc w:val="center"/>
        <w:rPr>
          <w:rFonts w:hint="default" w:ascii="Times New Roman" w:hAnsi="Times New Roman" w:cs="Times New Roman" w:eastAsiaTheme="minorEastAsia"/>
          <w:b/>
          <w:szCs w:val="21"/>
          <w:lang w:val="en-US" w:eastAsia="zh-CN"/>
        </w:rPr>
        <w:sectPr>
          <w:pgSz w:w="11906" w:h="16838"/>
          <w:pgMar w:top="1440" w:right="1800" w:bottom="1440" w:left="1800" w:header="851" w:footer="992" w:gutter="0"/>
          <w:pgNumType w:fmt="decimal"/>
          <w:cols w:space="425" w:num="1"/>
          <w:docGrid w:type="lines" w:linePitch="312" w:charSpace="0"/>
        </w:sectPr>
      </w:pPr>
    </w:p>
    <w:p w14:paraId="364225F4">
      <w:pPr>
        <w:pStyle w:val="20"/>
        <w:snapToGrid w:val="0"/>
        <w:jc w:val="left"/>
        <w:rPr>
          <w:rFonts w:hint="default" w:ascii="Times New Roman" w:hAnsi="Times New Roman" w:cs="Times New Roman" w:eastAsiaTheme="minorEastAsia"/>
          <w:color w:val="auto"/>
          <w:lang w:val="en-US" w:eastAsia="en-US"/>
        </w:rPr>
      </w:pPr>
      <w:r>
        <w:rPr>
          <w:rFonts w:hint="default" w:ascii="Times New Roman" w:hAnsi="Times New Roman" w:cs="Times New Roman" w:eastAsiaTheme="minorEastAsia"/>
          <w:color w:val="auto"/>
          <w:lang w:val="en-US" w:eastAsia="en-US"/>
        </w:rPr>
        <w:t>⑤</w:t>
      </w:r>
      <w:r>
        <w:rPr>
          <w:rFonts w:hint="eastAsia" w:ascii="Times New Roman" w:hAnsi="Times New Roman" w:cs="Times New Roman" w:eastAsiaTheme="minorEastAsia"/>
          <w:color w:val="auto"/>
          <w:lang w:val="en-US" w:eastAsia="zh-CN"/>
        </w:rPr>
        <w:t>CO</w:t>
      </w:r>
      <w:r>
        <w:rPr>
          <w:rFonts w:hint="default" w:ascii="Times New Roman" w:hAnsi="Times New Roman" w:cs="Times New Roman" w:eastAsiaTheme="minorEastAsia"/>
          <w:color w:val="auto"/>
          <w:lang w:val="en-US" w:eastAsia="en-US"/>
        </w:rPr>
        <w:t>质量浓度分布图</w:t>
      </w:r>
    </w:p>
    <w:p w14:paraId="3CD4A53E">
      <w:pPr>
        <w:pStyle w:val="20"/>
        <w:snapToGrid w:val="0"/>
        <w:jc w:val="left"/>
        <w:rPr>
          <w:rFonts w:hint="default" w:ascii="Times New Roman" w:hAnsi="Times New Roman" w:cs="Times New Roman" w:eastAsiaTheme="minorEastAsia"/>
          <w:color w:val="auto"/>
          <w:lang w:val="en-US" w:eastAsia="en-US"/>
        </w:rPr>
      </w:pPr>
      <w:r>
        <w:rPr>
          <w:rFonts w:hint="default" w:ascii="Times New Roman" w:hAnsi="Times New Roman" w:cs="Times New Roman" w:eastAsiaTheme="minorEastAsia"/>
          <w:color w:val="auto"/>
          <w:lang w:val="en-US" w:eastAsia="en-US"/>
        </w:rPr>
        <w:t>根据20</w:t>
      </w:r>
      <w:r>
        <w:rPr>
          <w:rFonts w:hint="default" w:ascii="Times New Roman" w:hAnsi="Times New Roman" w:cs="Times New Roman" w:eastAsiaTheme="minorEastAsia"/>
          <w:color w:val="auto"/>
          <w:lang w:val="en-US" w:eastAsia="zh-CN"/>
        </w:rPr>
        <w:t>2</w:t>
      </w:r>
      <w:r>
        <w:rPr>
          <w:rFonts w:hint="eastAsia" w:ascii="Times New Roman" w:hAnsi="Times New Roman" w:cs="Times New Roman" w:eastAsiaTheme="minorEastAsia"/>
          <w:color w:val="auto"/>
          <w:lang w:val="en-US" w:eastAsia="zh-CN"/>
        </w:rPr>
        <w:t>5</w:t>
      </w:r>
      <w:r>
        <w:rPr>
          <w:rFonts w:hint="default" w:ascii="Times New Roman" w:hAnsi="Times New Roman" w:cs="Times New Roman" w:eastAsiaTheme="minorEastAsia"/>
          <w:color w:val="auto"/>
          <w:lang w:val="en-US" w:eastAsia="en-US"/>
        </w:rPr>
        <w:t>年预测气象条件，叠加现状浓度后日平均质量浓度分布，见图5</w:t>
      </w:r>
      <w:r>
        <w:rPr>
          <w:rFonts w:hint="default"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en-US"/>
        </w:rPr>
        <w:t>2-</w:t>
      </w:r>
      <w:r>
        <w:rPr>
          <w:rFonts w:hint="default" w:ascii="Times New Roman" w:hAnsi="Times New Roman" w:cs="Times New Roman" w:eastAsiaTheme="minorEastAsia"/>
          <w:color w:val="auto"/>
          <w:lang w:val="en-US" w:eastAsia="zh-CN"/>
        </w:rPr>
        <w:t>1</w:t>
      </w:r>
      <w:r>
        <w:rPr>
          <w:rFonts w:hint="eastAsia" w:ascii="Times New Roman" w:hAnsi="Times New Roman" w:cs="Times New Roman" w:eastAsiaTheme="minorEastAsia"/>
          <w:color w:val="auto"/>
          <w:lang w:val="en-US" w:eastAsia="zh-CN"/>
        </w:rPr>
        <w:t>7</w:t>
      </w:r>
      <w:r>
        <w:rPr>
          <w:rFonts w:hint="default" w:ascii="Times New Roman" w:hAnsi="Times New Roman" w:cs="Times New Roman" w:eastAsiaTheme="minorEastAsia"/>
          <w:color w:val="auto"/>
          <w:lang w:val="en-US" w:eastAsia="en-US"/>
        </w:rPr>
        <w:t>。</w:t>
      </w:r>
    </w:p>
    <w:p w14:paraId="6756DDD1">
      <w:pPr>
        <w:adjustRightInd w:val="0"/>
        <w:snapToGrid w:val="0"/>
        <w:spacing w:before="250" w:beforeLines="50"/>
        <w:jc w:val="center"/>
      </w:pPr>
    </w:p>
    <w:p w14:paraId="6CB270D3">
      <w:pPr>
        <w:adjustRightInd w:val="0"/>
        <w:snapToGrid w:val="0"/>
        <w:spacing w:before="250" w:beforeLines="50"/>
        <w:jc w:val="center"/>
        <w:rPr>
          <w:rFonts w:hint="default" w:ascii="Times New Roman" w:hAnsi="Times New Roman" w:cs="Times New Roman" w:eastAsiaTheme="minorEastAsia"/>
          <w:b/>
          <w:szCs w:val="21"/>
          <w:lang w:val="en-US" w:eastAsia="en-US"/>
        </w:rPr>
      </w:pPr>
      <w:r>
        <w:rPr>
          <w:rFonts w:hint="default" w:ascii="Times New Roman" w:hAnsi="Times New Roman" w:cs="Times New Roman" w:eastAsiaTheme="minorEastAsia"/>
          <w:b/>
          <w:szCs w:val="21"/>
          <w:lang w:val="en-US" w:eastAsia="en-US"/>
        </w:rPr>
        <w:t>图5</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2-</w:t>
      </w:r>
      <w:r>
        <w:rPr>
          <w:rFonts w:hint="default" w:ascii="Times New Roman" w:hAnsi="Times New Roman" w:cs="Times New Roman" w:eastAsiaTheme="minorEastAsia"/>
          <w:b/>
          <w:szCs w:val="21"/>
          <w:lang w:val="en-US" w:eastAsia="zh-CN"/>
        </w:rPr>
        <w:t>1</w:t>
      </w:r>
      <w:r>
        <w:rPr>
          <w:rFonts w:hint="eastAsia" w:ascii="Times New Roman" w:hAnsi="Times New Roman" w:cs="Times New Roman"/>
          <w:b/>
          <w:szCs w:val="21"/>
          <w:lang w:val="en-US" w:eastAsia="zh-CN"/>
        </w:rPr>
        <w:t>7</w:t>
      </w:r>
      <w:r>
        <w:rPr>
          <w:rFonts w:hint="default" w:ascii="Times New Roman" w:hAnsi="Times New Roman" w:cs="Times New Roman" w:eastAsiaTheme="minorEastAsia"/>
          <w:b/>
          <w:szCs w:val="21"/>
          <w:lang w:val="en-US" w:eastAsia="en-US"/>
        </w:rPr>
        <w:t>叠加现状浓度后</w:t>
      </w:r>
      <w:r>
        <w:rPr>
          <w:rFonts w:hint="eastAsia" w:ascii="Times New Roman" w:hAnsi="Times New Roman" w:cs="Times New Roman"/>
          <w:b/>
          <w:szCs w:val="21"/>
          <w:lang w:val="en-US" w:eastAsia="zh-CN"/>
        </w:rPr>
        <w:t>CO</w:t>
      </w:r>
      <w:r>
        <w:rPr>
          <w:rFonts w:hint="default" w:ascii="Times New Roman" w:hAnsi="Times New Roman" w:cs="Times New Roman" w:eastAsiaTheme="minorEastAsia"/>
          <w:b/>
          <w:szCs w:val="21"/>
          <w:lang w:val="en-US" w:eastAsia="en-US"/>
        </w:rPr>
        <w:t>日平均质量浓度分布图</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单位</w:t>
      </w:r>
      <w:r>
        <w:rPr>
          <w:rFonts w:hint="default" w:ascii="Times New Roman" w:hAnsi="Times New Roman" w:cs="Times New Roman" w:eastAsiaTheme="minorEastAsia"/>
          <w:b/>
          <w:szCs w:val="21"/>
          <w:lang w:val="en-US" w:eastAsia="zh-CN"/>
        </w:rPr>
        <w:t>：μ</w:t>
      </w:r>
      <w:r>
        <w:rPr>
          <w:rFonts w:hint="default" w:ascii="Times New Roman" w:hAnsi="Times New Roman" w:cs="Times New Roman" w:eastAsiaTheme="minorEastAsia"/>
          <w:b/>
          <w:szCs w:val="21"/>
          <w:lang w:val="en-US" w:eastAsia="en-US"/>
        </w:rPr>
        <w:t>g/m</w:t>
      </w:r>
      <w:r>
        <w:rPr>
          <w:rFonts w:hint="default" w:ascii="Times New Roman" w:hAnsi="Times New Roman" w:cs="Times New Roman" w:eastAsiaTheme="minorEastAsia"/>
          <w:b/>
          <w:szCs w:val="21"/>
          <w:vertAlign w:val="superscript"/>
          <w:lang w:val="en-US" w:eastAsia="en-US"/>
        </w:rPr>
        <w:t>3</w:t>
      </w:r>
      <w:r>
        <w:rPr>
          <w:rFonts w:hint="default" w:ascii="Times New Roman" w:hAnsi="Times New Roman" w:cs="Times New Roman" w:eastAsiaTheme="minorEastAsia"/>
          <w:b/>
          <w:szCs w:val="21"/>
          <w:vertAlign w:val="baseline"/>
          <w:lang w:val="en-US" w:eastAsia="zh-CN"/>
        </w:rPr>
        <w:t>）</w:t>
      </w:r>
    </w:p>
    <w:p w14:paraId="55519555">
      <w:pPr>
        <w:pStyle w:val="20"/>
        <w:snapToGrid w:val="0"/>
        <w:ind w:left="0" w:leftChars="0" w:firstLine="480" w:firstLineChars="200"/>
        <w:jc w:val="left"/>
        <w:rPr>
          <w:rFonts w:hint="default" w:ascii="Times New Roman" w:hAnsi="Times New Roman" w:cs="Times New Roman" w:eastAsiaTheme="minorEastAsia"/>
          <w:color w:val="auto"/>
          <w:lang w:val="en-US" w:eastAsia="en-US"/>
        </w:rPr>
      </w:pPr>
      <w:r>
        <w:rPr>
          <w:rFonts w:hint="default" w:ascii="Times New Roman" w:hAnsi="Times New Roman" w:cs="Times New Roman" w:eastAsiaTheme="minorEastAsia"/>
          <w:color w:val="auto"/>
          <w:lang w:val="en-US" w:eastAsia="en-US"/>
        </w:rPr>
        <w:t>⑥</w:t>
      </w:r>
      <w:r>
        <w:rPr>
          <w:rFonts w:hint="eastAsia" w:ascii="Times New Roman" w:hAnsi="Times New Roman" w:cs="Times New Roman" w:eastAsiaTheme="minorEastAsia"/>
          <w:color w:val="auto"/>
          <w:lang w:val="en-US" w:eastAsia="zh-CN"/>
        </w:rPr>
        <w:t>HCl</w:t>
      </w:r>
      <w:r>
        <w:rPr>
          <w:rFonts w:hint="default" w:ascii="Times New Roman" w:hAnsi="Times New Roman" w:cs="Times New Roman" w:eastAsiaTheme="minorEastAsia"/>
          <w:color w:val="auto"/>
          <w:lang w:val="en-US" w:eastAsia="en-US"/>
        </w:rPr>
        <w:t>质量浓度分布图</w:t>
      </w:r>
    </w:p>
    <w:p w14:paraId="2C43A4A6">
      <w:pPr>
        <w:pStyle w:val="20"/>
        <w:snapToGrid w:val="0"/>
        <w:jc w:val="left"/>
        <w:rPr>
          <w:rFonts w:hint="default" w:ascii="Times New Roman" w:hAnsi="Times New Roman" w:cs="Times New Roman" w:eastAsiaTheme="minorEastAsia"/>
          <w:color w:val="auto"/>
          <w:lang w:val="en-US" w:eastAsia="en-US"/>
        </w:rPr>
      </w:pPr>
      <w:r>
        <w:rPr>
          <w:rFonts w:hint="default" w:ascii="Times New Roman" w:hAnsi="Times New Roman" w:cs="Times New Roman" w:eastAsiaTheme="minorEastAsia"/>
          <w:color w:val="auto"/>
          <w:lang w:val="en-US" w:eastAsia="en-US"/>
        </w:rPr>
        <w:t>根据20</w:t>
      </w:r>
      <w:r>
        <w:rPr>
          <w:rFonts w:hint="default" w:ascii="Times New Roman" w:hAnsi="Times New Roman" w:cs="Times New Roman" w:eastAsiaTheme="minorEastAsia"/>
          <w:color w:val="auto"/>
          <w:lang w:val="en-US" w:eastAsia="zh-CN"/>
        </w:rPr>
        <w:t>2</w:t>
      </w:r>
      <w:r>
        <w:rPr>
          <w:rFonts w:hint="eastAsia" w:ascii="Times New Roman" w:hAnsi="Times New Roman" w:cs="Times New Roman" w:eastAsiaTheme="minorEastAsia"/>
          <w:color w:val="auto"/>
          <w:lang w:val="en-US" w:eastAsia="zh-CN"/>
        </w:rPr>
        <w:t>5</w:t>
      </w:r>
      <w:r>
        <w:rPr>
          <w:rFonts w:hint="default" w:ascii="Times New Roman" w:hAnsi="Times New Roman" w:cs="Times New Roman" w:eastAsiaTheme="minorEastAsia"/>
          <w:color w:val="auto"/>
          <w:lang w:val="en-US" w:eastAsia="en-US"/>
        </w:rPr>
        <w:t>年预测气象条件，叠加现状浓度后日平均质量浓度分布，见图5</w:t>
      </w:r>
      <w:r>
        <w:rPr>
          <w:rFonts w:hint="default"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en-US"/>
        </w:rPr>
        <w:t>2-</w:t>
      </w:r>
      <w:r>
        <w:rPr>
          <w:rFonts w:hint="default" w:ascii="Times New Roman" w:hAnsi="Times New Roman" w:cs="Times New Roman" w:eastAsiaTheme="minorEastAsia"/>
          <w:color w:val="auto"/>
          <w:lang w:val="en-US" w:eastAsia="zh-CN"/>
        </w:rPr>
        <w:t>1</w:t>
      </w:r>
      <w:r>
        <w:rPr>
          <w:rFonts w:hint="eastAsia" w:ascii="Times New Roman" w:hAnsi="Times New Roman" w:cs="Times New Roman" w:eastAsiaTheme="minorEastAsia"/>
          <w:color w:val="auto"/>
          <w:lang w:val="en-US" w:eastAsia="zh-CN"/>
        </w:rPr>
        <w:t>8</w:t>
      </w:r>
      <w:r>
        <w:rPr>
          <w:rFonts w:hint="default" w:ascii="Times New Roman" w:hAnsi="Times New Roman" w:cs="Times New Roman" w:eastAsiaTheme="minorEastAsia"/>
          <w:color w:val="auto"/>
          <w:lang w:val="en-US" w:eastAsia="en-US"/>
        </w:rPr>
        <w:t>。</w:t>
      </w:r>
    </w:p>
    <w:p w14:paraId="21A47FE8">
      <w:pPr>
        <w:pStyle w:val="17"/>
      </w:pPr>
    </w:p>
    <w:p w14:paraId="4D5E430F">
      <w:pPr>
        <w:adjustRightInd w:val="0"/>
        <w:snapToGrid w:val="0"/>
        <w:spacing w:before="250" w:beforeLines="50"/>
        <w:jc w:val="center"/>
        <w:rPr>
          <w:rFonts w:hint="default" w:ascii="Times New Roman" w:hAnsi="Times New Roman" w:cs="Times New Roman" w:eastAsiaTheme="minorEastAsia"/>
          <w:b/>
          <w:szCs w:val="21"/>
          <w:lang w:val="en-US" w:eastAsia="en-US"/>
        </w:rPr>
      </w:pPr>
      <w:r>
        <w:rPr>
          <w:rFonts w:hint="default" w:ascii="Times New Roman" w:hAnsi="Times New Roman" w:cs="Times New Roman" w:eastAsiaTheme="minorEastAsia"/>
          <w:b/>
          <w:szCs w:val="21"/>
          <w:lang w:val="en-US" w:eastAsia="en-US"/>
        </w:rPr>
        <w:t>图5</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2-</w:t>
      </w:r>
      <w:r>
        <w:rPr>
          <w:rFonts w:hint="default" w:ascii="Times New Roman" w:hAnsi="Times New Roman" w:cs="Times New Roman" w:eastAsiaTheme="minorEastAsia"/>
          <w:b/>
          <w:szCs w:val="21"/>
          <w:lang w:val="en-US" w:eastAsia="zh-CN"/>
        </w:rPr>
        <w:t>1</w:t>
      </w:r>
      <w:r>
        <w:rPr>
          <w:rFonts w:hint="eastAsia" w:ascii="Times New Roman" w:hAnsi="Times New Roman" w:cs="Times New Roman"/>
          <w:b/>
          <w:szCs w:val="21"/>
          <w:lang w:val="en-US" w:eastAsia="zh-CN"/>
        </w:rPr>
        <w:t>8</w:t>
      </w:r>
      <w:r>
        <w:rPr>
          <w:rFonts w:hint="default" w:ascii="Times New Roman" w:hAnsi="Times New Roman" w:cs="Times New Roman" w:eastAsiaTheme="minorEastAsia"/>
          <w:b/>
          <w:szCs w:val="21"/>
          <w:lang w:val="en-US" w:eastAsia="en-US"/>
        </w:rPr>
        <w:t>叠加现状浓度后</w:t>
      </w:r>
      <w:r>
        <w:rPr>
          <w:rFonts w:hint="eastAsia" w:ascii="Times New Roman" w:hAnsi="Times New Roman" w:cs="Times New Roman"/>
          <w:b/>
          <w:szCs w:val="21"/>
          <w:lang w:val="en-US" w:eastAsia="zh-CN"/>
        </w:rPr>
        <w:t>HCl</w:t>
      </w:r>
      <w:r>
        <w:rPr>
          <w:rFonts w:hint="default" w:ascii="Times New Roman" w:hAnsi="Times New Roman" w:cs="Times New Roman" w:eastAsiaTheme="minorEastAsia"/>
          <w:b/>
          <w:szCs w:val="21"/>
          <w:lang w:val="en-US" w:eastAsia="en-US"/>
        </w:rPr>
        <w:t>日平均质量浓度分布图</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单位</w:t>
      </w:r>
      <w:r>
        <w:rPr>
          <w:rFonts w:hint="default" w:ascii="Times New Roman" w:hAnsi="Times New Roman" w:cs="Times New Roman" w:eastAsiaTheme="minorEastAsia"/>
          <w:b/>
          <w:szCs w:val="21"/>
          <w:lang w:val="en-US" w:eastAsia="zh-CN"/>
        </w:rPr>
        <w:t>：μ</w:t>
      </w:r>
      <w:r>
        <w:rPr>
          <w:rFonts w:hint="default" w:ascii="Times New Roman" w:hAnsi="Times New Roman" w:cs="Times New Roman" w:eastAsiaTheme="minorEastAsia"/>
          <w:b/>
          <w:szCs w:val="21"/>
          <w:lang w:val="en-US" w:eastAsia="en-US"/>
        </w:rPr>
        <w:t>g/m</w:t>
      </w:r>
      <w:r>
        <w:rPr>
          <w:rFonts w:hint="default" w:ascii="Times New Roman" w:hAnsi="Times New Roman" w:cs="Times New Roman" w:eastAsiaTheme="minorEastAsia"/>
          <w:b/>
          <w:szCs w:val="21"/>
          <w:vertAlign w:val="superscript"/>
          <w:lang w:val="en-US" w:eastAsia="en-US"/>
        </w:rPr>
        <w:t>3</w:t>
      </w:r>
      <w:r>
        <w:rPr>
          <w:rFonts w:hint="default" w:ascii="Times New Roman" w:hAnsi="Times New Roman" w:cs="Times New Roman" w:eastAsiaTheme="minorEastAsia"/>
          <w:b/>
          <w:szCs w:val="21"/>
          <w:vertAlign w:val="baseline"/>
          <w:lang w:val="en-US" w:eastAsia="zh-CN"/>
        </w:rPr>
        <w:t>）</w:t>
      </w:r>
    </w:p>
    <w:p w14:paraId="69294941">
      <w:pPr>
        <w:pStyle w:val="17"/>
        <w:rPr>
          <w:rFonts w:hint="default" w:eastAsia="宋体"/>
          <w:lang w:val="en-US" w:eastAsia="zh-CN"/>
        </w:rPr>
        <w:sectPr>
          <w:pgSz w:w="11906" w:h="16838"/>
          <w:pgMar w:top="1440" w:right="1800" w:bottom="1440" w:left="1800" w:header="851" w:footer="992" w:gutter="0"/>
          <w:pgNumType w:fmt="decimal"/>
          <w:cols w:space="425" w:num="1"/>
          <w:docGrid w:type="lines" w:linePitch="312" w:charSpace="0"/>
        </w:sectPr>
      </w:pPr>
    </w:p>
    <w:p w14:paraId="10E5DA28">
      <w:pPr>
        <w:pStyle w:val="20"/>
        <w:snapToGrid w:val="0"/>
        <w:jc w:val="left"/>
        <w:rPr>
          <w:rFonts w:hint="default" w:ascii="Times New Roman" w:hAnsi="Times New Roman" w:cs="Times New Roman" w:eastAsiaTheme="minorEastAsia"/>
          <w:color w:val="auto"/>
          <w:lang w:val="en-US" w:eastAsia="en-US"/>
        </w:rPr>
      </w:pPr>
      <w:r>
        <w:rPr>
          <w:rFonts w:hint="eastAsia" w:ascii="微软雅黑" w:hAnsi="微软雅黑" w:eastAsia="微软雅黑" w:cs="微软雅黑"/>
          <w:color w:val="auto"/>
          <w:lang w:val="en-US" w:eastAsia="en-US"/>
        </w:rPr>
        <w:t>⑦</w:t>
      </w:r>
      <w:r>
        <w:rPr>
          <w:rFonts w:hint="eastAsia" w:ascii="Times New Roman" w:hAnsi="Times New Roman" w:cs="Times New Roman" w:eastAsiaTheme="minorEastAsia"/>
          <w:color w:val="auto"/>
          <w:lang w:val="en-US" w:eastAsia="zh-CN"/>
        </w:rPr>
        <w:t>Hg</w:t>
      </w:r>
      <w:r>
        <w:rPr>
          <w:rFonts w:hint="default" w:ascii="Times New Roman" w:hAnsi="Times New Roman" w:cs="Times New Roman" w:eastAsiaTheme="minorEastAsia"/>
          <w:color w:val="auto"/>
          <w:lang w:val="en-US" w:eastAsia="en-US"/>
        </w:rPr>
        <w:t>质量浓度分布图</w:t>
      </w:r>
    </w:p>
    <w:p w14:paraId="1E53280D">
      <w:pPr>
        <w:pStyle w:val="20"/>
        <w:snapToGrid w:val="0"/>
        <w:jc w:val="left"/>
      </w:pPr>
      <w:r>
        <w:rPr>
          <w:rFonts w:hint="default" w:ascii="Times New Roman" w:hAnsi="Times New Roman" w:cs="Times New Roman" w:eastAsiaTheme="minorEastAsia"/>
          <w:color w:val="auto"/>
          <w:lang w:val="en-US" w:eastAsia="en-US"/>
        </w:rPr>
        <w:t>根据20</w:t>
      </w:r>
      <w:r>
        <w:rPr>
          <w:rFonts w:hint="default" w:ascii="Times New Roman" w:hAnsi="Times New Roman" w:cs="Times New Roman" w:eastAsiaTheme="minorEastAsia"/>
          <w:color w:val="auto"/>
          <w:lang w:val="en-US" w:eastAsia="zh-CN"/>
        </w:rPr>
        <w:t>2</w:t>
      </w:r>
      <w:r>
        <w:rPr>
          <w:rFonts w:hint="eastAsia" w:ascii="Times New Roman" w:hAnsi="Times New Roman" w:cs="Times New Roman" w:eastAsiaTheme="minorEastAsia"/>
          <w:color w:val="auto"/>
          <w:lang w:val="en-US" w:eastAsia="zh-CN"/>
        </w:rPr>
        <w:t>5</w:t>
      </w:r>
      <w:r>
        <w:rPr>
          <w:rFonts w:hint="default" w:ascii="Times New Roman" w:hAnsi="Times New Roman" w:cs="Times New Roman" w:eastAsiaTheme="minorEastAsia"/>
          <w:color w:val="auto"/>
          <w:lang w:val="en-US" w:eastAsia="en-US"/>
        </w:rPr>
        <w:t>年预测气象条件，叠加现状浓度后</w:t>
      </w:r>
      <w:r>
        <w:rPr>
          <w:rFonts w:hint="eastAsia" w:ascii="Times New Roman" w:hAnsi="Times New Roman" w:cs="Times New Roman" w:eastAsiaTheme="minorEastAsia"/>
          <w:color w:val="auto"/>
          <w:lang w:val="en-US" w:eastAsia="zh-CN"/>
        </w:rPr>
        <w:t>年</w:t>
      </w:r>
      <w:r>
        <w:rPr>
          <w:rFonts w:hint="default" w:ascii="Times New Roman" w:hAnsi="Times New Roman" w:cs="Times New Roman" w:eastAsiaTheme="minorEastAsia"/>
          <w:color w:val="auto"/>
          <w:lang w:val="en-US" w:eastAsia="en-US"/>
        </w:rPr>
        <w:t>平均质量浓度分布，见图5</w:t>
      </w:r>
      <w:r>
        <w:rPr>
          <w:rFonts w:hint="default"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en-US"/>
        </w:rPr>
        <w:t>2-</w:t>
      </w:r>
      <w:r>
        <w:rPr>
          <w:rFonts w:hint="default" w:ascii="Times New Roman" w:hAnsi="Times New Roman" w:cs="Times New Roman" w:eastAsiaTheme="minorEastAsia"/>
          <w:color w:val="auto"/>
          <w:lang w:val="en-US" w:eastAsia="zh-CN"/>
        </w:rPr>
        <w:t>1</w:t>
      </w:r>
      <w:r>
        <w:rPr>
          <w:rFonts w:hint="eastAsia" w:ascii="Times New Roman" w:hAnsi="Times New Roman" w:cs="Times New Roman" w:eastAsiaTheme="minorEastAsia"/>
          <w:color w:val="auto"/>
          <w:lang w:val="en-US" w:eastAsia="zh-CN"/>
        </w:rPr>
        <w:t>9</w:t>
      </w:r>
      <w:r>
        <w:rPr>
          <w:rFonts w:hint="default" w:ascii="Times New Roman" w:hAnsi="Times New Roman" w:cs="Times New Roman" w:eastAsiaTheme="minorEastAsia"/>
          <w:color w:val="auto"/>
          <w:lang w:val="en-US" w:eastAsia="en-US"/>
        </w:rPr>
        <w:t>。</w:t>
      </w:r>
    </w:p>
    <w:p w14:paraId="79FE3A4C">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en-US"/>
        </w:rPr>
        <w:t>图5</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2-</w:t>
      </w:r>
      <w:r>
        <w:rPr>
          <w:rFonts w:hint="default" w:ascii="Times New Roman" w:hAnsi="Times New Roman" w:cs="Times New Roman" w:eastAsiaTheme="minorEastAsia"/>
          <w:b/>
          <w:szCs w:val="21"/>
          <w:lang w:val="en-US" w:eastAsia="zh-CN"/>
        </w:rPr>
        <w:t>1</w:t>
      </w:r>
      <w:r>
        <w:rPr>
          <w:rFonts w:hint="eastAsia" w:ascii="Times New Roman" w:hAnsi="Times New Roman" w:cs="Times New Roman"/>
          <w:b/>
          <w:szCs w:val="21"/>
          <w:lang w:val="en-US" w:eastAsia="zh-CN"/>
        </w:rPr>
        <w:t>9</w:t>
      </w:r>
      <w:r>
        <w:rPr>
          <w:rFonts w:hint="default" w:ascii="Times New Roman" w:hAnsi="Times New Roman" w:cs="Times New Roman" w:eastAsiaTheme="minorEastAsia"/>
          <w:b/>
          <w:szCs w:val="21"/>
          <w:lang w:val="en-US" w:eastAsia="en-US"/>
        </w:rPr>
        <w:t>叠加现状浓度后</w:t>
      </w:r>
      <w:r>
        <w:rPr>
          <w:rFonts w:hint="eastAsia" w:ascii="Times New Roman" w:hAnsi="Times New Roman" w:cs="Times New Roman"/>
          <w:b/>
          <w:szCs w:val="21"/>
          <w:lang w:val="en-US" w:eastAsia="zh-CN"/>
        </w:rPr>
        <w:t>Hg年</w:t>
      </w:r>
      <w:r>
        <w:rPr>
          <w:rFonts w:hint="default" w:ascii="Times New Roman" w:hAnsi="Times New Roman" w:cs="Times New Roman" w:eastAsiaTheme="minorEastAsia"/>
          <w:b/>
          <w:szCs w:val="21"/>
          <w:lang w:val="en-US" w:eastAsia="en-US"/>
        </w:rPr>
        <w:t>平均质量浓度分布图</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单位</w:t>
      </w:r>
      <w:r>
        <w:rPr>
          <w:rFonts w:hint="default" w:ascii="Times New Roman" w:hAnsi="Times New Roman" w:cs="Times New Roman" w:eastAsiaTheme="minorEastAsia"/>
          <w:b/>
          <w:szCs w:val="21"/>
          <w:lang w:val="en-US" w:eastAsia="zh-CN"/>
        </w:rPr>
        <w:t>：μ</w:t>
      </w:r>
      <w:r>
        <w:rPr>
          <w:rFonts w:hint="default" w:ascii="Times New Roman" w:hAnsi="Times New Roman" w:cs="Times New Roman" w:eastAsiaTheme="minorEastAsia"/>
          <w:b/>
          <w:szCs w:val="21"/>
          <w:lang w:val="en-US" w:eastAsia="en-US"/>
        </w:rPr>
        <w:t>g/m</w:t>
      </w:r>
      <w:r>
        <w:rPr>
          <w:rFonts w:hint="default" w:ascii="Times New Roman" w:hAnsi="Times New Roman" w:cs="Times New Roman" w:eastAsiaTheme="minorEastAsia"/>
          <w:b/>
          <w:szCs w:val="21"/>
          <w:vertAlign w:val="superscript"/>
          <w:lang w:val="en-US" w:eastAsia="en-US"/>
        </w:rPr>
        <w:t>3</w:t>
      </w:r>
      <w:r>
        <w:rPr>
          <w:rFonts w:hint="default" w:ascii="Times New Roman" w:hAnsi="Times New Roman" w:cs="Times New Roman" w:eastAsiaTheme="minorEastAsia"/>
          <w:b/>
          <w:szCs w:val="21"/>
          <w:vertAlign w:val="baseline"/>
          <w:lang w:val="en-US" w:eastAsia="zh-CN"/>
        </w:rPr>
        <w:t>）</w:t>
      </w:r>
    </w:p>
    <w:p w14:paraId="24A94205">
      <w:pPr>
        <w:pStyle w:val="20"/>
        <w:snapToGrid w:val="0"/>
        <w:jc w:val="left"/>
        <w:rPr>
          <w:rFonts w:hint="default" w:ascii="Times New Roman" w:hAnsi="Times New Roman" w:cs="Times New Roman" w:eastAsiaTheme="minorEastAsia"/>
          <w:color w:val="auto"/>
          <w:lang w:val="en-US" w:eastAsia="en-US"/>
        </w:rPr>
      </w:pPr>
      <w:r>
        <w:rPr>
          <w:rFonts w:hint="eastAsia" w:ascii="微软雅黑" w:hAnsi="微软雅黑" w:eastAsia="微软雅黑" w:cs="微软雅黑"/>
          <w:color w:val="auto"/>
          <w:lang w:val="en-US" w:eastAsia="en-US"/>
        </w:rPr>
        <w:t>⑧</w:t>
      </w:r>
      <w:r>
        <w:rPr>
          <w:rFonts w:hint="eastAsia" w:ascii="Times New Roman" w:hAnsi="Times New Roman" w:cs="Times New Roman" w:eastAsiaTheme="minorEastAsia"/>
          <w:color w:val="auto"/>
          <w:lang w:val="en-US" w:eastAsia="zh-CN"/>
        </w:rPr>
        <w:t>Pb</w:t>
      </w:r>
      <w:r>
        <w:rPr>
          <w:rFonts w:hint="default" w:ascii="Times New Roman" w:hAnsi="Times New Roman" w:cs="Times New Roman" w:eastAsiaTheme="minorEastAsia"/>
          <w:color w:val="auto"/>
          <w:lang w:val="en-US" w:eastAsia="en-US"/>
        </w:rPr>
        <w:t>质量浓度分布图</w:t>
      </w:r>
    </w:p>
    <w:p w14:paraId="020DF994">
      <w:pPr>
        <w:pStyle w:val="20"/>
        <w:snapToGrid w:val="0"/>
        <w:jc w:val="left"/>
        <w:rPr>
          <w:rFonts w:hint="default" w:ascii="Times New Roman" w:hAnsi="Times New Roman" w:cs="Times New Roman" w:eastAsiaTheme="minorEastAsia"/>
          <w:color w:val="auto"/>
          <w:lang w:val="en-US" w:eastAsia="en-US"/>
        </w:rPr>
      </w:pPr>
      <w:r>
        <w:rPr>
          <w:rFonts w:hint="default" w:ascii="Times New Roman" w:hAnsi="Times New Roman" w:cs="Times New Roman" w:eastAsiaTheme="minorEastAsia"/>
          <w:color w:val="auto"/>
          <w:lang w:val="en-US" w:eastAsia="en-US"/>
        </w:rPr>
        <w:t>根据20</w:t>
      </w:r>
      <w:r>
        <w:rPr>
          <w:rFonts w:hint="default" w:ascii="Times New Roman" w:hAnsi="Times New Roman" w:cs="Times New Roman" w:eastAsiaTheme="minorEastAsia"/>
          <w:color w:val="auto"/>
          <w:lang w:val="en-US" w:eastAsia="zh-CN"/>
        </w:rPr>
        <w:t>2</w:t>
      </w:r>
      <w:r>
        <w:rPr>
          <w:rFonts w:hint="eastAsia" w:ascii="Times New Roman" w:hAnsi="Times New Roman" w:cs="Times New Roman" w:eastAsiaTheme="minorEastAsia"/>
          <w:color w:val="auto"/>
          <w:lang w:val="en-US" w:eastAsia="zh-CN"/>
        </w:rPr>
        <w:t>5</w:t>
      </w:r>
      <w:r>
        <w:rPr>
          <w:rFonts w:hint="default" w:ascii="Times New Roman" w:hAnsi="Times New Roman" w:cs="Times New Roman" w:eastAsiaTheme="minorEastAsia"/>
          <w:color w:val="auto"/>
          <w:lang w:val="en-US" w:eastAsia="en-US"/>
        </w:rPr>
        <w:t>年预测气象条件，叠加现状浓度后</w:t>
      </w:r>
      <w:r>
        <w:rPr>
          <w:rFonts w:hint="eastAsia" w:ascii="Times New Roman" w:hAnsi="Times New Roman" w:cs="Times New Roman" w:eastAsiaTheme="minorEastAsia"/>
          <w:color w:val="auto"/>
          <w:lang w:val="en-US" w:eastAsia="zh-CN"/>
        </w:rPr>
        <w:t>年</w:t>
      </w:r>
      <w:r>
        <w:rPr>
          <w:rFonts w:hint="default" w:ascii="Times New Roman" w:hAnsi="Times New Roman" w:cs="Times New Roman" w:eastAsiaTheme="minorEastAsia"/>
          <w:color w:val="auto"/>
          <w:lang w:val="en-US" w:eastAsia="en-US"/>
        </w:rPr>
        <w:t>平均质量浓度分布，见图5</w:t>
      </w:r>
      <w:r>
        <w:rPr>
          <w:rFonts w:hint="default"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en-US"/>
        </w:rPr>
        <w:t>2-</w:t>
      </w:r>
      <w:r>
        <w:rPr>
          <w:rFonts w:hint="eastAsia" w:ascii="Times New Roman" w:hAnsi="Times New Roman" w:cs="Times New Roman" w:eastAsiaTheme="minorEastAsia"/>
          <w:color w:val="auto"/>
          <w:lang w:val="en-US" w:eastAsia="zh-CN"/>
        </w:rPr>
        <w:t>20</w:t>
      </w:r>
      <w:r>
        <w:rPr>
          <w:rFonts w:hint="default" w:ascii="Times New Roman" w:hAnsi="Times New Roman" w:cs="Times New Roman" w:eastAsiaTheme="minorEastAsia"/>
          <w:color w:val="auto"/>
          <w:lang w:val="en-US" w:eastAsia="en-US"/>
        </w:rPr>
        <w:t>。</w:t>
      </w:r>
    </w:p>
    <w:p w14:paraId="2DFBDC1E">
      <w:pPr>
        <w:adjustRightInd w:val="0"/>
        <w:snapToGrid w:val="0"/>
        <w:spacing w:before="250" w:beforeLines="50"/>
        <w:jc w:val="center"/>
      </w:pPr>
    </w:p>
    <w:p w14:paraId="71CDF052">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en-US"/>
        </w:rPr>
        <w:t>图5</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2-</w:t>
      </w:r>
      <w:r>
        <w:rPr>
          <w:rFonts w:hint="eastAsia" w:ascii="Times New Roman" w:hAnsi="Times New Roman" w:cs="Times New Roman" w:eastAsiaTheme="minorEastAsia"/>
          <w:b/>
          <w:szCs w:val="21"/>
          <w:lang w:val="en-US" w:eastAsia="zh-CN"/>
        </w:rPr>
        <w:t>20</w:t>
      </w:r>
      <w:r>
        <w:rPr>
          <w:rFonts w:hint="default" w:ascii="Times New Roman" w:hAnsi="Times New Roman" w:cs="Times New Roman" w:eastAsiaTheme="minorEastAsia"/>
          <w:b/>
          <w:szCs w:val="21"/>
          <w:lang w:val="en-US" w:eastAsia="en-US"/>
        </w:rPr>
        <w:t>叠加现状浓度后</w:t>
      </w:r>
      <w:r>
        <w:rPr>
          <w:rFonts w:hint="eastAsia" w:ascii="Times New Roman" w:hAnsi="Times New Roman" w:cs="Times New Roman" w:eastAsiaTheme="minorEastAsia"/>
          <w:b/>
          <w:szCs w:val="21"/>
          <w:lang w:val="en-US" w:eastAsia="zh-CN"/>
        </w:rPr>
        <w:t>Pb年</w:t>
      </w:r>
      <w:r>
        <w:rPr>
          <w:rFonts w:hint="default" w:ascii="Times New Roman" w:hAnsi="Times New Roman" w:cs="Times New Roman" w:eastAsiaTheme="minorEastAsia"/>
          <w:b/>
          <w:szCs w:val="21"/>
          <w:lang w:val="en-US" w:eastAsia="en-US"/>
        </w:rPr>
        <w:t>平均质量浓度分布图</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单位</w:t>
      </w:r>
      <w:r>
        <w:rPr>
          <w:rFonts w:hint="default" w:ascii="Times New Roman" w:hAnsi="Times New Roman" w:cs="Times New Roman" w:eastAsiaTheme="minorEastAsia"/>
          <w:b/>
          <w:szCs w:val="21"/>
          <w:lang w:val="en-US" w:eastAsia="zh-CN"/>
        </w:rPr>
        <w:t>：μ</w:t>
      </w:r>
      <w:r>
        <w:rPr>
          <w:rFonts w:hint="default" w:ascii="Times New Roman" w:hAnsi="Times New Roman" w:cs="Times New Roman" w:eastAsiaTheme="minorEastAsia"/>
          <w:b/>
          <w:szCs w:val="21"/>
          <w:lang w:val="en-US" w:eastAsia="en-US"/>
        </w:rPr>
        <w:t>g/m</w:t>
      </w:r>
      <w:r>
        <w:rPr>
          <w:rFonts w:hint="default" w:ascii="Times New Roman" w:hAnsi="Times New Roman" w:cs="Times New Roman" w:eastAsiaTheme="minorEastAsia"/>
          <w:b/>
          <w:szCs w:val="21"/>
          <w:vertAlign w:val="superscript"/>
          <w:lang w:val="en-US" w:eastAsia="en-US"/>
        </w:rPr>
        <w:t>3</w:t>
      </w:r>
      <w:r>
        <w:rPr>
          <w:rFonts w:hint="default" w:ascii="Times New Roman" w:hAnsi="Times New Roman" w:cs="Times New Roman" w:eastAsiaTheme="minorEastAsia"/>
          <w:b/>
          <w:szCs w:val="21"/>
          <w:lang w:val="en-US" w:eastAsia="zh-CN"/>
        </w:rPr>
        <w:t>）</w:t>
      </w:r>
    </w:p>
    <w:p w14:paraId="4C4E7F2B">
      <w:pPr>
        <w:pStyle w:val="20"/>
        <w:snapToGrid w:val="0"/>
        <w:ind w:left="0" w:leftChars="0" w:firstLine="480" w:firstLineChars="200"/>
        <w:jc w:val="left"/>
        <w:rPr>
          <w:rFonts w:hint="default" w:ascii="Times New Roman" w:hAnsi="Times New Roman" w:cs="Times New Roman" w:eastAsiaTheme="minorEastAsia"/>
          <w:color w:val="auto"/>
          <w:lang w:val="en-US" w:eastAsia="zh-CN"/>
        </w:rPr>
        <w:sectPr>
          <w:pgSz w:w="11906" w:h="16838"/>
          <w:pgMar w:top="1440" w:right="1800" w:bottom="1440" w:left="1800" w:header="851" w:footer="992" w:gutter="0"/>
          <w:pgNumType w:fmt="decimal"/>
          <w:cols w:space="425" w:num="1"/>
          <w:docGrid w:type="lines" w:linePitch="312" w:charSpace="0"/>
        </w:sectPr>
      </w:pPr>
    </w:p>
    <w:p w14:paraId="1395AAB3">
      <w:pPr>
        <w:pStyle w:val="20"/>
        <w:snapToGrid w:val="0"/>
        <w:jc w:val="left"/>
        <w:rPr>
          <w:rFonts w:hint="default" w:ascii="Times New Roman" w:hAnsi="Times New Roman" w:cs="Times New Roman" w:eastAsiaTheme="minorEastAsia"/>
          <w:color w:val="auto"/>
          <w:lang w:val="en-US" w:eastAsia="en-US"/>
        </w:rPr>
      </w:pPr>
      <w:r>
        <w:rPr>
          <w:rFonts w:hint="eastAsia" w:ascii="微软雅黑" w:hAnsi="微软雅黑" w:eastAsia="微软雅黑" w:cs="微软雅黑"/>
          <w:color w:val="auto"/>
          <w:lang w:val="en-US" w:eastAsia="en-US"/>
        </w:rPr>
        <w:t>⑨</w:t>
      </w:r>
      <w:r>
        <w:rPr>
          <w:rFonts w:hint="eastAsia" w:ascii="Times New Roman" w:hAnsi="Times New Roman" w:cs="Times New Roman" w:eastAsiaTheme="minorEastAsia"/>
          <w:color w:val="auto"/>
          <w:lang w:val="en-US" w:eastAsia="zh-CN"/>
        </w:rPr>
        <w:t>As</w:t>
      </w:r>
      <w:r>
        <w:rPr>
          <w:rFonts w:hint="default" w:ascii="Times New Roman" w:hAnsi="Times New Roman" w:cs="Times New Roman" w:eastAsiaTheme="minorEastAsia"/>
          <w:color w:val="auto"/>
          <w:lang w:val="en-US" w:eastAsia="en-US"/>
        </w:rPr>
        <w:t>质量浓度分布图</w:t>
      </w:r>
    </w:p>
    <w:p w14:paraId="332A411E">
      <w:pPr>
        <w:pStyle w:val="20"/>
        <w:snapToGrid w:val="0"/>
        <w:jc w:val="left"/>
      </w:pPr>
      <w:r>
        <w:rPr>
          <w:rFonts w:hint="default" w:ascii="Times New Roman" w:hAnsi="Times New Roman" w:cs="Times New Roman" w:eastAsiaTheme="minorEastAsia"/>
          <w:color w:val="auto"/>
          <w:lang w:val="en-US" w:eastAsia="en-US"/>
        </w:rPr>
        <w:t>根据20</w:t>
      </w:r>
      <w:r>
        <w:rPr>
          <w:rFonts w:hint="default" w:ascii="Times New Roman" w:hAnsi="Times New Roman" w:cs="Times New Roman" w:eastAsiaTheme="minorEastAsia"/>
          <w:color w:val="auto"/>
          <w:lang w:val="en-US" w:eastAsia="zh-CN"/>
        </w:rPr>
        <w:t>2</w:t>
      </w:r>
      <w:r>
        <w:rPr>
          <w:rFonts w:hint="eastAsia" w:ascii="Times New Roman" w:hAnsi="Times New Roman" w:cs="Times New Roman" w:eastAsiaTheme="minorEastAsia"/>
          <w:color w:val="auto"/>
          <w:lang w:val="en-US" w:eastAsia="zh-CN"/>
        </w:rPr>
        <w:t>5</w:t>
      </w:r>
      <w:r>
        <w:rPr>
          <w:rFonts w:hint="default" w:ascii="Times New Roman" w:hAnsi="Times New Roman" w:cs="Times New Roman" w:eastAsiaTheme="minorEastAsia"/>
          <w:color w:val="auto"/>
          <w:lang w:val="en-US" w:eastAsia="en-US"/>
        </w:rPr>
        <w:t>年预测气象条件，叠加现状浓度后</w:t>
      </w:r>
      <w:r>
        <w:rPr>
          <w:rFonts w:hint="eastAsia" w:ascii="Times New Roman" w:hAnsi="Times New Roman" w:cs="Times New Roman" w:eastAsiaTheme="minorEastAsia"/>
          <w:color w:val="auto"/>
          <w:lang w:val="en-US" w:eastAsia="zh-CN"/>
        </w:rPr>
        <w:t>年</w:t>
      </w:r>
      <w:r>
        <w:rPr>
          <w:rFonts w:hint="default" w:ascii="Times New Roman" w:hAnsi="Times New Roman" w:cs="Times New Roman" w:eastAsiaTheme="minorEastAsia"/>
          <w:color w:val="auto"/>
          <w:lang w:val="en-US" w:eastAsia="en-US"/>
        </w:rPr>
        <w:t>平均质量浓度分布，见图5</w:t>
      </w:r>
      <w:r>
        <w:rPr>
          <w:rFonts w:hint="default"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en-US"/>
        </w:rPr>
        <w:t>2-</w:t>
      </w:r>
      <w:r>
        <w:rPr>
          <w:rFonts w:hint="eastAsia" w:ascii="Times New Roman" w:hAnsi="Times New Roman" w:cs="Times New Roman" w:eastAsiaTheme="minorEastAsia"/>
          <w:color w:val="auto"/>
          <w:lang w:val="en-US" w:eastAsia="zh-CN"/>
        </w:rPr>
        <w:t>21</w:t>
      </w:r>
      <w:r>
        <w:rPr>
          <w:rFonts w:hint="default" w:ascii="Times New Roman" w:hAnsi="Times New Roman" w:cs="Times New Roman" w:eastAsiaTheme="minorEastAsia"/>
          <w:color w:val="auto"/>
          <w:lang w:val="en-US" w:eastAsia="en-US"/>
        </w:rPr>
        <w:t>。</w:t>
      </w:r>
    </w:p>
    <w:p w14:paraId="6173AF49">
      <w:pPr>
        <w:adjustRightInd w:val="0"/>
        <w:snapToGrid w:val="0"/>
        <w:spacing w:before="250" w:beforeLines="50"/>
        <w:jc w:val="center"/>
      </w:pPr>
    </w:p>
    <w:p w14:paraId="537F073F">
      <w:pPr>
        <w:adjustRightInd w:val="0"/>
        <w:snapToGrid w:val="0"/>
        <w:spacing w:before="250" w:beforeLines="50"/>
        <w:jc w:val="center"/>
        <w:rPr>
          <w:rFonts w:hint="default" w:ascii="Times New Roman" w:hAnsi="Times New Roman" w:cs="Times New Roman" w:eastAsiaTheme="minorEastAsia"/>
          <w:b/>
          <w:szCs w:val="21"/>
          <w:lang w:val="en-US" w:eastAsia="en-US"/>
        </w:rPr>
      </w:pPr>
      <w:r>
        <w:rPr>
          <w:rFonts w:hint="default" w:ascii="Times New Roman" w:hAnsi="Times New Roman" w:cs="Times New Roman" w:eastAsiaTheme="minorEastAsia"/>
          <w:b/>
          <w:szCs w:val="21"/>
          <w:lang w:val="en-US" w:eastAsia="en-US"/>
        </w:rPr>
        <w:t>图5</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2-</w:t>
      </w:r>
      <w:r>
        <w:rPr>
          <w:rFonts w:hint="eastAsia" w:ascii="Times New Roman" w:hAnsi="Times New Roman" w:cs="Times New Roman"/>
          <w:b/>
          <w:szCs w:val="21"/>
          <w:lang w:val="en-US" w:eastAsia="zh-CN"/>
        </w:rPr>
        <w:t>21</w:t>
      </w:r>
      <w:r>
        <w:rPr>
          <w:rFonts w:hint="default" w:ascii="Times New Roman" w:hAnsi="Times New Roman" w:cs="Times New Roman" w:eastAsiaTheme="minorEastAsia"/>
          <w:b/>
          <w:szCs w:val="21"/>
          <w:lang w:val="en-US" w:eastAsia="en-US"/>
        </w:rPr>
        <w:t>叠加现状浓度后</w:t>
      </w:r>
      <w:r>
        <w:rPr>
          <w:rFonts w:hint="eastAsia" w:ascii="Times New Roman" w:hAnsi="Times New Roman" w:cs="Times New Roman"/>
          <w:b/>
          <w:szCs w:val="21"/>
          <w:lang w:val="en-US" w:eastAsia="zh-CN"/>
        </w:rPr>
        <w:t>As年</w:t>
      </w:r>
      <w:r>
        <w:rPr>
          <w:rFonts w:hint="default" w:ascii="Times New Roman" w:hAnsi="Times New Roman" w:cs="Times New Roman" w:eastAsiaTheme="minorEastAsia"/>
          <w:b/>
          <w:szCs w:val="21"/>
          <w:lang w:val="en-US" w:eastAsia="en-US"/>
        </w:rPr>
        <w:t>平均质量浓度分布图</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单位</w:t>
      </w:r>
      <w:r>
        <w:rPr>
          <w:rFonts w:hint="default" w:ascii="Times New Roman" w:hAnsi="Times New Roman" w:cs="Times New Roman" w:eastAsiaTheme="minorEastAsia"/>
          <w:b/>
          <w:szCs w:val="21"/>
          <w:lang w:val="en-US" w:eastAsia="zh-CN"/>
        </w:rPr>
        <w:t>：μ</w:t>
      </w:r>
      <w:r>
        <w:rPr>
          <w:rFonts w:hint="default" w:ascii="Times New Roman" w:hAnsi="Times New Roman" w:cs="Times New Roman" w:eastAsiaTheme="minorEastAsia"/>
          <w:b/>
          <w:szCs w:val="21"/>
          <w:lang w:val="en-US" w:eastAsia="en-US"/>
        </w:rPr>
        <w:t>g/m</w:t>
      </w:r>
      <w:r>
        <w:rPr>
          <w:rFonts w:hint="default" w:ascii="Times New Roman" w:hAnsi="Times New Roman" w:cs="Times New Roman" w:eastAsiaTheme="minorEastAsia"/>
          <w:b/>
          <w:szCs w:val="21"/>
          <w:vertAlign w:val="superscript"/>
          <w:lang w:val="en-US" w:eastAsia="en-US"/>
        </w:rPr>
        <w:t>3</w:t>
      </w:r>
      <w:r>
        <w:rPr>
          <w:rFonts w:hint="default" w:ascii="Times New Roman" w:hAnsi="Times New Roman" w:cs="Times New Roman" w:eastAsiaTheme="minorEastAsia"/>
          <w:b/>
          <w:szCs w:val="21"/>
          <w:vertAlign w:val="baseline"/>
          <w:lang w:val="en-US" w:eastAsia="zh-CN"/>
        </w:rPr>
        <w:t>）</w:t>
      </w:r>
    </w:p>
    <w:p w14:paraId="6DA6E04A">
      <w:pPr>
        <w:pStyle w:val="20"/>
        <w:snapToGrid w:val="0"/>
        <w:ind w:left="0" w:leftChars="0" w:firstLine="480" w:firstLineChars="200"/>
        <w:jc w:val="left"/>
        <w:rPr>
          <w:rFonts w:hint="default" w:ascii="Times New Roman" w:hAnsi="Times New Roman" w:cs="Times New Roman" w:eastAsiaTheme="minorEastAsia"/>
          <w:color w:val="auto"/>
          <w:lang w:val="en-US" w:eastAsia="en-US"/>
        </w:rPr>
      </w:pPr>
      <w:r>
        <w:rPr>
          <w:rFonts w:hint="eastAsia" w:ascii="微软雅黑" w:hAnsi="微软雅黑" w:eastAsia="微软雅黑" w:cs="微软雅黑"/>
          <w:color w:val="auto"/>
          <w:lang w:val="en-US" w:eastAsia="en-US"/>
        </w:rPr>
        <w:t>⑩</w:t>
      </w:r>
      <w:r>
        <w:rPr>
          <w:rFonts w:hint="eastAsia" w:ascii="Times New Roman" w:hAnsi="Times New Roman" w:cs="Times New Roman" w:eastAsiaTheme="minorEastAsia"/>
          <w:color w:val="auto"/>
          <w:lang w:val="en-US" w:eastAsia="zh-CN"/>
        </w:rPr>
        <w:t>Cd</w:t>
      </w:r>
      <w:r>
        <w:rPr>
          <w:rFonts w:hint="default" w:ascii="Times New Roman" w:hAnsi="Times New Roman" w:cs="Times New Roman" w:eastAsiaTheme="minorEastAsia"/>
          <w:color w:val="auto"/>
          <w:lang w:val="en-US" w:eastAsia="en-US"/>
        </w:rPr>
        <w:t>质量浓度分布图</w:t>
      </w:r>
    </w:p>
    <w:p w14:paraId="61CF947B">
      <w:pPr>
        <w:pStyle w:val="20"/>
        <w:snapToGrid w:val="0"/>
        <w:jc w:val="left"/>
        <w:rPr>
          <w:rFonts w:hint="default" w:ascii="Times New Roman" w:hAnsi="Times New Roman" w:cs="Times New Roman" w:eastAsiaTheme="minorEastAsia"/>
          <w:color w:val="auto"/>
          <w:lang w:val="en-US" w:eastAsia="en-US"/>
        </w:rPr>
      </w:pPr>
      <w:r>
        <w:rPr>
          <w:rFonts w:hint="default" w:ascii="Times New Roman" w:hAnsi="Times New Roman" w:cs="Times New Roman" w:eastAsiaTheme="minorEastAsia"/>
          <w:color w:val="auto"/>
          <w:lang w:val="en-US" w:eastAsia="en-US"/>
        </w:rPr>
        <w:t>根据20</w:t>
      </w:r>
      <w:r>
        <w:rPr>
          <w:rFonts w:hint="default" w:ascii="Times New Roman" w:hAnsi="Times New Roman" w:cs="Times New Roman" w:eastAsiaTheme="minorEastAsia"/>
          <w:color w:val="auto"/>
          <w:lang w:val="en-US" w:eastAsia="zh-CN"/>
        </w:rPr>
        <w:t>2</w:t>
      </w:r>
      <w:r>
        <w:rPr>
          <w:rFonts w:hint="eastAsia" w:ascii="Times New Roman" w:hAnsi="Times New Roman" w:cs="Times New Roman" w:eastAsiaTheme="minorEastAsia"/>
          <w:color w:val="auto"/>
          <w:lang w:val="en-US" w:eastAsia="zh-CN"/>
        </w:rPr>
        <w:t>5</w:t>
      </w:r>
      <w:r>
        <w:rPr>
          <w:rFonts w:hint="default" w:ascii="Times New Roman" w:hAnsi="Times New Roman" w:cs="Times New Roman" w:eastAsiaTheme="minorEastAsia"/>
          <w:color w:val="auto"/>
          <w:lang w:val="en-US" w:eastAsia="en-US"/>
        </w:rPr>
        <w:t>年预测气象条件，叠加现状浓度后</w:t>
      </w:r>
      <w:r>
        <w:rPr>
          <w:rFonts w:hint="eastAsia" w:ascii="Times New Roman" w:hAnsi="Times New Roman" w:cs="Times New Roman" w:eastAsiaTheme="minorEastAsia"/>
          <w:color w:val="auto"/>
          <w:lang w:val="en-US" w:eastAsia="zh-CN"/>
        </w:rPr>
        <w:t>年</w:t>
      </w:r>
      <w:r>
        <w:rPr>
          <w:rFonts w:hint="default" w:ascii="Times New Roman" w:hAnsi="Times New Roman" w:cs="Times New Roman" w:eastAsiaTheme="minorEastAsia"/>
          <w:color w:val="auto"/>
          <w:lang w:val="en-US" w:eastAsia="en-US"/>
        </w:rPr>
        <w:t>平均质量浓度分布，见图5</w:t>
      </w:r>
      <w:r>
        <w:rPr>
          <w:rFonts w:hint="default"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en-US"/>
        </w:rPr>
        <w:t>2-</w:t>
      </w:r>
      <w:r>
        <w:rPr>
          <w:rFonts w:hint="eastAsia" w:ascii="Times New Roman" w:hAnsi="Times New Roman" w:cs="Times New Roman" w:eastAsiaTheme="minorEastAsia"/>
          <w:color w:val="auto"/>
          <w:lang w:val="en-US" w:eastAsia="zh-CN"/>
        </w:rPr>
        <w:t>22</w:t>
      </w:r>
      <w:r>
        <w:rPr>
          <w:rFonts w:hint="default" w:ascii="Times New Roman" w:hAnsi="Times New Roman" w:cs="Times New Roman" w:eastAsiaTheme="minorEastAsia"/>
          <w:color w:val="auto"/>
          <w:lang w:val="en-US" w:eastAsia="en-US"/>
        </w:rPr>
        <w:t>。</w:t>
      </w:r>
    </w:p>
    <w:p w14:paraId="0B532CA9">
      <w:pPr>
        <w:pStyle w:val="20"/>
        <w:snapToGrid w:val="0"/>
        <w:jc w:val="both"/>
        <w:rPr>
          <w:rFonts w:hint="default" w:ascii="Times New Roman" w:hAnsi="Times New Roman" w:cs="Times New Roman" w:eastAsiaTheme="minorEastAsia"/>
          <w:color w:val="auto"/>
          <w:lang w:val="en-US" w:eastAsia="en-US"/>
        </w:rPr>
      </w:pPr>
      <w:r>
        <w:rPr>
          <w:rFonts w:hint="default" w:ascii="Times New Roman" w:hAnsi="Times New Roman" w:cs="Times New Roman" w:eastAsiaTheme="minorEastAsia"/>
          <w:b/>
          <w:snapToGrid/>
          <w:color w:val="auto"/>
          <w:kern w:val="2"/>
          <w:sz w:val="21"/>
          <w:szCs w:val="21"/>
          <w:lang w:val="en-US" w:eastAsia="en-US" w:bidi="ar-SA"/>
        </w:rPr>
        <w:t>图5</w:t>
      </w:r>
      <w:r>
        <w:rPr>
          <w:rFonts w:hint="default" w:ascii="Times New Roman" w:hAnsi="Times New Roman" w:cs="Times New Roman" w:eastAsiaTheme="minorEastAsia"/>
          <w:b/>
          <w:snapToGrid/>
          <w:color w:val="auto"/>
          <w:kern w:val="2"/>
          <w:sz w:val="21"/>
          <w:szCs w:val="21"/>
          <w:lang w:val="en-US" w:eastAsia="zh-CN" w:bidi="ar-SA"/>
        </w:rPr>
        <w:t>.</w:t>
      </w:r>
      <w:r>
        <w:rPr>
          <w:rFonts w:hint="default" w:ascii="Times New Roman" w:hAnsi="Times New Roman" w:cs="Times New Roman" w:eastAsiaTheme="minorEastAsia"/>
          <w:b/>
          <w:snapToGrid/>
          <w:color w:val="auto"/>
          <w:kern w:val="2"/>
          <w:sz w:val="21"/>
          <w:szCs w:val="21"/>
          <w:lang w:val="en-US" w:eastAsia="en-US" w:bidi="ar-SA"/>
        </w:rPr>
        <w:t>2-</w:t>
      </w:r>
      <w:r>
        <w:rPr>
          <w:rFonts w:hint="eastAsia" w:ascii="Times New Roman" w:hAnsi="Times New Roman" w:cs="Times New Roman" w:eastAsiaTheme="minorEastAsia"/>
          <w:b/>
          <w:snapToGrid/>
          <w:color w:val="auto"/>
          <w:kern w:val="2"/>
          <w:sz w:val="21"/>
          <w:szCs w:val="21"/>
          <w:lang w:val="en-US" w:eastAsia="zh-CN" w:bidi="ar-SA"/>
        </w:rPr>
        <w:t>22</w:t>
      </w:r>
      <w:r>
        <w:rPr>
          <w:rFonts w:hint="default" w:ascii="Times New Roman" w:hAnsi="Times New Roman" w:cs="Times New Roman" w:eastAsiaTheme="minorEastAsia"/>
          <w:b/>
          <w:snapToGrid/>
          <w:color w:val="auto"/>
          <w:kern w:val="2"/>
          <w:sz w:val="21"/>
          <w:szCs w:val="21"/>
          <w:lang w:val="en-US" w:eastAsia="en-US" w:bidi="ar-SA"/>
        </w:rPr>
        <w:t>叠加现状浓度后</w:t>
      </w:r>
      <w:r>
        <w:rPr>
          <w:rFonts w:hint="eastAsia" w:ascii="Times New Roman" w:hAnsi="Times New Roman" w:cs="Times New Roman" w:eastAsiaTheme="minorEastAsia"/>
          <w:b/>
          <w:snapToGrid/>
          <w:color w:val="auto"/>
          <w:kern w:val="2"/>
          <w:sz w:val="21"/>
          <w:szCs w:val="21"/>
          <w:lang w:val="en-US" w:eastAsia="zh-CN" w:bidi="ar-SA"/>
        </w:rPr>
        <w:t>Cd年</w:t>
      </w:r>
      <w:r>
        <w:rPr>
          <w:rFonts w:hint="default" w:ascii="Times New Roman" w:hAnsi="Times New Roman" w:cs="Times New Roman" w:eastAsiaTheme="minorEastAsia"/>
          <w:b/>
          <w:snapToGrid/>
          <w:color w:val="auto"/>
          <w:kern w:val="2"/>
          <w:sz w:val="21"/>
          <w:szCs w:val="21"/>
          <w:lang w:val="en-US" w:eastAsia="en-US" w:bidi="ar-SA"/>
        </w:rPr>
        <w:t>平均质量浓度分布图</w:t>
      </w:r>
      <w:r>
        <w:rPr>
          <w:rFonts w:hint="default" w:ascii="Times New Roman" w:hAnsi="Times New Roman" w:cs="Times New Roman" w:eastAsiaTheme="minorEastAsia"/>
          <w:b/>
          <w:snapToGrid/>
          <w:color w:val="auto"/>
          <w:kern w:val="2"/>
          <w:sz w:val="21"/>
          <w:szCs w:val="21"/>
          <w:lang w:val="en-US" w:eastAsia="zh-CN" w:bidi="ar-SA"/>
        </w:rPr>
        <w:t>（</w:t>
      </w:r>
      <w:r>
        <w:rPr>
          <w:rFonts w:hint="default" w:ascii="Times New Roman" w:hAnsi="Times New Roman" w:cs="Times New Roman" w:eastAsiaTheme="minorEastAsia"/>
          <w:b/>
          <w:snapToGrid/>
          <w:color w:val="auto"/>
          <w:kern w:val="2"/>
          <w:sz w:val="21"/>
          <w:szCs w:val="21"/>
          <w:lang w:val="en-US" w:eastAsia="en-US" w:bidi="ar-SA"/>
        </w:rPr>
        <w:t>单位</w:t>
      </w:r>
      <w:r>
        <w:rPr>
          <w:rFonts w:hint="default" w:ascii="Times New Roman" w:hAnsi="Times New Roman" w:cs="Times New Roman" w:eastAsiaTheme="minorEastAsia"/>
          <w:b/>
          <w:snapToGrid/>
          <w:color w:val="auto"/>
          <w:kern w:val="2"/>
          <w:sz w:val="21"/>
          <w:szCs w:val="21"/>
          <w:lang w:val="en-US" w:eastAsia="zh-CN" w:bidi="ar-SA"/>
        </w:rPr>
        <w:t>：μ</w:t>
      </w:r>
      <w:r>
        <w:rPr>
          <w:rFonts w:hint="default" w:ascii="Times New Roman" w:hAnsi="Times New Roman" w:cs="Times New Roman" w:eastAsiaTheme="minorEastAsia"/>
          <w:b/>
          <w:snapToGrid/>
          <w:color w:val="auto"/>
          <w:kern w:val="2"/>
          <w:sz w:val="21"/>
          <w:szCs w:val="21"/>
          <w:lang w:val="en-US" w:eastAsia="en-US" w:bidi="ar-SA"/>
        </w:rPr>
        <w:t>g/m</w:t>
      </w:r>
      <w:r>
        <w:rPr>
          <w:rFonts w:hint="default" w:ascii="Times New Roman" w:hAnsi="Times New Roman" w:cs="Times New Roman" w:eastAsiaTheme="minorEastAsia"/>
          <w:b/>
          <w:snapToGrid/>
          <w:color w:val="auto"/>
          <w:kern w:val="2"/>
          <w:sz w:val="21"/>
          <w:szCs w:val="21"/>
          <w:vertAlign w:val="superscript"/>
          <w:lang w:val="en-US" w:eastAsia="en-US" w:bidi="ar-SA"/>
        </w:rPr>
        <w:t>3</w:t>
      </w:r>
      <w:r>
        <w:rPr>
          <w:rFonts w:hint="default" w:ascii="Times New Roman" w:hAnsi="Times New Roman" w:cs="Times New Roman" w:eastAsiaTheme="minorEastAsia"/>
          <w:b/>
          <w:snapToGrid/>
          <w:color w:val="auto"/>
          <w:kern w:val="2"/>
          <w:sz w:val="21"/>
          <w:szCs w:val="21"/>
          <w:lang w:val="en-US" w:eastAsia="zh-CN" w:bidi="ar-SA"/>
        </w:rPr>
        <w:t>）</w:t>
      </w:r>
    </w:p>
    <w:p w14:paraId="52448585">
      <w:pPr>
        <w:pStyle w:val="20"/>
        <w:snapToGrid w:val="0"/>
        <w:ind w:left="0" w:leftChars="0" w:firstLine="480" w:firstLineChars="200"/>
        <w:jc w:val="center"/>
        <w:rPr>
          <w:rFonts w:hint="default" w:ascii="Times New Roman" w:hAnsi="Times New Roman" w:cs="Times New Roman" w:eastAsiaTheme="minorEastAsia"/>
          <w:color w:val="auto"/>
          <w:lang w:val="en-US" w:eastAsia="zh-CN"/>
        </w:rPr>
        <w:sectPr>
          <w:pgSz w:w="11906" w:h="16838"/>
          <w:pgMar w:top="1440" w:right="1800" w:bottom="1440" w:left="1800" w:header="851" w:footer="992" w:gutter="0"/>
          <w:pgNumType w:fmt="decimal"/>
          <w:cols w:space="425" w:num="1"/>
          <w:docGrid w:type="lines" w:linePitch="312" w:charSpace="0"/>
        </w:sectPr>
      </w:pPr>
    </w:p>
    <w:p w14:paraId="1319DBA8">
      <w:pPr>
        <w:pStyle w:val="20"/>
        <w:snapToGrid w:val="0"/>
        <w:jc w:val="left"/>
        <w:rPr>
          <w:rFonts w:hint="default" w:ascii="Times New Roman" w:hAnsi="Times New Roman" w:cs="Times New Roman" w:eastAsiaTheme="minorEastAsia"/>
          <w:color w:val="auto"/>
          <w:lang w:val="en-US" w:eastAsia="en-US"/>
        </w:rPr>
      </w:pPr>
      <w:r>
        <w:rPr>
          <w:rFonts w:hint="eastAsia" w:ascii="Times New Roman" w:hAnsi="Times New Roman" w:cs="Times New Roman" w:eastAsiaTheme="minorEastAsia"/>
          <w:color w:val="auto"/>
          <w:lang w:val="en-US" w:eastAsia="en-US"/>
        </w:rPr>
        <w:t>⑪</w:t>
      </w:r>
      <w:r>
        <w:rPr>
          <w:rFonts w:hint="eastAsia" w:ascii="Times New Roman" w:hAnsi="Times New Roman" w:cs="Times New Roman" w:eastAsiaTheme="minorEastAsia"/>
          <w:color w:val="auto"/>
          <w:lang w:val="en-US" w:eastAsia="zh-CN"/>
        </w:rPr>
        <w:t>二噁英</w:t>
      </w:r>
      <w:r>
        <w:rPr>
          <w:rFonts w:hint="default" w:ascii="Times New Roman" w:hAnsi="Times New Roman" w:cs="Times New Roman" w:eastAsiaTheme="minorEastAsia"/>
          <w:color w:val="auto"/>
          <w:lang w:val="en-US" w:eastAsia="en-US"/>
        </w:rPr>
        <w:t>质量浓度分布图</w:t>
      </w:r>
    </w:p>
    <w:p w14:paraId="32127D2E">
      <w:pPr>
        <w:pStyle w:val="20"/>
        <w:snapToGrid w:val="0"/>
        <w:jc w:val="left"/>
        <w:rPr>
          <w:rFonts w:hint="default" w:ascii="Times New Roman" w:hAnsi="Times New Roman" w:cs="Times New Roman" w:eastAsiaTheme="minorEastAsia"/>
          <w:color w:val="auto"/>
          <w:lang w:val="en-US" w:eastAsia="en-US"/>
        </w:rPr>
      </w:pPr>
      <w:r>
        <w:rPr>
          <w:rFonts w:hint="default" w:ascii="Times New Roman" w:hAnsi="Times New Roman" w:cs="Times New Roman" w:eastAsiaTheme="minorEastAsia"/>
          <w:color w:val="auto"/>
          <w:lang w:val="en-US" w:eastAsia="en-US"/>
        </w:rPr>
        <w:t>根据20</w:t>
      </w:r>
      <w:r>
        <w:rPr>
          <w:rFonts w:hint="default" w:ascii="Times New Roman" w:hAnsi="Times New Roman" w:cs="Times New Roman" w:eastAsiaTheme="minorEastAsia"/>
          <w:color w:val="auto"/>
          <w:lang w:val="en-US" w:eastAsia="zh-CN"/>
        </w:rPr>
        <w:t>2</w:t>
      </w:r>
      <w:r>
        <w:rPr>
          <w:rFonts w:hint="eastAsia" w:ascii="Times New Roman" w:hAnsi="Times New Roman" w:cs="Times New Roman" w:eastAsiaTheme="minorEastAsia"/>
          <w:color w:val="auto"/>
          <w:lang w:val="en-US" w:eastAsia="zh-CN"/>
        </w:rPr>
        <w:t>5</w:t>
      </w:r>
      <w:r>
        <w:rPr>
          <w:rFonts w:hint="default" w:ascii="Times New Roman" w:hAnsi="Times New Roman" w:cs="Times New Roman" w:eastAsiaTheme="minorEastAsia"/>
          <w:color w:val="auto"/>
          <w:lang w:val="en-US" w:eastAsia="en-US"/>
        </w:rPr>
        <w:t>年预测气象条件，叠加现状浓度后</w:t>
      </w:r>
      <w:r>
        <w:rPr>
          <w:rFonts w:hint="eastAsia" w:ascii="Times New Roman" w:hAnsi="Times New Roman" w:cs="Times New Roman" w:eastAsiaTheme="minorEastAsia"/>
          <w:color w:val="auto"/>
          <w:lang w:val="en-US" w:eastAsia="zh-CN"/>
        </w:rPr>
        <w:t>日</w:t>
      </w:r>
      <w:r>
        <w:rPr>
          <w:rFonts w:hint="default" w:ascii="Times New Roman" w:hAnsi="Times New Roman" w:cs="Times New Roman" w:eastAsiaTheme="minorEastAsia"/>
          <w:color w:val="auto"/>
          <w:lang w:val="en-US" w:eastAsia="en-US"/>
        </w:rPr>
        <w:t>平均质量浓度分布，见图5</w:t>
      </w:r>
      <w:r>
        <w:rPr>
          <w:rFonts w:hint="default"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en-US"/>
        </w:rPr>
        <w:t>2-</w:t>
      </w:r>
      <w:r>
        <w:rPr>
          <w:rFonts w:hint="eastAsia" w:ascii="Times New Roman" w:hAnsi="Times New Roman" w:cs="Times New Roman" w:eastAsiaTheme="minorEastAsia"/>
          <w:color w:val="auto"/>
          <w:lang w:val="en-US" w:eastAsia="zh-CN"/>
        </w:rPr>
        <w:t>2</w:t>
      </w:r>
      <w:r>
        <w:rPr>
          <w:rFonts w:hint="default" w:ascii="Times New Roman" w:hAnsi="Times New Roman" w:cs="Times New Roman" w:eastAsiaTheme="minorEastAsia"/>
          <w:color w:val="auto"/>
          <w:lang w:val="en-US" w:eastAsia="zh-CN"/>
        </w:rPr>
        <w:t>3</w:t>
      </w:r>
      <w:r>
        <w:rPr>
          <w:rFonts w:hint="default" w:ascii="Times New Roman" w:hAnsi="Times New Roman" w:cs="Times New Roman" w:eastAsiaTheme="minorEastAsia"/>
          <w:color w:val="auto"/>
          <w:lang w:val="en-US" w:eastAsia="en-US"/>
        </w:rPr>
        <w:t>。</w:t>
      </w:r>
    </w:p>
    <w:p w14:paraId="0C851958">
      <w:pPr>
        <w:adjustRightInd w:val="0"/>
        <w:snapToGrid w:val="0"/>
        <w:spacing w:before="250" w:beforeLines="50"/>
        <w:jc w:val="center"/>
      </w:pPr>
    </w:p>
    <w:p w14:paraId="39B080AB">
      <w:pPr>
        <w:adjustRightInd w:val="0"/>
        <w:snapToGrid w:val="0"/>
        <w:spacing w:before="250" w:beforeLines="50"/>
        <w:jc w:val="center"/>
        <w:rPr>
          <w:rFonts w:hint="default" w:ascii="Times New Roman" w:hAnsi="Times New Roman" w:cs="Times New Roman" w:eastAsiaTheme="minorEastAsia"/>
          <w:b/>
          <w:szCs w:val="21"/>
          <w:lang w:val="en-US" w:eastAsia="en-US"/>
        </w:rPr>
      </w:pPr>
      <w:r>
        <w:rPr>
          <w:rFonts w:hint="default" w:ascii="Times New Roman" w:hAnsi="Times New Roman" w:cs="Times New Roman" w:eastAsiaTheme="minorEastAsia"/>
          <w:b/>
          <w:szCs w:val="21"/>
          <w:lang w:val="en-US" w:eastAsia="en-US"/>
        </w:rPr>
        <w:t>图5</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2-</w:t>
      </w:r>
      <w:r>
        <w:rPr>
          <w:rFonts w:hint="eastAsia" w:ascii="Times New Roman" w:hAnsi="Times New Roman" w:cs="Times New Roman"/>
          <w:b/>
          <w:szCs w:val="21"/>
          <w:lang w:val="en-US" w:eastAsia="zh-CN"/>
        </w:rPr>
        <w:t>23</w:t>
      </w:r>
      <w:r>
        <w:rPr>
          <w:rFonts w:hint="default" w:ascii="Times New Roman" w:hAnsi="Times New Roman" w:cs="Times New Roman" w:eastAsiaTheme="minorEastAsia"/>
          <w:b/>
          <w:szCs w:val="21"/>
          <w:lang w:val="en-US" w:eastAsia="en-US"/>
        </w:rPr>
        <w:t>叠加现状浓度后</w:t>
      </w:r>
      <w:r>
        <w:rPr>
          <w:rFonts w:hint="eastAsia" w:ascii="Times New Roman" w:hAnsi="Times New Roman" w:cs="Times New Roman"/>
          <w:b/>
          <w:szCs w:val="21"/>
          <w:lang w:val="en-US" w:eastAsia="zh-CN"/>
        </w:rPr>
        <w:t>二噁英</w:t>
      </w:r>
      <w:r>
        <w:rPr>
          <w:rFonts w:hint="default" w:ascii="Times New Roman" w:hAnsi="Times New Roman" w:cs="Times New Roman" w:eastAsiaTheme="minorEastAsia"/>
          <w:b/>
          <w:szCs w:val="21"/>
          <w:lang w:val="en-US" w:eastAsia="en-US"/>
        </w:rPr>
        <w:t>日平均质量浓度分布图</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单位</w:t>
      </w:r>
      <w:r>
        <w:rPr>
          <w:rFonts w:hint="default" w:ascii="Times New Roman" w:hAnsi="Times New Roman" w:cs="Times New Roman" w:eastAsiaTheme="minorEastAsia"/>
          <w:b/>
          <w:szCs w:val="21"/>
          <w:lang w:val="en-US" w:eastAsia="zh-CN"/>
        </w:rPr>
        <w:t>：μ</w:t>
      </w:r>
      <w:r>
        <w:rPr>
          <w:rFonts w:hint="default" w:ascii="Times New Roman" w:hAnsi="Times New Roman" w:cs="Times New Roman" w:eastAsiaTheme="minorEastAsia"/>
          <w:b/>
          <w:szCs w:val="21"/>
          <w:lang w:val="en-US" w:eastAsia="en-US"/>
        </w:rPr>
        <w:t>g/m</w:t>
      </w:r>
      <w:r>
        <w:rPr>
          <w:rFonts w:hint="default" w:ascii="Times New Roman" w:hAnsi="Times New Roman" w:cs="Times New Roman" w:eastAsiaTheme="minorEastAsia"/>
          <w:b/>
          <w:szCs w:val="21"/>
          <w:vertAlign w:val="superscript"/>
          <w:lang w:val="en-US" w:eastAsia="en-US"/>
        </w:rPr>
        <w:t>3</w:t>
      </w:r>
      <w:r>
        <w:rPr>
          <w:rFonts w:hint="default" w:ascii="Times New Roman" w:hAnsi="Times New Roman" w:cs="Times New Roman" w:eastAsiaTheme="minorEastAsia"/>
          <w:b/>
          <w:szCs w:val="21"/>
          <w:vertAlign w:val="baseline"/>
          <w:lang w:val="en-US" w:eastAsia="zh-CN"/>
        </w:rPr>
        <w:t>）</w:t>
      </w:r>
    </w:p>
    <w:p w14:paraId="63586017">
      <w:pPr>
        <w:pStyle w:val="20"/>
        <w:snapToGrid w:val="0"/>
        <w:jc w:val="left"/>
        <w:rPr>
          <w:rFonts w:hint="default" w:ascii="Times New Roman" w:hAnsi="Times New Roman" w:cs="Times New Roman" w:eastAsiaTheme="minorEastAsia"/>
          <w:color w:val="auto"/>
          <w:lang w:val="en-US" w:eastAsia="en-US"/>
        </w:rPr>
      </w:pPr>
      <w:r>
        <w:rPr>
          <w:rFonts w:hint="eastAsia" w:ascii="Times New Roman" w:hAnsi="Times New Roman" w:cs="Times New Roman" w:eastAsiaTheme="minorEastAsia"/>
          <w:color w:val="auto"/>
          <w:lang w:val="en-US" w:eastAsia="en-US"/>
        </w:rPr>
        <w:t>⑫</w:t>
      </w:r>
      <w:r>
        <w:rPr>
          <w:rFonts w:hint="eastAsia" w:ascii="Times New Roman" w:hAnsi="Times New Roman" w:cs="Times New Roman" w:eastAsiaTheme="minorEastAsia"/>
          <w:color w:val="auto"/>
          <w:lang w:val="en-US" w:eastAsia="zh-CN"/>
        </w:rPr>
        <w:t>HF</w:t>
      </w:r>
      <w:r>
        <w:rPr>
          <w:rFonts w:hint="default" w:ascii="Times New Roman" w:hAnsi="Times New Roman" w:cs="Times New Roman" w:eastAsiaTheme="minorEastAsia"/>
          <w:color w:val="auto"/>
          <w:lang w:val="en-US" w:eastAsia="en-US"/>
        </w:rPr>
        <w:t>质量浓度分布图</w:t>
      </w:r>
    </w:p>
    <w:p w14:paraId="32541B60">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en-US"/>
        </w:rPr>
        <w:t>根据20</w:t>
      </w:r>
      <w:r>
        <w:rPr>
          <w:rFonts w:hint="default" w:ascii="Times New Roman" w:hAnsi="Times New Roman" w:cs="Times New Roman" w:eastAsiaTheme="minorEastAsia"/>
          <w:color w:val="auto"/>
          <w:lang w:val="en-US" w:eastAsia="zh-CN"/>
        </w:rPr>
        <w:t>2</w:t>
      </w:r>
      <w:r>
        <w:rPr>
          <w:rFonts w:hint="eastAsia" w:ascii="Times New Roman" w:hAnsi="Times New Roman" w:cs="Times New Roman" w:eastAsiaTheme="minorEastAsia"/>
          <w:color w:val="auto"/>
          <w:lang w:val="en-US" w:eastAsia="zh-CN"/>
        </w:rPr>
        <w:t>5</w:t>
      </w:r>
      <w:r>
        <w:rPr>
          <w:rFonts w:hint="default" w:ascii="Times New Roman" w:hAnsi="Times New Roman" w:cs="Times New Roman" w:eastAsiaTheme="minorEastAsia"/>
          <w:color w:val="auto"/>
          <w:lang w:val="en-US" w:eastAsia="en-US"/>
        </w:rPr>
        <w:t>年预测气象条件，叠加现状浓度后日平均质量浓度分布，见图5</w:t>
      </w:r>
      <w:r>
        <w:rPr>
          <w:rFonts w:hint="default"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en-US"/>
        </w:rPr>
        <w:t>2-</w:t>
      </w:r>
      <w:r>
        <w:rPr>
          <w:rFonts w:hint="eastAsia" w:ascii="Times New Roman" w:hAnsi="Times New Roman" w:cs="Times New Roman" w:eastAsiaTheme="minorEastAsia"/>
          <w:color w:val="auto"/>
          <w:lang w:val="en-US" w:eastAsia="zh-CN"/>
        </w:rPr>
        <w:t>24</w:t>
      </w:r>
      <w:r>
        <w:rPr>
          <w:rFonts w:hint="default" w:ascii="Times New Roman" w:hAnsi="Times New Roman" w:cs="Times New Roman" w:eastAsiaTheme="minorEastAsia"/>
          <w:color w:val="auto"/>
          <w:lang w:val="en-US" w:eastAsia="en-US"/>
        </w:rPr>
        <w:t>。</w:t>
      </w:r>
    </w:p>
    <w:p w14:paraId="082B6A4B">
      <w:pPr>
        <w:adjustRightInd w:val="0"/>
        <w:snapToGrid w:val="0"/>
        <w:spacing w:before="250" w:beforeLines="50"/>
        <w:jc w:val="center"/>
      </w:pPr>
    </w:p>
    <w:p w14:paraId="3D38C77A">
      <w:pPr>
        <w:adjustRightInd w:val="0"/>
        <w:snapToGrid w:val="0"/>
        <w:spacing w:before="250" w:beforeLines="50"/>
        <w:jc w:val="center"/>
        <w:rPr>
          <w:rFonts w:hint="eastAsia"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en-US"/>
        </w:rPr>
        <w:t>图5</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2-</w:t>
      </w:r>
      <w:r>
        <w:rPr>
          <w:rFonts w:hint="eastAsia" w:ascii="Times New Roman" w:hAnsi="Times New Roman" w:cs="Times New Roman" w:eastAsiaTheme="minorEastAsia"/>
          <w:b/>
          <w:szCs w:val="21"/>
          <w:lang w:val="en-US" w:eastAsia="zh-CN"/>
        </w:rPr>
        <w:t>2</w:t>
      </w:r>
      <w:r>
        <w:rPr>
          <w:rFonts w:hint="eastAsia" w:ascii="Times New Roman" w:hAnsi="Times New Roman" w:cs="Times New Roman"/>
          <w:b/>
          <w:szCs w:val="21"/>
          <w:lang w:val="en-US" w:eastAsia="zh-CN"/>
        </w:rPr>
        <w:t>4</w:t>
      </w:r>
      <w:r>
        <w:rPr>
          <w:rFonts w:hint="default" w:ascii="Times New Roman" w:hAnsi="Times New Roman" w:cs="Times New Roman" w:eastAsiaTheme="minorEastAsia"/>
          <w:b/>
          <w:szCs w:val="21"/>
          <w:lang w:val="en-US" w:eastAsia="en-US"/>
        </w:rPr>
        <w:t>叠加现状浓度后</w:t>
      </w:r>
      <w:r>
        <w:rPr>
          <w:rFonts w:hint="eastAsia" w:ascii="Times New Roman" w:hAnsi="Times New Roman" w:cs="Times New Roman"/>
          <w:b/>
          <w:szCs w:val="21"/>
          <w:lang w:val="en-US" w:eastAsia="zh-CN"/>
        </w:rPr>
        <w:t>HF</w:t>
      </w:r>
      <w:r>
        <w:rPr>
          <w:rFonts w:hint="default" w:ascii="Times New Roman" w:hAnsi="Times New Roman" w:cs="Times New Roman" w:eastAsiaTheme="minorEastAsia"/>
          <w:b/>
          <w:szCs w:val="21"/>
          <w:lang w:val="en-US" w:eastAsia="en-US"/>
        </w:rPr>
        <w:t>日平均质量浓度分布图</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单位</w:t>
      </w:r>
      <w:r>
        <w:rPr>
          <w:rFonts w:hint="default" w:ascii="Times New Roman" w:hAnsi="Times New Roman" w:cs="Times New Roman" w:eastAsiaTheme="minorEastAsia"/>
          <w:b/>
          <w:szCs w:val="21"/>
          <w:lang w:val="en-US" w:eastAsia="zh-CN"/>
        </w:rPr>
        <w:t>：μ</w:t>
      </w:r>
      <w:r>
        <w:rPr>
          <w:rFonts w:hint="default" w:ascii="Times New Roman" w:hAnsi="Times New Roman" w:cs="Times New Roman" w:eastAsiaTheme="minorEastAsia"/>
          <w:b/>
          <w:szCs w:val="21"/>
          <w:lang w:val="en-US" w:eastAsia="en-US"/>
        </w:rPr>
        <w:t>g/m</w:t>
      </w:r>
      <w:r>
        <w:rPr>
          <w:rFonts w:hint="default" w:ascii="Times New Roman" w:hAnsi="Times New Roman" w:cs="Times New Roman" w:eastAsiaTheme="minorEastAsia"/>
          <w:b/>
          <w:szCs w:val="21"/>
          <w:vertAlign w:val="superscript"/>
          <w:lang w:val="en-US" w:eastAsia="en-US"/>
        </w:rPr>
        <w:t>3</w:t>
      </w:r>
      <w:r>
        <w:rPr>
          <w:rFonts w:hint="eastAsia" w:ascii="Times New Roman" w:hAnsi="Times New Roman" w:cs="Times New Roman" w:eastAsiaTheme="minorEastAsia"/>
          <w:b/>
          <w:szCs w:val="21"/>
          <w:lang w:val="en-US" w:eastAsia="zh-CN"/>
        </w:rPr>
        <w:t>）</w:t>
      </w:r>
    </w:p>
    <w:p w14:paraId="79F79F33">
      <w:pPr>
        <w:spacing w:line="360" w:lineRule="auto"/>
        <w:rPr>
          <w:rFonts w:hint="default" w:ascii="Times New Roman" w:hAnsi="Times New Roman" w:cs="Times New Roman" w:eastAsiaTheme="minorEastAsia"/>
          <w:b/>
          <w:bCs/>
          <w:snapToGrid w:val="0"/>
          <w:color w:val="000000" w:themeColor="text1"/>
          <w:spacing w:val="0"/>
          <w:kern w:val="0"/>
          <w:position w:val="0"/>
          <w:sz w:val="24"/>
          <w:szCs w:val="24"/>
          <w:lang w:val="en-US" w:eastAsia="en-US" w:bidi="ar-SA"/>
          <w14:textFill>
            <w14:solidFill>
              <w14:schemeClr w14:val="tx1"/>
            </w14:solidFill>
          </w14:textFill>
        </w:rPr>
      </w:pPr>
      <w:r>
        <w:rPr>
          <w:rFonts w:hint="default" w:ascii="Times New Roman" w:hAnsi="Times New Roman" w:cs="Times New Roman" w:eastAsiaTheme="minorEastAsia"/>
          <w:b/>
          <w:bCs/>
          <w:snapToGrid w:val="0"/>
          <w:color w:val="000000" w:themeColor="text1"/>
          <w:spacing w:val="0"/>
          <w:kern w:val="0"/>
          <w:position w:val="0"/>
          <w:sz w:val="24"/>
          <w:szCs w:val="24"/>
          <w:lang w:val="en-US" w:eastAsia="en-US" w:bidi="ar-SA"/>
          <w14:textFill>
            <w14:solidFill>
              <w14:schemeClr w14:val="tx1"/>
            </w14:solidFill>
          </w14:textFill>
        </w:rPr>
        <w:br w:type="page"/>
      </w:r>
    </w:p>
    <w:p w14:paraId="5A2B66CC">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⑬氨质量浓度分布图</w:t>
      </w:r>
    </w:p>
    <w:p w14:paraId="3F617DC5">
      <w:pPr>
        <w:pStyle w:val="20"/>
        <w:snapToGrid w:val="0"/>
        <w:jc w:val="left"/>
        <w:rPr>
          <w:rFonts w:hint="eastAsia"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en-US"/>
        </w:rPr>
        <w:t>根据20</w:t>
      </w:r>
      <w:r>
        <w:rPr>
          <w:rFonts w:hint="default" w:ascii="Times New Roman" w:hAnsi="Times New Roman" w:cs="Times New Roman" w:eastAsiaTheme="minorEastAsia"/>
          <w:color w:val="auto"/>
          <w:lang w:val="en-US" w:eastAsia="zh-CN"/>
        </w:rPr>
        <w:t>2</w:t>
      </w:r>
      <w:r>
        <w:rPr>
          <w:rFonts w:hint="eastAsia" w:ascii="Times New Roman" w:hAnsi="Times New Roman" w:cs="Times New Roman" w:eastAsiaTheme="minorEastAsia"/>
          <w:color w:val="auto"/>
          <w:lang w:val="en-US" w:eastAsia="zh-CN"/>
        </w:rPr>
        <w:t>5</w:t>
      </w:r>
      <w:r>
        <w:rPr>
          <w:rFonts w:hint="default" w:ascii="Times New Roman" w:hAnsi="Times New Roman" w:cs="Times New Roman" w:eastAsiaTheme="minorEastAsia"/>
          <w:color w:val="auto"/>
          <w:lang w:val="en-US" w:eastAsia="en-US"/>
        </w:rPr>
        <w:t>年预测气象条件，叠加现状浓度后</w:t>
      </w:r>
      <w:r>
        <w:rPr>
          <w:rFonts w:hint="eastAsia" w:ascii="Times New Roman" w:hAnsi="Times New Roman" w:cs="Times New Roman" w:eastAsiaTheme="minorEastAsia"/>
          <w:color w:val="auto"/>
          <w:lang w:val="en-US" w:eastAsia="zh-CN"/>
        </w:rPr>
        <w:t>氨小时平均</w:t>
      </w:r>
      <w:r>
        <w:rPr>
          <w:rFonts w:hint="default" w:ascii="Times New Roman" w:hAnsi="Times New Roman" w:cs="Times New Roman" w:eastAsiaTheme="minorEastAsia"/>
          <w:color w:val="auto"/>
          <w:lang w:val="en-US" w:eastAsia="en-US"/>
        </w:rPr>
        <w:t>质量浓度分布，见图5</w:t>
      </w:r>
      <w:r>
        <w:rPr>
          <w:rFonts w:hint="default"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en-US"/>
        </w:rPr>
        <w:t>2-</w:t>
      </w:r>
      <w:r>
        <w:rPr>
          <w:rFonts w:hint="eastAsia" w:ascii="Times New Roman" w:hAnsi="Times New Roman" w:cs="Times New Roman" w:eastAsiaTheme="minorEastAsia"/>
          <w:color w:val="auto"/>
          <w:lang w:val="en-US" w:eastAsia="zh-CN"/>
        </w:rPr>
        <w:t>25</w:t>
      </w:r>
      <w:r>
        <w:rPr>
          <w:rFonts w:hint="default" w:ascii="Times New Roman" w:hAnsi="Times New Roman" w:cs="Times New Roman" w:eastAsiaTheme="minorEastAsia"/>
          <w:color w:val="auto"/>
          <w:lang w:val="en-US" w:eastAsia="en-US"/>
        </w:rPr>
        <w:t>。</w:t>
      </w:r>
    </w:p>
    <w:p w14:paraId="358A5AD6">
      <w:pPr>
        <w:spacing w:line="360" w:lineRule="auto"/>
        <w:jc w:val="center"/>
      </w:pPr>
    </w:p>
    <w:p w14:paraId="358C9D37">
      <w:pPr>
        <w:spacing w:line="360" w:lineRule="auto"/>
        <w:jc w:val="center"/>
        <w:rPr>
          <w:rFonts w:hint="eastAsia"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en-US"/>
        </w:rPr>
        <w:t>图5</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2-</w:t>
      </w:r>
      <w:r>
        <w:rPr>
          <w:rFonts w:hint="eastAsia" w:ascii="Times New Roman" w:hAnsi="Times New Roman" w:cs="Times New Roman" w:eastAsiaTheme="minorEastAsia"/>
          <w:b/>
          <w:szCs w:val="21"/>
          <w:lang w:val="en-US" w:eastAsia="zh-CN"/>
        </w:rPr>
        <w:t>2</w:t>
      </w:r>
      <w:r>
        <w:rPr>
          <w:rFonts w:hint="eastAsia" w:ascii="Times New Roman" w:hAnsi="Times New Roman" w:cs="Times New Roman"/>
          <w:b/>
          <w:szCs w:val="21"/>
          <w:lang w:val="en-US" w:eastAsia="zh-CN"/>
        </w:rPr>
        <w:t>5</w:t>
      </w:r>
      <w:r>
        <w:rPr>
          <w:rFonts w:hint="default" w:ascii="Times New Roman" w:hAnsi="Times New Roman" w:cs="Times New Roman" w:eastAsiaTheme="minorEastAsia"/>
          <w:b/>
          <w:szCs w:val="21"/>
          <w:lang w:val="en-US" w:eastAsia="en-US"/>
        </w:rPr>
        <w:t>叠加现状浓度后</w:t>
      </w:r>
      <w:r>
        <w:rPr>
          <w:rFonts w:hint="eastAsia" w:ascii="Times New Roman" w:hAnsi="Times New Roman" w:cs="Times New Roman"/>
          <w:b/>
          <w:szCs w:val="21"/>
          <w:lang w:val="en-US" w:eastAsia="zh-CN"/>
        </w:rPr>
        <w:t>氨小时</w:t>
      </w:r>
      <w:r>
        <w:rPr>
          <w:rFonts w:hint="default" w:ascii="Times New Roman" w:hAnsi="Times New Roman" w:cs="Times New Roman" w:eastAsiaTheme="minorEastAsia"/>
          <w:b/>
          <w:szCs w:val="21"/>
          <w:lang w:val="en-US" w:eastAsia="en-US"/>
        </w:rPr>
        <w:t>平均质量浓度分布图</w:t>
      </w:r>
      <w:r>
        <w:rPr>
          <w:rFonts w:hint="default" w:ascii="Times New Roman" w:hAnsi="Times New Roman" w:cs="Times New Roman" w:eastAsiaTheme="minorEastAsia"/>
          <w:b/>
          <w:szCs w:val="21"/>
          <w:lang w:val="en-US" w:eastAsia="zh-CN"/>
        </w:rPr>
        <w:t>（</w:t>
      </w:r>
      <w:r>
        <w:rPr>
          <w:rFonts w:hint="default" w:ascii="Times New Roman" w:hAnsi="Times New Roman" w:cs="Times New Roman" w:eastAsiaTheme="minorEastAsia"/>
          <w:b/>
          <w:szCs w:val="21"/>
          <w:lang w:val="en-US" w:eastAsia="en-US"/>
        </w:rPr>
        <w:t>单位</w:t>
      </w:r>
      <w:r>
        <w:rPr>
          <w:rFonts w:hint="default" w:ascii="Times New Roman" w:hAnsi="Times New Roman" w:cs="Times New Roman" w:eastAsiaTheme="minorEastAsia"/>
          <w:b/>
          <w:szCs w:val="21"/>
          <w:lang w:val="en-US" w:eastAsia="zh-CN"/>
        </w:rPr>
        <w:t>：μ</w:t>
      </w:r>
      <w:r>
        <w:rPr>
          <w:rFonts w:hint="default" w:ascii="Times New Roman" w:hAnsi="Times New Roman" w:cs="Times New Roman" w:eastAsiaTheme="minorEastAsia"/>
          <w:b/>
          <w:szCs w:val="21"/>
          <w:lang w:val="en-US" w:eastAsia="en-US"/>
        </w:rPr>
        <w:t>g/m</w:t>
      </w:r>
      <w:r>
        <w:rPr>
          <w:rFonts w:hint="default" w:ascii="Times New Roman" w:hAnsi="Times New Roman" w:cs="Times New Roman" w:eastAsiaTheme="minorEastAsia"/>
          <w:b/>
          <w:szCs w:val="21"/>
          <w:vertAlign w:val="superscript"/>
          <w:lang w:val="en-US" w:eastAsia="en-US"/>
        </w:rPr>
        <w:t>3</w:t>
      </w:r>
      <w:r>
        <w:rPr>
          <w:rFonts w:hint="eastAsia" w:ascii="Times New Roman" w:hAnsi="Times New Roman" w:cs="Times New Roman" w:eastAsiaTheme="minorEastAsia"/>
          <w:b/>
          <w:szCs w:val="21"/>
          <w:lang w:val="en-US" w:eastAsia="zh-CN"/>
        </w:rPr>
        <w:t>）</w:t>
      </w:r>
    </w:p>
    <w:p w14:paraId="612957CB">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⑭硫化氢质量浓度分布图</w:t>
      </w:r>
    </w:p>
    <w:p w14:paraId="6B994366">
      <w:pPr>
        <w:pStyle w:val="20"/>
        <w:snapToGrid w:val="0"/>
        <w:jc w:val="left"/>
        <w:rPr>
          <w:rFonts w:hint="default" w:ascii="Times New Roman" w:hAnsi="Times New Roman" w:cs="Times New Roman"/>
          <w:b/>
          <w:bCs/>
          <w:snapToGrid w:val="0"/>
          <w:color w:val="000000" w:themeColor="text1"/>
          <w:spacing w:val="0"/>
          <w:kern w:val="0"/>
          <w:position w:val="0"/>
          <w:sz w:val="24"/>
          <w:szCs w:val="24"/>
          <w:lang w:val="en-US" w:eastAsia="zh-CN" w:bidi="ar-SA"/>
          <w14:textFill>
            <w14:solidFill>
              <w14:schemeClr w14:val="tx1"/>
            </w14:solidFill>
          </w14:textFill>
        </w:rPr>
      </w:pPr>
      <w:r>
        <w:rPr>
          <w:rFonts w:hint="default" w:ascii="Times New Roman" w:hAnsi="Times New Roman" w:cs="Times New Roman" w:eastAsiaTheme="minorEastAsia"/>
          <w:color w:val="auto"/>
          <w:lang w:val="en-US" w:eastAsia="en-US"/>
        </w:rPr>
        <w:t>根据20</w:t>
      </w:r>
      <w:r>
        <w:rPr>
          <w:rFonts w:hint="default" w:ascii="Times New Roman" w:hAnsi="Times New Roman" w:cs="Times New Roman" w:eastAsiaTheme="minorEastAsia"/>
          <w:color w:val="auto"/>
          <w:lang w:val="en-US" w:eastAsia="zh-CN"/>
        </w:rPr>
        <w:t>2</w:t>
      </w:r>
      <w:r>
        <w:rPr>
          <w:rFonts w:hint="eastAsia" w:ascii="Times New Roman" w:hAnsi="Times New Roman" w:cs="Times New Roman" w:eastAsiaTheme="minorEastAsia"/>
          <w:color w:val="auto"/>
          <w:lang w:val="en-US" w:eastAsia="zh-CN"/>
        </w:rPr>
        <w:t>5</w:t>
      </w:r>
      <w:r>
        <w:rPr>
          <w:rFonts w:hint="default" w:ascii="Times New Roman" w:hAnsi="Times New Roman" w:cs="Times New Roman" w:eastAsiaTheme="minorEastAsia"/>
          <w:color w:val="auto"/>
          <w:lang w:val="en-US" w:eastAsia="en-US"/>
        </w:rPr>
        <w:t>年预测气象条件，叠加现状浓度后日平均质量浓度分布，见图5</w:t>
      </w:r>
      <w:r>
        <w:rPr>
          <w:rFonts w:hint="default"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en-US"/>
        </w:rPr>
        <w:t>2-</w:t>
      </w:r>
      <w:r>
        <w:rPr>
          <w:rFonts w:hint="eastAsia" w:ascii="Times New Roman" w:hAnsi="Times New Roman" w:cs="Times New Roman" w:eastAsiaTheme="minorEastAsia"/>
          <w:color w:val="auto"/>
          <w:lang w:val="en-US" w:eastAsia="zh-CN"/>
        </w:rPr>
        <w:t>25</w:t>
      </w:r>
      <w:r>
        <w:rPr>
          <w:rFonts w:hint="default" w:ascii="Times New Roman" w:hAnsi="Times New Roman" w:cs="Times New Roman" w:eastAsiaTheme="minorEastAsia"/>
          <w:color w:val="auto"/>
          <w:lang w:val="en-US" w:eastAsia="en-US"/>
        </w:rPr>
        <w:t>。</w:t>
      </w:r>
    </w:p>
    <w:p w14:paraId="54E664DF">
      <w:pPr>
        <w:pStyle w:val="17"/>
      </w:pPr>
    </w:p>
    <w:p w14:paraId="7D7FFB26">
      <w:pPr>
        <w:pStyle w:val="17"/>
        <w:rPr>
          <w:rFonts w:hint="eastAsia" w:ascii="Times New Roman" w:hAnsi="Times New Roman" w:cs="Times New Roman" w:eastAsiaTheme="minorEastAsia"/>
          <w:b/>
          <w:color w:val="auto"/>
          <w:kern w:val="2"/>
          <w:sz w:val="21"/>
          <w:szCs w:val="21"/>
          <w:lang w:val="en-US" w:eastAsia="zh-CN" w:bidi="ar-SA"/>
        </w:rPr>
      </w:pPr>
      <w:r>
        <w:rPr>
          <w:rFonts w:hint="default" w:ascii="Times New Roman" w:hAnsi="Times New Roman" w:cs="Times New Roman" w:eastAsiaTheme="minorEastAsia"/>
          <w:b/>
          <w:color w:val="auto"/>
          <w:kern w:val="2"/>
          <w:sz w:val="21"/>
          <w:szCs w:val="21"/>
          <w:lang w:val="en-US" w:eastAsia="en-US" w:bidi="ar-SA"/>
        </w:rPr>
        <w:t>图5</w:t>
      </w:r>
      <w:r>
        <w:rPr>
          <w:rFonts w:hint="default" w:ascii="Times New Roman" w:hAnsi="Times New Roman" w:cs="Times New Roman" w:eastAsiaTheme="minorEastAsia"/>
          <w:b/>
          <w:color w:val="auto"/>
          <w:kern w:val="2"/>
          <w:sz w:val="21"/>
          <w:szCs w:val="21"/>
          <w:lang w:val="en-US" w:eastAsia="zh-CN" w:bidi="ar-SA"/>
        </w:rPr>
        <w:t>.</w:t>
      </w:r>
      <w:r>
        <w:rPr>
          <w:rFonts w:hint="default" w:ascii="Times New Roman" w:hAnsi="Times New Roman" w:cs="Times New Roman" w:eastAsiaTheme="minorEastAsia"/>
          <w:b/>
          <w:color w:val="auto"/>
          <w:kern w:val="2"/>
          <w:sz w:val="21"/>
          <w:szCs w:val="21"/>
          <w:lang w:val="en-US" w:eastAsia="en-US" w:bidi="ar-SA"/>
        </w:rPr>
        <w:t>2-</w:t>
      </w:r>
      <w:r>
        <w:rPr>
          <w:rFonts w:hint="eastAsia" w:ascii="Times New Roman" w:hAnsi="Times New Roman" w:cs="Times New Roman" w:eastAsiaTheme="minorEastAsia"/>
          <w:b/>
          <w:color w:val="auto"/>
          <w:kern w:val="2"/>
          <w:sz w:val="21"/>
          <w:szCs w:val="21"/>
          <w:lang w:val="en-US" w:eastAsia="zh-CN" w:bidi="ar-SA"/>
        </w:rPr>
        <w:t>26</w:t>
      </w:r>
      <w:r>
        <w:rPr>
          <w:rFonts w:hint="default" w:ascii="Times New Roman" w:hAnsi="Times New Roman" w:cs="Times New Roman" w:eastAsiaTheme="minorEastAsia"/>
          <w:b/>
          <w:color w:val="auto"/>
          <w:kern w:val="2"/>
          <w:sz w:val="21"/>
          <w:szCs w:val="21"/>
          <w:lang w:val="en-US" w:eastAsia="en-US" w:bidi="ar-SA"/>
        </w:rPr>
        <w:t>叠加现状浓度后</w:t>
      </w:r>
      <w:r>
        <w:rPr>
          <w:rFonts w:hint="eastAsia" w:ascii="Times New Roman" w:hAnsi="Times New Roman" w:cs="Times New Roman" w:eastAsiaTheme="minorEastAsia"/>
          <w:b/>
          <w:color w:val="auto"/>
          <w:kern w:val="2"/>
          <w:sz w:val="21"/>
          <w:szCs w:val="21"/>
          <w:lang w:val="en-US" w:eastAsia="zh-CN" w:bidi="ar-SA"/>
        </w:rPr>
        <w:t>硫化氢小时</w:t>
      </w:r>
      <w:r>
        <w:rPr>
          <w:rFonts w:hint="default" w:ascii="Times New Roman" w:hAnsi="Times New Roman" w:cs="Times New Roman" w:eastAsiaTheme="minorEastAsia"/>
          <w:b/>
          <w:color w:val="auto"/>
          <w:kern w:val="2"/>
          <w:sz w:val="21"/>
          <w:szCs w:val="21"/>
          <w:lang w:val="en-US" w:eastAsia="en-US" w:bidi="ar-SA"/>
        </w:rPr>
        <w:t>平均质量浓度分布图</w:t>
      </w:r>
      <w:r>
        <w:rPr>
          <w:rFonts w:hint="default" w:ascii="Times New Roman" w:hAnsi="Times New Roman" w:cs="Times New Roman" w:eastAsiaTheme="minorEastAsia"/>
          <w:b/>
          <w:color w:val="auto"/>
          <w:kern w:val="2"/>
          <w:sz w:val="21"/>
          <w:szCs w:val="21"/>
          <w:lang w:val="en-US" w:eastAsia="zh-CN" w:bidi="ar-SA"/>
        </w:rPr>
        <w:t>（</w:t>
      </w:r>
      <w:r>
        <w:rPr>
          <w:rFonts w:hint="default" w:ascii="Times New Roman" w:hAnsi="Times New Roman" w:cs="Times New Roman" w:eastAsiaTheme="minorEastAsia"/>
          <w:b/>
          <w:color w:val="auto"/>
          <w:kern w:val="2"/>
          <w:sz w:val="21"/>
          <w:szCs w:val="21"/>
          <w:lang w:val="en-US" w:eastAsia="en-US" w:bidi="ar-SA"/>
        </w:rPr>
        <w:t>单位</w:t>
      </w:r>
      <w:r>
        <w:rPr>
          <w:rFonts w:hint="default" w:ascii="Times New Roman" w:hAnsi="Times New Roman" w:cs="Times New Roman" w:eastAsiaTheme="minorEastAsia"/>
          <w:b/>
          <w:color w:val="auto"/>
          <w:kern w:val="2"/>
          <w:sz w:val="21"/>
          <w:szCs w:val="21"/>
          <w:lang w:val="en-US" w:eastAsia="zh-CN" w:bidi="ar-SA"/>
        </w:rPr>
        <w:t>：μ</w:t>
      </w:r>
      <w:r>
        <w:rPr>
          <w:rFonts w:hint="default" w:ascii="Times New Roman" w:hAnsi="Times New Roman" w:cs="Times New Roman" w:eastAsiaTheme="minorEastAsia"/>
          <w:b/>
          <w:color w:val="auto"/>
          <w:kern w:val="2"/>
          <w:sz w:val="21"/>
          <w:szCs w:val="21"/>
          <w:lang w:val="en-US" w:eastAsia="en-US" w:bidi="ar-SA"/>
        </w:rPr>
        <w:t>g/m</w:t>
      </w:r>
      <w:r>
        <w:rPr>
          <w:rFonts w:hint="default" w:ascii="Times New Roman" w:hAnsi="Times New Roman" w:cs="Times New Roman" w:eastAsiaTheme="minorEastAsia"/>
          <w:b/>
          <w:color w:val="auto"/>
          <w:kern w:val="2"/>
          <w:sz w:val="21"/>
          <w:szCs w:val="21"/>
          <w:vertAlign w:val="superscript"/>
          <w:lang w:val="en-US" w:eastAsia="en-US" w:bidi="ar-SA"/>
        </w:rPr>
        <w:t>3</w:t>
      </w:r>
      <w:r>
        <w:rPr>
          <w:rFonts w:hint="eastAsia" w:ascii="Times New Roman" w:hAnsi="Times New Roman" w:cs="Times New Roman" w:eastAsiaTheme="minorEastAsia"/>
          <w:b/>
          <w:color w:val="auto"/>
          <w:kern w:val="2"/>
          <w:sz w:val="21"/>
          <w:szCs w:val="21"/>
          <w:lang w:val="en-US" w:eastAsia="zh-CN" w:bidi="ar-SA"/>
        </w:rPr>
        <w:t>）</w:t>
      </w:r>
    </w:p>
    <w:p w14:paraId="4FC3B3EF">
      <w:pPr>
        <w:pStyle w:val="17"/>
        <w:rPr>
          <w:rFonts w:hint="default" w:ascii="Times New Roman" w:hAnsi="Times New Roman" w:cs="Times New Roman" w:eastAsiaTheme="minorEastAsia"/>
          <w:b/>
          <w:color w:val="auto"/>
          <w:kern w:val="2"/>
          <w:sz w:val="21"/>
          <w:szCs w:val="21"/>
          <w:lang w:val="en-US" w:eastAsia="en-US" w:bidi="ar-SA"/>
        </w:rPr>
      </w:pPr>
    </w:p>
    <w:p w14:paraId="586BC1EA">
      <w:r>
        <w:br w:type="page"/>
      </w:r>
    </w:p>
    <w:p w14:paraId="2FF86564">
      <w:pPr>
        <w:pStyle w:val="17"/>
        <w:rPr>
          <w:rFonts w:hint="default"/>
          <w:lang w:val="en-US" w:eastAsia="en-US"/>
        </w:rPr>
      </w:pPr>
    </w:p>
    <w:p w14:paraId="37F33443">
      <w:pPr>
        <w:pStyle w:val="20"/>
        <w:snapToGrid w:val="0"/>
        <w:ind w:left="0" w:leftChars="0" w:firstLine="0" w:firstLineChars="0"/>
        <w:jc w:val="left"/>
        <w:rPr>
          <w:rFonts w:hint="default" w:ascii="Times New Roman" w:hAnsi="Times New Roman" w:cs="Times New Roman" w:eastAsiaTheme="minorEastAsia"/>
          <w:b/>
          <w:bCs/>
          <w:color w:val="auto"/>
          <w:lang w:val="en-US" w:eastAsia="en-US"/>
        </w:rPr>
      </w:pPr>
      <w:r>
        <w:rPr>
          <w:rFonts w:hint="default" w:ascii="Times New Roman" w:hAnsi="Times New Roman" w:cs="Times New Roman" w:eastAsiaTheme="minorEastAsia"/>
          <w:b/>
          <w:bCs/>
          <w:color w:val="auto"/>
          <w:lang w:val="en-US" w:eastAsia="en-US"/>
        </w:rPr>
        <w:t>5.2.</w:t>
      </w:r>
      <w:r>
        <w:rPr>
          <w:rFonts w:hint="eastAsia" w:ascii="Times New Roman" w:hAnsi="Times New Roman" w:cs="Times New Roman" w:eastAsiaTheme="minorEastAsia"/>
          <w:b/>
          <w:bCs/>
          <w:color w:val="auto"/>
          <w:lang w:val="en-US" w:eastAsia="zh-CN"/>
        </w:rPr>
        <w:t>2.2</w:t>
      </w:r>
      <w:r>
        <w:rPr>
          <w:rFonts w:hint="default" w:ascii="Times New Roman" w:hAnsi="Times New Roman" w:cs="Times New Roman" w:eastAsiaTheme="minorEastAsia"/>
          <w:b/>
          <w:bCs/>
          <w:color w:val="auto"/>
          <w:lang w:val="en-US" w:eastAsia="en-US"/>
        </w:rPr>
        <w:t xml:space="preserve"> 非正常工况预测结果分析</w:t>
      </w:r>
    </w:p>
    <w:p w14:paraId="025D5DCF">
      <w:pPr>
        <w:pStyle w:val="20"/>
        <w:snapToGrid w:val="0"/>
        <w:jc w:val="left"/>
        <w:rPr>
          <w:rFonts w:hint="default" w:ascii="Times New Roman" w:hAnsi="Times New Roman" w:cs="Times New Roman" w:eastAsiaTheme="minorEastAsia"/>
          <w:color w:val="auto"/>
          <w:lang w:val="en-US" w:eastAsia="en-US"/>
        </w:rPr>
      </w:pPr>
      <w:r>
        <w:rPr>
          <w:rFonts w:hint="default" w:ascii="Times New Roman" w:hAnsi="Times New Roman" w:cs="Times New Roman" w:eastAsiaTheme="minorEastAsia"/>
          <w:color w:val="auto"/>
          <w:lang w:val="en-US" w:eastAsia="en-US"/>
        </w:rPr>
        <w:t>本工程非正常工况下，各预测点处污染物最大小时浓度，见表5</w:t>
      </w:r>
      <w:r>
        <w:rPr>
          <w:rFonts w:hint="default"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en-US"/>
        </w:rPr>
        <w:t>2-1</w:t>
      </w:r>
      <w:r>
        <w:rPr>
          <w:rFonts w:hint="default" w:ascii="Times New Roman" w:hAnsi="Times New Roman" w:cs="Times New Roman" w:eastAsiaTheme="minorEastAsia"/>
          <w:color w:val="auto"/>
          <w:lang w:val="en-US" w:eastAsia="zh-CN"/>
        </w:rPr>
        <w:t>4</w:t>
      </w:r>
      <w:r>
        <w:rPr>
          <w:rFonts w:hint="default" w:ascii="Times New Roman" w:hAnsi="Times New Roman" w:cs="Times New Roman" w:eastAsiaTheme="minorEastAsia"/>
          <w:color w:val="auto"/>
          <w:lang w:val="en-US" w:eastAsia="en-US"/>
        </w:rPr>
        <w:t>。</w:t>
      </w:r>
    </w:p>
    <w:p w14:paraId="0B10F61C">
      <w:pPr>
        <w:adjustRightInd w:val="0"/>
        <w:snapToGrid w:val="0"/>
        <w:spacing w:before="250" w:beforeLines="50"/>
        <w:ind w:firstLine="422" w:firstLineChars="20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en-US"/>
        </w:rPr>
        <w:t>表 5</w:t>
      </w:r>
      <w:r>
        <w:rPr>
          <w:rFonts w:hint="default" w:ascii="Times New Roman" w:hAnsi="Times New Roman" w:cs="Times New Roman" w:eastAsiaTheme="minorEastAsia"/>
          <w:b/>
          <w:szCs w:val="21"/>
          <w:lang w:val="en-US" w:eastAsia="zh-CN"/>
        </w:rPr>
        <w:t>.2-14</w:t>
      </w:r>
      <w:r>
        <w:rPr>
          <w:rFonts w:hint="default" w:ascii="Times New Roman" w:hAnsi="Times New Roman" w:cs="Times New Roman" w:eastAsiaTheme="minorEastAsia"/>
          <w:b/>
          <w:szCs w:val="21"/>
          <w:lang w:val="en-US" w:eastAsia="en-US"/>
        </w:rPr>
        <w:t xml:space="preserve">  非正常工况下污染物最大小时浓度表     单位：</w:t>
      </w:r>
      <w:r>
        <w:rPr>
          <w:rFonts w:hint="default" w:ascii="Times New Roman" w:hAnsi="Times New Roman" w:cs="Times New Roman" w:eastAsiaTheme="minorEastAsia"/>
          <w:b/>
          <w:szCs w:val="21"/>
          <w:lang w:val="en-US" w:eastAsia="zh-CN"/>
        </w:rPr>
        <w:t>μ</w:t>
      </w:r>
      <w:r>
        <w:rPr>
          <w:rFonts w:hint="default" w:ascii="Times New Roman" w:hAnsi="Times New Roman" w:cs="Times New Roman" w:eastAsiaTheme="minorEastAsia"/>
          <w:b/>
          <w:szCs w:val="21"/>
          <w:lang w:val="en-US" w:eastAsia="en-US"/>
        </w:rPr>
        <w:t>g/m</w:t>
      </w:r>
      <w:r>
        <w:rPr>
          <w:rFonts w:hint="default" w:ascii="Times New Roman" w:hAnsi="Times New Roman" w:cs="Times New Roman" w:eastAsiaTheme="minorEastAsia"/>
          <w:b/>
          <w:szCs w:val="21"/>
          <w:vertAlign w:val="superscript"/>
          <w:lang w:val="en-US" w:eastAsia="en-US"/>
        </w:rPr>
        <w:t>3</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2228"/>
        <w:gridCol w:w="1115"/>
        <w:gridCol w:w="1153"/>
        <w:gridCol w:w="1294"/>
        <w:gridCol w:w="1229"/>
        <w:gridCol w:w="792"/>
      </w:tblGrid>
      <w:tr w14:paraId="39EE4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tcBorders>
              <w:tl2br w:val="nil"/>
              <w:tr2bl w:val="nil"/>
            </w:tcBorders>
            <w:shd w:val="clear" w:color="auto" w:fill="auto"/>
            <w:vAlign w:val="center"/>
          </w:tcPr>
          <w:p w14:paraId="4205A4E7">
            <w:pPr>
              <w:autoSpaceDE w:val="0"/>
              <w:autoSpaceDN w:val="0"/>
              <w:spacing w:line="300" w:lineRule="exact"/>
              <w:jc w:val="center"/>
              <w:rPr>
                <w:rFonts w:hint="default" w:ascii="Times New Roman" w:hAnsi="Times New Roman" w:cs="Times New Roman" w:eastAsiaTheme="minorEastAsia"/>
                <w:szCs w:val="21"/>
                <w:lang w:val="en-US" w:eastAsia="en-US"/>
              </w:rPr>
            </w:pPr>
            <w:r>
              <w:rPr>
                <w:rFonts w:hint="default" w:ascii="Times New Roman" w:hAnsi="Times New Roman" w:cs="Times New Roman" w:eastAsiaTheme="minorEastAsia"/>
                <w:szCs w:val="21"/>
                <w:lang w:val="en-US" w:eastAsia="en-US"/>
              </w:rPr>
              <w:t>污染物</w:t>
            </w:r>
          </w:p>
        </w:tc>
        <w:tc>
          <w:tcPr>
            <w:tcW w:w="1307" w:type="pct"/>
            <w:tcBorders>
              <w:tl2br w:val="nil"/>
              <w:tr2bl w:val="nil"/>
            </w:tcBorders>
            <w:shd w:val="clear" w:color="auto" w:fill="auto"/>
            <w:vAlign w:val="center"/>
          </w:tcPr>
          <w:p w14:paraId="3A9B1941">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预测点</w:t>
            </w:r>
          </w:p>
        </w:tc>
        <w:tc>
          <w:tcPr>
            <w:tcW w:w="654" w:type="pct"/>
            <w:tcBorders>
              <w:tl2br w:val="nil"/>
              <w:tr2bl w:val="nil"/>
            </w:tcBorders>
            <w:shd w:val="clear" w:color="auto" w:fill="auto"/>
            <w:vAlign w:val="center"/>
          </w:tcPr>
          <w:p w14:paraId="1E027F5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浓度类型</w:t>
            </w:r>
          </w:p>
        </w:tc>
        <w:tc>
          <w:tcPr>
            <w:tcW w:w="676" w:type="pct"/>
            <w:tcBorders>
              <w:tl2br w:val="nil"/>
              <w:tr2bl w:val="nil"/>
            </w:tcBorders>
            <w:shd w:val="clear" w:color="auto" w:fill="auto"/>
            <w:vAlign w:val="center"/>
          </w:tcPr>
          <w:p w14:paraId="0716C736">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最大贡献值（μg/m</w:t>
            </w:r>
            <w:r>
              <w:rPr>
                <w:rFonts w:hint="default" w:ascii="Times New Roman" w:hAnsi="Times New Roman" w:cs="Times New Roman" w:eastAsiaTheme="minorEastAsia"/>
                <w:szCs w:val="21"/>
                <w:highlight w:val="none"/>
                <w:vertAlign w:val="superscript"/>
                <w:lang w:val="en-US" w:eastAsia="zh-CN"/>
              </w:rPr>
              <w:t>3</w:t>
            </w:r>
            <w:r>
              <w:rPr>
                <w:rFonts w:hint="default" w:ascii="Times New Roman" w:hAnsi="Times New Roman" w:cs="Times New Roman" w:eastAsiaTheme="minorEastAsia"/>
                <w:szCs w:val="21"/>
                <w:highlight w:val="none"/>
                <w:lang w:val="en-US" w:eastAsia="zh-CN"/>
              </w:rPr>
              <w:t>）</w:t>
            </w:r>
          </w:p>
        </w:tc>
        <w:tc>
          <w:tcPr>
            <w:tcW w:w="759" w:type="pct"/>
            <w:tcBorders>
              <w:tl2br w:val="nil"/>
              <w:tr2bl w:val="nil"/>
            </w:tcBorders>
            <w:shd w:val="clear" w:color="auto" w:fill="auto"/>
            <w:vAlign w:val="center"/>
          </w:tcPr>
          <w:p w14:paraId="37643D7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出现时间</w:t>
            </w:r>
          </w:p>
        </w:tc>
        <w:tc>
          <w:tcPr>
            <w:tcW w:w="721" w:type="pct"/>
            <w:tcBorders>
              <w:tl2br w:val="nil"/>
              <w:tr2bl w:val="nil"/>
            </w:tcBorders>
            <w:shd w:val="clear" w:color="auto" w:fill="auto"/>
            <w:vAlign w:val="center"/>
          </w:tcPr>
          <w:p w14:paraId="3BB02E8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占标率%</w:t>
            </w:r>
          </w:p>
        </w:tc>
        <w:tc>
          <w:tcPr>
            <w:tcW w:w="464" w:type="pct"/>
            <w:tcBorders>
              <w:tl2br w:val="nil"/>
              <w:tr2bl w:val="nil"/>
            </w:tcBorders>
            <w:shd w:val="clear" w:color="auto" w:fill="auto"/>
            <w:vAlign w:val="center"/>
          </w:tcPr>
          <w:p w14:paraId="472A09EC">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en-US"/>
              </w:rPr>
              <w:t>达标情况</w:t>
            </w:r>
          </w:p>
        </w:tc>
      </w:tr>
      <w:tr w14:paraId="76BC8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restart"/>
            <w:tcBorders>
              <w:tl2br w:val="nil"/>
              <w:tr2bl w:val="nil"/>
            </w:tcBorders>
            <w:vAlign w:val="center"/>
          </w:tcPr>
          <w:p w14:paraId="679A4EE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NOx</w:t>
            </w:r>
          </w:p>
        </w:tc>
        <w:tc>
          <w:tcPr>
            <w:tcW w:w="1307" w:type="pct"/>
            <w:tcBorders>
              <w:tl2br w:val="nil"/>
              <w:tr2bl w:val="nil"/>
            </w:tcBorders>
            <w:vAlign w:val="center"/>
          </w:tcPr>
          <w:p w14:paraId="5EE5C73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兰干村居民区</w:t>
            </w:r>
          </w:p>
        </w:tc>
        <w:tc>
          <w:tcPr>
            <w:tcW w:w="654" w:type="pct"/>
            <w:tcBorders>
              <w:tl2br w:val="nil"/>
              <w:tr2bl w:val="nil"/>
            </w:tcBorders>
            <w:vAlign w:val="center"/>
          </w:tcPr>
          <w:p w14:paraId="42EB46AB">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2E415A24">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eastAsia"/>
              </w:rPr>
              <w:t>0.</w:t>
            </w:r>
            <w:r>
              <w:rPr>
                <w:rFonts w:hint="eastAsia"/>
                <w:lang w:val="en-US" w:eastAsia="zh-CN"/>
              </w:rPr>
              <w:t>19</w:t>
            </w:r>
          </w:p>
        </w:tc>
        <w:tc>
          <w:tcPr>
            <w:tcW w:w="759" w:type="pct"/>
            <w:tcBorders>
              <w:tl2br w:val="nil"/>
              <w:tr2bl w:val="nil"/>
            </w:tcBorders>
            <w:vAlign w:val="center"/>
          </w:tcPr>
          <w:p w14:paraId="00A6A5D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highlight w:val="none"/>
              </w:rPr>
              <w:t>250409</w:t>
            </w:r>
            <w:r>
              <w:rPr>
                <w:rFonts w:hint="eastAsia"/>
                <w:highlight w:val="none"/>
                <w:lang w:val="en-US" w:eastAsia="zh-CN"/>
              </w:rPr>
              <w:t>07</w:t>
            </w:r>
          </w:p>
        </w:tc>
        <w:tc>
          <w:tcPr>
            <w:tcW w:w="721" w:type="pct"/>
            <w:tcBorders>
              <w:tl2br w:val="nil"/>
              <w:tr2bl w:val="nil"/>
            </w:tcBorders>
            <w:vAlign w:val="center"/>
          </w:tcPr>
          <w:p w14:paraId="17C884CB">
            <w:pPr>
              <w:autoSpaceDE w:val="0"/>
              <w:autoSpaceDN w:val="0"/>
              <w:spacing w:line="300" w:lineRule="exact"/>
              <w:jc w:val="center"/>
              <w:rPr>
                <w:rFonts w:hint="eastAsia" w:ascii="Times New Roman" w:hAnsi="Times New Roman" w:cs="Times New Roman" w:eastAsiaTheme="minorEastAsia"/>
                <w:szCs w:val="21"/>
                <w:highlight w:val="yellow"/>
                <w:lang w:val="en-US" w:eastAsia="zh-CN"/>
              </w:rPr>
            </w:pPr>
            <w:r>
              <w:rPr>
                <w:rFonts w:hint="eastAsia"/>
              </w:rPr>
              <w:t>0.1</w:t>
            </w:r>
            <w:r>
              <w:rPr>
                <w:rFonts w:hint="eastAsia"/>
                <w:lang w:val="en-US" w:eastAsia="zh-CN"/>
              </w:rPr>
              <w:t>0</w:t>
            </w:r>
          </w:p>
        </w:tc>
        <w:tc>
          <w:tcPr>
            <w:tcW w:w="464" w:type="pct"/>
            <w:tcBorders>
              <w:tl2br w:val="nil"/>
              <w:tr2bl w:val="nil"/>
            </w:tcBorders>
            <w:vAlign w:val="center"/>
          </w:tcPr>
          <w:p w14:paraId="350F5FA1">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r>
      <w:tr w14:paraId="21BDC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continue"/>
            <w:tcBorders>
              <w:tl2br w:val="nil"/>
              <w:tr2bl w:val="nil"/>
            </w:tcBorders>
            <w:vAlign w:val="center"/>
          </w:tcPr>
          <w:p w14:paraId="1E4F21A5">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07" w:type="pct"/>
            <w:tcBorders>
              <w:tl2br w:val="nil"/>
              <w:tr2bl w:val="nil"/>
            </w:tcBorders>
            <w:vAlign w:val="center"/>
          </w:tcPr>
          <w:p w14:paraId="476A115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萨依巴格村居民区</w:t>
            </w:r>
          </w:p>
        </w:tc>
        <w:tc>
          <w:tcPr>
            <w:tcW w:w="654" w:type="pct"/>
            <w:tcBorders>
              <w:tl2br w:val="nil"/>
              <w:tr2bl w:val="nil"/>
            </w:tcBorders>
            <w:vAlign w:val="center"/>
          </w:tcPr>
          <w:p w14:paraId="07F23F96">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3E70BA19">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eastAsia"/>
              </w:rPr>
              <w:t>0.</w:t>
            </w:r>
            <w:r>
              <w:rPr>
                <w:rFonts w:hint="eastAsia"/>
                <w:lang w:val="en-US" w:eastAsia="zh-CN"/>
              </w:rPr>
              <w:t>54</w:t>
            </w:r>
          </w:p>
        </w:tc>
        <w:tc>
          <w:tcPr>
            <w:tcW w:w="759" w:type="pct"/>
            <w:tcBorders>
              <w:tl2br w:val="nil"/>
              <w:tr2bl w:val="nil"/>
            </w:tcBorders>
            <w:vAlign w:val="center"/>
          </w:tcPr>
          <w:p w14:paraId="467D6E0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highlight w:val="none"/>
              </w:rPr>
              <w:t>250619</w:t>
            </w:r>
            <w:r>
              <w:rPr>
                <w:rFonts w:hint="eastAsia"/>
                <w:highlight w:val="none"/>
                <w:lang w:val="en-US" w:eastAsia="zh-CN"/>
              </w:rPr>
              <w:t>06</w:t>
            </w:r>
          </w:p>
        </w:tc>
        <w:tc>
          <w:tcPr>
            <w:tcW w:w="721" w:type="pct"/>
            <w:tcBorders>
              <w:tl2br w:val="nil"/>
              <w:tr2bl w:val="nil"/>
            </w:tcBorders>
            <w:vAlign w:val="center"/>
          </w:tcPr>
          <w:p w14:paraId="728BA634">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eastAsia"/>
              </w:rPr>
              <w:t>0.</w:t>
            </w:r>
            <w:r>
              <w:rPr>
                <w:rFonts w:hint="eastAsia"/>
                <w:lang w:val="en-US" w:eastAsia="zh-CN"/>
              </w:rPr>
              <w:t>27</w:t>
            </w:r>
          </w:p>
        </w:tc>
        <w:tc>
          <w:tcPr>
            <w:tcW w:w="464" w:type="pct"/>
            <w:tcBorders>
              <w:tl2br w:val="nil"/>
              <w:tr2bl w:val="nil"/>
            </w:tcBorders>
            <w:vAlign w:val="center"/>
          </w:tcPr>
          <w:p w14:paraId="316F9ED8">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r>
      <w:tr w14:paraId="3BF86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7" w:type="pct"/>
            <w:vMerge w:val="continue"/>
            <w:tcBorders>
              <w:tl2br w:val="nil"/>
              <w:tr2bl w:val="nil"/>
            </w:tcBorders>
            <w:vAlign w:val="center"/>
          </w:tcPr>
          <w:p w14:paraId="315C3075">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07" w:type="pct"/>
            <w:tcBorders>
              <w:tl2br w:val="nil"/>
              <w:tr2bl w:val="nil"/>
            </w:tcBorders>
            <w:vAlign w:val="center"/>
          </w:tcPr>
          <w:p w14:paraId="71F2C9B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帕特曼喀什村居民区</w:t>
            </w:r>
          </w:p>
        </w:tc>
        <w:tc>
          <w:tcPr>
            <w:tcW w:w="654" w:type="pct"/>
            <w:tcBorders>
              <w:tl2br w:val="nil"/>
              <w:tr2bl w:val="nil"/>
            </w:tcBorders>
            <w:vAlign w:val="center"/>
          </w:tcPr>
          <w:p w14:paraId="48184B31">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582F46C5">
            <w:pPr>
              <w:autoSpaceDE w:val="0"/>
              <w:autoSpaceDN w:val="0"/>
              <w:spacing w:line="300" w:lineRule="exact"/>
              <w:jc w:val="center"/>
              <w:rPr>
                <w:rFonts w:hint="eastAsia" w:ascii="Times New Roman" w:hAnsi="Times New Roman" w:cs="Times New Roman" w:eastAsiaTheme="minorEastAsia"/>
                <w:szCs w:val="21"/>
                <w:highlight w:val="yellow"/>
                <w:lang w:val="en-US" w:eastAsia="zh-CN"/>
              </w:rPr>
            </w:pPr>
            <w:r>
              <w:rPr>
                <w:rFonts w:hint="eastAsia"/>
              </w:rPr>
              <w:t>0.3</w:t>
            </w:r>
            <w:r>
              <w:rPr>
                <w:rFonts w:hint="eastAsia"/>
                <w:lang w:val="en-US" w:eastAsia="zh-CN"/>
              </w:rPr>
              <w:t>1</w:t>
            </w:r>
          </w:p>
        </w:tc>
        <w:tc>
          <w:tcPr>
            <w:tcW w:w="759" w:type="pct"/>
            <w:tcBorders>
              <w:tl2br w:val="nil"/>
              <w:tr2bl w:val="nil"/>
            </w:tcBorders>
            <w:vAlign w:val="center"/>
          </w:tcPr>
          <w:p w14:paraId="1DB2591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highlight w:val="none"/>
              </w:rPr>
              <w:t>251215</w:t>
            </w:r>
            <w:r>
              <w:rPr>
                <w:rFonts w:hint="eastAsia"/>
                <w:highlight w:val="none"/>
                <w:lang w:val="en-US" w:eastAsia="zh-CN"/>
              </w:rPr>
              <w:t>09</w:t>
            </w:r>
          </w:p>
        </w:tc>
        <w:tc>
          <w:tcPr>
            <w:tcW w:w="721" w:type="pct"/>
            <w:tcBorders>
              <w:tl2br w:val="nil"/>
              <w:tr2bl w:val="nil"/>
            </w:tcBorders>
            <w:vAlign w:val="center"/>
          </w:tcPr>
          <w:p w14:paraId="5EB8582C">
            <w:pPr>
              <w:autoSpaceDE w:val="0"/>
              <w:autoSpaceDN w:val="0"/>
              <w:spacing w:line="300" w:lineRule="exact"/>
              <w:jc w:val="center"/>
              <w:rPr>
                <w:rFonts w:hint="eastAsia" w:ascii="Times New Roman" w:hAnsi="Times New Roman" w:cs="Times New Roman" w:eastAsiaTheme="minorEastAsia"/>
                <w:szCs w:val="21"/>
                <w:highlight w:val="yellow"/>
                <w:lang w:val="en-US" w:eastAsia="zh-CN"/>
              </w:rPr>
            </w:pPr>
            <w:r>
              <w:rPr>
                <w:rFonts w:hint="eastAsia"/>
              </w:rPr>
              <w:t>0.1</w:t>
            </w:r>
            <w:r>
              <w:rPr>
                <w:rFonts w:hint="eastAsia"/>
                <w:lang w:val="en-US" w:eastAsia="zh-CN"/>
              </w:rPr>
              <w:t>5</w:t>
            </w:r>
          </w:p>
        </w:tc>
        <w:tc>
          <w:tcPr>
            <w:tcW w:w="464" w:type="pct"/>
            <w:tcBorders>
              <w:tl2br w:val="nil"/>
              <w:tr2bl w:val="nil"/>
            </w:tcBorders>
            <w:vAlign w:val="center"/>
          </w:tcPr>
          <w:p w14:paraId="620DF7B4">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r>
      <w:tr w14:paraId="54168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7" w:type="pct"/>
            <w:vMerge w:val="continue"/>
            <w:tcBorders>
              <w:tl2br w:val="nil"/>
              <w:tr2bl w:val="nil"/>
            </w:tcBorders>
            <w:vAlign w:val="center"/>
          </w:tcPr>
          <w:p w14:paraId="459FE85B">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07" w:type="pct"/>
            <w:tcBorders>
              <w:tl2br w:val="nil"/>
              <w:tr2bl w:val="nil"/>
            </w:tcBorders>
            <w:vAlign w:val="center"/>
          </w:tcPr>
          <w:p w14:paraId="6E6391E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网格</w:t>
            </w:r>
          </w:p>
        </w:tc>
        <w:tc>
          <w:tcPr>
            <w:tcW w:w="654" w:type="pct"/>
            <w:tcBorders>
              <w:tl2br w:val="nil"/>
              <w:tr2bl w:val="nil"/>
            </w:tcBorders>
            <w:vAlign w:val="center"/>
          </w:tcPr>
          <w:p w14:paraId="560C43D2">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4F50EAFE">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eastAsia"/>
                <w:lang w:val="en-US" w:eastAsia="zh-CN"/>
              </w:rPr>
              <w:t>7.77</w:t>
            </w:r>
          </w:p>
        </w:tc>
        <w:tc>
          <w:tcPr>
            <w:tcW w:w="759" w:type="pct"/>
            <w:tcBorders>
              <w:tl2br w:val="nil"/>
              <w:tr2bl w:val="nil"/>
            </w:tcBorders>
            <w:vAlign w:val="center"/>
          </w:tcPr>
          <w:p w14:paraId="4AA6613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highlight w:val="none"/>
              </w:rPr>
              <w:t>25</w:t>
            </w:r>
            <w:r>
              <w:rPr>
                <w:rFonts w:hint="eastAsia"/>
                <w:highlight w:val="none"/>
                <w:lang w:val="en-US" w:eastAsia="zh-CN"/>
              </w:rPr>
              <w:t>100410</w:t>
            </w:r>
          </w:p>
        </w:tc>
        <w:tc>
          <w:tcPr>
            <w:tcW w:w="721" w:type="pct"/>
            <w:tcBorders>
              <w:tl2br w:val="nil"/>
              <w:tr2bl w:val="nil"/>
            </w:tcBorders>
            <w:vAlign w:val="center"/>
          </w:tcPr>
          <w:p w14:paraId="666AD7A0">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eastAsia"/>
                <w:lang w:val="en-US" w:eastAsia="zh-CN"/>
              </w:rPr>
              <w:t>3.88</w:t>
            </w:r>
          </w:p>
        </w:tc>
        <w:tc>
          <w:tcPr>
            <w:tcW w:w="464" w:type="pct"/>
            <w:tcBorders>
              <w:tl2br w:val="nil"/>
              <w:tr2bl w:val="nil"/>
            </w:tcBorders>
            <w:vAlign w:val="center"/>
          </w:tcPr>
          <w:p w14:paraId="12A4E2E3">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r>
      <w:tr w14:paraId="4E855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7" w:type="pct"/>
            <w:vMerge w:val="restart"/>
            <w:tcBorders>
              <w:tl2br w:val="nil"/>
              <w:tr2bl w:val="nil"/>
            </w:tcBorders>
            <w:vAlign w:val="center"/>
          </w:tcPr>
          <w:p w14:paraId="08AA5D3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PM</w:t>
            </w:r>
            <w:r>
              <w:rPr>
                <w:rFonts w:hint="eastAsia" w:ascii="Times New Roman" w:hAnsi="Times New Roman" w:cs="Times New Roman"/>
                <w:szCs w:val="21"/>
                <w:vertAlign w:val="subscript"/>
                <w:lang w:val="en-US" w:eastAsia="zh-CN"/>
              </w:rPr>
              <w:t>10</w:t>
            </w:r>
          </w:p>
        </w:tc>
        <w:tc>
          <w:tcPr>
            <w:tcW w:w="1307" w:type="pct"/>
            <w:tcBorders>
              <w:tl2br w:val="nil"/>
              <w:tr2bl w:val="nil"/>
            </w:tcBorders>
            <w:vAlign w:val="center"/>
          </w:tcPr>
          <w:p w14:paraId="1CDDC84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兰干村居民区</w:t>
            </w:r>
          </w:p>
        </w:tc>
        <w:tc>
          <w:tcPr>
            <w:tcW w:w="654" w:type="pct"/>
            <w:tcBorders>
              <w:tl2br w:val="nil"/>
              <w:tr2bl w:val="nil"/>
            </w:tcBorders>
            <w:vAlign w:val="center"/>
          </w:tcPr>
          <w:p w14:paraId="5C9B7376">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7BB16286">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eastAsia"/>
                <w:lang w:val="en-US" w:eastAsia="zh-CN"/>
              </w:rPr>
              <w:t>0.03</w:t>
            </w:r>
          </w:p>
        </w:tc>
        <w:tc>
          <w:tcPr>
            <w:tcW w:w="1294" w:type="dxa"/>
            <w:tcBorders>
              <w:tl2br w:val="nil"/>
              <w:tr2bl w:val="nil"/>
            </w:tcBorders>
            <w:vAlign w:val="center"/>
          </w:tcPr>
          <w:p w14:paraId="10F0FF2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highlight w:val="none"/>
              </w:rPr>
              <w:t>250409</w:t>
            </w:r>
            <w:r>
              <w:rPr>
                <w:rFonts w:hint="eastAsia"/>
                <w:highlight w:val="none"/>
                <w:lang w:val="en-US" w:eastAsia="zh-CN"/>
              </w:rPr>
              <w:t>07</w:t>
            </w:r>
          </w:p>
        </w:tc>
        <w:tc>
          <w:tcPr>
            <w:tcW w:w="721" w:type="pct"/>
            <w:tcBorders>
              <w:tl2br w:val="nil"/>
              <w:tr2bl w:val="nil"/>
            </w:tcBorders>
            <w:vAlign w:val="center"/>
          </w:tcPr>
          <w:p w14:paraId="01A5162C">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eastAsia"/>
              </w:rPr>
              <w:t>0.</w:t>
            </w:r>
            <w:r>
              <w:rPr>
                <w:rFonts w:hint="eastAsia"/>
                <w:lang w:val="en-US" w:eastAsia="zh-CN"/>
              </w:rPr>
              <w:t>01</w:t>
            </w:r>
          </w:p>
        </w:tc>
        <w:tc>
          <w:tcPr>
            <w:tcW w:w="464" w:type="pct"/>
            <w:tcBorders>
              <w:tl2br w:val="nil"/>
              <w:tr2bl w:val="nil"/>
            </w:tcBorders>
            <w:vAlign w:val="center"/>
          </w:tcPr>
          <w:p w14:paraId="51CD3D0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r>
      <w:tr w14:paraId="1559C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continue"/>
            <w:tcBorders>
              <w:tl2br w:val="nil"/>
              <w:tr2bl w:val="nil"/>
            </w:tcBorders>
            <w:vAlign w:val="center"/>
          </w:tcPr>
          <w:p w14:paraId="7C9F718C">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07" w:type="pct"/>
            <w:tcBorders>
              <w:tl2br w:val="nil"/>
              <w:tr2bl w:val="nil"/>
            </w:tcBorders>
            <w:vAlign w:val="center"/>
          </w:tcPr>
          <w:p w14:paraId="3A380E5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萨依巴格村居民区</w:t>
            </w:r>
          </w:p>
        </w:tc>
        <w:tc>
          <w:tcPr>
            <w:tcW w:w="654" w:type="pct"/>
            <w:tcBorders>
              <w:tl2br w:val="nil"/>
              <w:tr2bl w:val="nil"/>
            </w:tcBorders>
            <w:vAlign w:val="center"/>
          </w:tcPr>
          <w:p w14:paraId="11AD1EC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7507DECB">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eastAsia"/>
                <w:lang w:val="en-US" w:eastAsia="zh-CN"/>
              </w:rPr>
              <w:t>0.08</w:t>
            </w:r>
          </w:p>
        </w:tc>
        <w:tc>
          <w:tcPr>
            <w:tcW w:w="1294" w:type="dxa"/>
            <w:tcBorders>
              <w:tl2br w:val="nil"/>
              <w:tr2bl w:val="nil"/>
            </w:tcBorders>
            <w:vAlign w:val="center"/>
          </w:tcPr>
          <w:p w14:paraId="4B66B4E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highlight w:val="none"/>
              </w:rPr>
              <w:t>250619</w:t>
            </w:r>
            <w:r>
              <w:rPr>
                <w:rFonts w:hint="eastAsia"/>
                <w:highlight w:val="none"/>
                <w:lang w:val="en-US" w:eastAsia="zh-CN"/>
              </w:rPr>
              <w:t>06</w:t>
            </w:r>
          </w:p>
        </w:tc>
        <w:tc>
          <w:tcPr>
            <w:tcW w:w="721" w:type="pct"/>
            <w:tcBorders>
              <w:tl2br w:val="nil"/>
              <w:tr2bl w:val="nil"/>
            </w:tcBorders>
            <w:vAlign w:val="center"/>
          </w:tcPr>
          <w:p w14:paraId="16320076">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eastAsia"/>
              </w:rPr>
              <w:t>0.</w:t>
            </w:r>
            <w:r>
              <w:rPr>
                <w:rFonts w:hint="eastAsia"/>
                <w:lang w:val="en-US" w:eastAsia="zh-CN"/>
              </w:rPr>
              <w:t>02</w:t>
            </w:r>
          </w:p>
        </w:tc>
        <w:tc>
          <w:tcPr>
            <w:tcW w:w="464" w:type="pct"/>
            <w:tcBorders>
              <w:tl2br w:val="nil"/>
              <w:tr2bl w:val="nil"/>
            </w:tcBorders>
            <w:vAlign w:val="center"/>
          </w:tcPr>
          <w:p w14:paraId="05873EF8">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r>
      <w:tr w14:paraId="6D4A6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continue"/>
            <w:tcBorders>
              <w:tl2br w:val="nil"/>
              <w:tr2bl w:val="nil"/>
            </w:tcBorders>
            <w:vAlign w:val="center"/>
          </w:tcPr>
          <w:p w14:paraId="70EAFDED">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07" w:type="pct"/>
            <w:tcBorders>
              <w:tl2br w:val="nil"/>
              <w:tr2bl w:val="nil"/>
            </w:tcBorders>
            <w:vAlign w:val="center"/>
          </w:tcPr>
          <w:p w14:paraId="7955B8E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帕特曼喀什村居民区</w:t>
            </w:r>
          </w:p>
        </w:tc>
        <w:tc>
          <w:tcPr>
            <w:tcW w:w="654" w:type="pct"/>
            <w:tcBorders>
              <w:tl2br w:val="nil"/>
              <w:tr2bl w:val="nil"/>
            </w:tcBorders>
            <w:vAlign w:val="center"/>
          </w:tcPr>
          <w:p w14:paraId="53B501D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131D4E31">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eastAsia"/>
                <w:lang w:val="en-US" w:eastAsia="zh-CN"/>
              </w:rPr>
              <w:t>0.04</w:t>
            </w:r>
          </w:p>
        </w:tc>
        <w:tc>
          <w:tcPr>
            <w:tcW w:w="1294" w:type="dxa"/>
            <w:tcBorders>
              <w:tl2br w:val="nil"/>
              <w:tr2bl w:val="nil"/>
            </w:tcBorders>
            <w:vAlign w:val="center"/>
          </w:tcPr>
          <w:p w14:paraId="48CC8C4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highlight w:val="none"/>
              </w:rPr>
              <w:t>251215</w:t>
            </w:r>
            <w:r>
              <w:rPr>
                <w:rFonts w:hint="eastAsia"/>
                <w:highlight w:val="none"/>
                <w:lang w:val="en-US" w:eastAsia="zh-CN"/>
              </w:rPr>
              <w:t>09</w:t>
            </w:r>
          </w:p>
        </w:tc>
        <w:tc>
          <w:tcPr>
            <w:tcW w:w="721" w:type="pct"/>
            <w:tcBorders>
              <w:tl2br w:val="nil"/>
              <w:tr2bl w:val="nil"/>
            </w:tcBorders>
            <w:vAlign w:val="center"/>
          </w:tcPr>
          <w:p w14:paraId="095C4FD2">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eastAsia"/>
              </w:rPr>
              <w:t>0.</w:t>
            </w:r>
            <w:r>
              <w:rPr>
                <w:rFonts w:hint="eastAsia"/>
                <w:lang w:val="en-US" w:eastAsia="zh-CN"/>
              </w:rPr>
              <w:t>01</w:t>
            </w:r>
          </w:p>
        </w:tc>
        <w:tc>
          <w:tcPr>
            <w:tcW w:w="464" w:type="pct"/>
            <w:tcBorders>
              <w:tl2br w:val="nil"/>
              <w:tr2bl w:val="nil"/>
            </w:tcBorders>
            <w:vAlign w:val="center"/>
          </w:tcPr>
          <w:p w14:paraId="530F260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r>
      <w:tr w14:paraId="5F34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continue"/>
            <w:tcBorders>
              <w:tl2br w:val="nil"/>
              <w:tr2bl w:val="nil"/>
            </w:tcBorders>
            <w:vAlign w:val="center"/>
          </w:tcPr>
          <w:p w14:paraId="12808518">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07" w:type="pct"/>
            <w:tcBorders>
              <w:tl2br w:val="nil"/>
              <w:tr2bl w:val="nil"/>
            </w:tcBorders>
            <w:vAlign w:val="center"/>
          </w:tcPr>
          <w:p w14:paraId="544D496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网格</w:t>
            </w:r>
          </w:p>
        </w:tc>
        <w:tc>
          <w:tcPr>
            <w:tcW w:w="654" w:type="pct"/>
            <w:tcBorders>
              <w:tl2br w:val="nil"/>
              <w:tr2bl w:val="nil"/>
            </w:tcBorders>
            <w:vAlign w:val="center"/>
          </w:tcPr>
          <w:p w14:paraId="12528F5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3E1165A4">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eastAsia"/>
                <w:lang w:val="en-US" w:eastAsia="zh-CN"/>
              </w:rPr>
              <w:t>1.11</w:t>
            </w:r>
          </w:p>
        </w:tc>
        <w:tc>
          <w:tcPr>
            <w:tcW w:w="1294" w:type="dxa"/>
            <w:tcBorders>
              <w:tl2br w:val="nil"/>
              <w:tr2bl w:val="nil"/>
            </w:tcBorders>
            <w:vAlign w:val="center"/>
          </w:tcPr>
          <w:p w14:paraId="465F8EC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highlight w:val="none"/>
              </w:rPr>
              <w:t>25</w:t>
            </w:r>
            <w:r>
              <w:rPr>
                <w:rFonts w:hint="eastAsia"/>
                <w:highlight w:val="none"/>
                <w:lang w:val="en-US" w:eastAsia="zh-CN"/>
              </w:rPr>
              <w:t>100410</w:t>
            </w:r>
          </w:p>
        </w:tc>
        <w:tc>
          <w:tcPr>
            <w:tcW w:w="721" w:type="pct"/>
            <w:tcBorders>
              <w:tl2br w:val="nil"/>
              <w:tr2bl w:val="nil"/>
            </w:tcBorders>
            <w:vAlign w:val="center"/>
          </w:tcPr>
          <w:p w14:paraId="4D3A0E26">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eastAsia"/>
                <w:lang w:val="en-US" w:eastAsia="zh-CN"/>
              </w:rPr>
              <w:t>0.31</w:t>
            </w:r>
          </w:p>
        </w:tc>
        <w:tc>
          <w:tcPr>
            <w:tcW w:w="464" w:type="pct"/>
            <w:tcBorders>
              <w:tl2br w:val="nil"/>
              <w:tr2bl w:val="nil"/>
            </w:tcBorders>
            <w:vAlign w:val="center"/>
          </w:tcPr>
          <w:p w14:paraId="2827AEF6">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达标</w:t>
            </w:r>
          </w:p>
        </w:tc>
      </w:tr>
      <w:tr w14:paraId="432EA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restart"/>
            <w:tcBorders>
              <w:tl2br w:val="nil"/>
              <w:tr2bl w:val="nil"/>
            </w:tcBorders>
            <w:vAlign w:val="center"/>
          </w:tcPr>
          <w:p w14:paraId="052D529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PM</w:t>
            </w:r>
            <w:r>
              <w:rPr>
                <w:rFonts w:hint="eastAsia" w:ascii="Times New Roman" w:hAnsi="Times New Roman" w:cs="Times New Roman"/>
                <w:szCs w:val="21"/>
                <w:highlight w:val="none"/>
                <w:vertAlign w:val="subscript"/>
                <w:lang w:val="en-US" w:eastAsia="zh-CN"/>
              </w:rPr>
              <w:t>2.5</w:t>
            </w:r>
          </w:p>
        </w:tc>
        <w:tc>
          <w:tcPr>
            <w:tcW w:w="1307" w:type="pct"/>
            <w:tcBorders>
              <w:tl2br w:val="nil"/>
              <w:tr2bl w:val="nil"/>
            </w:tcBorders>
            <w:shd w:val="clear" w:color="auto" w:fill="auto"/>
            <w:vAlign w:val="center"/>
          </w:tcPr>
          <w:p w14:paraId="21E20A5C">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兰干村居民区</w:t>
            </w:r>
          </w:p>
        </w:tc>
        <w:tc>
          <w:tcPr>
            <w:tcW w:w="654" w:type="pct"/>
            <w:tcBorders>
              <w:tl2br w:val="nil"/>
              <w:tr2bl w:val="nil"/>
            </w:tcBorders>
            <w:vAlign w:val="center"/>
          </w:tcPr>
          <w:p w14:paraId="02E712F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2A0B3880">
            <w:pPr>
              <w:autoSpaceDE w:val="0"/>
              <w:autoSpaceDN w:val="0"/>
              <w:spacing w:line="300" w:lineRule="exact"/>
              <w:jc w:val="center"/>
              <w:rPr>
                <w:rFonts w:hint="default" w:ascii="Times New Roman" w:hAnsi="Times New Roman" w:cs="Times New Roman" w:eastAsiaTheme="minorEastAsia"/>
                <w:highlight w:val="yellow"/>
                <w:lang w:val="en-US" w:eastAsia="zh-CN"/>
              </w:rPr>
            </w:pPr>
            <w:r>
              <w:rPr>
                <w:rFonts w:hint="eastAsia"/>
              </w:rPr>
              <w:t>0.</w:t>
            </w:r>
            <w:r>
              <w:rPr>
                <w:rFonts w:hint="eastAsia"/>
                <w:lang w:val="en-US" w:eastAsia="zh-CN"/>
              </w:rPr>
              <w:t>01</w:t>
            </w:r>
          </w:p>
        </w:tc>
        <w:tc>
          <w:tcPr>
            <w:tcW w:w="1294" w:type="dxa"/>
            <w:tcBorders>
              <w:tl2br w:val="nil"/>
              <w:tr2bl w:val="nil"/>
            </w:tcBorders>
            <w:vAlign w:val="center"/>
          </w:tcPr>
          <w:p w14:paraId="1DB89E30">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250409</w:t>
            </w:r>
            <w:r>
              <w:rPr>
                <w:rFonts w:hint="eastAsia"/>
                <w:highlight w:val="none"/>
                <w:lang w:val="en-US" w:eastAsia="zh-CN"/>
              </w:rPr>
              <w:t>07</w:t>
            </w:r>
          </w:p>
        </w:tc>
        <w:tc>
          <w:tcPr>
            <w:tcW w:w="721" w:type="pct"/>
            <w:tcBorders>
              <w:tl2br w:val="nil"/>
              <w:tr2bl w:val="nil"/>
            </w:tcBorders>
            <w:vAlign w:val="center"/>
          </w:tcPr>
          <w:p w14:paraId="0C2B5656">
            <w:pPr>
              <w:autoSpaceDE w:val="0"/>
              <w:autoSpaceDN w:val="0"/>
              <w:spacing w:line="300" w:lineRule="exact"/>
              <w:jc w:val="center"/>
              <w:rPr>
                <w:rFonts w:hint="default" w:ascii="Times New Roman" w:hAnsi="Times New Roman" w:cs="Times New Roman" w:eastAsiaTheme="minorEastAsia"/>
                <w:highlight w:val="yellow"/>
                <w:lang w:val="en-US" w:eastAsia="zh-CN"/>
              </w:rPr>
            </w:pPr>
            <w:r>
              <w:rPr>
                <w:rFonts w:hint="eastAsia"/>
              </w:rPr>
              <w:t>0.</w:t>
            </w:r>
            <w:r>
              <w:rPr>
                <w:rFonts w:hint="eastAsia"/>
                <w:lang w:val="en-US" w:eastAsia="zh-CN"/>
              </w:rPr>
              <w:t>01</w:t>
            </w:r>
          </w:p>
        </w:tc>
        <w:tc>
          <w:tcPr>
            <w:tcW w:w="464" w:type="pct"/>
            <w:tcBorders>
              <w:tl2br w:val="nil"/>
              <w:tr2bl w:val="nil"/>
            </w:tcBorders>
            <w:vAlign w:val="center"/>
          </w:tcPr>
          <w:p w14:paraId="4925192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r>
      <w:tr w14:paraId="6543A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continue"/>
            <w:tcBorders>
              <w:tl2br w:val="nil"/>
              <w:tr2bl w:val="nil"/>
            </w:tcBorders>
            <w:vAlign w:val="center"/>
          </w:tcPr>
          <w:p w14:paraId="04069F7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07" w:type="pct"/>
            <w:tcBorders>
              <w:tl2br w:val="nil"/>
              <w:tr2bl w:val="nil"/>
            </w:tcBorders>
            <w:shd w:val="clear" w:color="auto" w:fill="auto"/>
            <w:vAlign w:val="center"/>
          </w:tcPr>
          <w:p w14:paraId="2FA7C7C1">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萨依巴格村居民区</w:t>
            </w:r>
          </w:p>
        </w:tc>
        <w:tc>
          <w:tcPr>
            <w:tcW w:w="654" w:type="pct"/>
            <w:tcBorders>
              <w:tl2br w:val="nil"/>
              <w:tr2bl w:val="nil"/>
            </w:tcBorders>
            <w:vAlign w:val="center"/>
          </w:tcPr>
          <w:p w14:paraId="6E41FF8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4848C59B">
            <w:pPr>
              <w:autoSpaceDE w:val="0"/>
              <w:autoSpaceDN w:val="0"/>
              <w:spacing w:line="300" w:lineRule="exact"/>
              <w:jc w:val="center"/>
              <w:rPr>
                <w:rFonts w:hint="default" w:ascii="Times New Roman" w:hAnsi="Times New Roman" w:cs="Times New Roman" w:eastAsiaTheme="minorEastAsia"/>
                <w:highlight w:val="yellow"/>
                <w:lang w:val="en-US" w:eastAsia="zh-CN"/>
              </w:rPr>
            </w:pPr>
            <w:r>
              <w:rPr>
                <w:rFonts w:hint="eastAsia"/>
                <w:lang w:val="en-US" w:eastAsia="zh-CN"/>
              </w:rPr>
              <w:t>0.04</w:t>
            </w:r>
          </w:p>
        </w:tc>
        <w:tc>
          <w:tcPr>
            <w:tcW w:w="1294" w:type="dxa"/>
            <w:tcBorders>
              <w:tl2br w:val="nil"/>
              <w:tr2bl w:val="nil"/>
            </w:tcBorders>
            <w:vAlign w:val="center"/>
          </w:tcPr>
          <w:p w14:paraId="6D5E454A">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highlight w:val="none"/>
              </w:rPr>
              <w:t>250619</w:t>
            </w:r>
            <w:r>
              <w:rPr>
                <w:rFonts w:hint="eastAsia"/>
                <w:highlight w:val="none"/>
                <w:lang w:val="en-US" w:eastAsia="zh-CN"/>
              </w:rPr>
              <w:t>06</w:t>
            </w:r>
          </w:p>
        </w:tc>
        <w:tc>
          <w:tcPr>
            <w:tcW w:w="721" w:type="pct"/>
            <w:tcBorders>
              <w:tl2br w:val="nil"/>
              <w:tr2bl w:val="nil"/>
            </w:tcBorders>
            <w:vAlign w:val="center"/>
          </w:tcPr>
          <w:p w14:paraId="6570762F">
            <w:pPr>
              <w:autoSpaceDE w:val="0"/>
              <w:autoSpaceDN w:val="0"/>
              <w:spacing w:line="300" w:lineRule="exact"/>
              <w:jc w:val="center"/>
              <w:rPr>
                <w:rFonts w:hint="default" w:ascii="Times New Roman" w:hAnsi="Times New Roman" w:cs="Times New Roman" w:eastAsiaTheme="minorEastAsia"/>
                <w:highlight w:val="yellow"/>
                <w:lang w:val="en-US" w:eastAsia="zh-CN"/>
              </w:rPr>
            </w:pPr>
            <w:r>
              <w:rPr>
                <w:rFonts w:hint="eastAsia"/>
              </w:rPr>
              <w:t>0.</w:t>
            </w:r>
            <w:r>
              <w:rPr>
                <w:rFonts w:hint="eastAsia"/>
                <w:lang w:val="en-US" w:eastAsia="zh-CN"/>
              </w:rPr>
              <w:t>02</w:t>
            </w:r>
          </w:p>
        </w:tc>
        <w:tc>
          <w:tcPr>
            <w:tcW w:w="464" w:type="pct"/>
            <w:tcBorders>
              <w:tl2br w:val="nil"/>
              <w:tr2bl w:val="nil"/>
            </w:tcBorders>
            <w:vAlign w:val="center"/>
          </w:tcPr>
          <w:p w14:paraId="4554E95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r>
      <w:tr w14:paraId="48812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continue"/>
            <w:tcBorders>
              <w:tl2br w:val="nil"/>
              <w:tr2bl w:val="nil"/>
            </w:tcBorders>
            <w:vAlign w:val="center"/>
          </w:tcPr>
          <w:p w14:paraId="472B4DCF">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07" w:type="pct"/>
            <w:tcBorders>
              <w:tl2br w:val="nil"/>
              <w:tr2bl w:val="nil"/>
            </w:tcBorders>
            <w:shd w:val="clear" w:color="auto" w:fill="auto"/>
            <w:vAlign w:val="center"/>
          </w:tcPr>
          <w:p w14:paraId="055B0AC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帕特曼喀什村居民区</w:t>
            </w:r>
          </w:p>
        </w:tc>
        <w:tc>
          <w:tcPr>
            <w:tcW w:w="654" w:type="pct"/>
            <w:tcBorders>
              <w:tl2br w:val="nil"/>
              <w:tr2bl w:val="nil"/>
            </w:tcBorders>
            <w:vAlign w:val="center"/>
          </w:tcPr>
          <w:p w14:paraId="03B6CBC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401F0F6F">
            <w:pPr>
              <w:autoSpaceDE w:val="0"/>
              <w:autoSpaceDN w:val="0"/>
              <w:spacing w:line="300" w:lineRule="exact"/>
              <w:jc w:val="center"/>
              <w:rPr>
                <w:rFonts w:hint="default" w:ascii="Times New Roman" w:hAnsi="Times New Roman" w:cs="Times New Roman" w:eastAsiaTheme="minorEastAsia"/>
                <w:highlight w:val="yellow"/>
                <w:lang w:val="en-US" w:eastAsia="zh-CN"/>
              </w:rPr>
            </w:pPr>
            <w:r>
              <w:rPr>
                <w:rFonts w:hint="eastAsia"/>
              </w:rPr>
              <w:t>0.</w:t>
            </w:r>
            <w:r>
              <w:rPr>
                <w:rFonts w:hint="eastAsia"/>
                <w:lang w:val="en-US" w:eastAsia="zh-CN"/>
              </w:rPr>
              <w:t>04</w:t>
            </w:r>
          </w:p>
        </w:tc>
        <w:tc>
          <w:tcPr>
            <w:tcW w:w="1294" w:type="dxa"/>
            <w:tcBorders>
              <w:tl2br w:val="nil"/>
              <w:tr2bl w:val="nil"/>
            </w:tcBorders>
            <w:vAlign w:val="center"/>
          </w:tcPr>
          <w:p w14:paraId="0EA78409">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251215</w:t>
            </w:r>
            <w:r>
              <w:rPr>
                <w:rFonts w:hint="eastAsia"/>
                <w:highlight w:val="none"/>
                <w:lang w:val="en-US" w:eastAsia="zh-CN"/>
              </w:rPr>
              <w:t>09</w:t>
            </w:r>
          </w:p>
        </w:tc>
        <w:tc>
          <w:tcPr>
            <w:tcW w:w="721" w:type="pct"/>
            <w:tcBorders>
              <w:tl2br w:val="nil"/>
              <w:tr2bl w:val="nil"/>
            </w:tcBorders>
            <w:vAlign w:val="center"/>
          </w:tcPr>
          <w:p w14:paraId="54F2589B">
            <w:pPr>
              <w:autoSpaceDE w:val="0"/>
              <w:autoSpaceDN w:val="0"/>
              <w:spacing w:line="300" w:lineRule="exact"/>
              <w:jc w:val="center"/>
              <w:rPr>
                <w:rFonts w:hint="default" w:ascii="Times New Roman" w:hAnsi="Times New Roman" w:cs="Times New Roman" w:eastAsiaTheme="minorEastAsia"/>
                <w:highlight w:val="yellow"/>
                <w:lang w:val="en-US" w:eastAsia="zh-CN"/>
              </w:rPr>
            </w:pPr>
            <w:r>
              <w:rPr>
                <w:rFonts w:hint="eastAsia"/>
              </w:rPr>
              <w:t>0.</w:t>
            </w:r>
            <w:r>
              <w:rPr>
                <w:rFonts w:hint="eastAsia"/>
                <w:lang w:val="en-US" w:eastAsia="zh-CN"/>
              </w:rPr>
              <w:t>01</w:t>
            </w:r>
          </w:p>
        </w:tc>
        <w:tc>
          <w:tcPr>
            <w:tcW w:w="464" w:type="pct"/>
            <w:tcBorders>
              <w:tl2br w:val="nil"/>
              <w:tr2bl w:val="nil"/>
            </w:tcBorders>
            <w:vAlign w:val="center"/>
          </w:tcPr>
          <w:p w14:paraId="624B1E0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r>
      <w:tr w14:paraId="39CAF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continue"/>
            <w:tcBorders>
              <w:tl2br w:val="nil"/>
              <w:tr2bl w:val="nil"/>
            </w:tcBorders>
            <w:vAlign w:val="center"/>
          </w:tcPr>
          <w:p w14:paraId="2A485624">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07" w:type="pct"/>
            <w:tcBorders>
              <w:tl2br w:val="nil"/>
              <w:tr2bl w:val="nil"/>
            </w:tcBorders>
            <w:shd w:val="clear" w:color="auto" w:fill="auto"/>
            <w:vAlign w:val="center"/>
          </w:tcPr>
          <w:p w14:paraId="00D9CA14">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en-US" w:bidi="ar-SA"/>
              </w:rPr>
            </w:pPr>
            <w:r>
              <w:rPr>
                <w:rFonts w:hint="default" w:ascii="Times New Roman" w:hAnsi="Times New Roman" w:cs="Times New Roman" w:eastAsiaTheme="minorEastAsia"/>
                <w:szCs w:val="21"/>
                <w:highlight w:val="none"/>
                <w:lang w:val="en-US" w:eastAsia="zh-CN"/>
              </w:rPr>
              <w:t>网格</w:t>
            </w:r>
          </w:p>
        </w:tc>
        <w:tc>
          <w:tcPr>
            <w:tcW w:w="654" w:type="pct"/>
            <w:tcBorders>
              <w:tl2br w:val="nil"/>
              <w:tr2bl w:val="nil"/>
            </w:tcBorders>
            <w:vAlign w:val="center"/>
          </w:tcPr>
          <w:p w14:paraId="5E54AF8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457AC90A">
            <w:pPr>
              <w:autoSpaceDE w:val="0"/>
              <w:autoSpaceDN w:val="0"/>
              <w:spacing w:line="300" w:lineRule="exact"/>
              <w:jc w:val="center"/>
              <w:rPr>
                <w:rFonts w:hint="default" w:ascii="Times New Roman" w:hAnsi="Times New Roman" w:cs="Times New Roman" w:eastAsiaTheme="minorEastAsia"/>
                <w:highlight w:val="yellow"/>
                <w:lang w:val="en-US" w:eastAsia="zh-CN"/>
              </w:rPr>
            </w:pPr>
            <w:r>
              <w:rPr>
                <w:rFonts w:hint="eastAsia"/>
                <w:lang w:val="en-US" w:eastAsia="zh-CN"/>
              </w:rPr>
              <w:t>0.56</w:t>
            </w:r>
          </w:p>
        </w:tc>
        <w:tc>
          <w:tcPr>
            <w:tcW w:w="1294" w:type="dxa"/>
            <w:tcBorders>
              <w:tl2br w:val="nil"/>
              <w:tr2bl w:val="nil"/>
            </w:tcBorders>
            <w:vAlign w:val="center"/>
          </w:tcPr>
          <w:p w14:paraId="7CC1967B">
            <w:pPr>
              <w:autoSpaceDE w:val="0"/>
              <w:autoSpaceDN w:val="0"/>
              <w:spacing w:line="300" w:lineRule="exact"/>
              <w:jc w:val="center"/>
              <w:rPr>
                <w:rFonts w:hint="default" w:ascii="Times New Roman" w:hAnsi="Times New Roman" w:cs="Times New Roman" w:eastAsiaTheme="minorEastAsia"/>
                <w:highlight w:val="none"/>
              </w:rPr>
            </w:pPr>
            <w:r>
              <w:rPr>
                <w:rFonts w:hint="eastAsia"/>
                <w:highlight w:val="none"/>
              </w:rPr>
              <w:t>25</w:t>
            </w:r>
            <w:r>
              <w:rPr>
                <w:rFonts w:hint="eastAsia"/>
                <w:highlight w:val="none"/>
                <w:lang w:val="en-US" w:eastAsia="zh-CN"/>
              </w:rPr>
              <w:t>100410</w:t>
            </w:r>
          </w:p>
        </w:tc>
        <w:tc>
          <w:tcPr>
            <w:tcW w:w="721" w:type="pct"/>
            <w:tcBorders>
              <w:tl2br w:val="nil"/>
              <w:tr2bl w:val="nil"/>
            </w:tcBorders>
            <w:vAlign w:val="center"/>
          </w:tcPr>
          <w:p w14:paraId="4562F95C">
            <w:pPr>
              <w:autoSpaceDE w:val="0"/>
              <w:autoSpaceDN w:val="0"/>
              <w:spacing w:line="300" w:lineRule="exact"/>
              <w:jc w:val="center"/>
              <w:rPr>
                <w:rFonts w:hint="default" w:ascii="Times New Roman" w:hAnsi="Times New Roman" w:cs="Times New Roman" w:eastAsiaTheme="minorEastAsia"/>
                <w:highlight w:val="yellow"/>
                <w:lang w:val="en-US" w:eastAsia="zh-CN"/>
              </w:rPr>
            </w:pPr>
            <w:r>
              <w:rPr>
                <w:rFonts w:hint="eastAsia"/>
                <w:lang w:val="en-US" w:eastAsia="zh-CN"/>
              </w:rPr>
              <w:t>0.31</w:t>
            </w:r>
          </w:p>
        </w:tc>
        <w:tc>
          <w:tcPr>
            <w:tcW w:w="464" w:type="pct"/>
            <w:tcBorders>
              <w:tl2br w:val="nil"/>
              <w:tr2bl w:val="nil"/>
            </w:tcBorders>
            <w:vAlign w:val="center"/>
          </w:tcPr>
          <w:p w14:paraId="68670EB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r>
      <w:tr w14:paraId="73394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restart"/>
            <w:tcBorders>
              <w:tl2br w:val="nil"/>
              <w:tr2bl w:val="nil"/>
            </w:tcBorders>
            <w:vAlign w:val="center"/>
          </w:tcPr>
          <w:p w14:paraId="34474D5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SO</w:t>
            </w:r>
            <w:r>
              <w:rPr>
                <w:rFonts w:hint="eastAsia" w:ascii="Times New Roman" w:hAnsi="Times New Roman" w:cs="Times New Roman"/>
                <w:szCs w:val="21"/>
                <w:vertAlign w:val="subscript"/>
                <w:lang w:val="en-US" w:eastAsia="zh-CN"/>
              </w:rPr>
              <w:t>2</w:t>
            </w:r>
          </w:p>
        </w:tc>
        <w:tc>
          <w:tcPr>
            <w:tcW w:w="1307" w:type="pct"/>
            <w:tcBorders>
              <w:tl2br w:val="nil"/>
              <w:tr2bl w:val="nil"/>
            </w:tcBorders>
            <w:shd w:val="clear" w:color="auto" w:fill="auto"/>
            <w:vAlign w:val="center"/>
          </w:tcPr>
          <w:p w14:paraId="52B3112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兰干村居民区</w:t>
            </w:r>
          </w:p>
        </w:tc>
        <w:tc>
          <w:tcPr>
            <w:tcW w:w="654" w:type="pct"/>
            <w:tcBorders>
              <w:tl2br w:val="nil"/>
              <w:tr2bl w:val="nil"/>
            </w:tcBorders>
            <w:vAlign w:val="center"/>
          </w:tcPr>
          <w:p w14:paraId="12A8007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182F7D9A">
            <w:pPr>
              <w:autoSpaceDE w:val="0"/>
              <w:autoSpaceDN w:val="0"/>
              <w:spacing w:line="300" w:lineRule="exact"/>
              <w:jc w:val="center"/>
              <w:rPr>
                <w:rFonts w:hint="eastAsia" w:ascii="Times New Roman" w:hAnsi="Times New Roman" w:cs="Times New Roman" w:eastAsiaTheme="minorEastAsia"/>
                <w:highlight w:val="none"/>
                <w:lang w:eastAsia="zh-CN"/>
              </w:rPr>
            </w:pPr>
            <w:r>
              <w:rPr>
                <w:rFonts w:hint="eastAsia"/>
                <w:highlight w:val="none"/>
              </w:rPr>
              <w:t>0.0</w:t>
            </w:r>
            <w:r>
              <w:rPr>
                <w:rFonts w:hint="eastAsia"/>
                <w:highlight w:val="none"/>
                <w:lang w:val="en-US" w:eastAsia="zh-CN"/>
              </w:rPr>
              <w:t>4</w:t>
            </w:r>
          </w:p>
        </w:tc>
        <w:tc>
          <w:tcPr>
            <w:tcW w:w="1294" w:type="dxa"/>
            <w:tcBorders>
              <w:tl2br w:val="nil"/>
              <w:tr2bl w:val="nil"/>
            </w:tcBorders>
            <w:vAlign w:val="center"/>
          </w:tcPr>
          <w:p w14:paraId="26911B7E">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highlight w:val="none"/>
              </w:rPr>
              <w:t>250409</w:t>
            </w:r>
            <w:r>
              <w:rPr>
                <w:rFonts w:hint="eastAsia"/>
                <w:highlight w:val="none"/>
                <w:lang w:val="en-US" w:eastAsia="zh-CN"/>
              </w:rPr>
              <w:t>07</w:t>
            </w:r>
          </w:p>
        </w:tc>
        <w:tc>
          <w:tcPr>
            <w:tcW w:w="721" w:type="pct"/>
            <w:tcBorders>
              <w:tl2br w:val="nil"/>
              <w:tr2bl w:val="nil"/>
            </w:tcBorders>
            <w:vAlign w:val="center"/>
          </w:tcPr>
          <w:p w14:paraId="62D39410">
            <w:pPr>
              <w:autoSpaceDE w:val="0"/>
              <w:autoSpaceDN w:val="0"/>
              <w:spacing w:line="300" w:lineRule="exact"/>
              <w:jc w:val="center"/>
              <w:rPr>
                <w:rFonts w:hint="eastAsia" w:ascii="Times New Roman" w:hAnsi="Times New Roman" w:cs="Times New Roman" w:eastAsiaTheme="minorEastAsia"/>
                <w:highlight w:val="none"/>
                <w:lang w:eastAsia="zh-CN"/>
              </w:rPr>
            </w:pPr>
            <w:r>
              <w:rPr>
                <w:rFonts w:hint="eastAsia"/>
                <w:highlight w:val="none"/>
              </w:rPr>
              <w:t>0.0</w:t>
            </w:r>
            <w:r>
              <w:rPr>
                <w:rFonts w:hint="eastAsia"/>
                <w:highlight w:val="none"/>
                <w:lang w:val="en-US" w:eastAsia="zh-CN"/>
              </w:rPr>
              <w:t>1</w:t>
            </w:r>
          </w:p>
        </w:tc>
        <w:tc>
          <w:tcPr>
            <w:tcW w:w="464" w:type="pct"/>
            <w:tcBorders>
              <w:tl2br w:val="nil"/>
              <w:tr2bl w:val="nil"/>
            </w:tcBorders>
            <w:vAlign w:val="center"/>
          </w:tcPr>
          <w:p w14:paraId="4749F32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r>
      <w:tr w14:paraId="727D1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continue"/>
            <w:tcBorders>
              <w:tl2br w:val="nil"/>
              <w:tr2bl w:val="nil"/>
            </w:tcBorders>
            <w:vAlign w:val="center"/>
          </w:tcPr>
          <w:p w14:paraId="0466C067">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07" w:type="pct"/>
            <w:tcBorders>
              <w:tl2br w:val="nil"/>
              <w:tr2bl w:val="nil"/>
            </w:tcBorders>
            <w:shd w:val="clear" w:color="auto" w:fill="auto"/>
            <w:vAlign w:val="center"/>
          </w:tcPr>
          <w:p w14:paraId="5353E1D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萨依巴格村居民区</w:t>
            </w:r>
          </w:p>
        </w:tc>
        <w:tc>
          <w:tcPr>
            <w:tcW w:w="654" w:type="pct"/>
            <w:tcBorders>
              <w:tl2br w:val="nil"/>
              <w:tr2bl w:val="nil"/>
            </w:tcBorders>
            <w:vAlign w:val="center"/>
          </w:tcPr>
          <w:p w14:paraId="26C59E7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176FBA22">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highlight w:val="none"/>
              </w:rPr>
              <w:t>0.</w:t>
            </w:r>
            <w:r>
              <w:rPr>
                <w:rFonts w:hint="eastAsia"/>
                <w:highlight w:val="none"/>
                <w:lang w:val="en-US" w:eastAsia="zh-CN"/>
              </w:rPr>
              <w:t>11</w:t>
            </w:r>
          </w:p>
        </w:tc>
        <w:tc>
          <w:tcPr>
            <w:tcW w:w="1294" w:type="dxa"/>
            <w:tcBorders>
              <w:tl2br w:val="nil"/>
              <w:tr2bl w:val="nil"/>
            </w:tcBorders>
            <w:vAlign w:val="center"/>
          </w:tcPr>
          <w:p w14:paraId="26D19554">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highlight w:val="none"/>
              </w:rPr>
              <w:t>250619</w:t>
            </w:r>
            <w:r>
              <w:rPr>
                <w:rFonts w:hint="eastAsia"/>
                <w:highlight w:val="none"/>
                <w:lang w:val="en-US" w:eastAsia="zh-CN"/>
              </w:rPr>
              <w:t>06</w:t>
            </w:r>
          </w:p>
        </w:tc>
        <w:tc>
          <w:tcPr>
            <w:tcW w:w="721" w:type="pct"/>
            <w:tcBorders>
              <w:tl2br w:val="nil"/>
              <w:tr2bl w:val="nil"/>
            </w:tcBorders>
            <w:vAlign w:val="center"/>
          </w:tcPr>
          <w:p w14:paraId="2DC81F15">
            <w:pPr>
              <w:autoSpaceDE w:val="0"/>
              <w:autoSpaceDN w:val="0"/>
              <w:spacing w:line="300" w:lineRule="exact"/>
              <w:jc w:val="center"/>
              <w:rPr>
                <w:rFonts w:hint="eastAsia" w:ascii="Times New Roman" w:hAnsi="Times New Roman" w:cs="Times New Roman" w:eastAsiaTheme="minorEastAsia"/>
                <w:highlight w:val="none"/>
                <w:lang w:eastAsia="zh-CN"/>
              </w:rPr>
            </w:pPr>
            <w:r>
              <w:rPr>
                <w:rFonts w:hint="eastAsia"/>
                <w:highlight w:val="none"/>
              </w:rPr>
              <w:t>0.0</w:t>
            </w:r>
            <w:r>
              <w:rPr>
                <w:rFonts w:hint="eastAsia"/>
                <w:highlight w:val="none"/>
                <w:lang w:val="en-US" w:eastAsia="zh-CN"/>
              </w:rPr>
              <w:t>2</w:t>
            </w:r>
          </w:p>
        </w:tc>
        <w:tc>
          <w:tcPr>
            <w:tcW w:w="464" w:type="pct"/>
            <w:tcBorders>
              <w:tl2br w:val="nil"/>
              <w:tr2bl w:val="nil"/>
            </w:tcBorders>
            <w:vAlign w:val="center"/>
          </w:tcPr>
          <w:p w14:paraId="089B29B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r>
      <w:tr w14:paraId="438CB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continue"/>
            <w:tcBorders>
              <w:tl2br w:val="nil"/>
              <w:tr2bl w:val="nil"/>
            </w:tcBorders>
            <w:vAlign w:val="center"/>
          </w:tcPr>
          <w:p w14:paraId="770BB709">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07" w:type="pct"/>
            <w:tcBorders>
              <w:tl2br w:val="nil"/>
              <w:tr2bl w:val="nil"/>
            </w:tcBorders>
            <w:shd w:val="clear" w:color="auto" w:fill="auto"/>
            <w:vAlign w:val="center"/>
          </w:tcPr>
          <w:p w14:paraId="47DE7A8C">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帕特曼喀什村居民区</w:t>
            </w:r>
          </w:p>
        </w:tc>
        <w:tc>
          <w:tcPr>
            <w:tcW w:w="654" w:type="pct"/>
            <w:tcBorders>
              <w:tl2br w:val="nil"/>
              <w:tr2bl w:val="nil"/>
            </w:tcBorders>
            <w:vAlign w:val="center"/>
          </w:tcPr>
          <w:p w14:paraId="625FD71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7CBDD527">
            <w:pPr>
              <w:autoSpaceDE w:val="0"/>
              <w:autoSpaceDN w:val="0"/>
              <w:spacing w:line="300" w:lineRule="exact"/>
              <w:jc w:val="center"/>
              <w:rPr>
                <w:rFonts w:hint="eastAsia" w:ascii="Times New Roman" w:hAnsi="Times New Roman" w:cs="Times New Roman" w:eastAsiaTheme="minorEastAsia"/>
                <w:highlight w:val="none"/>
                <w:lang w:eastAsia="zh-CN"/>
              </w:rPr>
            </w:pPr>
            <w:r>
              <w:rPr>
                <w:rFonts w:hint="eastAsia"/>
                <w:highlight w:val="none"/>
              </w:rPr>
              <w:t>0.0</w:t>
            </w:r>
            <w:r>
              <w:rPr>
                <w:rFonts w:hint="eastAsia"/>
                <w:highlight w:val="none"/>
                <w:lang w:val="en-US" w:eastAsia="zh-CN"/>
              </w:rPr>
              <w:t>6</w:t>
            </w:r>
          </w:p>
        </w:tc>
        <w:tc>
          <w:tcPr>
            <w:tcW w:w="1294" w:type="dxa"/>
            <w:tcBorders>
              <w:tl2br w:val="nil"/>
              <w:tr2bl w:val="nil"/>
            </w:tcBorders>
            <w:vAlign w:val="center"/>
          </w:tcPr>
          <w:p w14:paraId="00DC910A">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highlight w:val="none"/>
              </w:rPr>
              <w:t>251215</w:t>
            </w:r>
            <w:r>
              <w:rPr>
                <w:rFonts w:hint="eastAsia"/>
                <w:highlight w:val="none"/>
                <w:lang w:val="en-US" w:eastAsia="zh-CN"/>
              </w:rPr>
              <w:t>09</w:t>
            </w:r>
          </w:p>
        </w:tc>
        <w:tc>
          <w:tcPr>
            <w:tcW w:w="721" w:type="pct"/>
            <w:tcBorders>
              <w:tl2br w:val="nil"/>
              <w:tr2bl w:val="nil"/>
            </w:tcBorders>
            <w:vAlign w:val="center"/>
          </w:tcPr>
          <w:p w14:paraId="7301498D">
            <w:pPr>
              <w:autoSpaceDE w:val="0"/>
              <w:autoSpaceDN w:val="0"/>
              <w:spacing w:line="300" w:lineRule="exact"/>
              <w:jc w:val="center"/>
              <w:rPr>
                <w:rFonts w:hint="eastAsia" w:ascii="Times New Roman" w:hAnsi="Times New Roman" w:cs="Times New Roman" w:eastAsiaTheme="minorEastAsia"/>
                <w:highlight w:val="none"/>
                <w:lang w:eastAsia="zh-CN"/>
              </w:rPr>
            </w:pPr>
            <w:r>
              <w:rPr>
                <w:rFonts w:hint="eastAsia"/>
                <w:highlight w:val="none"/>
              </w:rPr>
              <w:t>0.0</w:t>
            </w:r>
            <w:r>
              <w:rPr>
                <w:rFonts w:hint="eastAsia"/>
                <w:highlight w:val="none"/>
                <w:lang w:val="en-US" w:eastAsia="zh-CN"/>
              </w:rPr>
              <w:t>1</w:t>
            </w:r>
          </w:p>
        </w:tc>
        <w:tc>
          <w:tcPr>
            <w:tcW w:w="464" w:type="pct"/>
            <w:tcBorders>
              <w:tl2br w:val="nil"/>
              <w:tr2bl w:val="nil"/>
            </w:tcBorders>
            <w:vAlign w:val="center"/>
          </w:tcPr>
          <w:p w14:paraId="197EBA9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r>
      <w:tr w14:paraId="52058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continue"/>
            <w:tcBorders>
              <w:tl2br w:val="nil"/>
              <w:tr2bl w:val="nil"/>
            </w:tcBorders>
            <w:vAlign w:val="center"/>
          </w:tcPr>
          <w:p w14:paraId="566F4821">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07" w:type="pct"/>
            <w:tcBorders>
              <w:tl2br w:val="nil"/>
              <w:tr2bl w:val="nil"/>
            </w:tcBorders>
            <w:shd w:val="clear" w:color="auto" w:fill="auto"/>
            <w:vAlign w:val="center"/>
          </w:tcPr>
          <w:p w14:paraId="6AAAC8AF">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en-US" w:bidi="ar-SA"/>
              </w:rPr>
            </w:pPr>
            <w:r>
              <w:rPr>
                <w:rFonts w:hint="default" w:ascii="Times New Roman" w:hAnsi="Times New Roman" w:cs="Times New Roman" w:eastAsiaTheme="minorEastAsia"/>
                <w:szCs w:val="21"/>
                <w:highlight w:val="none"/>
                <w:lang w:val="en-US" w:eastAsia="zh-CN"/>
              </w:rPr>
              <w:t>网格</w:t>
            </w:r>
          </w:p>
        </w:tc>
        <w:tc>
          <w:tcPr>
            <w:tcW w:w="654" w:type="pct"/>
            <w:tcBorders>
              <w:tl2br w:val="nil"/>
              <w:tr2bl w:val="nil"/>
            </w:tcBorders>
            <w:vAlign w:val="center"/>
          </w:tcPr>
          <w:p w14:paraId="31BBE23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0F4C14FB">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highlight w:val="none"/>
                <w:lang w:val="en-US" w:eastAsia="zh-CN"/>
              </w:rPr>
              <w:t>1.58</w:t>
            </w:r>
          </w:p>
        </w:tc>
        <w:tc>
          <w:tcPr>
            <w:tcW w:w="1294" w:type="dxa"/>
            <w:tcBorders>
              <w:tl2br w:val="nil"/>
              <w:tr2bl w:val="nil"/>
            </w:tcBorders>
            <w:vAlign w:val="center"/>
          </w:tcPr>
          <w:p w14:paraId="0B628761">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highlight w:val="none"/>
              </w:rPr>
              <w:t>25</w:t>
            </w:r>
            <w:r>
              <w:rPr>
                <w:rFonts w:hint="eastAsia"/>
                <w:highlight w:val="none"/>
                <w:lang w:val="en-US" w:eastAsia="zh-CN"/>
              </w:rPr>
              <w:t>100410</w:t>
            </w:r>
          </w:p>
        </w:tc>
        <w:tc>
          <w:tcPr>
            <w:tcW w:w="721" w:type="pct"/>
            <w:tcBorders>
              <w:tl2br w:val="nil"/>
              <w:tr2bl w:val="nil"/>
            </w:tcBorders>
            <w:vAlign w:val="center"/>
          </w:tcPr>
          <w:p w14:paraId="21FA5D82">
            <w:pPr>
              <w:autoSpaceDE w:val="0"/>
              <w:autoSpaceDN w:val="0"/>
              <w:spacing w:line="300" w:lineRule="exact"/>
              <w:jc w:val="center"/>
              <w:rPr>
                <w:rFonts w:hint="default" w:ascii="Times New Roman" w:hAnsi="Times New Roman" w:cs="Times New Roman" w:eastAsiaTheme="minorEastAsia"/>
                <w:highlight w:val="none"/>
                <w:lang w:val="en-US" w:eastAsia="zh-CN"/>
              </w:rPr>
            </w:pPr>
            <w:r>
              <w:rPr>
                <w:rFonts w:hint="eastAsia"/>
                <w:highlight w:val="none"/>
                <w:lang w:val="en-US" w:eastAsia="zh-CN"/>
              </w:rPr>
              <w:t>0.32</w:t>
            </w:r>
          </w:p>
        </w:tc>
        <w:tc>
          <w:tcPr>
            <w:tcW w:w="464" w:type="pct"/>
            <w:tcBorders>
              <w:tl2br w:val="nil"/>
              <w:tr2bl w:val="nil"/>
            </w:tcBorders>
            <w:vAlign w:val="center"/>
          </w:tcPr>
          <w:p w14:paraId="0B39C87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highlight w:val="none"/>
              </w:rPr>
              <w:t>达标</w:t>
            </w:r>
          </w:p>
        </w:tc>
      </w:tr>
      <w:tr w14:paraId="7343B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restart"/>
            <w:tcBorders>
              <w:tl2br w:val="nil"/>
              <w:tr2bl w:val="nil"/>
            </w:tcBorders>
            <w:vAlign w:val="center"/>
          </w:tcPr>
          <w:p w14:paraId="654579B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CO</w:t>
            </w:r>
          </w:p>
        </w:tc>
        <w:tc>
          <w:tcPr>
            <w:tcW w:w="1307" w:type="pct"/>
            <w:tcBorders>
              <w:tl2br w:val="nil"/>
              <w:tr2bl w:val="nil"/>
            </w:tcBorders>
            <w:vAlign w:val="center"/>
          </w:tcPr>
          <w:p w14:paraId="26A54E8A">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兰干村居民区</w:t>
            </w:r>
          </w:p>
        </w:tc>
        <w:tc>
          <w:tcPr>
            <w:tcW w:w="654" w:type="pct"/>
            <w:tcBorders>
              <w:tl2br w:val="nil"/>
              <w:tr2bl w:val="nil"/>
            </w:tcBorders>
            <w:vAlign w:val="center"/>
          </w:tcPr>
          <w:p w14:paraId="5022AE7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41429F19">
            <w:pPr>
              <w:autoSpaceDE w:val="0"/>
              <w:autoSpaceDN w:val="0"/>
              <w:spacing w:line="300" w:lineRule="exact"/>
              <w:jc w:val="center"/>
              <w:rPr>
                <w:rFonts w:hint="eastAsia" w:eastAsiaTheme="minorEastAsia"/>
                <w:highlight w:val="none"/>
                <w:lang w:eastAsia="zh-CN"/>
              </w:rPr>
            </w:pPr>
            <w:r>
              <w:rPr>
                <w:rFonts w:hint="eastAsia"/>
                <w:highlight w:val="none"/>
              </w:rPr>
              <w:t>0.0</w:t>
            </w:r>
            <w:r>
              <w:rPr>
                <w:rFonts w:hint="eastAsia"/>
                <w:highlight w:val="none"/>
                <w:lang w:val="en-US" w:eastAsia="zh-CN"/>
              </w:rPr>
              <w:t>5</w:t>
            </w:r>
          </w:p>
        </w:tc>
        <w:tc>
          <w:tcPr>
            <w:tcW w:w="1294" w:type="dxa"/>
            <w:tcBorders>
              <w:tl2br w:val="nil"/>
              <w:tr2bl w:val="nil"/>
            </w:tcBorders>
            <w:vAlign w:val="center"/>
          </w:tcPr>
          <w:p w14:paraId="381E3F5C">
            <w:pPr>
              <w:autoSpaceDE w:val="0"/>
              <w:autoSpaceDN w:val="0"/>
              <w:spacing w:line="300" w:lineRule="exact"/>
              <w:jc w:val="center"/>
              <w:rPr>
                <w:rFonts w:hint="eastAsia"/>
                <w:highlight w:val="none"/>
              </w:rPr>
            </w:pPr>
            <w:r>
              <w:rPr>
                <w:rFonts w:hint="eastAsia"/>
                <w:highlight w:val="none"/>
              </w:rPr>
              <w:t>250409</w:t>
            </w:r>
            <w:r>
              <w:rPr>
                <w:rFonts w:hint="eastAsia"/>
                <w:highlight w:val="none"/>
                <w:lang w:val="en-US" w:eastAsia="zh-CN"/>
              </w:rPr>
              <w:t>07</w:t>
            </w:r>
          </w:p>
        </w:tc>
        <w:tc>
          <w:tcPr>
            <w:tcW w:w="721" w:type="pct"/>
            <w:tcBorders>
              <w:tl2br w:val="nil"/>
              <w:tr2bl w:val="nil"/>
            </w:tcBorders>
            <w:vAlign w:val="center"/>
          </w:tcPr>
          <w:p w14:paraId="7978A9C1">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0.00</w:t>
            </w:r>
          </w:p>
        </w:tc>
        <w:tc>
          <w:tcPr>
            <w:tcW w:w="464" w:type="pct"/>
            <w:tcBorders>
              <w:tl2br w:val="nil"/>
              <w:tr2bl w:val="nil"/>
            </w:tcBorders>
            <w:vAlign w:val="center"/>
          </w:tcPr>
          <w:p w14:paraId="28DE9CB1">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3F1B0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continue"/>
            <w:tcBorders>
              <w:tl2br w:val="nil"/>
              <w:tr2bl w:val="nil"/>
            </w:tcBorders>
            <w:vAlign w:val="center"/>
          </w:tcPr>
          <w:p w14:paraId="76BC48A8">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07" w:type="pct"/>
            <w:tcBorders>
              <w:tl2br w:val="nil"/>
              <w:tr2bl w:val="nil"/>
            </w:tcBorders>
            <w:vAlign w:val="center"/>
          </w:tcPr>
          <w:p w14:paraId="44F099A8">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萨依巴格村居民区</w:t>
            </w:r>
          </w:p>
        </w:tc>
        <w:tc>
          <w:tcPr>
            <w:tcW w:w="654" w:type="pct"/>
            <w:tcBorders>
              <w:tl2br w:val="nil"/>
              <w:tr2bl w:val="nil"/>
            </w:tcBorders>
            <w:vAlign w:val="center"/>
          </w:tcPr>
          <w:p w14:paraId="0DE04D5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09BDEDF2">
            <w:pPr>
              <w:autoSpaceDE w:val="0"/>
              <w:autoSpaceDN w:val="0"/>
              <w:spacing w:line="300" w:lineRule="exact"/>
              <w:jc w:val="center"/>
              <w:rPr>
                <w:rFonts w:hint="default" w:eastAsiaTheme="minorEastAsia"/>
                <w:highlight w:val="none"/>
                <w:lang w:val="en-US" w:eastAsia="zh-CN"/>
              </w:rPr>
            </w:pPr>
            <w:r>
              <w:rPr>
                <w:rFonts w:hint="eastAsia"/>
                <w:highlight w:val="none"/>
              </w:rPr>
              <w:t>0.</w:t>
            </w:r>
            <w:r>
              <w:rPr>
                <w:rFonts w:hint="eastAsia"/>
                <w:highlight w:val="none"/>
                <w:lang w:val="en-US" w:eastAsia="zh-CN"/>
              </w:rPr>
              <w:t>15</w:t>
            </w:r>
          </w:p>
        </w:tc>
        <w:tc>
          <w:tcPr>
            <w:tcW w:w="1294" w:type="dxa"/>
            <w:tcBorders>
              <w:tl2br w:val="nil"/>
              <w:tr2bl w:val="nil"/>
            </w:tcBorders>
            <w:vAlign w:val="center"/>
          </w:tcPr>
          <w:p w14:paraId="07DB43A0">
            <w:pPr>
              <w:autoSpaceDE w:val="0"/>
              <w:autoSpaceDN w:val="0"/>
              <w:spacing w:line="300" w:lineRule="exact"/>
              <w:jc w:val="center"/>
              <w:rPr>
                <w:rFonts w:hint="eastAsia"/>
                <w:highlight w:val="none"/>
              </w:rPr>
            </w:pPr>
            <w:r>
              <w:rPr>
                <w:rFonts w:hint="eastAsia"/>
                <w:highlight w:val="none"/>
              </w:rPr>
              <w:t>250619</w:t>
            </w:r>
            <w:r>
              <w:rPr>
                <w:rFonts w:hint="eastAsia"/>
                <w:highlight w:val="none"/>
                <w:lang w:val="en-US" w:eastAsia="zh-CN"/>
              </w:rPr>
              <w:t>06</w:t>
            </w:r>
          </w:p>
        </w:tc>
        <w:tc>
          <w:tcPr>
            <w:tcW w:w="721" w:type="pct"/>
            <w:tcBorders>
              <w:tl2br w:val="nil"/>
              <w:tr2bl w:val="nil"/>
            </w:tcBorders>
            <w:vAlign w:val="center"/>
          </w:tcPr>
          <w:p w14:paraId="776102A0">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0.00</w:t>
            </w:r>
          </w:p>
        </w:tc>
        <w:tc>
          <w:tcPr>
            <w:tcW w:w="464" w:type="pct"/>
            <w:tcBorders>
              <w:tl2br w:val="nil"/>
              <w:tr2bl w:val="nil"/>
            </w:tcBorders>
            <w:vAlign w:val="center"/>
          </w:tcPr>
          <w:p w14:paraId="0B993069">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325EA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continue"/>
            <w:tcBorders>
              <w:tl2br w:val="nil"/>
              <w:tr2bl w:val="nil"/>
            </w:tcBorders>
            <w:vAlign w:val="center"/>
          </w:tcPr>
          <w:p w14:paraId="14773635">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07" w:type="pct"/>
            <w:tcBorders>
              <w:tl2br w:val="nil"/>
              <w:tr2bl w:val="nil"/>
            </w:tcBorders>
            <w:vAlign w:val="center"/>
          </w:tcPr>
          <w:p w14:paraId="175BD823">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帕特曼喀什村居民区</w:t>
            </w:r>
          </w:p>
        </w:tc>
        <w:tc>
          <w:tcPr>
            <w:tcW w:w="654" w:type="pct"/>
            <w:tcBorders>
              <w:tl2br w:val="nil"/>
              <w:tr2bl w:val="nil"/>
            </w:tcBorders>
            <w:vAlign w:val="center"/>
          </w:tcPr>
          <w:p w14:paraId="1504953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3D9CF95A">
            <w:pPr>
              <w:autoSpaceDE w:val="0"/>
              <w:autoSpaceDN w:val="0"/>
              <w:spacing w:line="300" w:lineRule="exact"/>
              <w:jc w:val="center"/>
              <w:rPr>
                <w:rFonts w:hint="eastAsia" w:eastAsiaTheme="minorEastAsia"/>
                <w:highlight w:val="none"/>
                <w:lang w:eastAsia="zh-CN"/>
              </w:rPr>
            </w:pPr>
            <w:r>
              <w:rPr>
                <w:rFonts w:hint="eastAsia"/>
                <w:highlight w:val="none"/>
              </w:rPr>
              <w:t>0.0</w:t>
            </w:r>
            <w:r>
              <w:rPr>
                <w:rFonts w:hint="eastAsia"/>
                <w:highlight w:val="none"/>
                <w:lang w:val="en-US" w:eastAsia="zh-CN"/>
              </w:rPr>
              <w:t>8</w:t>
            </w:r>
          </w:p>
        </w:tc>
        <w:tc>
          <w:tcPr>
            <w:tcW w:w="1294" w:type="dxa"/>
            <w:tcBorders>
              <w:tl2br w:val="nil"/>
              <w:tr2bl w:val="nil"/>
            </w:tcBorders>
            <w:vAlign w:val="center"/>
          </w:tcPr>
          <w:p w14:paraId="26E0F437">
            <w:pPr>
              <w:autoSpaceDE w:val="0"/>
              <w:autoSpaceDN w:val="0"/>
              <w:spacing w:line="300" w:lineRule="exact"/>
              <w:jc w:val="center"/>
              <w:rPr>
                <w:rFonts w:hint="eastAsia"/>
                <w:highlight w:val="none"/>
              </w:rPr>
            </w:pPr>
            <w:r>
              <w:rPr>
                <w:rFonts w:hint="eastAsia"/>
                <w:highlight w:val="none"/>
              </w:rPr>
              <w:t>251215</w:t>
            </w:r>
            <w:r>
              <w:rPr>
                <w:rFonts w:hint="eastAsia"/>
                <w:highlight w:val="none"/>
                <w:lang w:val="en-US" w:eastAsia="zh-CN"/>
              </w:rPr>
              <w:t>09</w:t>
            </w:r>
          </w:p>
        </w:tc>
        <w:tc>
          <w:tcPr>
            <w:tcW w:w="721" w:type="pct"/>
            <w:tcBorders>
              <w:tl2br w:val="nil"/>
              <w:tr2bl w:val="nil"/>
            </w:tcBorders>
            <w:vAlign w:val="center"/>
          </w:tcPr>
          <w:p w14:paraId="1AB1A7F5">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0.00</w:t>
            </w:r>
          </w:p>
        </w:tc>
        <w:tc>
          <w:tcPr>
            <w:tcW w:w="464" w:type="pct"/>
            <w:tcBorders>
              <w:tl2br w:val="nil"/>
              <w:tr2bl w:val="nil"/>
            </w:tcBorders>
            <w:vAlign w:val="center"/>
          </w:tcPr>
          <w:p w14:paraId="17ADED51">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6AD66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continue"/>
            <w:tcBorders>
              <w:tl2br w:val="nil"/>
              <w:tr2bl w:val="nil"/>
            </w:tcBorders>
            <w:vAlign w:val="center"/>
          </w:tcPr>
          <w:p w14:paraId="64BF39C2">
            <w:pPr>
              <w:autoSpaceDE w:val="0"/>
              <w:autoSpaceDN w:val="0"/>
              <w:spacing w:line="300" w:lineRule="exact"/>
              <w:jc w:val="center"/>
              <w:rPr>
                <w:rFonts w:hint="default" w:ascii="Times New Roman" w:hAnsi="Times New Roman" w:cs="Times New Roman" w:eastAsiaTheme="minorEastAsia"/>
                <w:szCs w:val="21"/>
                <w:lang w:val="en-US" w:eastAsia="en-US"/>
              </w:rPr>
            </w:pPr>
          </w:p>
        </w:tc>
        <w:tc>
          <w:tcPr>
            <w:tcW w:w="1307" w:type="pct"/>
            <w:tcBorders>
              <w:tl2br w:val="nil"/>
              <w:tr2bl w:val="nil"/>
            </w:tcBorders>
            <w:vAlign w:val="center"/>
          </w:tcPr>
          <w:p w14:paraId="5723DC98">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网格</w:t>
            </w:r>
          </w:p>
        </w:tc>
        <w:tc>
          <w:tcPr>
            <w:tcW w:w="654" w:type="pct"/>
            <w:tcBorders>
              <w:tl2br w:val="nil"/>
              <w:tr2bl w:val="nil"/>
            </w:tcBorders>
            <w:vAlign w:val="center"/>
          </w:tcPr>
          <w:p w14:paraId="67394A7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2AF43A41">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2.15</w:t>
            </w:r>
          </w:p>
        </w:tc>
        <w:tc>
          <w:tcPr>
            <w:tcW w:w="1294" w:type="dxa"/>
            <w:tcBorders>
              <w:tl2br w:val="nil"/>
              <w:tr2bl w:val="nil"/>
            </w:tcBorders>
            <w:vAlign w:val="center"/>
          </w:tcPr>
          <w:p w14:paraId="6F3415F5">
            <w:pPr>
              <w:autoSpaceDE w:val="0"/>
              <w:autoSpaceDN w:val="0"/>
              <w:spacing w:line="300" w:lineRule="exact"/>
              <w:jc w:val="center"/>
              <w:rPr>
                <w:rFonts w:hint="default" w:eastAsiaTheme="minorEastAsia"/>
                <w:highlight w:val="none"/>
                <w:lang w:val="en-US" w:eastAsia="zh-CN"/>
              </w:rPr>
            </w:pPr>
            <w:r>
              <w:rPr>
                <w:rFonts w:hint="eastAsia"/>
                <w:highlight w:val="none"/>
              </w:rPr>
              <w:t>25</w:t>
            </w:r>
            <w:r>
              <w:rPr>
                <w:rFonts w:hint="eastAsia"/>
                <w:highlight w:val="none"/>
                <w:lang w:val="en-US" w:eastAsia="zh-CN"/>
              </w:rPr>
              <w:t>100410</w:t>
            </w:r>
          </w:p>
        </w:tc>
        <w:tc>
          <w:tcPr>
            <w:tcW w:w="721" w:type="pct"/>
            <w:tcBorders>
              <w:tl2br w:val="nil"/>
              <w:tr2bl w:val="nil"/>
            </w:tcBorders>
            <w:vAlign w:val="center"/>
          </w:tcPr>
          <w:p w14:paraId="784C2E98">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0.02</w:t>
            </w:r>
          </w:p>
        </w:tc>
        <w:tc>
          <w:tcPr>
            <w:tcW w:w="464" w:type="pct"/>
            <w:tcBorders>
              <w:tl2br w:val="nil"/>
              <w:tr2bl w:val="nil"/>
            </w:tcBorders>
            <w:vAlign w:val="center"/>
          </w:tcPr>
          <w:p w14:paraId="27F76235">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601AB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restart"/>
            <w:tcBorders>
              <w:tl2br w:val="nil"/>
              <w:tr2bl w:val="nil"/>
            </w:tcBorders>
            <w:vAlign w:val="center"/>
          </w:tcPr>
          <w:p w14:paraId="6E18909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HCl</w:t>
            </w:r>
          </w:p>
        </w:tc>
        <w:tc>
          <w:tcPr>
            <w:tcW w:w="1307" w:type="pct"/>
            <w:tcBorders>
              <w:tl2br w:val="nil"/>
              <w:tr2bl w:val="nil"/>
            </w:tcBorders>
            <w:vAlign w:val="center"/>
          </w:tcPr>
          <w:p w14:paraId="7595BD88">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兰干村居民区</w:t>
            </w:r>
          </w:p>
        </w:tc>
        <w:tc>
          <w:tcPr>
            <w:tcW w:w="654" w:type="pct"/>
            <w:tcBorders>
              <w:tl2br w:val="nil"/>
              <w:tr2bl w:val="nil"/>
            </w:tcBorders>
            <w:vAlign w:val="center"/>
          </w:tcPr>
          <w:p w14:paraId="4B80E91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705F7CCA">
            <w:pPr>
              <w:autoSpaceDE w:val="0"/>
              <w:autoSpaceDN w:val="0"/>
              <w:spacing w:line="300" w:lineRule="exact"/>
              <w:jc w:val="center"/>
              <w:rPr>
                <w:rFonts w:hint="eastAsia" w:eastAsiaTheme="minorEastAsia"/>
                <w:highlight w:val="none"/>
                <w:lang w:eastAsia="zh-CN"/>
              </w:rPr>
            </w:pPr>
            <w:r>
              <w:rPr>
                <w:rFonts w:hint="eastAsia"/>
                <w:highlight w:val="none"/>
              </w:rPr>
              <w:t>0.0</w:t>
            </w:r>
            <w:r>
              <w:rPr>
                <w:rFonts w:hint="eastAsia"/>
                <w:highlight w:val="none"/>
                <w:lang w:val="en-US" w:eastAsia="zh-CN"/>
              </w:rPr>
              <w:t>2</w:t>
            </w:r>
          </w:p>
        </w:tc>
        <w:tc>
          <w:tcPr>
            <w:tcW w:w="759" w:type="pct"/>
            <w:tcBorders>
              <w:tl2br w:val="nil"/>
              <w:tr2bl w:val="nil"/>
            </w:tcBorders>
            <w:vAlign w:val="center"/>
          </w:tcPr>
          <w:p w14:paraId="170D9DD6">
            <w:pPr>
              <w:autoSpaceDE w:val="0"/>
              <w:autoSpaceDN w:val="0"/>
              <w:spacing w:line="300" w:lineRule="exact"/>
              <w:jc w:val="center"/>
              <w:rPr>
                <w:rFonts w:hint="eastAsia"/>
                <w:highlight w:val="none"/>
              </w:rPr>
            </w:pPr>
            <w:r>
              <w:rPr>
                <w:rFonts w:hint="eastAsia"/>
                <w:highlight w:val="none"/>
              </w:rPr>
              <w:t>250409</w:t>
            </w:r>
            <w:r>
              <w:rPr>
                <w:rFonts w:hint="eastAsia"/>
                <w:highlight w:val="none"/>
                <w:lang w:val="en-US" w:eastAsia="zh-CN"/>
              </w:rPr>
              <w:t>07</w:t>
            </w:r>
          </w:p>
        </w:tc>
        <w:tc>
          <w:tcPr>
            <w:tcW w:w="721" w:type="pct"/>
            <w:tcBorders>
              <w:tl2br w:val="nil"/>
              <w:tr2bl w:val="nil"/>
            </w:tcBorders>
            <w:vAlign w:val="center"/>
          </w:tcPr>
          <w:p w14:paraId="6D4CA30D">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0.04</w:t>
            </w:r>
          </w:p>
        </w:tc>
        <w:tc>
          <w:tcPr>
            <w:tcW w:w="464" w:type="pct"/>
            <w:tcBorders>
              <w:tl2br w:val="nil"/>
              <w:tr2bl w:val="nil"/>
            </w:tcBorders>
            <w:vAlign w:val="center"/>
          </w:tcPr>
          <w:p w14:paraId="72066B91">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15607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417" w:type="pct"/>
            <w:vMerge w:val="continue"/>
            <w:tcBorders>
              <w:tl2br w:val="nil"/>
              <w:tr2bl w:val="nil"/>
            </w:tcBorders>
            <w:vAlign w:val="center"/>
          </w:tcPr>
          <w:p w14:paraId="21423E6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07" w:type="pct"/>
            <w:tcBorders>
              <w:tl2br w:val="nil"/>
              <w:tr2bl w:val="nil"/>
            </w:tcBorders>
            <w:vAlign w:val="center"/>
          </w:tcPr>
          <w:p w14:paraId="155B5748">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萨依巴格村居民区</w:t>
            </w:r>
          </w:p>
        </w:tc>
        <w:tc>
          <w:tcPr>
            <w:tcW w:w="654" w:type="pct"/>
            <w:tcBorders>
              <w:tl2br w:val="nil"/>
              <w:tr2bl w:val="nil"/>
            </w:tcBorders>
            <w:vAlign w:val="center"/>
          </w:tcPr>
          <w:p w14:paraId="79D72D6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0F200423">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0.06</w:t>
            </w:r>
          </w:p>
        </w:tc>
        <w:tc>
          <w:tcPr>
            <w:tcW w:w="759" w:type="pct"/>
            <w:tcBorders>
              <w:tl2br w:val="nil"/>
              <w:tr2bl w:val="nil"/>
            </w:tcBorders>
            <w:vAlign w:val="center"/>
          </w:tcPr>
          <w:p w14:paraId="46FA5878">
            <w:pPr>
              <w:autoSpaceDE w:val="0"/>
              <w:autoSpaceDN w:val="0"/>
              <w:spacing w:line="300" w:lineRule="exact"/>
              <w:jc w:val="center"/>
              <w:rPr>
                <w:rFonts w:hint="eastAsia"/>
                <w:highlight w:val="none"/>
              </w:rPr>
            </w:pPr>
            <w:r>
              <w:rPr>
                <w:rFonts w:hint="eastAsia"/>
                <w:highlight w:val="none"/>
              </w:rPr>
              <w:t>250619</w:t>
            </w:r>
            <w:r>
              <w:rPr>
                <w:rFonts w:hint="eastAsia"/>
                <w:highlight w:val="none"/>
                <w:lang w:val="en-US" w:eastAsia="zh-CN"/>
              </w:rPr>
              <w:t>06</w:t>
            </w:r>
          </w:p>
        </w:tc>
        <w:tc>
          <w:tcPr>
            <w:tcW w:w="721" w:type="pct"/>
            <w:tcBorders>
              <w:tl2br w:val="nil"/>
              <w:tr2bl w:val="nil"/>
            </w:tcBorders>
            <w:vAlign w:val="center"/>
          </w:tcPr>
          <w:p w14:paraId="70DA6066">
            <w:pPr>
              <w:autoSpaceDE w:val="0"/>
              <w:autoSpaceDN w:val="0"/>
              <w:spacing w:line="300" w:lineRule="exact"/>
              <w:jc w:val="center"/>
              <w:rPr>
                <w:rFonts w:hint="default" w:eastAsiaTheme="minorEastAsia"/>
                <w:highlight w:val="none"/>
                <w:lang w:val="en-US" w:eastAsia="zh-CN"/>
              </w:rPr>
            </w:pPr>
            <w:r>
              <w:rPr>
                <w:rFonts w:hint="eastAsia"/>
                <w:highlight w:val="none"/>
              </w:rPr>
              <w:t>0.</w:t>
            </w:r>
            <w:r>
              <w:rPr>
                <w:rFonts w:hint="eastAsia"/>
                <w:highlight w:val="none"/>
                <w:lang w:val="en-US" w:eastAsia="zh-CN"/>
              </w:rPr>
              <w:t>12</w:t>
            </w:r>
          </w:p>
        </w:tc>
        <w:tc>
          <w:tcPr>
            <w:tcW w:w="464" w:type="pct"/>
            <w:tcBorders>
              <w:tl2br w:val="nil"/>
              <w:tr2bl w:val="nil"/>
            </w:tcBorders>
            <w:vAlign w:val="center"/>
          </w:tcPr>
          <w:p w14:paraId="0DCEA7BA">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6478F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continue"/>
            <w:tcBorders>
              <w:tl2br w:val="nil"/>
              <w:tr2bl w:val="nil"/>
            </w:tcBorders>
            <w:vAlign w:val="center"/>
          </w:tcPr>
          <w:p w14:paraId="7C54F633">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07" w:type="pct"/>
            <w:tcBorders>
              <w:tl2br w:val="nil"/>
              <w:tr2bl w:val="nil"/>
            </w:tcBorders>
            <w:vAlign w:val="center"/>
          </w:tcPr>
          <w:p w14:paraId="118237F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帕特曼喀什村居民区</w:t>
            </w:r>
          </w:p>
        </w:tc>
        <w:tc>
          <w:tcPr>
            <w:tcW w:w="654" w:type="pct"/>
            <w:tcBorders>
              <w:tl2br w:val="nil"/>
              <w:tr2bl w:val="nil"/>
            </w:tcBorders>
            <w:vAlign w:val="center"/>
          </w:tcPr>
          <w:p w14:paraId="7DEC4B6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73D60F0A">
            <w:pPr>
              <w:autoSpaceDE w:val="0"/>
              <w:autoSpaceDN w:val="0"/>
              <w:spacing w:line="300" w:lineRule="exact"/>
              <w:jc w:val="center"/>
              <w:rPr>
                <w:rFonts w:hint="eastAsia"/>
                <w:highlight w:val="none"/>
              </w:rPr>
            </w:pPr>
            <w:r>
              <w:rPr>
                <w:rFonts w:hint="eastAsia"/>
                <w:highlight w:val="none"/>
                <w:lang w:val="en-US" w:eastAsia="zh-CN"/>
              </w:rPr>
              <w:t>0.07</w:t>
            </w:r>
          </w:p>
        </w:tc>
        <w:tc>
          <w:tcPr>
            <w:tcW w:w="759" w:type="pct"/>
            <w:tcBorders>
              <w:tl2br w:val="nil"/>
              <w:tr2bl w:val="nil"/>
            </w:tcBorders>
            <w:vAlign w:val="center"/>
          </w:tcPr>
          <w:p w14:paraId="1B9EEC4E">
            <w:pPr>
              <w:autoSpaceDE w:val="0"/>
              <w:autoSpaceDN w:val="0"/>
              <w:spacing w:line="300" w:lineRule="exact"/>
              <w:jc w:val="center"/>
              <w:rPr>
                <w:rFonts w:hint="eastAsia"/>
                <w:highlight w:val="none"/>
              </w:rPr>
            </w:pPr>
            <w:r>
              <w:rPr>
                <w:rFonts w:hint="eastAsia"/>
                <w:highlight w:val="none"/>
              </w:rPr>
              <w:t>251215</w:t>
            </w:r>
            <w:r>
              <w:rPr>
                <w:rFonts w:hint="eastAsia"/>
                <w:highlight w:val="none"/>
                <w:lang w:val="en-US" w:eastAsia="zh-CN"/>
              </w:rPr>
              <w:t>09</w:t>
            </w:r>
          </w:p>
        </w:tc>
        <w:tc>
          <w:tcPr>
            <w:tcW w:w="721" w:type="pct"/>
            <w:tcBorders>
              <w:tl2br w:val="nil"/>
              <w:tr2bl w:val="nil"/>
            </w:tcBorders>
            <w:vAlign w:val="center"/>
          </w:tcPr>
          <w:p w14:paraId="319E425F">
            <w:pPr>
              <w:autoSpaceDE w:val="0"/>
              <w:autoSpaceDN w:val="0"/>
              <w:spacing w:line="300" w:lineRule="exact"/>
              <w:jc w:val="center"/>
              <w:rPr>
                <w:rFonts w:hint="eastAsia" w:eastAsiaTheme="minorEastAsia"/>
                <w:highlight w:val="none"/>
                <w:lang w:eastAsia="zh-CN"/>
              </w:rPr>
            </w:pPr>
            <w:r>
              <w:rPr>
                <w:rFonts w:hint="eastAsia"/>
                <w:highlight w:val="none"/>
              </w:rPr>
              <w:t>0.0</w:t>
            </w:r>
            <w:r>
              <w:rPr>
                <w:rFonts w:hint="eastAsia"/>
                <w:highlight w:val="none"/>
                <w:lang w:val="en-US" w:eastAsia="zh-CN"/>
              </w:rPr>
              <w:t>7</w:t>
            </w:r>
          </w:p>
        </w:tc>
        <w:tc>
          <w:tcPr>
            <w:tcW w:w="464" w:type="pct"/>
            <w:tcBorders>
              <w:tl2br w:val="nil"/>
              <w:tr2bl w:val="nil"/>
            </w:tcBorders>
            <w:vAlign w:val="center"/>
          </w:tcPr>
          <w:p w14:paraId="085ECE5B">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2B155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continue"/>
            <w:tcBorders>
              <w:tl2br w:val="nil"/>
              <w:tr2bl w:val="nil"/>
            </w:tcBorders>
            <w:vAlign w:val="center"/>
          </w:tcPr>
          <w:p w14:paraId="0A7C7114">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07" w:type="pct"/>
            <w:tcBorders>
              <w:tl2br w:val="nil"/>
              <w:tr2bl w:val="nil"/>
            </w:tcBorders>
            <w:vAlign w:val="center"/>
          </w:tcPr>
          <w:p w14:paraId="39BC3F8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网格</w:t>
            </w:r>
          </w:p>
        </w:tc>
        <w:tc>
          <w:tcPr>
            <w:tcW w:w="654" w:type="pct"/>
            <w:tcBorders>
              <w:tl2br w:val="nil"/>
              <w:tr2bl w:val="nil"/>
            </w:tcBorders>
            <w:vAlign w:val="center"/>
          </w:tcPr>
          <w:p w14:paraId="2CB64B6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4F2BB748">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0.90</w:t>
            </w:r>
          </w:p>
        </w:tc>
        <w:tc>
          <w:tcPr>
            <w:tcW w:w="759" w:type="pct"/>
            <w:tcBorders>
              <w:tl2br w:val="nil"/>
              <w:tr2bl w:val="nil"/>
            </w:tcBorders>
            <w:vAlign w:val="center"/>
          </w:tcPr>
          <w:p w14:paraId="65B49889">
            <w:pPr>
              <w:autoSpaceDE w:val="0"/>
              <w:autoSpaceDN w:val="0"/>
              <w:spacing w:line="300" w:lineRule="exact"/>
              <w:jc w:val="center"/>
              <w:rPr>
                <w:rFonts w:hint="eastAsia"/>
                <w:highlight w:val="none"/>
              </w:rPr>
            </w:pPr>
            <w:r>
              <w:rPr>
                <w:rFonts w:hint="eastAsia"/>
                <w:highlight w:val="none"/>
              </w:rPr>
              <w:t>25</w:t>
            </w:r>
            <w:r>
              <w:rPr>
                <w:rFonts w:hint="eastAsia"/>
                <w:highlight w:val="none"/>
                <w:lang w:val="en-US" w:eastAsia="zh-CN"/>
              </w:rPr>
              <w:t>100410</w:t>
            </w:r>
          </w:p>
        </w:tc>
        <w:tc>
          <w:tcPr>
            <w:tcW w:w="721" w:type="pct"/>
            <w:tcBorders>
              <w:tl2br w:val="nil"/>
              <w:tr2bl w:val="nil"/>
            </w:tcBorders>
            <w:vAlign w:val="center"/>
          </w:tcPr>
          <w:p w14:paraId="2F186E0D">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1.79</w:t>
            </w:r>
          </w:p>
        </w:tc>
        <w:tc>
          <w:tcPr>
            <w:tcW w:w="464" w:type="pct"/>
            <w:tcBorders>
              <w:tl2br w:val="nil"/>
              <w:tr2bl w:val="nil"/>
            </w:tcBorders>
            <w:vAlign w:val="center"/>
          </w:tcPr>
          <w:p w14:paraId="099112E4">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4EB44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restart"/>
            <w:tcBorders>
              <w:tl2br w:val="nil"/>
              <w:tr2bl w:val="nil"/>
            </w:tcBorders>
            <w:vAlign w:val="center"/>
          </w:tcPr>
          <w:p w14:paraId="4D8043B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Hg</w:t>
            </w:r>
          </w:p>
        </w:tc>
        <w:tc>
          <w:tcPr>
            <w:tcW w:w="1307" w:type="pct"/>
            <w:tcBorders>
              <w:tl2br w:val="nil"/>
              <w:tr2bl w:val="nil"/>
            </w:tcBorders>
            <w:shd w:val="clear" w:color="auto" w:fill="auto"/>
            <w:vAlign w:val="center"/>
          </w:tcPr>
          <w:p w14:paraId="494818C0">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en-US" w:bidi="ar-SA"/>
              </w:rPr>
            </w:pPr>
            <w:r>
              <w:rPr>
                <w:rFonts w:hint="eastAsia" w:ascii="Times New Roman" w:hAnsi="Times New Roman" w:cs="Times New Roman"/>
                <w:szCs w:val="21"/>
                <w:highlight w:val="none"/>
                <w:lang w:val="en-US" w:eastAsia="zh-CN"/>
              </w:rPr>
              <w:t>兰干村居民区</w:t>
            </w:r>
          </w:p>
        </w:tc>
        <w:tc>
          <w:tcPr>
            <w:tcW w:w="654" w:type="pct"/>
            <w:tcBorders>
              <w:tl2br w:val="nil"/>
              <w:tr2bl w:val="nil"/>
            </w:tcBorders>
            <w:vAlign w:val="center"/>
          </w:tcPr>
          <w:p w14:paraId="462F123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522B9B4D">
            <w:pPr>
              <w:autoSpaceDE w:val="0"/>
              <w:autoSpaceDN w:val="0"/>
              <w:spacing w:line="300" w:lineRule="exact"/>
              <w:jc w:val="center"/>
              <w:rPr>
                <w:rFonts w:hint="eastAsia"/>
                <w:highlight w:val="none"/>
              </w:rPr>
            </w:pPr>
            <w:r>
              <w:rPr>
                <w:rFonts w:hint="eastAsia"/>
                <w:highlight w:val="none"/>
              </w:rPr>
              <w:t>0.00</w:t>
            </w:r>
          </w:p>
        </w:tc>
        <w:tc>
          <w:tcPr>
            <w:tcW w:w="759" w:type="pct"/>
            <w:tcBorders>
              <w:tl2br w:val="nil"/>
              <w:tr2bl w:val="nil"/>
            </w:tcBorders>
            <w:vAlign w:val="center"/>
          </w:tcPr>
          <w:p w14:paraId="2229109D">
            <w:pPr>
              <w:autoSpaceDE w:val="0"/>
              <w:autoSpaceDN w:val="0"/>
              <w:spacing w:line="300" w:lineRule="exact"/>
              <w:jc w:val="center"/>
              <w:rPr>
                <w:rFonts w:hint="eastAsia"/>
                <w:highlight w:val="none"/>
              </w:rPr>
            </w:pPr>
            <w:r>
              <w:rPr>
                <w:rFonts w:hint="eastAsia"/>
                <w:highlight w:val="none"/>
              </w:rPr>
              <w:t>250409</w:t>
            </w:r>
            <w:r>
              <w:rPr>
                <w:rFonts w:hint="eastAsia"/>
                <w:highlight w:val="none"/>
                <w:lang w:val="en-US" w:eastAsia="zh-CN"/>
              </w:rPr>
              <w:t>07</w:t>
            </w:r>
          </w:p>
        </w:tc>
        <w:tc>
          <w:tcPr>
            <w:tcW w:w="721" w:type="pct"/>
            <w:tcBorders>
              <w:tl2br w:val="nil"/>
              <w:tr2bl w:val="nil"/>
            </w:tcBorders>
            <w:vAlign w:val="center"/>
          </w:tcPr>
          <w:p w14:paraId="2678287D">
            <w:pPr>
              <w:autoSpaceDE w:val="0"/>
              <w:autoSpaceDN w:val="0"/>
              <w:spacing w:line="300" w:lineRule="exact"/>
              <w:jc w:val="center"/>
              <w:rPr>
                <w:rFonts w:hint="eastAsia"/>
                <w:highlight w:val="none"/>
              </w:rPr>
            </w:pPr>
            <w:r>
              <w:rPr>
                <w:rFonts w:hint="eastAsia"/>
                <w:highlight w:val="none"/>
              </w:rPr>
              <w:t>0.00</w:t>
            </w:r>
          </w:p>
        </w:tc>
        <w:tc>
          <w:tcPr>
            <w:tcW w:w="464" w:type="pct"/>
            <w:tcBorders>
              <w:tl2br w:val="nil"/>
              <w:tr2bl w:val="nil"/>
            </w:tcBorders>
            <w:vAlign w:val="center"/>
          </w:tcPr>
          <w:p w14:paraId="3AA31D3D">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415B5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continue"/>
            <w:tcBorders>
              <w:tl2br w:val="nil"/>
              <w:tr2bl w:val="nil"/>
            </w:tcBorders>
            <w:vAlign w:val="center"/>
          </w:tcPr>
          <w:p w14:paraId="3DADC333">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07" w:type="pct"/>
            <w:tcBorders>
              <w:tl2br w:val="nil"/>
              <w:tr2bl w:val="nil"/>
            </w:tcBorders>
            <w:shd w:val="clear" w:color="auto" w:fill="auto"/>
            <w:vAlign w:val="center"/>
          </w:tcPr>
          <w:p w14:paraId="69F821F5">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en-US" w:bidi="ar-SA"/>
              </w:rPr>
            </w:pPr>
            <w:r>
              <w:rPr>
                <w:rFonts w:hint="eastAsia" w:ascii="Times New Roman" w:hAnsi="Times New Roman" w:cs="Times New Roman"/>
                <w:szCs w:val="21"/>
                <w:highlight w:val="none"/>
                <w:lang w:val="en-US" w:eastAsia="zh-CN"/>
              </w:rPr>
              <w:t>萨依巴格村居民区</w:t>
            </w:r>
          </w:p>
        </w:tc>
        <w:tc>
          <w:tcPr>
            <w:tcW w:w="654" w:type="pct"/>
            <w:tcBorders>
              <w:tl2br w:val="nil"/>
              <w:tr2bl w:val="nil"/>
            </w:tcBorders>
            <w:vAlign w:val="center"/>
          </w:tcPr>
          <w:p w14:paraId="1972BF7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63F62826">
            <w:pPr>
              <w:autoSpaceDE w:val="0"/>
              <w:autoSpaceDN w:val="0"/>
              <w:spacing w:line="300" w:lineRule="exact"/>
              <w:jc w:val="center"/>
              <w:rPr>
                <w:rFonts w:hint="eastAsia"/>
                <w:highlight w:val="none"/>
              </w:rPr>
            </w:pPr>
            <w:r>
              <w:rPr>
                <w:rFonts w:hint="eastAsia"/>
                <w:highlight w:val="none"/>
              </w:rPr>
              <w:t>0.00</w:t>
            </w:r>
          </w:p>
        </w:tc>
        <w:tc>
          <w:tcPr>
            <w:tcW w:w="759" w:type="pct"/>
            <w:tcBorders>
              <w:tl2br w:val="nil"/>
              <w:tr2bl w:val="nil"/>
            </w:tcBorders>
            <w:vAlign w:val="center"/>
          </w:tcPr>
          <w:p w14:paraId="38487387">
            <w:pPr>
              <w:autoSpaceDE w:val="0"/>
              <w:autoSpaceDN w:val="0"/>
              <w:spacing w:line="300" w:lineRule="exact"/>
              <w:jc w:val="center"/>
              <w:rPr>
                <w:rFonts w:hint="eastAsia"/>
                <w:highlight w:val="none"/>
              </w:rPr>
            </w:pPr>
            <w:r>
              <w:rPr>
                <w:rFonts w:hint="eastAsia"/>
                <w:highlight w:val="none"/>
              </w:rPr>
              <w:t>250619</w:t>
            </w:r>
            <w:r>
              <w:rPr>
                <w:rFonts w:hint="eastAsia"/>
                <w:highlight w:val="none"/>
                <w:lang w:val="en-US" w:eastAsia="zh-CN"/>
              </w:rPr>
              <w:t>06</w:t>
            </w:r>
          </w:p>
        </w:tc>
        <w:tc>
          <w:tcPr>
            <w:tcW w:w="721" w:type="pct"/>
            <w:tcBorders>
              <w:tl2br w:val="nil"/>
              <w:tr2bl w:val="nil"/>
            </w:tcBorders>
            <w:vAlign w:val="center"/>
          </w:tcPr>
          <w:p w14:paraId="1B774F3F">
            <w:pPr>
              <w:autoSpaceDE w:val="0"/>
              <w:autoSpaceDN w:val="0"/>
              <w:spacing w:line="300" w:lineRule="exact"/>
              <w:jc w:val="center"/>
              <w:rPr>
                <w:rFonts w:hint="eastAsia"/>
                <w:highlight w:val="none"/>
              </w:rPr>
            </w:pPr>
            <w:r>
              <w:rPr>
                <w:rFonts w:hint="eastAsia"/>
                <w:highlight w:val="none"/>
              </w:rPr>
              <w:t>0.00</w:t>
            </w:r>
          </w:p>
        </w:tc>
        <w:tc>
          <w:tcPr>
            <w:tcW w:w="464" w:type="pct"/>
            <w:tcBorders>
              <w:tl2br w:val="nil"/>
              <w:tr2bl w:val="nil"/>
            </w:tcBorders>
            <w:vAlign w:val="center"/>
          </w:tcPr>
          <w:p w14:paraId="437557F5">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6CDD5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continue"/>
            <w:tcBorders>
              <w:tl2br w:val="nil"/>
              <w:tr2bl w:val="nil"/>
            </w:tcBorders>
            <w:vAlign w:val="center"/>
          </w:tcPr>
          <w:p w14:paraId="1C6779D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07" w:type="pct"/>
            <w:tcBorders>
              <w:tl2br w:val="nil"/>
              <w:tr2bl w:val="nil"/>
            </w:tcBorders>
            <w:shd w:val="clear" w:color="auto" w:fill="auto"/>
            <w:vAlign w:val="center"/>
          </w:tcPr>
          <w:p w14:paraId="5FFFDD52">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en-US" w:bidi="ar-SA"/>
              </w:rPr>
            </w:pPr>
            <w:r>
              <w:rPr>
                <w:rFonts w:hint="eastAsia" w:ascii="Times New Roman" w:hAnsi="Times New Roman" w:cs="Times New Roman"/>
                <w:szCs w:val="21"/>
                <w:highlight w:val="none"/>
                <w:lang w:val="en-US" w:eastAsia="zh-CN"/>
              </w:rPr>
              <w:t>帕特曼喀什村居民区</w:t>
            </w:r>
          </w:p>
        </w:tc>
        <w:tc>
          <w:tcPr>
            <w:tcW w:w="654" w:type="pct"/>
            <w:tcBorders>
              <w:tl2br w:val="nil"/>
              <w:tr2bl w:val="nil"/>
            </w:tcBorders>
            <w:vAlign w:val="center"/>
          </w:tcPr>
          <w:p w14:paraId="3C66ADC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67B09E9D">
            <w:pPr>
              <w:autoSpaceDE w:val="0"/>
              <w:autoSpaceDN w:val="0"/>
              <w:spacing w:line="300" w:lineRule="exact"/>
              <w:jc w:val="center"/>
              <w:rPr>
                <w:rFonts w:hint="eastAsia"/>
                <w:highlight w:val="none"/>
              </w:rPr>
            </w:pPr>
            <w:r>
              <w:rPr>
                <w:rFonts w:hint="eastAsia"/>
                <w:highlight w:val="none"/>
              </w:rPr>
              <w:t>0.00</w:t>
            </w:r>
          </w:p>
        </w:tc>
        <w:tc>
          <w:tcPr>
            <w:tcW w:w="759" w:type="pct"/>
            <w:tcBorders>
              <w:tl2br w:val="nil"/>
              <w:tr2bl w:val="nil"/>
            </w:tcBorders>
            <w:vAlign w:val="center"/>
          </w:tcPr>
          <w:p w14:paraId="4D280090">
            <w:pPr>
              <w:autoSpaceDE w:val="0"/>
              <w:autoSpaceDN w:val="0"/>
              <w:spacing w:line="300" w:lineRule="exact"/>
              <w:jc w:val="center"/>
              <w:rPr>
                <w:rFonts w:hint="eastAsia"/>
                <w:highlight w:val="none"/>
              </w:rPr>
            </w:pPr>
            <w:r>
              <w:rPr>
                <w:rFonts w:hint="eastAsia"/>
                <w:highlight w:val="none"/>
              </w:rPr>
              <w:t>251215</w:t>
            </w:r>
            <w:r>
              <w:rPr>
                <w:rFonts w:hint="eastAsia"/>
                <w:highlight w:val="none"/>
                <w:lang w:val="en-US" w:eastAsia="zh-CN"/>
              </w:rPr>
              <w:t>09</w:t>
            </w:r>
          </w:p>
        </w:tc>
        <w:tc>
          <w:tcPr>
            <w:tcW w:w="721" w:type="pct"/>
            <w:tcBorders>
              <w:tl2br w:val="nil"/>
              <w:tr2bl w:val="nil"/>
            </w:tcBorders>
            <w:vAlign w:val="center"/>
          </w:tcPr>
          <w:p w14:paraId="0D49BFF5">
            <w:pPr>
              <w:autoSpaceDE w:val="0"/>
              <w:autoSpaceDN w:val="0"/>
              <w:spacing w:line="300" w:lineRule="exact"/>
              <w:jc w:val="center"/>
              <w:rPr>
                <w:rFonts w:hint="eastAsia"/>
                <w:highlight w:val="none"/>
              </w:rPr>
            </w:pPr>
            <w:r>
              <w:rPr>
                <w:rFonts w:hint="eastAsia"/>
                <w:highlight w:val="none"/>
              </w:rPr>
              <w:t>0.00</w:t>
            </w:r>
          </w:p>
        </w:tc>
        <w:tc>
          <w:tcPr>
            <w:tcW w:w="464" w:type="pct"/>
            <w:tcBorders>
              <w:tl2br w:val="nil"/>
              <w:tr2bl w:val="nil"/>
            </w:tcBorders>
            <w:vAlign w:val="center"/>
          </w:tcPr>
          <w:p w14:paraId="09FD7950">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5832A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continue"/>
            <w:tcBorders>
              <w:tl2br w:val="nil"/>
              <w:tr2bl w:val="nil"/>
            </w:tcBorders>
            <w:vAlign w:val="center"/>
          </w:tcPr>
          <w:p w14:paraId="5C52FC2A">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07" w:type="pct"/>
            <w:tcBorders>
              <w:tl2br w:val="nil"/>
              <w:tr2bl w:val="nil"/>
            </w:tcBorders>
            <w:shd w:val="clear" w:color="auto" w:fill="auto"/>
            <w:vAlign w:val="center"/>
          </w:tcPr>
          <w:p w14:paraId="5BFD2D2F">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en-US" w:bidi="ar-SA"/>
              </w:rPr>
            </w:pPr>
            <w:r>
              <w:rPr>
                <w:rFonts w:hint="default" w:ascii="Times New Roman" w:hAnsi="Times New Roman" w:cs="Times New Roman" w:eastAsiaTheme="minorEastAsia"/>
                <w:szCs w:val="21"/>
                <w:highlight w:val="none"/>
                <w:lang w:val="en-US" w:eastAsia="zh-CN"/>
              </w:rPr>
              <w:t>网格</w:t>
            </w:r>
          </w:p>
        </w:tc>
        <w:tc>
          <w:tcPr>
            <w:tcW w:w="654" w:type="pct"/>
            <w:tcBorders>
              <w:tl2br w:val="nil"/>
              <w:tr2bl w:val="nil"/>
            </w:tcBorders>
            <w:vAlign w:val="center"/>
          </w:tcPr>
          <w:p w14:paraId="584F566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7F505BAD">
            <w:pPr>
              <w:autoSpaceDE w:val="0"/>
              <w:autoSpaceDN w:val="0"/>
              <w:spacing w:line="300" w:lineRule="exact"/>
              <w:jc w:val="center"/>
              <w:rPr>
                <w:rFonts w:hint="eastAsia"/>
                <w:highlight w:val="none"/>
              </w:rPr>
            </w:pPr>
            <w:r>
              <w:rPr>
                <w:rFonts w:hint="eastAsia"/>
                <w:highlight w:val="none"/>
              </w:rPr>
              <w:t>0.00</w:t>
            </w:r>
          </w:p>
        </w:tc>
        <w:tc>
          <w:tcPr>
            <w:tcW w:w="759" w:type="pct"/>
            <w:tcBorders>
              <w:tl2br w:val="nil"/>
              <w:tr2bl w:val="nil"/>
            </w:tcBorders>
            <w:vAlign w:val="center"/>
          </w:tcPr>
          <w:p w14:paraId="49F8FDC5">
            <w:pPr>
              <w:autoSpaceDE w:val="0"/>
              <w:autoSpaceDN w:val="0"/>
              <w:spacing w:line="300" w:lineRule="exact"/>
              <w:jc w:val="center"/>
              <w:rPr>
                <w:rFonts w:hint="eastAsia"/>
                <w:highlight w:val="none"/>
              </w:rPr>
            </w:pPr>
            <w:r>
              <w:rPr>
                <w:rFonts w:hint="eastAsia"/>
                <w:highlight w:val="none"/>
              </w:rPr>
              <w:t>25</w:t>
            </w:r>
            <w:r>
              <w:rPr>
                <w:rFonts w:hint="eastAsia"/>
                <w:highlight w:val="none"/>
                <w:lang w:val="en-US" w:eastAsia="zh-CN"/>
              </w:rPr>
              <w:t>100410</w:t>
            </w:r>
          </w:p>
        </w:tc>
        <w:tc>
          <w:tcPr>
            <w:tcW w:w="721" w:type="pct"/>
            <w:tcBorders>
              <w:tl2br w:val="nil"/>
              <w:tr2bl w:val="nil"/>
            </w:tcBorders>
            <w:vAlign w:val="center"/>
          </w:tcPr>
          <w:p w14:paraId="525A1EC5">
            <w:pPr>
              <w:autoSpaceDE w:val="0"/>
              <w:autoSpaceDN w:val="0"/>
              <w:spacing w:line="300" w:lineRule="exact"/>
              <w:jc w:val="center"/>
              <w:rPr>
                <w:rFonts w:hint="eastAsia"/>
                <w:highlight w:val="none"/>
              </w:rPr>
            </w:pPr>
            <w:r>
              <w:rPr>
                <w:rFonts w:hint="eastAsia"/>
                <w:highlight w:val="none"/>
              </w:rPr>
              <w:t>0.00</w:t>
            </w:r>
          </w:p>
        </w:tc>
        <w:tc>
          <w:tcPr>
            <w:tcW w:w="464" w:type="pct"/>
            <w:tcBorders>
              <w:tl2br w:val="nil"/>
              <w:tr2bl w:val="nil"/>
            </w:tcBorders>
            <w:vAlign w:val="center"/>
          </w:tcPr>
          <w:p w14:paraId="35798F1A">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1961E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restart"/>
            <w:tcBorders>
              <w:tl2br w:val="nil"/>
              <w:tr2bl w:val="nil"/>
            </w:tcBorders>
            <w:vAlign w:val="center"/>
          </w:tcPr>
          <w:p w14:paraId="31B883D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Pb</w:t>
            </w:r>
          </w:p>
        </w:tc>
        <w:tc>
          <w:tcPr>
            <w:tcW w:w="1307" w:type="pct"/>
            <w:tcBorders>
              <w:tl2br w:val="nil"/>
              <w:tr2bl w:val="nil"/>
            </w:tcBorders>
            <w:vAlign w:val="center"/>
          </w:tcPr>
          <w:p w14:paraId="30E1B57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兰干村居民区</w:t>
            </w:r>
          </w:p>
        </w:tc>
        <w:tc>
          <w:tcPr>
            <w:tcW w:w="654" w:type="pct"/>
            <w:tcBorders>
              <w:tl2br w:val="nil"/>
              <w:tr2bl w:val="nil"/>
            </w:tcBorders>
            <w:vAlign w:val="center"/>
          </w:tcPr>
          <w:p w14:paraId="73FAF74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1153" w:type="dxa"/>
            <w:tcBorders>
              <w:tl2br w:val="nil"/>
              <w:tr2bl w:val="nil"/>
            </w:tcBorders>
            <w:vAlign w:val="center"/>
          </w:tcPr>
          <w:p w14:paraId="3071B8A5">
            <w:pPr>
              <w:autoSpaceDE w:val="0"/>
              <w:autoSpaceDN w:val="0"/>
              <w:spacing w:line="300" w:lineRule="exact"/>
              <w:jc w:val="center"/>
              <w:rPr>
                <w:rFonts w:hint="default" w:eastAsiaTheme="minorEastAsia"/>
                <w:highlight w:val="none"/>
                <w:lang w:val="en-US" w:eastAsia="zh-CN"/>
              </w:rPr>
            </w:pPr>
            <w:r>
              <w:rPr>
                <w:rFonts w:hint="eastAsia"/>
                <w:highlight w:val="none"/>
              </w:rPr>
              <w:t>0.00</w:t>
            </w:r>
          </w:p>
        </w:tc>
        <w:tc>
          <w:tcPr>
            <w:tcW w:w="759" w:type="pct"/>
            <w:tcBorders>
              <w:tl2br w:val="nil"/>
              <w:tr2bl w:val="nil"/>
            </w:tcBorders>
            <w:vAlign w:val="center"/>
          </w:tcPr>
          <w:p w14:paraId="38E7E463">
            <w:pPr>
              <w:autoSpaceDE w:val="0"/>
              <w:autoSpaceDN w:val="0"/>
              <w:spacing w:line="300" w:lineRule="exact"/>
              <w:jc w:val="center"/>
              <w:rPr>
                <w:rFonts w:hint="eastAsia"/>
                <w:highlight w:val="none"/>
              </w:rPr>
            </w:pPr>
            <w:r>
              <w:rPr>
                <w:rFonts w:hint="eastAsia"/>
                <w:highlight w:val="none"/>
              </w:rPr>
              <w:t>250409</w:t>
            </w:r>
            <w:r>
              <w:rPr>
                <w:rFonts w:hint="eastAsia"/>
                <w:highlight w:val="none"/>
                <w:lang w:val="en-US" w:eastAsia="zh-CN"/>
              </w:rPr>
              <w:t>07</w:t>
            </w:r>
          </w:p>
        </w:tc>
        <w:tc>
          <w:tcPr>
            <w:tcW w:w="1229" w:type="dxa"/>
            <w:tcBorders>
              <w:tl2br w:val="nil"/>
              <w:tr2bl w:val="nil"/>
            </w:tcBorders>
            <w:vAlign w:val="center"/>
          </w:tcPr>
          <w:p w14:paraId="4B7A6B76">
            <w:pPr>
              <w:autoSpaceDE w:val="0"/>
              <w:autoSpaceDN w:val="0"/>
              <w:spacing w:line="300" w:lineRule="exact"/>
              <w:jc w:val="center"/>
              <w:rPr>
                <w:rFonts w:hint="default" w:eastAsiaTheme="minorEastAsia"/>
                <w:highlight w:val="none"/>
                <w:lang w:val="en-US" w:eastAsia="zh-CN"/>
              </w:rPr>
            </w:pPr>
            <w:r>
              <w:rPr>
                <w:rFonts w:hint="eastAsia"/>
                <w:highlight w:val="none"/>
              </w:rPr>
              <w:t>0.00</w:t>
            </w:r>
          </w:p>
        </w:tc>
        <w:tc>
          <w:tcPr>
            <w:tcW w:w="464" w:type="pct"/>
            <w:tcBorders>
              <w:tl2br w:val="nil"/>
              <w:tr2bl w:val="nil"/>
            </w:tcBorders>
            <w:vAlign w:val="center"/>
          </w:tcPr>
          <w:p w14:paraId="47AA3918">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6F83C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continue"/>
            <w:tcBorders>
              <w:tl2br w:val="nil"/>
              <w:tr2bl w:val="nil"/>
            </w:tcBorders>
            <w:vAlign w:val="center"/>
          </w:tcPr>
          <w:p w14:paraId="66C40A9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07" w:type="pct"/>
            <w:tcBorders>
              <w:tl2br w:val="nil"/>
              <w:tr2bl w:val="nil"/>
            </w:tcBorders>
            <w:vAlign w:val="center"/>
          </w:tcPr>
          <w:p w14:paraId="5571D9E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萨依巴格村居民区</w:t>
            </w:r>
          </w:p>
        </w:tc>
        <w:tc>
          <w:tcPr>
            <w:tcW w:w="654" w:type="pct"/>
            <w:tcBorders>
              <w:tl2br w:val="nil"/>
              <w:tr2bl w:val="nil"/>
            </w:tcBorders>
            <w:vAlign w:val="center"/>
          </w:tcPr>
          <w:p w14:paraId="4730011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1153" w:type="dxa"/>
            <w:tcBorders>
              <w:tl2br w:val="nil"/>
              <w:tr2bl w:val="nil"/>
            </w:tcBorders>
            <w:vAlign w:val="center"/>
          </w:tcPr>
          <w:p w14:paraId="100A6F9A">
            <w:pPr>
              <w:autoSpaceDE w:val="0"/>
              <w:autoSpaceDN w:val="0"/>
              <w:spacing w:line="300" w:lineRule="exact"/>
              <w:jc w:val="center"/>
              <w:rPr>
                <w:rFonts w:hint="default" w:eastAsiaTheme="minorEastAsia"/>
                <w:highlight w:val="none"/>
                <w:lang w:val="en-US" w:eastAsia="zh-CN"/>
              </w:rPr>
            </w:pPr>
            <w:r>
              <w:rPr>
                <w:rFonts w:hint="eastAsia"/>
                <w:highlight w:val="none"/>
              </w:rPr>
              <w:t>0.00</w:t>
            </w:r>
          </w:p>
        </w:tc>
        <w:tc>
          <w:tcPr>
            <w:tcW w:w="759" w:type="pct"/>
            <w:tcBorders>
              <w:tl2br w:val="nil"/>
              <w:tr2bl w:val="nil"/>
            </w:tcBorders>
            <w:vAlign w:val="center"/>
          </w:tcPr>
          <w:p w14:paraId="1C532024">
            <w:pPr>
              <w:autoSpaceDE w:val="0"/>
              <w:autoSpaceDN w:val="0"/>
              <w:spacing w:line="300" w:lineRule="exact"/>
              <w:jc w:val="center"/>
              <w:rPr>
                <w:rFonts w:hint="eastAsia"/>
                <w:highlight w:val="none"/>
              </w:rPr>
            </w:pPr>
            <w:r>
              <w:rPr>
                <w:rFonts w:hint="eastAsia"/>
                <w:highlight w:val="none"/>
              </w:rPr>
              <w:t>250619</w:t>
            </w:r>
            <w:r>
              <w:rPr>
                <w:rFonts w:hint="eastAsia"/>
                <w:highlight w:val="none"/>
                <w:lang w:val="en-US" w:eastAsia="zh-CN"/>
              </w:rPr>
              <w:t>06</w:t>
            </w:r>
          </w:p>
        </w:tc>
        <w:tc>
          <w:tcPr>
            <w:tcW w:w="1229" w:type="dxa"/>
            <w:tcBorders>
              <w:tl2br w:val="nil"/>
              <w:tr2bl w:val="nil"/>
            </w:tcBorders>
            <w:vAlign w:val="center"/>
          </w:tcPr>
          <w:p w14:paraId="5D8A93CE">
            <w:pPr>
              <w:autoSpaceDE w:val="0"/>
              <w:autoSpaceDN w:val="0"/>
              <w:spacing w:line="300" w:lineRule="exact"/>
              <w:jc w:val="center"/>
              <w:rPr>
                <w:rFonts w:hint="default" w:eastAsiaTheme="minorEastAsia"/>
                <w:highlight w:val="none"/>
                <w:lang w:val="en-US" w:eastAsia="zh-CN"/>
              </w:rPr>
            </w:pPr>
            <w:r>
              <w:rPr>
                <w:rFonts w:hint="eastAsia"/>
                <w:highlight w:val="none"/>
              </w:rPr>
              <w:t>0.00</w:t>
            </w:r>
          </w:p>
        </w:tc>
        <w:tc>
          <w:tcPr>
            <w:tcW w:w="464" w:type="pct"/>
            <w:tcBorders>
              <w:tl2br w:val="nil"/>
              <w:tr2bl w:val="nil"/>
            </w:tcBorders>
            <w:vAlign w:val="center"/>
          </w:tcPr>
          <w:p w14:paraId="03D98575">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7FB74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continue"/>
            <w:tcBorders>
              <w:tl2br w:val="nil"/>
              <w:tr2bl w:val="nil"/>
            </w:tcBorders>
            <w:vAlign w:val="center"/>
          </w:tcPr>
          <w:p w14:paraId="4A59842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07" w:type="pct"/>
            <w:tcBorders>
              <w:tl2br w:val="nil"/>
              <w:tr2bl w:val="nil"/>
            </w:tcBorders>
            <w:vAlign w:val="center"/>
          </w:tcPr>
          <w:p w14:paraId="0E92BAE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帕特曼喀什村居民区</w:t>
            </w:r>
          </w:p>
        </w:tc>
        <w:tc>
          <w:tcPr>
            <w:tcW w:w="654" w:type="pct"/>
            <w:tcBorders>
              <w:tl2br w:val="nil"/>
              <w:tr2bl w:val="nil"/>
            </w:tcBorders>
            <w:vAlign w:val="center"/>
          </w:tcPr>
          <w:p w14:paraId="3DE0357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1153" w:type="dxa"/>
            <w:tcBorders>
              <w:tl2br w:val="nil"/>
              <w:tr2bl w:val="nil"/>
            </w:tcBorders>
            <w:vAlign w:val="center"/>
          </w:tcPr>
          <w:p w14:paraId="350F1CB2">
            <w:pPr>
              <w:autoSpaceDE w:val="0"/>
              <w:autoSpaceDN w:val="0"/>
              <w:spacing w:line="300" w:lineRule="exact"/>
              <w:jc w:val="center"/>
              <w:rPr>
                <w:rFonts w:hint="default" w:eastAsiaTheme="minorEastAsia"/>
                <w:highlight w:val="none"/>
                <w:lang w:val="en-US" w:eastAsia="zh-CN"/>
              </w:rPr>
            </w:pPr>
            <w:r>
              <w:rPr>
                <w:rFonts w:hint="eastAsia"/>
                <w:highlight w:val="none"/>
              </w:rPr>
              <w:t>0.00</w:t>
            </w:r>
          </w:p>
        </w:tc>
        <w:tc>
          <w:tcPr>
            <w:tcW w:w="759" w:type="pct"/>
            <w:tcBorders>
              <w:tl2br w:val="nil"/>
              <w:tr2bl w:val="nil"/>
            </w:tcBorders>
            <w:vAlign w:val="center"/>
          </w:tcPr>
          <w:p w14:paraId="0ABDA76F">
            <w:pPr>
              <w:autoSpaceDE w:val="0"/>
              <w:autoSpaceDN w:val="0"/>
              <w:spacing w:line="300" w:lineRule="exact"/>
              <w:jc w:val="center"/>
              <w:rPr>
                <w:rFonts w:hint="eastAsia"/>
                <w:highlight w:val="none"/>
              </w:rPr>
            </w:pPr>
            <w:r>
              <w:rPr>
                <w:rFonts w:hint="eastAsia"/>
                <w:highlight w:val="none"/>
              </w:rPr>
              <w:t>251215</w:t>
            </w:r>
            <w:r>
              <w:rPr>
                <w:rFonts w:hint="eastAsia"/>
                <w:highlight w:val="none"/>
                <w:lang w:val="en-US" w:eastAsia="zh-CN"/>
              </w:rPr>
              <w:t>09</w:t>
            </w:r>
          </w:p>
        </w:tc>
        <w:tc>
          <w:tcPr>
            <w:tcW w:w="1229" w:type="dxa"/>
            <w:tcBorders>
              <w:tl2br w:val="nil"/>
              <w:tr2bl w:val="nil"/>
            </w:tcBorders>
            <w:vAlign w:val="center"/>
          </w:tcPr>
          <w:p w14:paraId="740B6CFB">
            <w:pPr>
              <w:autoSpaceDE w:val="0"/>
              <w:autoSpaceDN w:val="0"/>
              <w:spacing w:line="300" w:lineRule="exact"/>
              <w:jc w:val="center"/>
              <w:rPr>
                <w:rFonts w:hint="default" w:eastAsiaTheme="minorEastAsia"/>
                <w:highlight w:val="none"/>
                <w:lang w:val="en-US" w:eastAsia="zh-CN"/>
              </w:rPr>
            </w:pPr>
            <w:r>
              <w:rPr>
                <w:rFonts w:hint="eastAsia"/>
                <w:highlight w:val="none"/>
              </w:rPr>
              <w:t>0.00</w:t>
            </w:r>
          </w:p>
        </w:tc>
        <w:tc>
          <w:tcPr>
            <w:tcW w:w="464" w:type="pct"/>
            <w:tcBorders>
              <w:tl2br w:val="nil"/>
              <w:tr2bl w:val="nil"/>
            </w:tcBorders>
            <w:vAlign w:val="center"/>
          </w:tcPr>
          <w:p w14:paraId="01260913">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11E98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continue"/>
            <w:tcBorders>
              <w:tl2br w:val="nil"/>
              <w:tr2bl w:val="nil"/>
            </w:tcBorders>
            <w:vAlign w:val="center"/>
          </w:tcPr>
          <w:p w14:paraId="4C2A867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07" w:type="pct"/>
            <w:tcBorders>
              <w:tl2br w:val="nil"/>
              <w:tr2bl w:val="nil"/>
            </w:tcBorders>
            <w:vAlign w:val="center"/>
          </w:tcPr>
          <w:p w14:paraId="3D08413E">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网格</w:t>
            </w:r>
          </w:p>
        </w:tc>
        <w:tc>
          <w:tcPr>
            <w:tcW w:w="654" w:type="pct"/>
            <w:tcBorders>
              <w:tl2br w:val="nil"/>
              <w:tr2bl w:val="nil"/>
            </w:tcBorders>
            <w:vAlign w:val="center"/>
          </w:tcPr>
          <w:p w14:paraId="7302AFF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1153" w:type="dxa"/>
            <w:tcBorders>
              <w:tl2br w:val="nil"/>
              <w:tr2bl w:val="nil"/>
            </w:tcBorders>
            <w:vAlign w:val="center"/>
          </w:tcPr>
          <w:p w14:paraId="4C64E848">
            <w:pPr>
              <w:autoSpaceDE w:val="0"/>
              <w:autoSpaceDN w:val="0"/>
              <w:spacing w:line="300" w:lineRule="exact"/>
              <w:jc w:val="center"/>
              <w:rPr>
                <w:rFonts w:hint="default" w:eastAsiaTheme="minorEastAsia"/>
                <w:highlight w:val="none"/>
                <w:lang w:val="en-US" w:eastAsia="zh-CN"/>
              </w:rPr>
            </w:pPr>
            <w:r>
              <w:rPr>
                <w:rFonts w:hint="eastAsia"/>
                <w:highlight w:val="none"/>
              </w:rPr>
              <w:t>0.00</w:t>
            </w:r>
          </w:p>
        </w:tc>
        <w:tc>
          <w:tcPr>
            <w:tcW w:w="759" w:type="pct"/>
            <w:tcBorders>
              <w:tl2br w:val="nil"/>
              <w:tr2bl w:val="nil"/>
            </w:tcBorders>
            <w:vAlign w:val="center"/>
          </w:tcPr>
          <w:p w14:paraId="698F1907">
            <w:pPr>
              <w:autoSpaceDE w:val="0"/>
              <w:autoSpaceDN w:val="0"/>
              <w:spacing w:line="300" w:lineRule="exact"/>
              <w:jc w:val="center"/>
              <w:rPr>
                <w:rFonts w:hint="eastAsia"/>
                <w:highlight w:val="none"/>
              </w:rPr>
            </w:pPr>
            <w:r>
              <w:rPr>
                <w:rFonts w:hint="eastAsia"/>
                <w:highlight w:val="none"/>
              </w:rPr>
              <w:t>25</w:t>
            </w:r>
            <w:r>
              <w:rPr>
                <w:rFonts w:hint="eastAsia"/>
                <w:highlight w:val="none"/>
                <w:lang w:val="en-US" w:eastAsia="zh-CN"/>
              </w:rPr>
              <w:t>100410</w:t>
            </w:r>
          </w:p>
        </w:tc>
        <w:tc>
          <w:tcPr>
            <w:tcW w:w="1229" w:type="dxa"/>
            <w:tcBorders>
              <w:tl2br w:val="nil"/>
              <w:tr2bl w:val="nil"/>
            </w:tcBorders>
            <w:vAlign w:val="center"/>
          </w:tcPr>
          <w:p w14:paraId="7141D3BB">
            <w:pPr>
              <w:autoSpaceDE w:val="0"/>
              <w:autoSpaceDN w:val="0"/>
              <w:spacing w:line="300" w:lineRule="exact"/>
              <w:jc w:val="center"/>
              <w:rPr>
                <w:rFonts w:hint="default" w:eastAsiaTheme="minorEastAsia"/>
                <w:highlight w:val="none"/>
                <w:lang w:val="en-US" w:eastAsia="zh-CN"/>
              </w:rPr>
            </w:pPr>
            <w:r>
              <w:rPr>
                <w:rFonts w:hint="eastAsia"/>
                <w:highlight w:val="none"/>
              </w:rPr>
              <w:t>0.00</w:t>
            </w:r>
          </w:p>
        </w:tc>
        <w:tc>
          <w:tcPr>
            <w:tcW w:w="464" w:type="pct"/>
            <w:tcBorders>
              <w:tl2br w:val="nil"/>
              <w:tr2bl w:val="nil"/>
            </w:tcBorders>
            <w:vAlign w:val="center"/>
          </w:tcPr>
          <w:p w14:paraId="66D4E21A">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690B2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restart"/>
            <w:tcBorders>
              <w:tl2br w:val="nil"/>
              <w:tr2bl w:val="nil"/>
            </w:tcBorders>
            <w:vAlign w:val="center"/>
          </w:tcPr>
          <w:p w14:paraId="06610C9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As</w:t>
            </w:r>
          </w:p>
        </w:tc>
        <w:tc>
          <w:tcPr>
            <w:tcW w:w="1307" w:type="pct"/>
            <w:tcBorders>
              <w:tl2br w:val="nil"/>
              <w:tr2bl w:val="nil"/>
            </w:tcBorders>
            <w:vAlign w:val="center"/>
          </w:tcPr>
          <w:p w14:paraId="73F9BAD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兰干村居民区</w:t>
            </w:r>
          </w:p>
        </w:tc>
        <w:tc>
          <w:tcPr>
            <w:tcW w:w="654" w:type="pct"/>
            <w:tcBorders>
              <w:tl2br w:val="nil"/>
              <w:tr2bl w:val="nil"/>
            </w:tcBorders>
            <w:vAlign w:val="center"/>
          </w:tcPr>
          <w:p w14:paraId="73EE161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10FB49FA">
            <w:pPr>
              <w:autoSpaceDE w:val="0"/>
              <w:autoSpaceDN w:val="0"/>
              <w:spacing w:line="300" w:lineRule="exact"/>
              <w:jc w:val="center"/>
              <w:rPr>
                <w:rFonts w:hint="default" w:eastAsiaTheme="minorEastAsia"/>
                <w:highlight w:val="none"/>
                <w:lang w:val="en-US" w:eastAsia="zh-CN"/>
              </w:rPr>
            </w:pPr>
            <w:r>
              <w:rPr>
                <w:rFonts w:hint="eastAsia"/>
                <w:highlight w:val="none"/>
              </w:rPr>
              <w:t>0.00</w:t>
            </w:r>
            <w:r>
              <w:rPr>
                <w:rFonts w:hint="eastAsia"/>
                <w:highlight w:val="none"/>
                <w:lang w:val="en-US" w:eastAsia="zh-CN"/>
              </w:rPr>
              <w:t>03</w:t>
            </w:r>
          </w:p>
        </w:tc>
        <w:tc>
          <w:tcPr>
            <w:tcW w:w="759" w:type="pct"/>
            <w:tcBorders>
              <w:tl2br w:val="nil"/>
              <w:tr2bl w:val="nil"/>
            </w:tcBorders>
            <w:vAlign w:val="center"/>
          </w:tcPr>
          <w:p w14:paraId="74E64C4A">
            <w:pPr>
              <w:autoSpaceDE w:val="0"/>
              <w:autoSpaceDN w:val="0"/>
              <w:spacing w:line="300" w:lineRule="exact"/>
              <w:jc w:val="center"/>
              <w:rPr>
                <w:rFonts w:hint="eastAsia"/>
                <w:highlight w:val="none"/>
              </w:rPr>
            </w:pPr>
            <w:r>
              <w:rPr>
                <w:rFonts w:hint="eastAsia"/>
                <w:highlight w:val="none"/>
              </w:rPr>
              <w:t>250409</w:t>
            </w:r>
            <w:r>
              <w:rPr>
                <w:rFonts w:hint="eastAsia"/>
                <w:highlight w:val="none"/>
                <w:lang w:val="en-US" w:eastAsia="zh-CN"/>
              </w:rPr>
              <w:t>07</w:t>
            </w:r>
          </w:p>
        </w:tc>
        <w:tc>
          <w:tcPr>
            <w:tcW w:w="1229" w:type="dxa"/>
            <w:tcBorders>
              <w:tl2br w:val="nil"/>
              <w:tr2bl w:val="nil"/>
            </w:tcBorders>
            <w:vAlign w:val="center"/>
          </w:tcPr>
          <w:p w14:paraId="312DDC2B">
            <w:pPr>
              <w:autoSpaceDE w:val="0"/>
              <w:autoSpaceDN w:val="0"/>
              <w:spacing w:line="300" w:lineRule="exact"/>
              <w:jc w:val="center"/>
              <w:rPr>
                <w:rFonts w:hint="default"/>
                <w:highlight w:val="none"/>
                <w:lang w:val="en-US"/>
              </w:rPr>
            </w:pPr>
            <w:r>
              <w:rPr>
                <w:rFonts w:hint="eastAsia"/>
                <w:highlight w:val="none"/>
                <w:lang w:val="en-US" w:eastAsia="zh-CN"/>
              </w:rPr>
              <w:t>0.83</w:t>
            </w:r>
          </w:p>
        </w:tc>
        <w:tc>
          <w:tcPr>
            <w:tcW w:w="464" w:type="pct"/>
            <w:tcBorders>
              <w:tl2br w:val="nil"/>
              <w:tr2bl w:val="nil"/>
            </w:tcBorders>
            <w:vAlign w:val="center"/>
          </w:tcPr>
          <w:p w14:paraId="448759BE">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382C9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continue"/>
            <w:tcBorders>
              <w:tl2br w:val="nil"/>
              <w:tr2bl w:val="nil"/>
            </w:tcBorders>
            <w:vAlign w:val="center"/>
          </w:tcPr>
          <w:p w14:paraId="1035CE3C">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07" w:type="pct"/>
            <w:tcBorders>
              <w:tl2br w:val="nil"/>
              <w:tr2bl w:val="nil"/>
            </w:tcBorders>
            <w:vAlign w:val="center"/>
          </w:tcPr>
          <w:p w14:paraId="0545DA0A">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萨依巴格村居民区</w:t>
            </w:r>
          </w:p>
        </w:tc>
        <w:tc>
          <w:tcPr>
            <w:tcW w:w="654" w:type="pct"/>
            <w:tcBorders>
              <w:tl2br w:val="nil"/>
              <w:tr2bl w:val="nil"/>
            </w:tcBorders>
            <w:vAlign w:val="center"/>
          </w:tcPr>
          <w:p w14:paraId="2A36B1A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52401CCB">
            <w:pPr>
              <w:autoSpaceDE w:val="0"/>
              <w:autoSpaceDN w:val="0"/>
              <w:spacing w:line="300" w:lineRule="exact"/>
              <w:jc w:val="center"/>
              <w:rPr>
                <w:rFonts w:hint="default" w:eastAsiaTheme="minorEastAsia"/>
                <w:highlight w:val="none"/>
                <w:lang w:val="en-US" w:eastAsia="zh-CN"/>
              </w:rPr>
            </w:pPr>
            <w:r>
              <w:rPr>
                <w:rFonts w:hint="eastAsia"/>
                <w:highlight w:val="none"/>
              </w:rPr>
              <w:t>0.00</w:t>
            </w:r>
            <w:r>
              <w:rPr>
                <w:rFonts w:hint="eastAsia"/>
                <w:highlight w:val="none"/>
                <w:lang w:val="en-US" w:eastAsia="zh-CN"/>
              </w:rPr>
              <w:t>09</w:t>
            </w:r>
          </w:p>
        </w:tc>
        <w:tc>
          <w:tcPr>
            <w:tcW w:w="759" w:type="pct"/>
            <w:tcBorders>
              <w:tl2br w:val="nil"/>
              <w:tr2bl w:val="nil"/>
            </w:tcBorders>
            <w:vAlign w:val="center"/>
          </w:tcPr>
          <w:p w14:paraId="05265971">
            <w:pPr>
              <w:autoSpaceDE w:val="0"/>
              <w:autoSpaceDN w:val="0"/>
              <w:spacing w:line="300" w:lineRule="exact"/>
              <w:jc w:val="center"/>
              <w:rPr>
                <w:rFonts w:hint="eastAsia"/>
                <w:highlight w:val="none"/>
              </w:rPr>
            </w:pPr>
            <w:r>
              <w:rPr>
                <w:rFonts w:hint="eastAsia"/>
                <w:highlight w:val="none"/>
              </w:rPr>
              <w:t>250619</w:t>
            </w:r>
            <w:r>
              <w:rPr>
                <w:rFonts w:hint="eastAsia"/>
                <w:highlight w:val="none"/>
                <w:lang w:val="en-US" w:eastAsia="zh-CN"/>
              </w:rPr>
              <w:t>06</w:t>
            </w:r>
          </w:p>
        </w:tc>
        <w:tc>
          <w:tcPr>
            <w:tcW w:w="1229" w:type="dxa"/>
            <w:tcBorders>
              <w:tl2br w:val="nil"/>
              <w:tr2bl w:val="nil"/>
            </w:tcBorders>
            <w:vAlign w:val="center"/>
          </w:tcPr>
          <w:p w14:paraId="04FD7F44">
            <w:pPr>
              <w:autoSpaceDE w:val="0"/>
              <w:autoSpaceDN w:val="0"/>
              <w:spacing w:line="300" w:lineRule="exact"/>
              <w:jc w:val="center"/>
              <w:rPr>
                <w:rFonts w:hint="default"/>
                <w:highlight w:val="none"/>
                <w:lang w:val="en-US"/>
              </w:rPr>
            </w:pPr>
            <w:r>
              <w:rPr>
                <w:rFonts w:hint="eastAsia"/>
                <w:highlight w:val="none"/>
                <w:lang w:val="en-US" w:eastAsia="zh-CN"/>
              </w:rPr>
              <w:t>2.36</w:t>
            </w:r>
          </w:p>
        </w:tc>
        <w:tc>
          <w:tcPr>
            <w:tcW w:w="464" w:type="pct"/>
            <w:tcBorders>
              <w:tl2br w:val="nil"/>
              <w:tr2bl w:val="nil"/>
            </w:tcBorders>
            <w:vAlign w:val="center"/>
          </w:tcPr>
          <w:p w14:paraId="322E84AD">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1B9A4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continue"/>
            <w:tcBorders>
              <w:tl2br w:val="nil"/>
              <w:tr2bl w:val="nil"/>
            </w:tcBorders>
            <w:vAlign w:val="center"/>
          </w:tcPr>
          <w:p w14:paraId="7E0D309C">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07" w:type="pct"/>
            <w:tcBorders>
              <w:tl2br w:val="nil"/>
              <w:tr2bl w:val="nil"/>
            </w:tcBorders>
            <w:vAlign w:val="center"/>
          </w:tcPr>
          <w:p w14:paraId="10C4A63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帕特曼喀什村居民区</w:t>
            </w:r>
          </w:p>
        </w:tc>
        <w:tc>
          <w:tcPr>
            <w:tcW w:w="654" w:type="pct"/>
            <w:tcBorders>
              <w:tl2br w:val="nil"/>
              <w:tr2bl w:val="nil"/>
            </w:tcBorders>
            <w:vAlign w:val="center"/>
          </w:tcPr>
          <w:p w14:paraId="4130F85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5D46646C">
            <w:pPr>
              <w:autoSpaceDE w:val="0"/>
              <w:autoSpaceDN w:val="0"/>
              <w:spacing w:line="300" w:lineRule="exact"/>
              <w:jc w:val="center"/>
              <w:rPr>
                <w:rFonts w:hint="default" w:eastAsiaTheme="minorEastAsia"/>
                <w:highlight w:val="none"/>
                <w:lang w:val="en-US" w:eastAsia="zh-CN"/>
              </w:rPr>
            </w:pPr>
            <w:r>
              <w:rPr>
                <w:rFonts w:hint="eastAsia"/>
                <w:highlight w:val="none"/>
              </w:rPr>
              <w:t>0.00</w:t>
            </w:r>
            <w:r>
              <w:rPr>
                <w:rFonts w:hint="eastAsia"/>
                <w:highlight w:val="none"/>
                <w:lang w:val="en-US" w:eastAsia="zh-CN"/>
              </w:rPr>
              <w:t>05</w:t>
            </w:r>
          </w:p>
        </w:tc>
        <w:tc>
          <w:tcPr>
            <w:tcW w:w="759" w:type="pct"/>
            <w:tcBorders>
              <w:tl2br w:val="nil"/>
              <w:tr2bl w:val="nil"/>
            </w:tcBorders>
            <w:vAlign w:val="center"/>
          </w:tcPr>
          <w:p w14:paraId="59996E1A">
            <w:pPr>
              <w:autoSpaceDE w:val="0"/>
              <w:autoSpaceDN w:val="0"/>
              <w:spacing w:line="300" w:lineRule="exact"/>
              <w:jc w:val="center"/>
              <w:rPr>
                <w:rFonts w:hint="eastAsia"/>
                <w:highlight w:val="none"/>
              </w:rPr>
            </w:pPr>
            <w:r>
              <w:rPr>
                <w:rFonts w:hint="eastAsia"/>
                <w:highlight w:val="none"/>
              </w:rPr>
              <w:t>251215</w:t>
            </w:r>
            <w:r>
              <w:rPr>
                <w:rFonts w:hint="eastAsia"/>
                <w:highlight w:val="none"/>
                <w:lang w:val="en-US" w:eastAsia="zh-CN"/>
              </w:rPr>
              <w:t>09</w:t>
            </w:r>
          </w:p>
        </w:tc>
        <w:tc>
          <w:tcPr>
            <w:tcW w:w="1229" w:type="dxa"/>
            <w:tcBorders>
              <w:tl2br w:val="nil"/>
              <w:tr2bl w:val="nil"/>
            </w:tcBorders>
            <w:vAlign w:val="center"/>
          </w:tcPr>
          <w:p w14:paraId="1C92DB93">
            <w:pPr>
              <w:autoSpaceDE w:val="0"/>
              <w:autoSpaceDN w:val="0"/>
              <w:spacing w:line="300" w:lineRule="exact"/>
              <w:jc w:val="center"/>
              <w:rPr>
                <w:rFonts w:hint="default"/>
                <w:highlight w:val="none"/>
                <w:lang w:val="en-US"/>
              </w:rPr>
            </w:pPr>
            <w:r>
              <w:rPr>
                <w:rFonts w:hint="eastAsia"/>
                <w:highlight w:val="none"/>
                <w:lang w:val="en-US" w:eastAsia="zh-CN"/>
              </w:rPr>
              <w:t>1.33</w:t>
            </w:r>
          </w:p>
        </w:tc>
        <w:tc>
          <w:tcPr>
            <w:tcW w:w="464" w:type="pct"/>
            <w:tcBorders>
              <w:tl2br w:val="nil"/>
              <w:tr2bl w:val="nil"/>
            </w:tcBorders>
            <w:vAlign w:val="center"/>
          </w:tcPr>
          <w:p w14:paraId="522A86C4">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1B6B1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continue"/>
            <w:tcBorders>
              <w:tl2br w:val="nil"/>
              <w:tr2bl w:val="nil"/>
            </w:tcBorders>
            <w:vAlign w:val="center"/>
          </w:tcPr>
          <w:p w14:paraId="4E0DD4E6">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07" w:type="pct"/>
            <w:tcBorders>
              <w:tl2br w:val="nil"/>
              <w:tr2bl w:val="nil"/>
            </w:tcBorders>
            <w:vAlign w:val="center"/>
          </w:tcPr>
          <w:p w14:paraId="26B6CE3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网格</w:t>
            </w:r>
          </w:p>
        </w:tc>
        <w:tc>
          <w:tcPr>
            <w:tcW w:w="654" w:type="pct"/>
            <w:tcBorders>
              <w:tl2br w:val="nil"/>
              <w:tr2bl w:val="nil"/>
            </w:tcBorders>
            <w:vAlign w:val="center"/>
          </w:tcPr>
          <w:p w14:paraId="04B585D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1BA3A80A">
            <w:pPr>
              <w:autoSpaceDE w:val="0"/>
              <w:autoSpaceDN w:val="0"/>
              <w:spacing w:line="300" w:lineRule="exact"/>
              <w:jc w:val="center"/>
              <w:rPr>
                <w:rFonts w:hint="default" w:eastAsiaTheme="minorEastAsia"/>
                <w:highlight w:val="none"/>
                <w:lang w:val="en-US" w:eastAsia="zh-CN"/>
              </w:rPr>
            </w:pPr>
            <w:r>
              <w:rPr>
                <w:rFonts w:hint="eastAsia"/>
                <w:highlight w:val="none"/>
              </w:rPr>
              <w:t>0.</w:t>
            </w:r>
            <w:r>
              <w:rPr>
                <w:rFonts w:hint="eastAsia"/>
                <w:highlight w:val="none"/>
                <w:lang w:val="en-US" w:eastAsia="zh-CN"/>
              </w:rPr>
              <w:t>0122</w:t>
            </w:r>
          </w:p>
        </w:tc>
        <w:tc>
          <w:tcPr>
            <w:tcW w:w="759" w:type="pct"/>
            <w:tcBorders>
              <w:tl2br w:val="nil"/>
              <w:tr2bl w:val="nil"/>
            </w:tcBorders>
            <w:vAlign w:val="center"/>
          </w:tcPr>
          <w:p w14:paraId="65B24B71">
            <w:pPr>
              <w:autoSpaceDE w:val="0"/>
              <w:autoSpaceDN w:val="0"/>
              <w:spacing w:line="300" w:lineRule="exact"/>
              <w:jc w:val="center"/>
              <w:rPr>
                <w:rFonts w:hint="eastAsia"/>
                <w:highlight w:val="none"/>
              </w:rPr>
            </w:pPr>
            <w:r>
              <w:rPr>
                <w:rFonts w:hint="eastAsia"/>
                <w:highlight w:val="none"/>
              </w:rPr>
              <w:t>25</w:t>
            </w:r>
            <w:r>
              <w:rPr>
                <w:rFonts w:hint="eastAsia"/>
                <w:highlight w:val="none"/>
                <w:lang w:val="en-US" w:eastAsia="zh-CN"/>
              </w:rPr>
              <w:t>100410</w:t>
            </w:r>
          </w:p>
        </w:tc>
        <w:tc>
          <w:tcPr>
            <w:tcW w:w="1229" w:type="dxa"/>
            <w:tcBorders>
              <w:tl2br w:val="nil"/>
              <w:tr2bl w:val="nil"/>
            </w:tcBorders>
            <w:vAlign w:val="center"/>
          </w:tcPr>
          <w:p w14:paraId="31EDA3E2">
            <w:pPr>
              <w:autoSpaceDE w:val="0"/>
              <w:autoSpaceDN w:val="0"/>
              <w:spacing w:line="300" w:lineRule="exact"/>
              <w:jc w:val="center"/>
              <w:rPr>
                <w:rFonts w:hint="default" w:eastAsiaTheme="minorEastAsia"/>
                <w:highlight w:val="none"/>
                <w:lang w:val="en-US" w:eastAsia="zh-CN"/>
              </w:rPr>
            </w:pPr>
            <w:r>
              <w:rPr>
                <w:rFonts w:hint="eastAsia"/>
                <w:highlight w:val="none"/>
                <w:lang w:val="en-US" w:eastAsia="zh-CN"/>
              </w:rPr>
              <w:t>33.97</w:t>
            </w:r>
          </w:p>
        </w:tc>
        <w:tc>
          <w:tcPr>
            <w:tcW w:w="464" w:type="pct"/>
            <w:tcBorders>
              <w:tl2br w:val="nil"/>
              <w:tr2bl w:val="nil"/>
            </w:tcBorders>
            <w:vAlign w:val="center"/>
          </w:tcPr>
          <w:p w14:paraId="768E1B9F">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24D2B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restart"/>
            <w:tcBorders>
              <w:tl2br w:val="nil"/>
              <w:tr2bl w:val="nil"/>
            </w:tcBorders>
            <w:vAlign w:val="center"/>
          </w:tcPr>
          <w:p w14:paraId="3A9C9AD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Cd</w:t>
            </w:r>
          </w:p>
        </w:tc>
        <w:tc>
          <w:tcPr>
            <w:tcW w:w="1307" w:type="pct"/>
            <w:tcBorders>
              <w:tl2br w:val="nil"/>
              <w:tr2bl w:val="nil"/>
            </w:tcBorders>
            <w:vAlign w:val="center"/>
          </w:tcPr>
          <w:p w14:paraId="242C2B31">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兰干村居民区</w:t>
            </w:r>
          </w:p>
        </w:tc>
        <w:tc>
          <w:tcPr>
            <w:tcW w:w="654" w:type="pct"/>
            <w:tcBorders>
              <w:tl2br w:val="nil"/>
              <w:tr2bl w:val="nil"/>
            </w:tcBorders>
            <w:vAlign w:val="center"/>
          </w:tcPr>
          <w:p w14:paraId="07C607D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0FC118FC">
            <w:pPr>
              <w:autoSpaceDE w:val="0"/>
              <w:autoSpaceDN w:val="0"/>
              <w:spacing w:line="300" w:lineRule="exact"/>
              <w:jc w:val="center"/>
              <w:rPr>
                <w:rFonts w:hint="eastAsia"/>
                <w:highlight w:val="none"/>
              </w:rPr>
            </w:pPr>
            <w:r>
              <w:rPr>
                <w:rFonts w:hint="eastAsia"/>
                <w:highlight w:val="none"/>
              </w:rPr>
              <w:t>0.00</w:t>
            </w:r>
          </w:p>
        </w:tc>
        <w:tc>
          <w:tcPr>
            <w:tcW w:w="759" w:type="pct"/>
            <w:tcBorders>
              <w:tl2br w:val="nil"/>
              <w:tr2bl w:val="nil"/>
            </w:tcBorders>
            <w:vAlign w:val="center"/>
          </w:tcPr>
          <w:p w14:paraId="7246BB78">
            <w:pPr>
              <w:autoSpaceDE w:val="0"/>
              <w:autoSpaceDN w:val="0"/>
              <w:spacing w:line="300" w:lineRule="exact"/>
              <w:jc w:val="center"/>
              <w:rPr>
                <w:rFonts w:hint="eastAsia"/>
                <w:highlight w:val="none"/>
              </w:rPr>
            </w:pPr>
            <w:r>
              <w:rPr>
                <w:rFonts w:hint="eastAsia"/>
                <w:highlight w:val="none"/>
              </w:rPr>
              <w:t>250409</w:t>
            </w:r>
            <w:r>
              <w:rPr>
                <w:rFonts w:hint="eastAsia"/>
                <w:highlight w:val="none"/>
                <w:lang w:val="en-US" w:eastAsia="zh-CN"/>
              </w:rPr>
              <w:t>07</w:t>
            </w:r>
          </w:p>
        </w:tc>
        <w:tc>
          <w:tcPr>
            <w:tcW w:w="721" w:type="pct"/>
            <w:tcBorders>
              <w:tl2br w:val="nil"/>
              <w:tr2bl w:val="nil"/>
            </w:tcBorders>
            <w:vAlign w:val="center"/>
          </w:tcPr>
          <w:p w14:paraId="478DE0C2">
            <w:pPr>
              <w:autoSpaceDE w:val="0"/>
              <w:autoSpaceDN w:val="0"/>
              <w:spacing w:line="300" w:lineRule="exact"/>
              <w:jc w:val="center"/>
              <w:rPr>
                <w:rFonts w:hint="eastAsia"/>
                <w:highlight w:val="none"/>
              </w:rPr>
            </w:pPr>
            <w:r>
              <w:rPr>
                <w:rFonts w:hint="eastAsia"/>
                <w:highlight w:val="none"/>
              </w:rPr>
              <w:t>0.00</w:t>
            </w:r>
          </w:p>
        </w:tc>
        <w:tc>
          <w:tcPr>
            <w:tcW w:w="464" w:type="pct"/>
            <w:tcBorders>
              <w:tl2br w:val="nil"/>
              <w:tr2bl w:val="nil"/>
            </w:tcBorders>
            <w:vAlign w:val="center"/>
          </w:tcPr>
          <w:p w14:paraId="60ACB68E">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702C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continue"/>
            <w:tcBorders>
              <w:tl2br w:val="nil"/>
              <w:tr2bl w:val="nil"/>
            </w:tcBorders>
            <w:vAlign w:val="center"/>
          </w:tcPr>
          <w:p w14:paraId="028A21D3">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07" w:type="pct"/>
            <w:tcBorders>
              <w:tl2br w:val="nil"/>
              <w:tr2bl w:val="nil"/>
            </w:tcBorders>
            <w:vAlign w:val="center"/>
          </w:tcPr>
          <w:p w14:paraId="0E1B4482">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萨依巴格村居民区</w:t>
            </w:r>
          </w:p>
        </w:tc>
        <w:tc>
          <w:tcPr>
            <w:tcW w:w="654" w:type="pct"/>
            <w:tcBorders>
              <w:tl2br w:val="nil"/>
              <w:tr2bl w:val="nil"/>
            </w:tcBorders>
            <w:vAlign w:val="center"/>
          </w:tcPr>
          <w:p w14:paraId="4215017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053582F1">
            <w:pPr>
              <w:autoSpaceDE w:val="0"/>
              <w:autoSpaceDN w:val="0"/>
              <w:spacing w:line="300" w:lineRule="exact"/>
              <w:jc w:val="center"/>
              <w:rPr>
                <w:rFonts w:hint="eastAsia"/>
                <w:highlight w:val="none"/>
              </w:rPr>
            </w:pPr>
            <w:r>
              <w:rPr>
                <w:rFonts w:hint="eastAsia"/>
                <w:highlight w:val="none"/>
              </w:rPr>
              <w:t>0.00</w:t>
            </w:r>
          </w:p>
        </w:tc>
        <w:tc>
          <w:tcPr>
            <w:tcW w:w="759" w:type="pct"/>
            <w:tcBorders>
              <w:tl2br w:val="nil"/>
              <w:tr2bl w:val="nil"/>
            </w:tcBorders>
            <w:vAlign w:val="center"/>
          </w:tcPr>
          <w:p w14:paraId="33F38BA1">
            <w:pPr>
              <w:autoSpaceDE w:val="0"/>
              <w:autoSpaceDN w:val="0"/>
              <w:spacing w:line="300" w:lineRule="exact"/>
              <w:jc w:val="center"/>
              <w:rPr>
                <w:rFonts w:hint="eastAsia"/>
                <w:highlight w:val="none"/>
              </w:rPr>
            </w:pPr>
            <w:r>
              <w:rPr>
                <w:rFonts w:hint="eastAsia"/>
                <w:highlight w:val="none"/>
              </w:rPr>
              <w:t>250619</w:t>
            </w:r>
            <w:r>
              <w:rPr>
                <w:rFonts w:hint="eastAsia"/>
                <w:highlight w:val="none"/>
                <w:lang w:val="en-US" w:eastAsia="zh-CN"/>
              </w:rPr>
              <w:t>06</w:t>
            </w:r>
          </w:p>
        </w:tc>
        <w:tc>
          <w:tcPr>
            <w:tcW w:w="721" w:type="pct"/>
            <w:tcBorders>
              <w:tl2br w:val="nil"/>
              <w:tr2bl w:val="nil"/>
            </w:tcBorders>
            <w:vAlign w:val="center"/>
          </w:tcPr>
          <w:p w14:paraId="28DEDF44">
            <w:pPr>
              <w:autoSpaceDE w:val="0"/>
              <w:autoSpaceDN w:val="0"/>
              <w:spacing w:line="300" w:lineRule="exact"/>
              <w:jc w:val="center"/>
              <w:rPr>
                <w:rFonts w:hint="eastAsia"/>
                <w:highlight w:val="none"/>
              </w:rPr>
            </w:pPr>
            <w:r>
              <w:rPr>
                <w:rFonts w:hint="eastAsia"/>
                <w:highlight w:val="none"/>
              </w:rPr>
              <w:t>0.00</w:t>
            </w:r>
          </w:p>
        </w:tc>
        <w:tc>
          <w:tcPr>
            <w:tcW w:w="464" w:type="pct"/>
            <w:tcBorders>
              <w:tl2br w:val="nil"/>
              <w:tr2bl w:val="nil"/>
            </w:tcBorders>
            <w:vAlign w:val="center"/>
          </w:tcPr>
          <w:p w14:paraId="2E13AE3A">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05FE4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continue"/>
            <w:tcBorders>
              <w:tl2br w:val="nil"/>
              <w:tr2bl w:val="nil"/>
            </w:tcBorders>
            <w:vAlign w:val="center"/>
          </w:tcPr>
          <w:p w14:paraId="3998B831">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07" w:type="pct"/>
            <w:tcBorders>
              <w:tl2br w:val="nil"/>
              <w:tr2bl w:val="nil"/>
            </w:tcBorders>
            <w:vAlign w:val="center"/>
          </w:tcPr>
          <w:p w14:paraId="5A990E11">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帕特曼喀什村居民区</w:t>
            </w:r>
          </w:p>
        </w:tc>
        <w:tc>
          <w:tcPr>
            <w:tcW w:w="654" w:type="pct"/>
            <w:tcBorders>
              <w:tl2br w:val="nil"/>
              <w:tr2bl w:val="nil"/>
            </w:tcBorders>
            <w:vAlign w:val="center"/>
          </w:tcPr>
          <w:p w14:paraId="0A4A58F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200BFD98">
            <w:pPr>
              <w:autoSpaceDE w:val="0"/>
              <w:autoSpaceDN w:val="0"/>
              <w:spacing w:line="300" w:lineRule="exact"/>
              <w:jc w:val="center"/>
              <w:rPr>
                <w:rFonts w:hint="eastAsia"/>
                <w:highlight w:val="none"/>
              </w:rPr>
            </w:pPr>
            <w:r>
              <w:rPr>
                <w:rFonts w:hint="eastAsia"/>
                <w:highlight w:val="none"/>
              </w:rPr>
              <w:t>0.00</w:t>
            </w:r>
          </w:p>
        </w:tc>
        <w:tc>
          <w:tcPr>
            <w:tcW w:w="759" w:type="pct"/>
            <w:tcBorders>
              <w:tl2br w:val="nil"/>
              <w:tr2bl w:val="nil"/>
            </w:tcBorders>
            <w:vAlign w:val="center"/>
          </w:tcPr>
          <w:p w14:paraId="470F7A56">
            <w:pPr>
              <w:autoSpaceDE w:val="0"/>
              <w:autoSpaceDN w:val="0"/>
              <w:spacing w:line="300" w:lineRule="exact"/>
              <w:jc w:val="center"/>
              <w:rPr>
                <w:rFonts w:hint="eastAsia"/>
                <w:highlight w:val="none"/>
              </w:rPr>
            </w:pPr>
            <w:r>
              <w:rPr>
                <w:rFonts w:hint="eastAsia"/>
                <w:highlight w:val="none"/>
              </w:rPr>
              <w:t>251215</w:t>
            </w:r>
            <w:r>
              <w:rPr>
                <w:rFonts w:hint="eastAsia"/>
                <w:highlight w:val="none"/>
                <w:lang w:val="en-US" w:eastAsia="zh-CN"/>
              </w:rPr>
              <w:t>09</w:t>
            </w:r>
          </w:p>
        </w:tc>
        <w:tc>
          <w:tcPr>
            <w:tcW w:w="721" w:type="pct"/>
            <w:tcBorders>
              <w:tl2br w:val="nil"/>
              <w:tr2bl w:val="nil"/>
            </w:tcBorders>
            <w:vAlign w:val="center"/>
          </w:tcPr>
          <w:p w14:paraId="0DCE81BF">
            <w:pPr>
              <w:autoSpaceDE w:val="0"/>
              <w:autoSpaceDN w:val="0"/>
              <w:spacing w:line="300" w:lineRule="exact"/>
              <w:jc w:val="center"/>
              <w:rPr>
                <w:rFonts w:hint="eastAsia"/>
                <w:highlight w:val="none"/>
              </w:rPr>
            </w:pPr>
            <w:r>
              <w:rPr>
                <w:rFonts w:hint="eastAsia"/>
                <w:highlight w:val="none"/>
              </w:rPr>
              <w:t>0.00</w:t>
            </w:r>
          </w:p>
        </w:tc>
        <w:tc>
          <w:tcPr>
            <w:tcW w:w="464" w:type="pct"/>
            <w:tcBorders>
              <w:tl2br w:val="nil"/>
              <w:tr2bl w:val="nil"/>
            </w:tcBorders>
            <w:vAlign w:val="center"/>
          </w:tcPr>
          <w:p w14:paraId="39546F5F">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200EE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continue"/>
            <w:tcBorders>
              <w:tl2br w:val="nil"/>
              <w:tr2bl w:val="nil"/>
            </w:tcBorders>
            <w:vAlign w:val="center"/>
          </w:tcPr>
          <w:p w14:paraId="6BF70AF2">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07" w:type="pct"/>
            <w:tcBorders>
              <w:tl2br w:val="nil"/>
              <w:tr2bl w:val="nil"/>
            </w:tcBorders>
            <w:vAlign w:val="center"/>
          </w:tcPr>
          <w:p w14:paraId="3593AB7D">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网格</w:t>
            </w:r>
          </w:p>
        </w:tc>
        <w:tc>
          <w:tcPr>
            <w:tcW w:w="654" w:type="pct"/>
            <w:tcBorders>
              <w:tl2br w:val="nil"/>
              <w:tr2bl w:val="nil"/>
            </w:tcBorders>
            <w:vAlign w:val="center"/>
          </w:tcPr>
          <w:p w14:paraId="011BC21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2401B817">
            <w:pPr>
              <w:autoSpaceDE w:val="0"/>
              <w:autoSpaceDN w:val="0"/>
              <w:spacing w:line="300" w:lineRule="exact"/>
              <w:jc w:val="center"/>
              <w:rPr>
                <w:rFonts w:hint="eastAsia"/>
                <w:highlight w:val="none"/>
              </w:rPr>
            </w:pPr>
            <w:r>
              <w:rPr>
                <w:rFonts w:hint="eastAsia"/>
                <w:highlight w:val="none"/>
              </w:rPr>
              <w:t>0.00</w:t>
            </w:r>
          </w:p>
        </w:tc>
        <w:tc>
          <w:tcPr>
            <w:tcW w:w="759" w:type="pct"/>
            <w:tcBorders>
              <w:tl2br w:val="nil"/>
              <w:tr2bl w:val="nil"/>
            </w:tcBorders>
            <w:vAlign w:val="center"/>
          </w:tcPr>
          <w:p w14:paraId="39DE8DED">
            <w:pPr>
              <w:autoSpaceDE w:val="0"/>
              <w:autoSpaceDN w:val="0"/>
              <w:spacing w:line="300" w:lineRule="exact"/>
              <w:jc w:val="center"/>
              <w:rPr>
                <w:rFonts w:hint="eastAsia"/>
                <w:highlight w:val="none"/>
              </w:rPr>
            </w:pPr>
            <w:r>
              <w:rPr>
                <w:rFonts w:hint="eastAsia"/>
                <w:highlight w:val="none"/>
              </w:rPr>
              <w:t>25</w:t>
            </w:r>
            <w:r>
              <w:rPr>
                <w:rFonts w:hint="eastAsia"/>
                <w:highlight w:val="none"/>
                <w:lang w:val="en-US" w:eastAsia="zh-CN"/>
              </w:rPr>
              <w:t>100410</w:t>
            </w:r>
          </w:p>
        </w:tc>
        <w:tc>
          <w:tcPr>
            <w:tcW w:w="721" w:type="pct"/>
            <w:tcBorders>
              <w:tl2br w:val="nil"/>
              <w:tr2bl w:val="nil"/>
            </w:tcBorders>
            <w:vAlign w:val="center"/>
          </w:tcPr>
          <w:p w14:paraId="24201043">
            <w:pPr>
              <w:autoSpaceDE w:val="0"/>
              <w:autoSpaceDN w:val="0"/>
              <w:spacing w:line="300" w:lineRule="exact"/>
              <w:jc w:val="center"/>
              <w:rPr>
                <w:rFonts w:hint="eastAsia"/>
                <w:highlight w:val="none"/>
              </w:rPr>
            </w:pPr>
            <w:r>
              <w:rPr>
                <w:rFonts w:hint="eastAsia"/>
                <w:highlight w:val="none"/>
              </w:rPr>
              <w:t>0.00</w:t>
            </w:r>
          </w:p>
        </w:tc>
        <w:tc>
          <w:tcPr>
            <w:tcW w:w="464" w:type="pct"/>
            <w:tcBorders>
              <w:tl2br w:val="nil"/>
              <w:tr2bl w:val="nil"/>
            </w:tcBorders>
            <w:vAlign w:val="center"/>
          </w:tcPr>
          <w:p w14:paraId="51D845DA">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3A31A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restart"/>
            <w:tcBorders>
              <w:tl2br w:val="nil"/>
              <w:tr2bl w:val="nil"/>
            </w:tcBorders>
            <w:vAlign w:val="center"/>
          </w:tcPr>
          <w:p w14:paraId="72AA0D89">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二噁英</w:t>
            </w:r>
          </w:p>
        </w:tc>
        <w:tc>
          <w:tcPr>
            <w:tcW w:w="1307" w:type="pct"/>
            <w:tcBorders>
              <w:tl2br w:val="nil"/>
              <w:tr2bl w:val="nil"/>
            </w:tcBorders>
            <w:vAlign w:val="center"/>
          </w:tcPr>
          <w:p w14:paraId="70F45F83">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兰干村居民区</w:t>
            </w:r>
          </w:p>
        </w:tc>
        <w:tc>
          <w:tcPr>
            <w:tcW w:w="654" w:type="pct"/>
            <w:tcBorders>
              <w:tl2br w:val="nil"/>
              <w:tr2bl w:val="nil"/>
            </w:tcBorders>
            <w:vAlign w:val="center"/>
          </w:tcPr>
          <w:p w14:paraId="74AB44F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3071A7FD">
            <w:pPr>
              <w:autoSpaceDE w:val="0"/>
              <w:autoSpaceDN w:val="0"/>
              <w:spacing w:line="300" w:lineRule="exact"/>
              <w:jc w:val="center"/>
              <w:rPr>
                <w:rFonts w:hint="eastAsia"/>
                <w:highlight w:val="none"/>
              </w:rPr>
            </w:pPr>
            <w:r>
              <w:rPr>
                <w:rFonts w:hint="eastAsia"/>
                <w:highlight w:val="none"/>
              </w:rPr>
              <w:t>0.00</w:t>
            </w:r>
          </w:p>
        </w:tc>
        <w:tc>
          <w:tcPr>
            <w:tcW w:w="759" w:type="pct"/>
            <w:tcBorders>
              <w:tl2br w:val="nil"/>
              <w:tr2bl w:val="nil"/>
            </w:tcBorders>
            <w:vAlign w:val="center"/>
          </w:tcPr>
          <w:p w14:paraId="7D0B8536">
            <w:pPr>
              <w:autoSpaceDE w:val="0"/>
              <w:autoSpaceDN w:val="0"/>
              <w:spacing w:line="300" w:lineRule="exact"/>
              <w:jc w:val="center"/>
              <w:rPr>
                <w:rFonts w:hint="eastAsia"/>
                <w:highlight w:val="none"/>
              </w:rPr>
            </w:pPr>
            <w:r>
              <w:rPr>
                <w:rFonts w:hint="eastAsia"/>
                <w:highlight w:val="none"/>
              </w:rPr>
              <w:t>250409</w:t>
            </w:r>
            <w:r>
              <w:rPr>
                <w:rFonts w:hint="eastAsia"/>
                <w:highlight w:val="none"/>
                <w:lang w:val="en-US" w:eastAsia="zh-CN"/>
              </w:rPr>
              <w:t>07</w:t>
            </w:r>
          </w:p>
        </w:tc>
        <w:tc>
          <w:tcPr>
            <w:tcW w:w="721" w:type="pct"/>
            <w:tcBorders>
              <w:tl2br w:val="nil"/>
              <w:tr2bl w:val="nil"/>
            </w:tcBorders>
            <w:vAlign w:val="center"/>
          </w:tcPr>
          <w:p w14:paraId="5205D221">
            <w:pPr>
              <w:autoSpaceDE w:val="0"/>
              <w:autoSpaceDN w:val="0"/>
              <w:spacing w:line="300" w:lineRule="exact"/>
              <w:jc w:val="center"/>
              <w:rPr>
                <w:rFonts w:hint="eastAsia"/>
                <w:highlight w:val="none"/>
              </w:rPr>
            </w:pPr>
            <w:r>
              <w:rPr>
                <w:rFonts w:hint="eastAsia"/>
                <w:highlight w:val="none"/>
              </w:rPr>
              <w:t>0.00</w:t>
            </w:r>
          </w:p>
        </w:tc>
        <w:tc>
          <w:tcPr>
            <w:tcW w:w="464" w:type="pct"/>
            <w:tcBorders>
              <w:tl2br w:val="nil"/>
              <w:tr2bl w:val="nil"/>
            </w:tcBorders>
            <w:vAlign w:val="center"/>
          </w:tcPr>
          <w:p w14:paraId="431BC982">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10DEE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continue"/>
            <w:tcBorders>
              <w:tl2br w:val="nil"/>
              <w:tr2bl w:val="nil"/>
            </w:tcBorders>
            <w:vAlign w:val="center"/>
          </w:tcPr>
          <w:p w14:paraId="75240D6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07" w:type="pct"/>
            <w:tcBorders>
              <w:tl2br w:val="nil"/>
              <w:tr2bl w:val="nil"/>
            </w:tcBorders>
            <w:vAlign w:val="center"/>
          </w:tcPr>
          <w:p w14:paraId="1D657DA4">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萨依巴格村居民区</w:t>
            </w:r>
          </w:p>
        </w:tc>
        <w:tc>
          <w:tcPr>
            <w:tcW w:w="654" w:type="pct"/>
            <w:tcBorders>
              <w:tl2br w:val="nil"/>
              <w:tr2bl w:val="nil"/>
            </w:tcBorders>
            <w:vAlign w:val="center"/>
          </w:tcPr>
          <w:p w14:paraId="67C6882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7FB60C46">
            <w:pPr>
              <w:autoSpaceDE w:val="0"/>
              <w:autoSpaceDN w:val="0"/>
              <w:spacing w:line="300" w:lineRule="exact"/>
              <w:jc w:val="center"/>
              <w:rPr>
                <w:rFonts w:hint="eastAsia"/>
                <w:highlight w:val="none"/>
              </w:rPr>
            </w:pPr>
            <w:r>
              <w:rPr>
                <w:rFonts w:hint="eastAsia"/>
                <w:highlight w:val="none"/>
              </w:rPr>
              <w:t>0.00</w:t>
            </w:r>
          </w:p>
        </w:tc>
        <w:tc>
          <w:tcPr>
            <w:tcW w:w="759" w:type="pct"/>
            <w:tcBorders>
              <w:tl2br w:val="nil"/>
              <w:tr2bl w:val="nil"/>
            </w:tcBorders>
            <w:vAlign w:val="center"/>
          </w:tcPr>
          <w:p w14:paraId="4C5005EE">
            <w:pPr>
              <w:autoSpaceDE w:val="0"/>
              <w:autoSpaceDN w:val="0"/>
              <w:spacing w:line="300" w:lineRule="exact"/>
              <w:jc w:val="center"/>
              <w:rPr>
                <w:rFonts w:hint="eastAsia"/>
                <w:highlight w:val="none"/>
              </w:rPr>
            </w:pPr>
            <w:r>
              <w:rPr>
                <w:rFonts w:hint="eastAsia"/>
                <w:highlight w:val="none"/>
              </w:rPr>
              <w:t>250619</w:t>
            </w:r>
            <w:r>
              <w:rPr>
                <w:rFonts w:hint="eastAsia"/>
                <w:highlight w:val="none"/>
                <w:lang w:val="en-US" w:eastAsia="zh-CN"/>
              </w:rPr>
              <w:t>06</w:t>
            </w:r>
          </w:p>
        </w:tc>
        <w:tc>
          <w:tcPr>
            <w:tcW w:w="721" w:type="pct"/>
            <w:tcBorders>
              <w:tl2br w:val="nil"/>
              <w:tr2bl w:val="nil"/>
            </w:tcBorders>
            <w:vAlign w:val="center"/>
          </w:tcPr>
          <w:p w14:paraId="678D42D9">
            <w:pPr>
              <w:autoSpaceDE w:val="0"/>
              <w:autoSpaceDN w:val="0"/>
              <w:spacing w:line="300" w:lineRule="exact"/>
              <w:jc w:val="center"/>
              <w:rPr>
                <w:rFonts w:hint="eastAsia"/>
                <w:highlight w:val="none"/>
              </w:rPr>
            </w:pPr>
            <w:r>
              <w:rPr>
                <w:rFonts w:hint="eastAsia"/>
                <w:highlight w:val="none"/>
              </w:rPr>
              <w:t>0.00</w:t>
            </w:r>
          </w:p>
        </w:tc>
        <w:tc>
          <w:tcPr>
            <w:tcW w:w="464" w:type="pct"/>
            <w:tcBorders>
              <w:tl2br w:val="nil"/>
              <w:tr2bl w:val="nil"/>
            </w:tcBorders>
            <w:vAlign w:val="center"/>
          </w:tcPr>
          <w:p w14:paraId="2C115A1A">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6C14A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continue"/>
            <w:tcBorders>
              <w:tl2br w:val="nil"/>
              <w:tr2bl w:val="nil"/>
            </w:tcBorders>
            <w:vAlign w:val="center"/>
          </w:tcPr>
          <w:p w14:paraId="79304404">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07" w:type="pct"/>
            <w:tcBorders>
              <w:tl2br w:val="nil"/>
              <w:tr2bl w:val="nil"/>
            </w:tcBorders>
            <w:vAlign w:val="center"/>
          </w:tcPr>
          <w:p w14:paraId="175D0FC2">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帕特曼喀什村居民区</w:t>
            </w:r>
          </w:p>
        </w:tc>
        <w:tc>
          <w:tcPr>
            <w:tcW w:w="654" w:type="pct"/>
            <w:tcBorders>
              <w:tl2br w:val="nil"/>
              <w:tr2bl w:val="nil"/>
            </w:tcBorders>
            <w:vAlign w:val="center"/>
          </w:tcPr>
          <w:p w14:paraId="79AA5FF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60438FFB">
            <w:pPr>
              <w:autoSpaceDE w:val="0"/>
              <w:autoSpaceDN w:val="0"/>
              <w:spacing w:line="300" w:lineRule="exact"/>
              <w:jc w:val="center"/>
              <w:rPr>
                <w:rFonts w:hint="eastAsia"/>
                <w:highlight w:val="none"/>
              </w:rPr>
            </w:pPr>
            <w:r>
              <w:rPr>
                <w:rFonts w:hint="eastAsia"/>
                <w:highlight w:val="none"/>
              </w:rPr>
              <w:t>0.00</w:t>
            </w:r>
          </w:p>
        </w:tc>
        <w:tc>
          <w:tcPr>
            <w:tcW w:w="759" w:type="pct"/>
            <w:tcBorders>
              <w:tl2br w:val="nil"/>
              <w:tr2bl w:val="nil"/>
            </w:tcBorders>
            <w:vAlign w:val="center"/>
          </w:tcPr>
          <w:p w14:paraId="33086602">
            <w:pPr>
              <w:autoSpaceDE w:val="0"/>
              <w:autoSpaceDN w:val="0"/>
              <w:spacing w:line="300" w:lineRule="exact"/>
              <w:jc w:val="center"/>
              <w:rPr>
                <w:rFonts w:hint="eastAsia"/>
                <w:highlight w:val="none"/>
              </w:rPr>
            </w:pPr>
            <w:r>
              <w:rPr>
                <w:rFonts w:hint="eastAsia"/>
                <w:highlight w:val="none"/>
              </w:rPr>
              <w:t>251215</w:t>
            </w:r>
            <w:r>
              <w:rPr>
                <w:rFonts w:hint="eastAsia"/>
                <w:highlight w:val="none"/>
                <w:lang w:val="en-US" w:eastAsia="zh-CN"/>
              </w:rPr>
              <w:t>09</w:t>
            </w:r>
          </w:p>
        </w:tc>
        <w:tc>
          <w:tcPr>
            <w:tcW w:w="721" w:type="pct"/>
            <w:tcBorders>
              <w:tl2br w:val="nil"/>
              <w:tr2bl w:val="nil"/>
            </w:tcBorders>
            <w:vAlign w:val="center"/>
          </w:tcPr>
          <w:p w14:paraId="19E19413">
            <w:pPr>
              <w:autoSpaceDE w:val="0"/>
              <w:autoSpaceDN w:val="0"/>
              <w:spacing w:line="300" w:lineRule="exact"/>
              <w:jc w:val="center"/>
              <w:rPr>
                <w:rFonts w:hint="eastAsia"/>
                <w:highlight w:val="none"/>
              </w:rPr>
            </w:pPr>
            <w:r>
              <w:rPr>
                <w:rFonts w:hint="eastAsia"/>
                <w:highlight w:val="none"/>
              </w:rPr>
              <w:t>0.00</w:t>
            </w:r>
          </w:p>
        </w:tc>
        <w:tc>
          <w:tcPr>
            <w:tcW w:w="464" w:type="pct"/>
            <w:tcBorders>
              <w:tl2br w:val="nil"/>
              <w:tr2bl w:val="nil"/>
            </w:tcBorders>
            <w:vAlign w:val="center"/>
          </w:tcPr>
          <w:p w14:paraId="4DBCF0F3">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1F92D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continue"/>
            <w:tcBorders>
              <w:tl2br w:val="nil"/>
              <w:tr2bl w:val="nil"/>
            </w:tcBorders>
            <w:vAlign w:val="center"/>
          </w:tcPr>
          <w:p w14:paraId="63677F3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07" w:type="pct"/>
            <w:tcBorders>
              <w:tl2br w:val="nil"/>
              <w:tr2bl w:val="nil"/>
            </w:tcBorders>
            <w:vAlign w:val="center"/>
          </w:tcPr>
          <w:p w14:paraId="007F90B7">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网格</w:t>
            </w:r>
          </w:p>
        </w:tc>
        <w:tc>
          <w:tcPr>
            <w:tcW w:w="654" w:type="pct"/>
            <w:tcBorders>
              <w:tl2br w:val="nil"/>
              <w:tr2bl w:val="nil"/>
            </w:tcBorders>
            <w:vAlign w:val="center"/>
          </w:tcPr>
          <w:p w14:paraId="0863F2A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3E59C8D8">
            <w:pPr>
              <w:autoSpaceDE w:val="0"/>
              <w:autoSpaceDN w:val="0"/>
              <w:spacing w:line="300" w:lineRule="exact"/>
              <w:jc w:val="center"/>
              <w:rPr>
                <w:rFonts w:hint="eastAsia"/>
                <w:highlight w:val="none"/>
              </w:rPr>
            </w:pPr>
            <w:r>
              <w:rPr>
                <w:rFonts w:hint="eastAsia"/>
                <w:highlight w:val="none"/>
              </w:rPr>
              <w:t>0.00</w:t>
            </w:r>
          </w:p>
        </w:tc>
        <w:tc>
          <w:tcPr>
            <w:tcW w:w="759" w:type="pct"/>
            <w:tcBorders>
              <w:tl2br w:val="nil"/>
              <w:tr2bl w:val="nil"/>
            </w:tcBorders>
            <w:vAlign w:val="center"/>
          </w:tcPr>
          <w:p w14:paraId="07E4D4FD">
            <w:pPr>
              <w:autoSpaceDE w:val="0"/>
              <w:autoSpaceDN w:val="0"/>
              <w:spacing w:line="300" w:lineRule="exact"/>
              <w:jc w:val="center"/>
              <w:rPr>
                <w:rFonts w:hint="eastAsia"/>
                <w:highlight w:val="none"/>
              </w:rPr>
            </w:pPr>
            <w:r>
              <w:rPr>
                <w:rFonts w:hint="eastAsia"/>
                <w:highlight w:val="none"/>
              </w:rPr>
              <w:t>25</w:t>
            </w:r>
            <w:r>
              <w:rPr>
                <w:rFonts w:hint="eastAsia"/>
                <w:highlight w:val="none"/>
                <w:lang w:val="en-US" w:eastAsia="zh-CN"/>
              </w:rPr>
              <w:t>100410</w:t>
            </w:r>
          </w:p>
        </w:tc>
        <w:tc>
          <w:tcPr>
            <w:tcW w:w="721" w:type="pct"/>
            <w:tcBorders>
              <w:tl2br w:val="nil"/>
              <w:tr2bl w:val="nil"/>
            </w:tcBorders>
            <w:vAlign w:val="center"/>
          </w:tcPr>
          <w:p w14:paraId="029A9A7A">
            <w:pPr>
              <w:autoSpaceDE w:val="0"/>
              <w:autoSpaceDN w:val="0"/>
              <w:spacing w:line="300" w:lineRule="exact"/>
              <w:jc w:val="center"/>
              <w:rPr>
                <w:rFonts w:hint="eastAsia"/>
                <w:highlight w:val="none"/>
              </w:rPr>
            </w:pPr>
            <w:r>
              <w:rPr>
                <w:rFonts w:hint="eastAsia"/>
                <w:highlight w:val="none"/>
              </w:rPr>
              <w:t>0.00</w:t>
            </w:r>
          </w:p>
        </w:tc>
        <w:tc>
          <w:tcPr>
            <w:tcW w:w="464" w:type="pct"/>
            <w:tcBorders>
              <w:tl2br w:val="nil"/>
              <w:tr2bl w:val="nil"/>
            </w:tcBorders>
            <w:vAlign w:val="center"/>
          </w:tcPr>
          <w:p w14:paraId="4916C748">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53FB1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restart"/>
            <w:tcBorders>
              <w:tl2br w:val="nil"/>
              <w:tr2bl w:val="nil"/>
            </w:tcBorders>
            <w:vAlign w:val="center"/>
          </w:tcPr>
          <w:p w14:paraId="29F08E1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HF</w:t>
            </w:r>
          </w:p>
        </w:tc>
        <w:tc>
          <w:tcPr>
            <w:tcW w:w="1307" w:type="pct"/>
            <w:tcBorders>
              <w:tl2br w:val="nil"/>
              <w:tr2bl w:val="nil"/>
            </w:tcBorders>
            <w:vAlign w:val="center"/>
          </w:tcPr>
          <w:p w14:paraId="5DDAD54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兰干村居民区</w:t>
            </w:r>
          </w:p>
        </w:tc>
        <w:tc>
          <w:tcPr>
            <w:tcW w:w="654" w:type="pct"/>
            <w:tcBorders>
              <w:tl2br w:val="nil"/>
              <w:tr2bl w:val="nil"/>
            </w:tcBorders>
            <w:vAlign w:val="center"/>
          </w:tcPr>
          <w:p w14:paraId="34B8C25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2315025B">
            <w:pPr>
              <w:autoSpaceDE w:val="0"/>
              <w:autoSpaceDN w:val="0"/>
              <w:spacing w:line="300" w:lineRule="exact"/>
              <w:jc w:val="center"/>
              <w:rPr>
                <w:rFonts w:hint="eastAsia"/>
                <w:highlight w:val="none"/>
              </w:rPr>
            </w:pPr>
            <w:r>
              <w:rPr>
                <w:rFonts w:hint="eastAsia"/>
                <w:highlight w:val="none"/>
              </w:rPr>
              <w:t>0.00</w:t>
            </w:r>
          </w:p>
        </w:tc>
        <w:tc>
          <w:tcPr>
            <w:tcW w:w="759" w:type="pct"/>
            <w:tcBorders>
              <w:tl2br w:val="nil"/>
              <w:tr2bl w:val="nil"/>
            </w:tcBorders>
            <w:vAlign w:val="center"/>
          </w:tcPr>
          <w:p w14:paraId="7D32B5A3">
            <w:pPr>
              <w:autoSpaceDE w:val="0"/>
              <w:autoSpaceDN w:val="0"/>
              <w:spacing w:line="300" w:lineRule="exact"/>
              <w:jc w:val="center"/>
              <w:rPr>
                <w:rFonts w:hint="eastAsia"/>
                <w:highlight w:val="none"/>
              </w:rPr>
            </w:pPr>
            <w:r>
              <w:rPr>
                <w:rFonts w:hint="eastAsia"/>
                <w:highlight w:val="none"/>
              </w:rPr>
              <w:t>250409</w:t>
            </w:r>
            <w:r>
              <w:rPr>
                <w:rFonts w:hint="eastAsia"/>
                <w:highlight w:val="none"/>
                <w:lang w:val="en-US" w:eastAsia="zh-CN"/>
              </w:rPr>
              <w:t>07</w:t>
            </w:r>
          </w:p>
        </w:tc>
        <w:tc>
          <w:tcPr>
            <w:tcW w:w="721" w:type="pct"/>
            <w:tcBorders>
              <w:tl2br w:val="nil"/>
              <w:tr2bl w:val="nil"/>
            </w:tcBorders>
            <w:vAlign w:val="center"/>
          </w:tcPr>
          <w:p w14:paraId="483EFEA0">
            <w:pPr>
              <w:autoSpaceDE w:val="0"/>
              <w:autoSpaceDN w:val="0"/>
              <w:spacing w:line="300" w:lineRule="exact"/>
              <w:jc w:val="center"/>
              <w:rPr>
                <w:rFonts w:hint="eastAsia"/>
                <w:highlight w:val="none"/>
              </w:rPr>
            </w:pPr>
            <w:r>
              <w:rPr>
                <w:rFonts w:hint="eastAsia"/>
                <w:highlight w:val="none"/>
              </w:rPr>
              <w:t>0.00</w:t>
            </w:r>
          </w:p>
        </w:tc>
        <w:tc>
          <w:tcPr>
            <w:tcW w:w="464" w:type="pct"/>
            <w:tcBorders>
              <w:tl2br w:val="nil"/>
              <w:tr2bl w:val="nil"/>
            </w:tcBorders>
            <w:vAlign w:val="center"/>
          </w:tcPr>
          <w:p w14:paraId="7E83DF00">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27D9C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continue"/>
            <w:tcBorders>
              <w:tl2br w:val="nil"/>
              <w:tr2bl w:val="nil"/>
            </w:tcBorders>
            <w:vAlign w:val="center"/>
          </w:tcPr>
          <w:p w14:paraId="186EC3F0">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07" w:type="pct"/>
            <w:tcBorders>
              <w:tl2br w:val="nil"/>
              <w:tr2bl w:val="nil"/>
            </w:tcBorders>
            <w:vAlign w:val="center"/>
          </w:tcPr>
          <w:p w14:paraId="01FD2A69">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萨依巴格村居民区</w:t>
            </w:r>
          </w:p>
        </w:tc>
        <w:tc>
          <w:tcPr>
            <w:tcW w:w="654" w:type="pct"/>
            <w:tcBorders>
              <w:tl2br w:val="nil"/>
              <w:tr2bl w:val="nil"/>
            </w:tcBorders>
            <w:vAlign w:val="center"/>
          </w:tcPr>
          <w:p w14:paraId="65CDC99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6CE7C705">
            <w:pPr>
              <w:autoSpaceDE w:val="0"/>
              <w:autoSpaceDN w:val="0"/>
              <w:spacing w:line="300" w:lineRule="exact"/>
              <w:jc w:val="center"/>
              <w:rPr>
                <w:rFonts w:hint="eastAsia"/>
                <w:highlight w:val="none"/>
              </w:rPr>
            </w:pPr>
            <w:r>
              <w:rPr>
                <w:rFonts w:hint="eastAsia"/>
                <w:highlight w:val="none"/>
              </w:rPr>
              <w:t>0.00</w:t>
            </w:r>
          </w:p>
        </w:tc>
        <w:tc>
          <w:tcPr>
            <w:tcW w:w="759" w:type="pct"/>
            <w:tcBorders>
              <w:tl2br w:val="nil"/>
              <w:tr2bl w:val="nil"/>
            </w:tcBorders>
            <w:vAlign w:val="center"/>
          </w:tcPr>
          <w:p w14:paraId="1BCB5AD8">
            <w:pPr>
              <w:autoSpaceDE w:val="0"/>
              <w:autoSpaceDN w:val="0"/>
              <w:spacing w:line="300" w:lineRule="exact"/>
              <w:jc w:val="center"/>
              <w:rPr>
                <w:rFonts w:hint="eastAsia"/>
                <w:highlight w:val="none"/>
              </w:rPr>
            </w:pPr>
            <w:r>
              <w:rPr>
                <w:rFonts w:hint="eastAsia"/>
                <w:highlight w:val="none"/>
              </w:rPr>
              <w:t>250619</w:t>
            </w:r>
            <w:r>
              <w:rPr>
                <w:rFonts w:hint="eastAsia"/>
                <w:highlight w:val="none"/>
                <w:lang w:val="en-US" w:eastAsia="zh-CN"/>
              </w:rPr>
              <w:t>06</w:t>
            </w:r>
          </w:p>
        </w:tc>
        <w:tc>
          <w:tcPr>
            <w:tcW w:w="721" w:type="pct"/>
            <w:tcBorders>
              <w:tl2br w:val="nil"/>
              <w:tr2bl w:val="nil"/>
            </w:tcBorders>
            <w:vAlign w:val="center"/>
          </w:tcPr>
          <w:p w14:paraId="7D989E38">
            <w:pPr>
              <w:autoSpaceDE w:val="0"/>
              <w:autoSpaceDN w:val="0"/>
              <w:spacing w:line="300" w:lineRule="exact"/>
              <w:jc w:val="center"/>
              <w:rPr>
                <w:rFonts w:hint="eastAsia"/>
                <w:highlight w:val="none"/>
              </w:rPr>
            </w:pPr>
            <w:r>
              <w:rPr>
                <w:rFonts w:hint="eastAsia"/>
                <w:highlight w:val="none"/>
              </w:rPr>
              <w:t>0.00</w:t>
            </w:r>
          </w:p>
        </w:tc>
        <w:tc>
          <w:tcPr>
            <w:tcW w:w="464" w:type="pct"/>
            <w:tcBorders>
              <w:tl2br w:val="nil"/>
              <w:tr2bl w:val="nil"/>
            </w:tcBorders>
            <w:vAlign w:val="center"/>
          </w:tcPr>
          <w:p w14:paraId="1B24EF63">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03F83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continue"/>
            <w:tcBorders>
              <w:tl2br w:val="nil"/>
              <w:tr2bl w:val="nil"/>
            </w:tcBorders>
            <w:vAlign w:val="center"/>
          </w:tcPr>
          <w:p w14:paraId="4836BE7C">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07" w:type="pct"/>
            <w:tcBorders>
              <w:tl2br w:val="nil"/>
              <w:tr2bl w:val="nil"/>
            </w:tcBorders>
            <w:vAlign w:val="center"/>
          </w:tcPr>
          <w:p w14:paraId="7F3D62BB">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eastAsia" w:ascii="Times New Roman" w:hAnsi="Times New Roman" w:cs="Times New Roman"/>
                <w:szCs w:val="21"/>
                <w:highlight w:val="none"/>
                <w:lang w:val="en-US" w:eastAsia="zh-CN"/>
              </w:rPr>
              <w:t>帕特曼喀什村居民区</w:t>
            </w:r>
          </w:p>
        </w:tc>
        <w:tc>
          <w:tcPr>
            <w:tcW w:w="654" w:type="pct"/>
            <w:tcBorders>
              <w:tl2br w:val="nil"/>
              <w:tr2bl w:val="nil"/>
            </w:tcBorders>
            <w:vAlign w:val="center"/>
          </w:tcPr>
          <w:p w14:paraId="2CF277C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3034C805">
            <w:pPr>
              <w:autoSpaceDE w:val="0"/>
              <w:autoSpaceDN w:val="0"/>
              <w:spacing w:line="300" w:lineRule="exact"/>
              <w:jc w:val="center"/>
              <w:rPr>
                <w:rFonts w:hint="eastAsia"/>
                <w:highlight w:val="none"/>
              </w:rPr>
            </w:pPr>
            <w:r>
              <w:rPr>
                <w:rFonts w:hint="eastAsia"/>
                <w:highlight w:val="none"/>
              </w:rPr>
              <w:t>0.00</w:t>
            </w:r>
          </w:p>
        </w:tc>
        <w:tc>
          <w:tcPr>
            <w:tcW w:w="759" w:type="pct"/>
            <w:tcBorders>
              <w:tl2br w:val="nil"/>
              <w:tr2bl w:val="nil"/>
            </w:tcBorders>
            <w:vAlign w:val="center"/>
          </w:tcPr>
          <w:p w14:paraId="49B18027">
            <w:pPr>
              <w:autoSpaceDE w:val="0"/>
              <w:autoSpaceDN w:val="0"/>
              <w:spacing w:line="300" w:lineRule="exact"/>
              <w:jc w:val="center"/>
              <w:rPr>
                <w:rFonts w:hint="eastAsia"/>
                <w:highlight w:val="none"/>
              </w:rPr>
            </w:pPr>
            <w:r>
              <w:rPr>
                <w:rFonts w:hint="eastAsia"/>
                <w:highlight w:val="none"/>
              </w:rPr>
              <w:t>251215</w:t>
            </w:r>
            <w:r>
              <w:rPr>
                <w:rFonts w:hint="eastAsia"/>
                <w:highlight w:val="none"/>
                <w:lang w:val="en-US" w:eastAsia="zh-CN"/>
              </w:rPr>
              <w:t>09</w:t>
            </w:r>
          </w:p>
        </w:tc>
        <w:tc>
          <w:tcPr>
            <w:tcW w:w="721" w:type="pct"/>
            <w:tcBorders>
              <w:tl2br w:val="nil"/>
              <w:tr2bl w:val="nil"/>
            </w:tcBorders>
            <w:vAlign w:val="center"/>
          </w:tcPr>
          <w:p w14:paraId="19B2E7B4">
            <w:pPr>
              <w:autoSpaceDE w:val="0"/>
              <w:autoSpaceDN w:val="0"/>
              <w:spacing w:line="300" w:lineRule="exact"/>
              <w:jc w:val="center"/>
              <w:rPr>
                <w:rFonts w:hint="eastAsia"/>
                <w:highlight w:val="none"/>
              </w:rPr>
            </w:pPr>
            <w:r>
              <w:rPr>
                <w:rFonts w:hint="eastAsia"/>
                <w:highlight w:val="none"/>
              </w:rPr>
              <w:t>0.00</w:t>
            </w:r>
          </w:p>
        </w:tc>
        <w:tc>
          <w:tcPr>
            <w:tcW w:w="464" w:type="pct"/>
            <w:tcBorders>
              <w:tl2br w:val="nil"/>
              <w:tr2bl w:val="nil"/>
            </w:tcBorders>
            <w:vAlign w:val="center"/>
          </w:tcPr>
          <w:p w14:paraId="0BF05511">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r w14:paraId="16964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7" w:type="pct"/>
            <w:vMerge w:val="continue"/>
            <w:tcBorders>
              <w:tl2br w:val="nil"/>
              <w:tr2bl w:val="nil"/>
            </w:tcBorders>
            <w:vAlign w:val="center"/>
          </w:tcPr>
          <w:p w14:paraId="64131FF3">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p>
        </w:tc>
        <w:tc>
          <w:tcPr>
            <w:tcW w:w="1307" w:type="pct"/>
            <w:tcBorders>
              <w:tl2br w:val="nil"/>
              <w:tr2bl w:val="nil"/>
            </w:tcBorders>
            <w:vAlign w:val="center"/>
          </w:tcPr>
          <w:p w14:paraId="10B893B5">
            <w:pPr>
              <w:autoSpaceDE w:val="0"/>
              <w:autoSpaceDN w:val="0"/>
              <w:spacing w:line="300" w:lineRule="exact"/>
              <w:jc w:val="center"/>
              <w:rPr>
                <w:rFonts w:hint="default" w:ascii="Times New Roman" w:hAnsi="Times New Roman" w:cs="Times New Roman" w:eastAsiaTheme="minorEastAsia"/>
                <w:szCs w:val="21"/>
                <w:highlight w:val="none"/>
                <w:lang w:val="en-US" w:eastAsia="en-US"/>
              </w:rPr>
            </w:pPr>
            <w:r>
              <w:rPr>
                <w:rFonts w:hint="default" w:ascii="Times New Roman" w:hAnsi="Times New Roman" w:cs="Times New Roman" w:eastAsiaTheme="minorEastAsia"/>
                <w:szCs w:val="21"/>
                <w:highlight w:val="none"/>
                <w:lang w:val="en-US" w:eastAsia="zh-CN"/>
              </w:rPr>
              <w:t>网格</w:t>
            </w:r>
          </w:p>
        </w:tc>
        <w:tc>
          <w:tcPr>
            <w:tcW w:w="654" w:type="pct"/>
            <w:tcBorders>
              <w:tl2br w:val="nil"/>
              <w:tr2bl w:val="nil"/>
            </w:tcBorders>
            <w:vAlign w:val="center"/>
          </w:tcPr>
          <w:p w14:paraId="3F8FE25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小时值</w:t>
            </w:r>
          </w:p>
        </w:tc>
        <w:tc>
          <w:tcPr>
            <w:tcW w:w="676" w:type="pct"/>
            <w:tcBorders>
              <w:tl2br w:val="nil"/>
              <w:tr2bl w:val="nil"/>
            </w:tcBorders>
            <w:vAlign w:val="center"/>
          </w:tcPr>
          <w:p w14:paraId="0C3763EA">
            <w:pPr>
              <w:autoSpaceDE w:val="0"/>
              <w:autoSpaceDN w:val="0"/>
              <w:spacing w:line="300" w:lineRule="exact"/>
              <w:jc w:val="center"/>
              <w:rPr>
                <w:rFonts w:hint="eastAsia"/>
                <w:highlight w:val="none"/>
              </w:rPr>
            </w:pPr>
            <w:r>
              <w:rPr>
                <w:rFonts w:hint="eastAsia"/>
                <w:highlight w:val="none"/>
              </w:rPr>
              <w:t>0.00</w:t>
            </w:r>
          </w:p>
        </w:tc>
        <w:tc>
          <w:tcPr>
            <w:tcW w:w="759" w:type="pct"/>
            <w:tcBorders>
              <w:tl2br w:val="nil"/>
              <w:tr2bl w:val="nil"/>
            </w:tcBorders>
            <w:vAlign w:val="center"/>
          </w:tcPr>
          <w:p w14:paraId="4314EC28">
            <w:pPr>
              <w:autoSpaceDE w:val="0"/>
              <w:autoSpaceDN w:val="0"/>
              <w:spacing w:line="300" w:lineRule="exact"/>
              <w:jc w:val="center"/>
              <w:rPr>
                <w:rFonts w:hint="eastAsia"/>
                <w:highlight w:val="none"/>
              </w:rPr>
            </w:pPr>
            <w:r>
              <w:rPr>
                <w:rFonts w:hint="eastAsia"/>
                <w:highlight w:val="none"/>
              </w:rPr>
              <w:t>25</w:t>
            </w:r>
            <w:r>
              <w:rPr>
                <w:rFonts w:hint="eastAsia"/>
                <w:highlight w:val="none"/>
                <w:lang w:val="en-US" w:eastAsia="zh-CN"/>
              </w:rPr>
              <w:t>100410</w:t>
            </w:r>
          </w:p>
        </w:tc>
        <w:tc>
          <w:tcPr>
            <w:tcW w:w="721" w:type="pct"/>
            <w:tcBorders>
              <w:tl2br w:val="nil"/>
              <w:tr2bl w:val="nil"/>
            </w:tcBorders>
            <w:vAlign w:val="center"/>
          </w:tcPr>
          <w:p w14:paraId="59B38C18">
            <w:pPr>
              <w:autoSpaceDE w:val="0"/>
              <w:autoSpaceDN w:val="0"/>
              <w:spacing w:line="300" w:lineRule="exact"/>
              <w:jc w:val="center"/>
              <w:rPr>
                <w:rFonts w:hint="eastAsia"/>
                <w:highlight w:val="none"/>
              </w:rPr>
            </w:pPr>
            <w:r>
              <w:rPr>
                <w:rFonts w:hint="eastAsia"/>
                <w:highlight w:val="none"/>
              </w:rPr>
              <w:t>0.00</w:t>
            </w:r>
          </w:p>
        </w:tc>
        <w:tc>
          <w:tcPr>
            <w:tcW w:w="464" w:type="pct"/>
            <w:tcBorders>
              <w:tl2br w:val="nil"/>
              <w:tr2bl w:val="nil"/>
            </w:tcBorders>
            <w:vAlign w:val="center"/>
          </w:tcPr>
          <w:p w14:paraId="46DA5810">
            <w:pPr>
              <w:autoSpaceDE w:val="0"/>
              <w:autoSpaceDN w:val="0"/>
              <w:spacing w:line="300" w:lineRule="exact"/>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达标</w:t>
            </w:r>
          </w:p>
        </w:tc>
      </w:tr>
    </w:tbl>
    <w:p w14:paraId="5E8ECEF7">
      <w:pPr>
        <w:pStyle w:val="20"/>
        <w:snapToGrid w:val="0"/>
        <w:ind w:left="0" w:leftChars="0" w:firstLine="480" w:firstLineChars="200"/>
        <w:jc w:val="left"/>
        <w:rPr>
          <w:rFonts w:hint="default"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非正常工况分析：</w:t>
      </w:r>
    </w:p>
    <w:p w14:paraId="2026C67D">
      <w:pPr>
        <w:pStyle w:val="20"/>
        <w:snapToGrid w:val="0"/>
        <w:ind w:left="0" w:leftChars="0" w:firstLine="480" w:firstLineChars="200"/>
        <w:jc w:val="left"/>
        <w:rPr>
          <w:rFonts w:hint="default" w:ascii="Times New Roman" w:hAnsi="Times New Roman" w:cs="Times New Roman" w:eastAsiaTheme="minorEastAsia"/>
          <w:color w:val="auto"/>
          <w:highlight w:val="none"/>
          <w:lang w:val="en-US" w:eastAsia="en-US"/>
        </w:rPr>
      </w:pPr>
      <w:r>
        <w:rPr>
          <w:rFonts w:hint="default" w:ascii="Times New Roman" w:hAnsi="Times New Roman" w:cs="Times New Roman" w:eastAsiaTheme="minorEastAsia"/>
          <w:color w:val="auto"/>
          <w:highlight w:val="none"/>
          <w:lang w:val="en-US" w:eastAsia="en-US"/>
        </w:rPr>
        <w:t>本项目</w:t>
      </w:r>
      <w:r>
        <w:rPr>
          <w:rFonts w:hint="eastAsia" w:ascii="Times New Roman" w:hAnsi="Times New Roman" w:cs="Times New Roman" w:eastAsiaTheme="minorEastAsia"/>
          <w:color w:val="auto"/>
          <w:highlight w:val="none"/>
          <w:lang w:val="en-US" w:eastAsia="zh-CN"/>
        </w:rPr>
        <w:t>大气评价范围内</w:t>
      </w:r>
      <w:r>
        <w:rPr>
          <w:rFonts w:hint="default" w:ascii="Times New Roman" w:hAnsi="Times New Roman" w:cs="Times New Roman" w:eastAsiaTheme="minorEastAsia"/>
          <w:color w:val="auto"/>
          <w:highlight w:val="none"/>
          <w:lang w:val="en-US" w:eastAsia="en-US"/>
        </w:rPr>
        <w:t>非正常工况下</w:t>
      </w:r>
      <w:r>
        <w:rPr>
          <w:rFonts w:hint="eastAsia" w:ascii="Times New Roman" w:hAnsi="Times New Roman" w:cs="Times New Roman" w:eastAsiaTheme="minorEastAsia"/>
          <w:color w:val="auto"/>
          <w:highlight w:val="none"/>
          <w:lang w:val="en-US" w:eastAsia="zh-CN"/>
        </w:rPr>
        <w:t>各项污染物</w:t>
      </w:r>
      <w:r>
        <w:rPr>
          <w:rFonts w:hint="default" w:ascii="Times New Roman" w:hAnsi="Times New Roman" w:cs="Times New Roman" w:eastAsiaTheme="minorEastAsia"/>
          <w:color w:val="auto"/>
          <w:highlight w:val="none"/>
          <w:lang w:val="en-US" w:eastAsia="en-US"/>
        </w:rPr>
        <w:t>最大贡献值均出现在</w:t>
      </w:r>
      <w:r>
        <w:rPr>
          <w:rFonts w:hint="eastAsia" w:ascii="Times New Roman" w:hAnsi="Times New Roman" w:cs="Times New Roman" w:eastAsiaTheme="minorEastAsia"/>
          <w:color w:val="auto"/>
          <w:highlight w:val="none"/>
          <w:lang w:val="en-US" w:eastAsia="zh-CN"/>
        </w:rPr>
        <w:t>萨依巴格村居民区</w:t>
      </w:r>
      <w:r>
        <w:rPr>
          <w:rFonts w:hint="default" w:ascii="Times New Roman" w:hAnsi="Times New Roman" w:cs="Times New Roman" w:eastAsiaTheme="minorEastAsia"/>
          <w:color w:val="auto"/>
          <w:highlight w:val="none"/>
          <w:lang w:val="en-US" w:eastAsia="en-US"/>
        </w:rPr>
        <w:t>，</w:t>
      </w:r>
      <w:r>
        <w:rPr>
          <w:rFonts w:hint="default" w:ascii="Times New Roman" w:hAnsi="Times New Roman" w:cs="Times New Roman" w:eastAsiaTheme="minorEastAsia"/>
          <w:color w:val="auto"/>
          <w:highlight w:val="none"/>
          <w:lang w:val="en-US" w:eastAsia="zh-CN"/>
        </w:rPr>
        <w:t>在治理设施故障的情况下</w:t>
      </w:r>
      <w:r>
        <w:rPr>
          <w:rFonts w:hint="default" w:ascii="Times New Roman" w:hAnsi="Times New Roman" w:cs="Times New Roman" w:eastAsiaTheme="minorEastAsia"/>
          <w:color w:val="auto"/>
          <w:highlight w:val="none"/>
          <w:lang w:val="en-US" w:eastAsia="en-US"/>
        </w:rPr>
        <w:t>NO</w:t>
      </w:r>
      <w:r>
        <w:rPr>
          <w:rFonts w:hint="default" w:ascii="Times New Roman" w:hAnsi="Times New Roman" w:cs="Times New Roman" w:eastAsiaTheme="minorEastAsia"/>
          <w:color w:val="auto"/>
          <w:highlight w:val="none"/>
          <w:lang w:val="en-US" w:eastAsia="zh-CN"/>
        </w:rPr>
        <w:t>x</w:t>
      </w:r>
      <w:r>
        <w:rPr>
          <w:rFonts w:hint="default" w:ascii="Times New Roman" w:hAnsi="Times New Roman" w:cs="Times New Roman" w:eastAsiaTheme="minorEastAsia"/>
          <w:color w:val="auto"/>
          <w:highlight w:val="none"/>
          <w:lang w:val="en-US" w:eastAsia="en-US"/>
        </w:rPr>
        <w:t>、</w:t>
      </w:r>
      <w:r>
        <w:rPr>
          <w:rFonts w:hint="eastAsia" w:ascii="Times New Roman" w:hAnsi="Times New Roman" w:cs="Times New Roman" w:eastAsiaTheme="minorEastAsia"/>
          <w:color w:val="auto"/>
          <w:highlight w:val="none"/>
          <w:lang w:val="en-US" w:eastAsia="zh-CN"/>
        </w:rPr>
        <w:t>PM</w:t>
      </w:r>
      <w:r>
        <w:rPr>
          <w:rFonts w:hint="eastAsia" w:ascii="Times New Roman" w:hAnsi="Times New Roman" w:cs="Times New Roman" w:eastAsiaTheme="minorEastAsia"/>
          <w:color w:val="auto"/>
          <w:highlight w:val="none"/>
          <w:vertAlign w:val="subscript"/>
          <w:lang w:val="en-US" w:eastAsia="zh-CN"/>
        </w:rPr>
        <w:t>10</w:t>
      </w:r>
      <w:r>
        <w:rPr>
          <w:rFonts w:hint="eastAsia" w:ascii="Times New Roman" w:hAnsi="Times New Roman" w:cs="Times New Roman" w:eastAsiaTheme="minorEastAsia"/>
          <w:color w:val="auto"/>
          <w:highlight w:val="none"/>
          <w:lang w:val="en-US" w:eastAsia="zh-CN"/>
        </w:rPr>
        <w:t>、PM</w:t>
      </w:r>
      <w:r>
        <w:rPr>
          <w:rFonts w:hint="eastAsia" w:ascii="Times New Roman" w:hAnsi="Times New Roman" w:cs="Times New Roman" w:eastAsiaTheme="minorEastAsia"/>
          <w:color w:val="auto"/>
          <w:highlight w:val="none"/>
          <w:vertAlign w:val="subscript"/>
          <w:lang w:val="en-US" w:eastAsia="zh-CN"/>
        </w:rPr>
        <w:t>2.5</w:t>
      </w:r>
      <w:r>
        <w:rPr>
          <w:rFonts w:hint="eastAsia" w:ascii="Times New Roman" w:hAnsi="Times New Roman" w:cs="Times New Roman" w:eastAsiaTheme="minorEastAsia"/>
          <w:color w:val="auto"/>
          <w:highlight w:val="none"/>
          <w:lang w:val="en-US" w:eastAsia="zh-CN"/>
        </w:rPr>
        <w:t>、SO</w:t>
      </w:r>
      <w:r>
        <w:rPr>
          <w:rFonts w:hint="eastAsia" w:ascii="Times New Roman" w:hAnsi="Times New Roman" w:cs="Times New Roman" w:eastAsiaTheme="minorEastAsia"/>
          <w:color w:val="auto"/>
          <w:highlight w:val="none"/>
          <w:vertAlign w:val="subscript"/>
          <w:lang w:val="en-US" w:eastAsia="zh-CN"/>
        </w:rPr>
        <w:t>2</w:t>
      </w:r>
      <w:r>
        <w:rPr>
          <w:rFonts w:hint="eastAsia" w:ascii="Times New Roman" w:hAnsi="Times New Roman" w:cs="Times New Roman" w:eastAsiaTheme="minorEastAsia"/>
          <w:color w:val="auto"/>
          <w:highlight w:val="none"/>
          <w:lang w:val="en-US" w:eastAsia="zh-CN"/>
        </w:rPr>
        <w:t>、As、HCl的小时最大贡献浓度分别为0.66</w:t>
      </w:r>
      <w:r>
        <w:rPr>
          <w:rFonts w:hint="default" w:ascii="Times New Roman" w:hAnsi="Times New Roman" w:cs="Times New Roman" w:eastAsiaTheme="minorEastAsia"/>
          <w:color w:val="auto"/>
          <w:highlight w:val="none"/>
          <w:lang w:val="en-US" w:eastAsia="en-US"/>
        </w:rPr>
        <w:t>μg/m</w:t>
      </w:r>
      <w:r>
        <w:rPr>
          <w:rFonts w:hint="default" w:ascii="Times New Roman" w:hAnsi="Times New Roman" w:cs="Times New Roman" w:eastAsiaTheme="minorEastAsia"/>
          <w:color w:val="auto"/>
          <w:highlight w:val="none"/>
          <w:vertAlign w:val="superscript"/>
          <w:lang w:val="en-US" w:eastAsia="en-US"/>
        </w:rPr>
        <w:t>3</w:t>
      </w:r>
      <w:r>
        <w:rPr>
          <w:rFonts w:hint="default" w:ascii="Times New Roman" w:hAnsi="Times New Roman" w:cs="Times New Roman" w:eastAsiaTheme="minorEastAsia"/>
          <w:color w:val="auto"/>
          <w:highlight w:val="none"/>
          <w:lang w:val="en-US" w:eastAsia="en-US"/>
        </w:rPr>
        <w:t>、</w:t>
      </w:r>
      <w:r>
        <w:rPr>
          <w:rFonts w:hint="eastAsia" w:ascii="Times New Roman" w:hAnsi="Times New Roman" w:cs="Times New Roman" w:eastAsiaTheme="minorEastAsia"/>
          <w:color w:val="auto"/>
          <w:highlight w:val="none"/>
          <w:lang w:val="en-US" w:eastAsia="zh-CN"/>
        </w:rPr>
        <w:t>0.08</w:t>
      </w:r>
      <w:r>
        <w:rPr>
          <w:rFonts w:hint="default" w:ascii="Times New Roman" w:hAnsi="Times New Roman" w:cs="Times New Roman" w:eastAsiaTheme="minorEastAsia"/>
          <w:color w:val="auto"/>
          <w:highlight w:val="none"/>
          <w:lang w:val="en-US" w:eastAsia="en-US"/>
        </w:rPr>
        <w:t>μg/m</w:t>
      </w:r>
      <w:r>
        <w:rPr>
          <w:rFonts w:hint="default" w:ascii="Times New Roman" w:hAnsi="Times New Roman" w:cs="Times New Roman" w:eastAsiaTheme="minorEastAsia"/>
          <w:color w:val="auto"/>
          <w:highlight w:val="none"/>
          <w:vertAlign w:val="superscript"/>
          <w:lang w:val="en-US" w:eastAsia="en-US"/>
        </w:rPr>
        <w:t>3</w:t>
      </w:r>
      <w:r>
        <w:rPr>
          <w:rFonts w:hint="default" w:ascii="Times New Roman" w:hAnsi="Times New Roman" w:cs="Times New Roman" w:eastAsiaTheme="minorEastAsia"/>
          <w:color w:val="auto"/>
          <w:highlight w:val="none"/>
          <w:lang w:val="en-US" w:eastAsia="en-US"/>
        </w:rPr>
        <w:t>、</w:t>
      </w:r>
      <w:r>
        <w:rPr>
          <w:rFonts w:hint="eastAsia" w:ascii="Times New Roman" w:hAnsi="Times New Roman" w:cs="Times New Roman" w:eastAsiaTheme="minorEastAsia"/>
          <w:color w:val="auto"/>
          <w:highlight w:val="none"/>
          <w:lang w:val="en-US" w:eastAsia="zh-CN"/>
        </w:rPr>
        <w:t>0.04</w:t>
      </w:r>
      <w:r>
        <w:rPr>
          <w:rFonts w:hint="default" w:ascii="Times New Roman" w:hAnsi="Times New Roman" w:cs="Times New Roman" w:eastAsiaTheme="minorEastAsia"/>
          <w:color w:val="auto"/>
          <w:highlight w:val="none"/>
          <w:lang w:val="en-US" w:eastAsia="en-US"/>
        </w:rPr>
        <w:t>μg/m</w:t>
      </w:r>
      <w:r>
        <w:rPr>
          <w:rFonts w:hint="default" w:ascii="Times New Roman" w:hAnsi="Times New Roman" w:cs="Times New Roman" w:eastAsiaTheme="minorEastAsia"/>
          <w:color w:val="auto"/>
          <w:highlight w:val="none"/>
          <w:vertAlign w:val="superscript"/>
          <w:lang w:val="en-US" w:eastAsia="en-US"/>
        </w:rPr>
        <w:t>3</w:t>
      </w:r>
      <w:r>
        <w:rPr>
          <w:rFonts w:hint="default" w:ascii="Times New Roman" w:hAnsi="Times New Roman" w:cs="Times New Roman" w:eastAsiaTheme="minorEastAsia"/>
          <w:color w:val="auto"/>
          <w:highlight w:val="none"/>
          <w:lang w:val="en-US" w:eastAsia="en-US"/>
        </w:rPr>
        <w:t>、</w:t>
      </w:r>
      <w:r>
        <w:rPr>
          <w:rFonts w:hint="eastAsia" w:ascii="Times New Roman" w:hAnsi="Times New Roman" w:cs="Times New Roman" w:eastAsiaTheme="minorEastAsia"/>
          <w:color w:val="auto"/>
          <w:highlight w:val="none"/>
          <w:lang w:val="en-US" w:eastAsia="zh-CN"/>
        </w:rPr>
        <w:t>0.11</w:t>
      </w:r>
      <w:r>
        <w:rPr>
          <w:rFonts w:hint="default" w:ascii="Times New Roman" w:hAnsi="Times New Roman" w:cs="Times New Roman" w:eastAsiaTheme="minorEastAsia"/>
          <w:color w:val="auto"/>
          <w:highlight w:val="none"/>
          <w:lang w:val="en-US" w:eastAsia="en-US"/>
        </w:rPr>
        <w:t>μg/m</w:t>
      </w:r>
      <w:r>
        <w:rPr>
          <w:rFonts w:hint="default" w:ascii="Times New Roman" w:hAnsi="Times New Roman" w:cs="Times New Roman" w:eastAsiaTheme="minorEastAsia"/>
          <w:color w:val="auto"/>
          <w:highlight w:val="none"/>
          <w:vertAlign w:val="superscript"/>
          <w:lang w:val="en-US" w:eastAsia="en-US"/>
        </w:rPr>
        <w:t>3</w:t>
      </w:r>
      <w:r>
        <w:rPr>
          <w:rFonts w:hint="default" w:ascii="Times New Roman" w:hAnsi="Times New Roman" w:cs="Times New Roman" w:eastAsiaTheme="minorEastAsia"/>
          <w:color w:val="auto"/>
          <w:highlight w:val="none"/>
          <w:lang w:val="en-US" w:eastAsia="en-US"/>
        </w:rPr>
        <w:t>、</w:t>
      </w:r>
      <w:r>
        <w:rPr>
          <w:rFonts w:hint="eastAsia" w:ascii="Times New Roman" w:hAnsi="Times New Roman" w:cs="Times New Roman" w:eastAsiaTheme="minorEastAsia"/>
          <w:color w:val="auto"/>
          <w:highlight w:val="none"/>
          <w:lang w:val="en-US" w:eastAsia="zh-CN"/>
        </w:rPr>
        <w:t>0.0003</w:t>
      </w:r>
      <w:r>
        <w:rPr>
          <w:rFonts w:hint="default" w:ascii="Times New Roman" w:hAnsi="Times New Roman" w:cs="Times New Roman" w:eastAsiaTheme="minorEastAsia"/>
          <w:color w:val="auto"/>
          <w:highlight w:val="none"/>
          <w:lang w:val="en-US" w:eastAsia="en-US"/>
        </w:rPr>
        <w:t>μg/m</w:t>
      </w:r>
      <w:r>
        <w:rPr>
          <w:rFonts w:hint="default" w:ascii="Times New Roman" w:hAnsi="Times New Roman" w:cs="Times New Roman" w:eastAsiaTheme="minorEastAsia"/>
          <w:color w:val="auto"/>
          <w:highlight w:val="none"/>
          <w:vertAlign w:val="superscript"/>
          <w:lang w:val="en-US" w:eastAsia="en-US"/>
        </w:rPr>
        <w:t>3</w:t>
      </w:r>
      <w:r>
        <w:rPr>
          <w:rFonts w:hint="default" w:ascii="Times New Roman" w:hAnsi="Times New Roman" w:cs="Times New Roman" w:eastAsiaTheme="minorEastAsia"/>
          <w:color w:val="auto"/>
          <w:highlight w:val="none"/>
          <w:lang w:val="en-US" w:eastAsia="en-US"/>
        </w:rPr>
        <w:t>、</w:t>
      </w:r>
      <w:r>
        <w:rPr>
          <w:rFonts w:hint="eastAsia" w:ascii="Times New Roman" w:hAnsi="Times New Roman" w:cs="Times New Roman" w:eastAsiaTheme="minorEastAsia"/>
          <w:color w:val="auto"/>
          <w:highlight w:val="none"/>
          <w:lang w:val="en-US" w:eastAsia="zh-CN"/>
        </w:rPr>
        <w:t>0.06</w:t>
      </w:r>
      <w:r>
        <w:rPr>
          <w:rFonts w:hint="default" w:ascii="Times New Roman" w:hAnsi="Times New Roman" w:cs="Times New Roman" w:eastAsiaTheme="minorEastAsia"/>
          <w:color w:val="auto"/>
          <w:highlight w:val="none"/>
          <w:lang w:val="en-US" w:eastAsia="en-US"/>
        </w:rPr>
        <w:t>μg/m</w:t>
      </w:r>
      <w:r>
        <w:rPr>
          <w:rFonts w:hint="default" w:ascii="Times New Roman" w:hAnsi="Times New Roman" w:cs="Times New Roman" w:eastAsiaTheme="minorEastAsia"/>
          <w:color w:val="auto"/>
          <w:highlight w:val="none"/>
          <w:vertAlign w:val="superscript"/>
          <w:lang w:val="en-US" w:eastAsia="en-US"/>
        </w:rPr>
        <w:t>3</w:t>
      </w:r>
      <w:r>
        <w:rPr>
          <w:rFonts w:hint="eastAsia" w:ascii="Times New Roman" w:hAnsi="Times New Roman" w:cs="Times New Roman" w:eastAsiaTheme="minorEastAsia"/>
          <w:color w:val="auto"/>
          <w:highlight w:val="none"/>
          <w:lang w:val="en-US" w:eastAsia="zh-CN"/>
        </w:rPr>
        <w:t>，分别占标准的0.27</w:t>
      </w:r>
      <w:r>
        <w:rPr>
          <w:rFonts w:hint="default" w:ascii="Times New Roman" w:hAnsi="Times New Roman" w:cs="Times New Roman" w:eastAsiaTheme="minorEastAsia"/>
          <w:color w:val="auto"/>
          <w:highlight w:val="none"/>
          <w:lang w:val="en-US" w:eastAsia="zh-CN"/>
        </w:rPr>
        <w:t>%</w:t>
      </w:r>
      <w:r>
        <w:rPr>
          <w:rFonts w:hint="eastAsia" w:ascii="Times New Roman" w:hAnsi="Times New Roman" w:cs="Times New Roman" w:eastAsiaTheme="minorEastAsia"/>
          <w:color w:val="auto"/>
          <w:highlight w:val="none"/>
          <w:lang w:val="en-US" w:eastAsia="zh-CN"/>
        </w:rPr>
        <w:t>、0.02</w:t>
      </w:r>
      <w:r>
        <w:rPr>
          <w:rFonts w:hint="default" w:ascii="Times New Roman" w:hAnsi="Times New Roman" w:cs="Times New Roman" w:eastAsiaTheme="minorEastAsia"/>
          <w:color w:val="auto"/>
          <w:highlight w:val="none"/>
          <w:lang w:val="en-US" w:eastAsia="zh-CN"/>
        </w:rPr>
        <w:t>%</w:t>
      </w:r>
      <w:r>
        <w:rPr>
          <w:rFonts w:hint="eastAsia" w:ascii="Times New Roman" w:hAnsi="Times New Roman" w:cs="Times New Roman" w:eastAsiaTheme="minorEastAsia"/>
          <w:color w:val="auto"/>
          <w:highlight w:val="none"/>
          <w:lang w:val="en-US" w:eastAsia="zh-CN"/>
        </w:rPr>
        <w:t>、0.02</w:t>
      </w:r>
      <w:r>
        <w:rPr>
          <w:rFonts w:hint="default" w:ascii="Times New Roman" w:hAnsi="Times New Roman" w:cs="Times New Roman" w:eastAsiaTheme="minorEastAsia"/>
          <w:color w:val="auto"/>
          <w:highlight w:val="none"/>
          <w:lang w:val="en-US" w:eastAsia="zh-CN"/>
        </w:rPr>
        <w:t>%</w:t>
      </w:r>
      <w:r>
        <w:rPr>
          <w:rFonts w:hint="eastAsia" w:ascii="Times New Roman" w:hAnsi="Times New Roman" w:cs="Times New Roman" w:eastAsiaTheme="minorEastAsia"/>
          <w:color w:val="auto"/>
          <w:highlight w:val="none"/>
          <w:lang w:val="en-US" w:eastAsia="zh-CN"/>
        </w:rPr>
        <w:t>、0.02</w:t>
      </w:r>
      <w:r>
        <w:rPr>
          <w:rFonts w:hint="default" w:ascii="Times New Roman" w:hAnsi="Times New Roman" w:cs="Times New Roman" w:eastAsiaTheme="minorEastAsia"/>
          <w:color w:val="auto"/>
          <w:highlight w:val="none"/>
          <w:lang w:val="en-US" w:eastAsia="zh-CN"/>
        </w:rPr>
        <w:t>%</w:t>
      </w:r>
      <w:r>
        <w:rPr>
          <w:rFonts w:hint="eastAsia" w:ascii="Times New Roman" w:hAnsi="Times New Roman" w:cs="Times New Roman" w:eastAsiaTheme="minorEastAsia"/>
          <w:color w:val="auto"/>
          <w:highlight w:val="none"/>
          <w:lang w:val="en-US" w:eastAsia="zh-CN"/>
        </w:rPr>
        <w:t>、2.58</w:t>
      </w:r>
      <w:r>
        <w:rPr>
          <w:rFonts w:hint="default" w:ascii="Times New Roman" w:hAnsi="Times New Roman" w:cs="Times New Roman" w:eastAsiaTheme="minorEastAsia"/>
          <w:color w:val="auto"/>
          <w:highlight w:val="none"/>
          <w:lang w:val="en-US" w:eastAsia="zh-CN"/>
        </w:rPr>
        <w:t>%</w:t>
      </w:r>
      <w:r>
        <w:rPr>
          <w:rFonts w:hint="eastAsia" w:ascii="Times New Roman" w:hAnsi="Times New Roman" w:cs="Times New Roman" w:eastAsiaTheme="minorEastAsia"/>
          <w:color w:val="auto"/>
          <w:highlight w:val="none"/>
          <w:lang w:val="en-US" w:eastAsia="zh-CN"/>
        </w:rPr>
        <w:t>、0.12</w:t>
      </w:r>
      <w:r>
        <w:rPr>
          <w:rFonts w:hint="default" w:ascii="Times New Roman" w:hAnsi="Times New Roman" w:cs="Times New Roman" w:eastAsiaTheme="minorEastAsia"/>
          <w:color w:val="auto"/>
          <w:highlight w:val="none"/>
          <w:lang w:val="en-US" w:eastAsia="zh-CN"/>
        </w:rPr>
        <w:t>%</w:t>
      </w:r>
      <w:r>
        <w:rPr>
          <w:rFonts w:hint="eastAsia" w:ascii="Times New Roman" w:hAnsi="Times New Roman" w:cs="Times New Roman" w:eastAsiaTheme="minorEastAsia"/>
          <w:color w:val="auto"/>
          <w:highlight w:val="none"/>
          <w:lang w:val="en-US" w:eastAsia="zh-CN"/>
        </w:rPr>
        <w:t>。Hg、Pb、CO、Cd、二噁英、HF最大小时贡献浓度较低，均为0.00</w:t>
      </w:r>
      <w:r>
        <w:rPr>
          <w:rFonts w:hint="default" w:ascii="Times New Roman" w:hAnsi="Times New Roman" w:cs="Times New Roman" w:eastAsiaTheme="minorEastAsia"/>
          <w:color w:val="auto"/>
          <w:highlight w:val="none"/>
          <w:lang w:val="en-US" w:eastAsia="en-US"/>
        </w:rPr>
        <w:t>μg/m</w:t>
      </w:r>
      <w:r>
        <w:rPr>
          <w:rFonts w:hint="default" w:ascii="Times New Roman" w:hAnsi="Times New Roman" w:cs="Times New Roman" w:eastAsiaTheme="minorEastAsia"/>
          <w:color w:val="auto"/>
          <w:highlight w:val="none"/>
          <w:vertAlign w:val="superscript"/>
          <w:lang w:val="en-US" w:eastAsia="en-US"/>
        </w:rPr>
        <w:t>3</w:t>
      </w:r>
      <w:r>
        <w:rPr>
          <w:rFonts w:hint="eastAsia" w:ascii="Times New Roman" w:hAnsi="Times New Roman" w:cs="Times New Roman" w:eastAsiaTheme="minorEastAsia"/>
          <w:color w:val="auto"/>
          <w:highlight w:val="none"/>
          <w:vertAlign w:val="baseline"/>
          <w:lang w:val="en-US" w:eastAsia="zh-CN"/>
        </w:rPr>
        <w:t>，占标准的0.00%。</w:t>
      </w:r>
    </w:p>
    <w:p w14:paraId="67172C05">
      <w:pPr>
        <w:pStyle w:val="4"/>
        <w:spacing w:before="120" w:after="120" w:line="500" w:lineRule="exact"/>
        <w:rPr>
          <w:rFonts w:hint="default" w:ascii="Times New Roman" w:hAnsi="Times New Roman" w:cs="Times New Roman" w:eastAsiaTheme="minorEastAsia"/>
          <w:kern w:val="0"/>
          <w:sz w:val="24"/>
          <w:szCs w:val="24"/>
          <w:lang w:val="en-US" w:eastAsia="en-US"/>
        </w:rPr>
      </w:pPr>
      <w:bookmarkStart w:id="215" w:name="_Toc25184"/>
      <w:r>
        <w:rPr>
          <w:rFonts w:hint="default" w:ascii="Times New Roman" w:hAnsi="Times New Roman" w:cs="Times New Roman" w:eastAsiaTheme="minorEastAsia"/>
          <w:kern w:val="0"/>
          <w:sz w:val="24"/>
          <w:szCs w:val="24"/>
          <w:lang w:val="en-US" w:eastAsia="en-US"/>
        </w:rPr>
        <w:t>5.2.</w:t>
      </w:r>
      <w:r>
        <w:rPr>
          <w:rFonts w:hint="eastAsia" w:ascii="Times New Roman" w:hAnsi="Times New Roman" w:cs="Times New Roman" w:eastAsiaTheme="minorEastAsia"/>
          <w:kern w:val="0"/>
          <w:sz w:val="24"/>
          <w:szCs w:val="24"/>
          <w:lang w:val="en-US" w:eastAsia="zh-CN"/>
        </w:rPr>
        <w:t>3</w:t>
      </w:r>
      <w:r>
        <w:rPr>
          <w:rFonts w:hint="default" w:ascii="Times New Roman" w:hAnsi="Times New Roman" w:cs="Times New Roman" w:eastAsiaTheme="minorEastAsia"/>
          <w:kern w:val="0"/>
          <w:sz w:val="24"/>
          <w:szCs w:val="24"/>
          <w:lang w:val="en-US" w:eastAsia="en-US"/>
        </w:rPr>
        <w:t xml:space="preserve"> 大气环境防护距离</w:t>
      </w:r>
      <w:bookmarkEnd w:id="215"/>
    </w:p>
    <w:p w14:paraId="3A3E484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en-US"/>
        </w:rPr>
      </w:pPr>
      <w:r>
        <w:rPr>
          <w:rFonts w:hint="default" w:ascii="Times New Roman" w:hAnsi="Times New Roman" w:cs="Times New Roman" w:eastAsiaTheme="minorEastAsia"/>
          <w:sz w:val="24"/>
          <w:lang w:val="en-US" w:eastAsia="en-US"/>
        </w:rPr>
        <w:t>根据前述预测结果，项目正常生产情况下各污染物在厂界的最大预测落地浓度贡献值均未出现超标情况，因此不需要设置大气环境防护距离。</w:t>
      </w:r>
    </w:p>
    <w:p w14:paraId="3D8B3ADA">
      <w:pPr>
        <w:pStyle w:val="4"/>
        <w:spacing w:before="120" w:after="120" w:line="500" w:lineRule="exact"/>
        <w:rPr>
          <w:rFonts w:hint="default" w:ascii="Times New Roman" w:hAnsi="Times New Roman" w:cs="Times New Roman" w:eastAsiaTheme="minorEastAsia"/>
          <w:kern w:val="0"/>
          <w:sz w:val="24"/>
          <w:szCs w:val="24"/>
          <w:lang w:val="en-US" w:eastAsia="en-US"/>
        </w:rPr>
      </w:pPr>
      <w:bookmarkStart w:id="216" w:name="_Toc1017"/>
      <w:r>
        <w:rPr>
          <w:rFonts w:hint="default" w:ascii="Times New Roman" w:hAnsi="Times New Roman" w:cs="Times New Roman" w:eastAsiaTheme="minorEastAsia"/>
          <w:kern w:val="0"/>
          <w:sz w:val="24"/>
          <w:szCs w:val="24"/>
          <w:lang w:val="en-US" w:eastAsia="zh-CN"/>
        </w:rPr>
        <w:t>5.2.</w:t>
      </w:r>
      <w:r>
        <w:rPr>
          <w:rFonts w:hint="eastAsia" w:ascii="Times New Roman" w:hAnsi="Times New Roman" w:cs="Times New Roman" w:eastAsiaTheme="minorEastAsia"/>
          <w:kern w:val="0"/>
          <w:sz w:val="24"/>
          <w:szCs w:val="24"/>
          <w:lang w:val="en-US" w:eastAsia="zh-CN"/>
        </w:rPr>
        <w:t>4</w:t>
      </w:r>
      <w:r>
        <w:rPr>
          <w:rFonts w:hint="default" w:ascii="Times New Roman" w:hAnsi="Times New Roman" w:cs="Times New Roman" w:eastAsiaTheme="minorEastAsia"/>
          <w:kern w:val="0"/>
          <w:sz w:val="24"/>
          <w:szCs w:val="24"/>
          <w:lang w:val="en-US" w:eastAsia="en-US"/>
        </w:rPr>
        <w:t>污染源排放量核算</w:t>
      </w:r>
      <w:bookmarkEnd w:id="216"/>
    </w:p>
    <w:p w14:paraId="24DAD8A9">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项目正常工况废气排放核算见表5.2-15、5.2-16。</w:t>
      </w:r>
    </w:p>
    <w:p w14:paraId="746CF598">
      <w:pPr>
        <w:adjustRightInd w:val="0"/>
        <w:snapToGrid w:val="0"/>
        <w:spacing w:before="250" w:beforeLines="50"/>
        <w:ind w:firstLine="422" w:firstLineChars="20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表5.2-15  本项目正常工况有组织废气排放核算表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5"/>
        <w:gridCol w:w="1342"/>
        <w:gridCol w:w="1996"/>
        <w:gridCol w:w="1558"/>
        <w:gridCol w:w="1602"/>
        <w:gridCol w:w="1439"/>
      </w:tblGrid>
      <w:tr w14:paraId="169A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5" w:type="dxa"/>
            <w:tcBorders>
              <w:tl2br w:val="nil"/>
              <w:tr2bl w:val="nil"/>
            </w:tcBorders>
            <w:noWrap w:val="0"/>
            <w:vAlign w:val="center"/>
          </w:tcPr>
          <w:p w14:paraId="6EEEE2FF">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序号</w:t>
            </w:r>
          </w:p>
        </w:tc>
        <w:tc>
          <w:tcPr>
            <w:tcW w:w="1342" w:type="dxa"/>
            <w:tcBorders>
              <w:tl2br w:val="nil"/>
              <w:tr2bl w:val="nil"/>
            </w:tcBorders>
            <w:noWrap w:val="0"/>
            <w:vAlign w:val="center"/>
          </w:tcPr>
          <w:p w14:paraId="65A710E1">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排放口编号</w:t>
            </w:r>
          </w:p>
        </w:tc>
        <w:tc>
          <w:tcPr>
            <w:tcW w:w="1996" w:type="dxa"/>
            <w:tcBorders>
              <w:tl2br w:val="nil"/>
              <w:tr2bl w:val="nil"/>
            </w:tcBorders>
            <w:noWrap w:val="0"/>
            <w:vAlign w:val="center"/>
          </w:tcPr>
          <w:p w14:paraId="63580C28">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污染物</w:t>
            </w:r>
          </w:p>
        </w:tc>
        <w:tc>
          <w:tcPr>
            <w:tcW w:w="1558" w:type="dxa"/>
            <w:tcBorders>
              <w:tl2br w:val="nil"/>
              <w:tr2bl w:val="nil"/>
            </w:tcBorders>
            <w:noWrap w:val="0"/>
            <w:vAlign w:val="center"/>
          </w:tcPr>
          <w:p w14:paraId="664BECFC">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核算排放浓度/（mg/m</w:t>
            </w:r>
            <w:r>
              <w:rPr>
                <w:rFonts w:hint="default" w:ascii="Times New Roman" w:hAnsi="Times New Roman" w:cs="Times New Roman" w:eastAsiaTheme="minorEastAsia"/>
                <w:szCs w:val="21"/>
                <w:highlight w:val="none"/>
                <w:vertAlign w:val="superscript"/>
                <w:lang w:val="en-US" w:eastAsia="zh-CN"/>
              </w:rPr>
              <w:t>3</w:t>
            </w:r>
            <w:r>
              <w:rPr>
                <w:rFonts w:hint="default" w:ascii="Times New Roman" w:hAnsi="Times New Roman" w:cs="Times New Roman" w:eastAsiaTheme="minorEastAsia"/>
                <w:szCs w:val="21"/>
                <w:highlight w:val="none"/>
                <w:lang w:val="en-US" w:eastAsia="zh-CN"/>
              </w:rPr>
              <w:t>）</w:t>
            </w:r>
          </w:p>
        </w:tc>
        <w:tc>
          <w:tcPr>
            <w:tcW w:w="1602" w:type="dxa"/>
            <w:tcBorders>
              <w:tl2br w:val="nil"/>
              <w:tr2bl w:val="nil"/>
            </w:tcBorders>
            <w:noWrap w:val="0"/>
            <w:vAlign w:val="center"/>
          </w:tcPr>
          <w:p w14:paraId="6C19BEB2">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核算排放速率/（kg/h）</w:t>
            </w:r>
          </w:p>
        </w:tc>
        <w:tc>
          <w:tcPr>
            <w:tcW w:w="1439" w:type="dxa"/>
            <w:tcBorders>
              <w:tl2br w:val="nil"/>
              <w:tr2bl w:val="nil"/>
            </w:tcBorders>
            <w:noWrap w:val="0"/>
            <w:vAlign w:val="center"/>
          </w:tcPr>
          <w:p w14:paraId="0C04D0EA">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核算年排放量/（t/a）</w:t>
            </w:r>
          </w:p>
        </w:tc>
      </w:tr>
      <w:tr w14:paraId="0B616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gridSpan w:val="6"/>
            <w:tcBorders>
              <w:tl2br w:val="nil"/>
              <w:tr2bl w:val="nil"/>
            </w:tcBorders>
            <w:noWrap w:val="0"/>
            <w:vAlign w:val="center"/>
          </w:tcPr>
          <w:p w14:paraId="705ED73F">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主要排放口</w:t>
            </w:r>
          </w:p>
        </w:tc>
      </w:tr>
      <w:tr w14:paraId="296AA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5" w:type="dxa"/>
            <w:vMerge w:val="restart"/>
            <w:tcBorders>
              <w:tl2br w:val="nil"/>
              <w:tr2bl w:val="nil"/>
            </w:tcBorders>
            <w:noWrap w:val="0"/>
            <w:vAlign w:val="center"/>
          </w:tcPr>
          <w:p w14:paraId="39751CBF">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1342" w:type="dxa"/>
            <w:vMerge w:val="restart"/>
            <w:tcBorders>
              <w:tl2br w:val="nil"/>
              <w:tr2bl w:val="nil"/>
            </w:tcBorders>
            <w:noWrap w:val="0"/>
            <w:vAlign w:val="center"/>
          </w:tcPr>
          <w:p w14:paraId="118E182A">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DA001</w:t>
            </w:r>
          </w:p>
        </w:tc>
        <w:tc>
          <w:tcPr>
            <w:tcW w:w="1996" w:type="dxa"/>
            <w:tcBorders>
              <w:tl2br w:val="nil"/>
              <w:tr2bl w:val="nil"/>
            </w:tcBorders>
            <w:shd w:val="clear" w:color="auto" w:fill="auto"/>
            <w:noWrap w:val="0"/>
            <w:vAlign w:val="center"/>
          </w:tcPr>
          <w:p w14:paraId="0ED78C2D">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烟尘</w:t>
            </w:r>
          </w:p>
        </w:tc>
        <w:tc>
          <w:tcPr>
            <w:tcW w:w="1558" w:type="dxa"/>
            <w:tcBorders>
              <w:tl2br w:val="nil"/>
              <w:tr2bl w:val="nil"/>
            </w:tcBorders>
            <w:shd w:val="clear" w:color="auto" w:fill="auto"/>
            <w:noWrap w:val="0"/>
            <w:vAlign w:val="center"/>
          </w:tcPr>
          <w:p w14:paraId="0B2A1241">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highlight w:val="none"/>
                <w:lang w:val="en-US" w:eastAsia="zh-CN"/>
              </w:rPr>
              <w:t>8.915</w:t>
            </w:r>
          </w:p>
        </w:tc>
        <w:tc>
          <w:tcPr>
            <w:tcW w:w="1602" w:type="dxa"/>
            <w:tcBorders>
              <w:tl2br w:val="nil"/>
              <w:tr2bl w:val="nil"/>
            </w:tcBorders>
            <w:shd w:val="clear" w:color="auto" w:fill="auto"/>
            <w:noWrap w:val="0"/>
            <w:vAlign w:val="center"/>
          </w:tcPr>
          <w:p w14:paraId="385FD1E8">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highlight w:val="none"/>
                <w:lang w:val="en-US" w:eastAsia="zh-CN"/>
              </w:rPr>
              <w:t>0.02</w:t>
            </w:r>
          </w:p>
        </w:tc>
        <w:tc>
          <w:tcPr>
            <w:tcW w:w="1439" w:type="dxa"/>
            <w:tcBorders>
              <w:tl2br w:val="nil"/>
              <w:tr2bl w:val="nil"/>
            </w:tcBorders>
            <w:shd w:val="clear" w:color="auto" w:fill="auto"/>
            <w:noWrap w:val="0"/>
            <w:vAlign w:val="center"/>
          </w:tcPr>
          <w:p w14:paraId="3CFF8591">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highlight w:val="none"/>
                <w:lang w:val="en-US" w:eastAsia="zh-CN"/>
              </w:rPr>
              <w:t>0.</w:t>
            </w:r>
            <w:r>
              <w:rPr>
                <w:rFonts w:hint="eastAsia" w:ascii="Times New Roman" w:hAnsi="Times New Roman" w:cs="Times New Roman"/>
                <w:szCs w:val="21"/>
                <w:highlight w:val="none"/>
                <w:lang w:val="en-US" w:eastAsia="zh-CN"/>
              </w:rPr>
              <w:t>178</w:t>
            </w:r>
          </w:p>
        </w:tc>
      </w:tr>
      <w:tr w14:paraId="5D505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5" w:type="dxa"/>
            <w:vMerge w:val="continue"/>
            <w:tcBorders>
              <w:tl2br w:val="nil"/>
              <w:tr2bl w:val="nil"/>
            </w:tcBorders>
            <w:noWrap w:val="0"/>
            <w:vAlign w:val="center"/>
          </w:tcPr>
          <w:p w14:paraId="6F05A801">
            <w:pPr>
              <w:spacing w:line="300" w:lineRule="exact"/>
              <w:jc w:val="center"/>
              <w:rPr>
                <w:rFonts w:hint="default" w:ascii="Times New Roman" w:hAnsi="Times New Roman" w:cs="Times New Roman" w:eastAsiaTheme="minorEastAsia"/>
                <w:szCs w:val="21"/>
                <w:highlight w:val="none"/>
                <w:lang w:val="en-US" w:eastAsia="zh-CN"/>
              </w:rPr>
            </w:pPr>
          </w:p>
        </w:tc>
        <w:tc>
          <w:tcPr>
            <w:tcW w:w="1342" w:type="dxa"/>
            <w:vMerge w:val="continue"/>
            <w:tcBorders>
              <w:tl2br w:val="nil"/>
              <w:tr2bl w:val="nil"/>
            </w:tcBorders>
            <w:noWrap w:val="0"/>
            <w:vAlign w:val="center"/>
          </w:tcPr>
          <w:p w14:paraId="20FA3721">
            <w:pPr>
              <w:spacing w:line="300" w:lineRule="exact"/>
              <w:jc w:val="center"/>
              <w:rPr>
                <w:rFonts w:hint="default" w:ascii="Times New Roman" w:hAnsi="Times New Roman" w:cs="Times New Roman" w:eastAsiaTheme="minorEastAsia"/>
                <w:szCs w:val="21"/>
                <w:highlight w:val="none"/>
                <w:lang w:val="en-US" w:eastAsia="zh-CN"/>
              </w:rPr>
            </w:pPr>
          </w:p>
        </w:tc>
        <w:tc>
          <w:tcPr>
            <w:tcW w:w="1996" w:type="dxa"/>
            <w:tcBorders>
              <w:tl2br w:val="nil"/>
              <w:tr2bl w:val="nil"/>
            </w:tcBorders>
            <w:shd w:val="clear" w:color="auto" w:fill="auto"/>
            <w:noWrap w:val="0"/>
            <w:vAlign w:val="center"/>
          </w:tcPr>
          <w:p w14:paraId="07053745">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SO</w:t>
            </w:r>
            <w:r>
              <w:rPr>
                <w:rFonts w:hint="eastAsia" w:ascii="Times New Roman" w:hAnsi="Times New Roman" w:cs="Times New Roman" w:eastAsiaTheme="minorEastAsia"/>
                <w:szCs w:val="21"/>
                <w:vertAlign w:val="subscript"/>
                <w:lang w:val="en-US" w:eastAsia="zh-CN"/>
              </w:rPr>
              <w:t>2</w:t>
            </w:r>
          </w:p>
        </w:tc>
        <w:tc>
          <w:tcPr>
            <w:tcW w:w="1558" w:type="dxa"/>
            <w:tcBorders>
              <w:tl2br w:val="nil"/>
              <w:tr2bl w:val="nil"/>
            </w:tcBorders>
            <w:shd w:val="clear" w:color="auto" w:fill="auto"/>
            <w:noWrap w:val="0"/>
            <w:vAlign w:val="center"/>
          </w:tcPr>
          <w:p w14:paraId="0D483DD9">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highlight w:val="none"/>
                <w:lang w:val="en-US" w:eastAsia="zh-CN"/>
              </w:rPr>
              <w:t>12.77</w:t>
            </w:r>
          </w:p>
        </w:tc>
        <w:tc>
          <w:tcPr>
            <w:tcW w:w="1602" w:type="dxa"/>
            <w:tcBorders>
              <w:tl2br w:val="nil"/>
              <w:tr2bl w:val="nil"/>
            </w:tcBorders>
            <w:shd w:val="clear" w:color="auto" w:fill="auto"/>
            <w:noWrap w:val="0"/>
            <w:vAlign w:val="center"/>
          </w:tcPr>
          <w:p w14:paraId="17118C26">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highlight w:val="none"/>
                <w:lang w:val="en-US" w:eastAsia="zh-CN"/>
              </w:rPr>
              <w:t>0.029</w:t>
            </w:r>
          </w:p>
        </w:tc>
        <w:tc>
          <w:tcPr>
            <w:tcW w:w="1439" w:type="dxa"/>
            <w:tcBorders>
              <w:tl2br w:val="nil"/>
              <w:tr2bl w:val="nil"/>
            </w:tcBorders>
            <w:shd w:val="clear" w:color="auto" w:fill="auto"/>
            <w:noWrap w:val="0"/>
            <w:vAlign w:val="center"/>
          </w:tcPr>
          <w:p w14:paraId="141DFFF7">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highlight w:val="none"/>
                <w:lang w:val="en-US" w:eastAsia="zh-CN"/>
              </w:rPr>
              <w:t>0.</w:t>
            </w:r>
            <w:r>
              <w:rPr>
                <w:rFonts w:hint="eastAsia" w:ascii="Times New Roman" w:hAnsi="Times New Roman" w:cs="Times New Roman"/>
                <w:szCs w:val="21"/>
                <w:highlight w:val="none"/>
                <w:lang w:val="en-US" w:eastAsia="zh-CN"/>
              </w:rPr>
              <w:t>255</w:t>
            </w:r>
          </w:p>
        </w:tc>
      </w:tr>
      <w:tr w14:paraId="2CA8F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5" w:type="dxa"/>
            <w:vMerge w:val="continue"/>
            <w:tcBorders>
              <w:tl2br w:val="nil"/>
              <w:tr2bl w:val="nil"/>
            </w:tcBorders>
            <w:noWrap w:val="0"/>
            <w:vAlign w:val="center"/>
          </w:tcPr>
          <w:p w14:paraId="7320A8FD">
            <w:pPr>
              <w:spacing w:line="300" w:lineRule="exact"/>
              <w:jc w:val="center"/>
              <w:rPr>
                <w:rFonts w:hint="default" w:ascii="Times New Roman" w:hAnsi="Times New Roman" w:cs="Times New Roman" w:eastAsiaTheme="minorEastAsia"/>
                <w:szCs w:val="21"/>
                <w:highlight w:val="none"/>
                <w:lang w:val="en-US" w:eastAsia="zh-CN"/>
              </w:rPr>
            </w:pPr>
          </w:p>
        </w:tc>
        <w:tc>
          <w:tcPr>
            <w:tcW w:w="1342" w:type="dxa"/>
            <w:vMerge w:val="continue"/>
            <w:tcBorders>
              <w:tl2br w:val="nil"/>
              <w:tr2bl w:val="nil"/>
            </w:tcBorders>
            <w:noWrap w:val="0"/>
            <w:vAlign w:val="center"/>
          </w:tcPr>
          <w:p w14:paraId="6473DF67">
            <w:pPr>
              <w:spacing w:line="300" w:lineRule="exact"/>
              <w:jc w:val="center"/>
              <w:rPr>
                <w:rFonts w:hint="default" w:ascii="Times New Roman" w:hAnsi="Times New Roman" w:cs="Times New Roman" w:eastAsiaTheme="minorEastAsia"/>
                <w:szCs w:val="21"/>
                <w:highlight w:val="none"/>
                <w:lang w:val="en-US" w:eastAsia="zh-CN"/>
              </w:rPr>
            </w:pPr>
          </w:p>
        </w:tc>
        <w:tc>
          <w:tcPr>
            <w:tcW w:w="1996" w:type="dxa"/>
            <w:tcBorders>
              <w:tl2br w:val="nil"/>
              <w:tr2bl w:val="nil"/>
            </w:tcBorders>
            <w:shd w:val="clear" w:color="auto" w:fill="auto"/>
            <w:noWrap w:val="0"/>
            <w:vAlign w:val="center"/>
          </w:tcPr>
          <w:p w14:paraId="0B386CAA">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NOx</w:t>
            </w:r>
          </w:p>
        </w:tc>
        <w:tc>
          <w:tcPr>
            <w:tcW w:w="1558" w:type="dxa"/>
            <w:tcBorders>
              <w:tl2br w:val="nil"/>
              <w:tr2bl w:val="nil"/>
            </w:tcBorders>
            <w:shd w:val="clear" w:color="auto" w:fill="auto"/>
            <w:noWrap w:val="0"/>
            <w:vAlign w:val="center"/>
          </w:tcPr>
          <w:p w14:paraId="2A6B6449">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62.666</w:t>
            </w:r>
          </w:p>
        </w:tc>
        <w:tc>
          <w:tcPr>
            <w:tcW w:w="1602" w:type="dxa"/>
            <w:tcBorders>
              <w:tl2br w:val="nil"/>
              <w:tr2bl w:val="nil"/>
            </w:tcBorders>
            <w:shd w:val="clear" w:color="auto" w:fill="auto"/>
            <w:noWrap w:val="0"/>
            <w:vAlign w:val="center"/>
          </w:tcPr>
          <w:p w14:paraId="6F6F919F">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0.143</w:t>
            </w:r>
          </w:p>
        </w:tc>
        <w:tc>
          <w:tcPr>
            <w:tcW w:w="1439" w:type="dxa"/>
            <w:tcBorders>
              <w:tl2br w:val="nil"/>
              <w:tr2bl w:val="nil"/>
            </w:tcBorders>
            <w:shd w:val="clear" w:color="auto" w:fill="auto"/>
            <w:noWrap w:val="0"/>
            <w:vAlign w:val="center"/>
          </w:tcPr>
          <w:p w14:paraId="57599588">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1.252</w:t>
            </w:r>
          </w:p>
        </w:tc>
      </w:tr>
      <w:tr w14:paraId="0CE76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5" w:type="dxa"/>
            <w:vMerge w:val="continue"/>
            <w:tcBorders>
              <w:tl2br w:val="nil"/>
              <w:tr2bl w:val="nil"/>
            </w:tcBorders>
            <w:noWrap w:val="0"/>
            <w:vAlign w:val="center"/>
          </w:tcPr>
          <w:p w14:paraId="25F90CDA">
            <w:pPr>
              <w:spacing w:line="300" w:lineRule="exact"/>
              <w:jc w:val="center"/>
              <w:rPr>
                <w:rFonts w:hint="default" w:ascii="Times New Roman" w:hAnsi="Times New Roman" w:cs="Times New Roman" w:eastAsiaTheme="minorEastAsia"/>
                <w:szCs w:val="21"/>
                <w:highlight w:val="none"/>
                <w:lang w:val="en-US" w:eastAsia="zh-CN"/>
              </w:rPr>
            </w:pPr>
          </w:p>
        </w:tc>
        <w:tc>
          <w:tcPr>
            <w:tcW w:w="1342" w:type="dxa"/>
            <w:vMerge w:val="continue"/>
            <w:tcBorders>
              <w:tl2br w:val="nil"/>
              <w:tr2bl w:val="nil"/>
            </w:tcBorders>
            <w:noWrap w:val="0"/>
            <w:vAlign w:val="center"/>
          </w:tcPr>
          <w:p w14:paraId="7906F6AD">
            <w:pPr>
              <w:spacing w:line="300" w:lineRule="exact"/>
              <w:jc w:val="center"/>
              <w:rPr>
                <w:rFonts w:hint="default" w:ascii="Times New Roman" w:hAnsi="Times New Roman" w:cs="Times New Roman" w:eastAsiaTheme="minorEastAsia"/>
                <w:szCs w:val="21"/>
                <w:highlight w:val="none"/>
                <w:lang w:val="en-US" w:eastAsia="zh-CN"/>
              </w:rPr>
            </w:pPr>
          </w:p>
        </w:tc>
        <w:tc>
          <w:tcPr>
            <w:tcW w:w="1996" w:type="dxa"/>
            <w:tcBorders>
              <w:tl2br w:val="nil"/>
              <w:tr2bl w:val="nil"/>
            </w:tcBorders>
            <w:shd w:val="clear" w:color="auto" w:fill="auto"/>
            <w:noWrap w:val="0"/>
            <w:vAlign w:val="center"/>
          </w:tcPr>
          <w:p w14:paraId="5006D61B">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CO</w:t>
            </w:r>
          </w:p>
        </w:tc>
        <w:tc>
          <w:tcPr>
            <w:tcW w:w="1558" w:type="dxa"/>
            <w:tcBorders>
              <w:tl2br w:val="nil"/>
              <w:tr2bl w:val="nil"/>
            </w:tcBorders>
            <w:shd w:val="clear" w:color="auto" w:fill="auto"/>
            <w:noWrap w:val="0"/>
            <w:vAlign w:val="center"/>
          </w:tcPr>
          <w:p w14:paraId="7BF637C7">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17.279</w:t>
            </w:r>
          </w:p>
        </w:tc>
        <w:tc>
          <w:tcPr>
            <w:tcW w:w="1602" w:type="dxa"/>
            <w:tcBorders>
              <w:tl2br w:val="nil"/>
              <w:tr2bl w:val="nil"/>
            </w:tcBorders>
            <w:shd w:val="clear" w:color="auto" w:fill="auto"/>
            <w:noWrap w:val="0"/>
            <w:vAlign w:val="center"/>
          </w:tcPr>
          <w:p w14:paraId="7D4A7F5F">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w:t>
            </w:r>
            <w:r>
              <w:rPr>
                <w:rFonts w:hint="eastAsia" w:ascii="Times New Roman" w:hAnsi="Times New Roman" w:cs="Times New Roman"/>
                <w:szCs w:val="21"/>
                <w:lang w:val="en-US" w:eastAsia="zh-CN"/>
              </w:rPr>
              <w:t>039</w:t>
            </w:r>
          </w:p>
        </w:tc>
        <w:tc>
          <w:tcPr>
            <w:tcW w:w="1439" w:type="dxa"/>
            <w:tcBorders>
              <w:tl2br w:val="nil"/>
              <w:tr2bl w:val="nil"/>
            </w:tcBorders>
            <w:shd w:val="clear" w:color="auto" w:fill="auto"/>
            <w:noWrap w:val="0"/>
            <w:vAlign w:val="center"/>
          </w:tcPr>
          <w:p w14:paraId="79E79B89">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w:t>
            </w:r>
            <w:r>
              <w:rPr>
                <w:rFonts w:hint="eastAsia" w:ascii="Times New Roman" w:hAnsi="Times New Roman" w:cs="Times New Roman"/>
                <w:szCs w:val="21"/>
                <w:lang w:val="en-US" w:eastAsia="zh-CN"/>
              </w:rPr>
              <w:t>345</w:t>
            </w:r>
          </w:p>
        </w:tc>
      </w:tr>
      <w:tr w14:paraId="51FFF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5" w:type="dxa"/>
            <w:vMerge w:val="continue"/>
            <w:tcBorders>
              <w:tl2br w:val="nil"/>
              <w:tr2bl w:val="nil"/>
            </w:tcBorders>
            <w:noWrap w:val="0"/>
            <w:vAlign w:val="center"/>
          </w:tcPr>
          <w:p w14:paraId="6DC7E481">
            <w:pPr>
              <w:spacing w:line="300" w:lineRule="exact"/>
              <w:jc w:val="center"/>
              <w:rPr>
                <w:rFonts w:hint="default" w:ascii="Times New Roman" w:hAnsi="Times New Roman" w:cs="Times New Roman" w:eastAsiaTheme="minorEastAsia"/>
                <w:szCs w:val="21"/>
                <w:highlight w:val="none"/>
                <w:lang w:val="en-US" w:eastAsia="zh-CN"/>
              </w:rPr>
            </w:pPr>
          </w:p>
        </w:tc>
        <w:tc>
          <w:tcPr>
            <w:tcW w:w="1342" w:type="dxa"/>
            <w:vMerge w:val="continue"/>
            <w:tcBorders>
              <w:tl2br w:val="nil"/>
              <w:tr2bl w:val="nil"/>
            </w:tcBorders>
            <w:noWrap w:val="0"/>
            <w:vAlign w:val="center"/>
          </w:tcPr>
          <w:p w14:paraId="420A10A8">
            <w:pPr>
              <w:spacing w:line="300" w:lineRule="exact"/>
              <w:jc w:val="center"/>
              <w:rPr>
                <w:rFonts w:hint="default" w:ascii="Times New Roman" w:hAnsi="Times New Roman" w:cs="Times New Roman" w:eastAsiaTheme="minorEastAsia"/>
                <w:szCs w:val="21"/>
                <w:highlight w:val="none"/>
                <w:lang w:val="en-US" w:eastAsia="zh-CN"/>
              </w:rPr>
            </w:pPr>
          </w:p>
        </w:tc>
        <w:tc>
          <w:tcPr>
            <w:tcW w:w="1996" w:type="dxa"/>
            <w:tcBorders>
              <w:tl2br w:val="nil"/>
              <w:tr2bl w:val="nil"/>
            </w:tcBorders>
            <w:shd w:val="clear" w:color="auto" w:fill="auto"/>
            <w:noWrap w:val="0"/>
            <w:vAlign w:val="center"/>
          </w:tcPr>
          <w:p w14:paraId="641513B2">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HCl</w:t>
            </w:r>
          </w:p>
        </w:tc>
        <w:tc>
          <w:tcPr>
            <w:tcW w:w="1558" w:type="dxa"/>
            <w:tcBorders>
              <w:tl2br w:val="nil"/>
              <w:tr2bl w:val="nil"/>
            </w:tcBorders>
            <w:shd w:val="clear" w:color="auto" w:fill="auto"/>
            <w:noWrap w:val="0"/>
            <w:vAlign w:val="center"/>
          </w:tcPr>
          <w:p w14:paraId="6E2D1670">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7.236</w:t>
            </w:r>
          </w:p>
        </w:tc>
        <w:tc>
          <w:tcPr>
            <w:tcW w:w="1602" w:type="dxa"/>
            <w:tcBorders>
              <w:tl2br w:val="nil"/>
              <w:tr2bl w:val="nil"/>
            </w:tcBorders>
            <w:shd w:val="clear" w:color="auto" w:fill="auto"/>
            <w:noWrap w:val="0"/>
            <w:vAlign w:val="center"/>
          </w:tcPr>
          <w:p w14:paraId="66CE5227">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0.017</w:t>
            </w:r>
          </w:p>
        </w:tc>
        <w:tc>
          <w:tcPr>
            <w:tcW w:w="1439" w:type="dxa"/>
            <w:tcBorders>
              <w:tl2br w:val="nil"/>
              <w:tr2bl w:val="nil"/>
            </w:tcBorders>
            <w:shd w:val="clear" w:color="auto" w:fill="auto"/>
            <w:noWrap w:val="0"/>
            <w:vAlign w:val="center"/>
          </w:tcPr>
          <w:p w14:paraId="10C631EC">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0.1</w:t>
            </w:r>
            <w:r>
              <w:rPr>
                <w:rFonts w:hint="eastAsia" w:ascii="Times New Roman" w:hAnsi="Times New Roman" w:cs="Times New Roman"/>
                <w:szCs w:val="21"/>
                <w:lang w:val="en-US" w:eastAsia="zh-CN"/>
              </w:rPr>
              <w:t>44</w:t>
            </w:r>
          </w:p>
        </w:tc>
      </w:tr>
      <w:tr w14:paraId="61B20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5" w:type="dxa"/>
            <w:vMerge w:val="continue"/>
            <w:tcBorders>
              <w:tl2br w:val="nil"/>
              <w:tr2bl w:val="nil"/>
            </w:tcBorders>
            <w:noWrap w:val="0"/>
            <w:vAlign w:val="center"/>
          </w:tcPr>
          <w:p w14:paraId="59443E7C">
            <w:pPr>
              <w:spacing w:line="300" w:lineRule="exact"/>
              <w:jc w:val="center"/>
              <w:rPr>
                <w:rFonts w:hint="default" w:ascii="Times New Roman" w:hAnsi="Times New Roman" w:cs="Times New Roman" w:eastAsiaTheme="minorEastAsia"/>
                <w:szCs w:val="21"/>
                <w:highlight w:val="none"/>
                <w:lang w:val="en-US" w:eastAsia="zh-CN"/>
              </w:rPr>
            </w:pPr>
          </w:p>
        </w:tc>
        <w:tc>
          <w:tcPr>
            <w:tcW w:w="1342" w:type="dxa"/>
            <w:vMerge w:val="continue"/>
            <w:tcBorders>
              <w:tl2br w:val="nil"/>
              <w:tr2bl w:val="nil"/>
            </w:tcBorders>
            <w:noWrap w:val="0"/>
            <w:vAlign w:val="center"/>
          </w:tcPr>
          <w:p w14:paraId="7A58DA81">
            <w:pPr>
              <w:spacing w:line="300" w:lineRule="exact"/>
              <w:jc w:val="center"/>
              <w:rPr>
                <w:rFonts w:hint="default" w:ascii="Times New Roman" w:hAnsi="Times New Roman" w:cs="Times New Roman" w:eastAsiaTheme="minorEastAsia"/>
                <w:szCs w:val="21"/>
                <w:highlight w:val="none"/>
                <w:lang w:val="en-US" w:eastAsia="zh-CN"/>
              </w:rPr>
            </w:pPr>
          </w:p>
        </w:tc>
        <w:tc>
          <w:tcPr>
            <w:tcW w:w="1996" w:type="dxa"/>
            <w:tcBorders>
              <w:tl2br w:val="nil"/>
              <w:tr2bl w:val="nil"/>
            </w:tcBorders>
            <w:shd w:val="clear" w:color="auto" w:fill="auto"/>
            <w:noWrap w:val="0"/>
            <w:vAlign w:val="center"/>
          </w:tcPr>
          <w:p w14:paraId="5B71BDCC">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HF</w:t>
            </w:r>
          </w:p>
        </w:tc>
        <w:tc>
          <w:tcPr>
            <w:tcW w:w="1558" w:type="dxa"/>
            <w:tcBorders>
              <w:tl2br w:val="nil"/>
              <w:tr2bl w:val="nil"/>
            </w:tcBorders>
            <w:shd w:val="clear" w:color="auto" w:fill="auto"/>
            <w:noWrap w:val="0"/>
            <w:vAlign w:val="center"/>
          </w:tcPr>
          <w:p w14:paraId="09809967">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1.991</w:t>
            </w:r>
          </w:p>
        </w:tc>
        <w:tc>
          <w:tcPr>
            <w:tcW w:w="1602" w:type="dxa"/>
            <w:tcBorders>
              <w:tl2br w:val="nil"/>
              <w:tr2bl w:val="nil"/>
            </w:tcBorders>
            <w:shd w:val="clear" w:color="auto" w:fill="auto"/>
            <w:noWrap w:val="0"/>
            <w:vAlign w:val="center"/>
          </w:tcPr>
          <w:p w14:paraId="13456019">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4.542×10</w:t>
            </w:r>
            <w:r>
              <w:rPr>
                <w:rFonts w:hint="eastAsia" w:ascii="Times New Roman" w:hAnsi="Times New Roman" w:cs="Times New Roman"/>
                <w:szCs w:val="21"/>
                <w:vertAlign w:val="superscript"/>
                <w:lang w:val="en-US" w:eastAsia="zh-CN"/>
              </w:rPr>
              <w:t>-3</w:t>
            </w:r>
          </w:p>
        </w:tc>
        <w:tc>
          <w:tcPr>
            <w:tcW w:w="1439" w:type="dxa"/>
            <w:tcBorders>
              <w:tl2br w:val="nil"/>
              <w:tr2bl w:val="nil"/>
            </w:tcBorders>
            <w:shd w:val="clear" w:color="auto" w:fill="auto"/>
            <w:noWrap w:val="0"/>
            <w:vAlign w:val="center"/>
          </w:tcPr>
          <w:p w14:paraId="7A8C2397">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0.0</w:t>
            </w:r>
            <w:r>
              <w:rPr>
                <w:rFonts w:hint="eastAsia" w:ascii="Times New Roman" w:hAnsi="Times New Roman" w:cs="Times New Roman"/>
                <w:szCs w:val="21"/>
                <w:lang w:val="en-US" w:eastAsia="zh-CN"/>
              </w:rPr>
              <w:t>4</w:t>
            </w:r>
          </w:p>
        </w:tc>
      </w:tr>
      <w:tr w14:paraId="3A7BE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5" w:type="dxa"/>
            <w:vMerge w:val="continue"/>
            <w:tcBorders>
              <w:tl2br w:val="nil"/>
              <w:tr2bl w:val="nil"/>
            </w:tcBorders>
            <w:noWrap w:val="0"/>
            <w:vAlign w:val="center"/>
          </w:tcPr>
          <w:p w14:paraId="463F230B">
            <w:pPr>
              <w:spacing w:line="300" w:lineRule="exact"/>
              <w:jc w:val="center"/>
              <w:rPr>
                <w:rFonts w:hint="default" w:ascii="Times New Roman" w:hAnsi="Times New Roman" w:cs="Times New Roman" w:eastAsiaTheme="minorEastAsia"/>
                <w:szCs w:val="21"/>
                <w:highlight w:val="none"/>
                <w:lang w:val="en-US" w:eastAsia="zh-CN"/>
              </w:rPr>
            </w:pPr>
          </w:p>
        </w:tc>
        <w:tc>
          <w:tcPr>
            <w:tcW w:w="1342" w:type="dxa"/>
            <w:vMerge w:val="continue"/>
            <w:tcBorders>
              <w:tl2br w:val="nil"/>
              <w:tr2bl w:val="nil"/>
            </w:tcBorders>
            <w:noWrap w:val="0"/>
            <w:vAlign w:val="center"/>
          </w:tcPr>
          <w:p w14:paraId="6F8BDC26">
            <w:pPr>
              <w:spacing w:line="300" w:lineRule="exact"/>
              <w:jc w:val="center"/>
              <w:rPr>
                <w:rFonts w:hint="default" w:ascii="Times New Roman" w:hAnsi="Times New Roman" w:cs="Times New Roman" w:eastAsiaTheme="minorEastAsia"/>
                <w:szCs w:val="21"/>
                <w:highlight w:val="none"/>
                <w:lang w:val="en-US" w:eastAsia="zh-CN"/>
              </w:rPr>
            </w:pPr>
          </w:p>
        </w:tc>
        <w:tc>
          <w:tcPr>
            <w:tcW w:w="1996" w:type="dxa"/>
            <w:tcBorders>
              <w:tl2br w:val="nil"/>
              <w:tr2bl w:val="nil"/>
            </w:tcBorders>
            <w:shd w:val="clear" w:color="auto" w:fill="auto"/>
            <w:noWrap w:val="0"/>
            <w:vAlign w:val="center"/>
          </w:tcPr>
          <w:p w14:paraId="005EDEA8">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汞及其化合物</w:t>
            </w:r>
          </w:p>
        </w:tc>
        <w:tc>
          <w:tcPr>
            <w:tcW w:w="1558" w:type="dxa"/>
            <w:tcBorders>
              <w:tl2br w:val="nil"/>
              <w:tr2bl w:val="nil"/>
            </w:tcBorders>
            <w:shd w:val="clear" w:color="auto" w:fill="auto"/>
            <w:noWrap w:val="0"/>
            <w:vAlign w:val="center"/>
          </w:tcPr>
          <w:p w14:paraId="537F17E7">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3.576×10</w:t>
            </w:r>
            <w:r>
              <w:rPr>
                <w:rFonts w:hint="eastAsia" w:ascii="Times New Roman" w:hAnsi="Times New Roman" w:cs="Times New Roman"/>
                <w:szCs w:val="21"/>
                <w:vertAlign w:val="superscript"/>
                <w:lang w:val="en-US" w:eastAsia="zh-CN"/>
              </w:rPr>
              <w:t>-6</w:t>
            </w:r>
          </w:p>
        </w:tc>
        <w:tc>
          <w:tcPr>
            <w:tcW w:w="1602" w:type="dxa"/>
            <w:tcBorders>
              <w:tl2br w:val="nil"/>
              <w:tr2bl w:val="nil"/>
            </w:tcBorders>
            <w:shd w:val="clear" w:color="auto" w:fill="auto"/>
            <w:noWrap w:val="0"/>
            <w:vAlign w:val="center"/>
          </w:tcPr>
          <w:p w14:paraId="31BBD4A3">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8.1</w:t>
            </w:r>
            <w:r>
              <w:rPr>
                <w:rFonts w:hint="eastAsia" w:ascii="Times New Roman" w:hAnsi="Times New Roman" w:cs="Times New Roman"/>
                <w:szCs w:val="21"/>
                <w:lang w:val="en-US" w:eastAsia="zh-CN"/>
              </w:rPr>
              <w:t>57</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9</w:t>
            </w:r>
          </w:p>
        </w:tc>
        <w:tc>
          <w:tcPr>
            <w:tcW w:w="1439" w:type="dxa"/>
            <w:tcBorders>
              <w:tl2br w:val="nil"/>
              <w:tr2bl w:val="nil"/>
            </w:tcBorders>
            <w:shd w:val="clear" w:color="auto" w:fill="auto"/>
            <w:noWrap w:val="0"/>
            <w:vAlign w:val="center"/>
          </w:tcPr>
          <w:p w14:paraId="5A594D3F">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7.1</w:t>
            </w:r>
            <w:r>
              <w:rPr>
                <w:rFonts w:hint="eastAsia" w:ascii="Times New Roman" w:hAnsi="Times New Roman" w:cs="Times New Roman"/>
                <w:szCs w:val="21"/>
                <w:lang w:val="en-US" w:eastAsia="zh-CN"/>
              </w:rPr>
              <w:t>46</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8</w:t>
            </w:r>
          </w:p>
        </w:tc>
      </w:tr>
      <w:tr w14:paraId="31215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5" w:type="dxa"/>
            <w:vMerge w:val="continue"/>
            <w:tcBorders>
              <w:tl2br w:val="nil"/>
              <w:tr2bl w:val="nil"/>
            </w:tcBorders>
            <w:noWrap w:val="0"/>
            <w:vAlign w:val="center"/>
          </w:tcPr>
          <w:p w14:paraId="5EA7B874">
            <w:pPr>
              <w:spacing w:line="300" w:lineRule="exact"/>
              <w:jc w:val="center"/>
              <w:rPr>
                <w:rFonts w:hint="default" w:ascii="Times New Roman" w:hAnsi="Times New Roman" w:cs="Times New Roman" w:eastAsiaTheme="minorEastAsia"/>
                <w:szCs w:val="21"/>
                <w:highlight w:val="none"/>
                <w:lang w:val="en-US" w:eastAsia="zh-CN"/>
              </w:rPr>
            </w:pPr>
          </w:p>
        </w:tc>
        <w:tc>
          <w:tcPr>
            <w:tcW w:w="1342" w:type="dxa"/>
            <w:vMerge w:val="continue"/>
            <w:tcBorders>
              <w:tl2br w:val="nil"/>
              <w:tr2bl w:val="nil"/>
            </w:tcBorders>
            <w:noWrap w:val="0"/>
            <w:vAlign w:val="center"/>
          </w:tcPr>
          <w:p w14:paraId="1C298DAA">
            <w:pPr>
              <w:spacing w:line="300" w:lineRule="exact"/>
              <w:jc w:val="center"/>
              <w:rPr>
                <w:rFonts w:hint="default" w:ascii="Times New Roman" w:hAnsi="Times New Roman" w:cs="Times New Roman" w:eastAsiaTheme="minorEastAsia"/>
                <w:szCs w:val="21"/>
                <w:highlight w:val="none"/>
                <w:lang w:val="en-US" w:eastAsia="zh-CN"/>
              </w:rPr>
            </w:pPr>
          </w:p>
        </w:tc>
        <w:tc>
          <w:tcPr>
            <w:tcW w:w="1996" w:type="dxa"/>
            <w:tcBorders>
              <w:tl2br w:val="nil"/>
              <w:tr2bl w:val="nil"/>
            </w:tcBorders>
            <w:shd w:val="clear" w:color="auto" w:fill="auto"/>
            <w:noWrap w:val="0"/>
            <w:vAlign w:val="center"/>
          </w:tcPr>
          <w:p w14:paraId="63C40FDF">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铅及其化合物</w:t>
            </w:r>
          </w:p>
        </w:tc>
        <w:tc>
          <w:tcPr>
            <w:tcW w:w="1558" w:type="dxa"/>
            <w:tcBorders>
              <w:tl2br w:val="nil"/>
              <w:tr2bl w:val="nil"/>
            </w:tcBorders>
            <w:shd w:val="clear" w:color="auto" w:fill="auto"/>
            <w:noWrap w:val="0"/>
            <w:vAlign w:val="center"/>
          </w:tcPr>
          <w:p w14:paraId="13B77089">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6.</w:t>
            </w:r>
            <w:r>
              <w:rPr>
                <w:rFonts w:hint="eastAsia" w:ascii="Times New Roman" w:hAnsi="Times New Roman" w:cs="Times New Roman"/>
                <w:szCs w:val="21"/>
                <w:lang w:val="en-US" w:eastAsia="zh-CN"/>
              </w:rPr>
              <w:t>428</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-3</w:t>
            </w:r>
          </w:p>
        </w:tc>
        <w:tc>
          <w:tcPr>
            <w:tcW w:w="1602" w:type="dxa"/>
            <w:tcBorders>
              <w:tl2br w:val="nil"/>
              <w:tr2bl w:val="nil"/>
            </w:tcBorders>
            <w:shd w:val="clear" w:color="auto" w:fill="auto"/>
            <w:noWrap w:val="0"/>
            <w:vAlign w:val="center"/>
          </w:tcPr>
          <w:p w14:paraId="2676EFC2">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1.</w:t>
            </w:r>
            <w:r>
              <w:rPr>
                <w:rFonts w:hint="eastAsia" w:ascii="Times New Roman" w:hAnsi="Times New Roman" w:cs="Times New Roman"/>
                <w:szCs w:val="21"/>
                <w:lang w:val="en-US" w:eastAsia="zh-CN"/>
              </w:rPr>
              <w:t>466</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-5</w:t>
            </w:r>
          </w:p>
        </w:tc>
        <w:tc>
          <w:tcPr>
            <w:tcW w:w="1439" w:type="dxa"/>
            <w:tcBorders>
              <w:tl2br w:val="nil"/>
              <w:tr2bl w:val="nil"/>
            </w:tcBorders>
            <w:shd w:val="clear" w:color="auto" w:fill="auto"/>
            <w:noWrap w:val="0"/>
            <w:vAlign w:val="center"/>
          </w:tcPr>
          <w:p w14:paraId="49106443">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1.</w:t>
            </w:r>
            <w:r>
              <w:rPr>
                <w:rFonts w:hint="eastAsia" w:ascii="Times New Roman" w:hAnsi="Times New Roman" w:cs="Times New Roman"/>
                <w:szCs w:val="21"/>
                <w:lang w:val="en-US" w:eastAsia="zh-CN"/>
              </w:rPr>
              <w:t>284</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-4</w:t>
            </w:r>
          </w:p>
        </w:tc>
      </w:tr>
      <w:tr w14:paraId="4D6B0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85" w:type="dxa"/>
            <w:vMerge w:val="continue"/>
            <w:tcBorders>
              <w:tl2br w:val="nil"/>
              <w:tr2bl w:val="nil"/>
            </w:tcBorders>
            <w:noWrap w:val="0"/>
            <w:vAlign w:val="center"/>
          </w:tcPr>
          <w:p w14:paraId="1908DB78">
            <w:pPr>
              <w:spacing w:line="300" w:lineRule="exact"/>
              <w:jc w:val="center"/>
              <w:rPr>
                <w:rFonts w:hint="default" w:ascii="Times New Roman" w:hAnsi="Times New Roman" w:cs="Times New Roman" w:eastAsiaTheme="minorEastAsia"/>
                <w:szCs w:val="21"/>
                <w:highlight w:val="none"/>
                <w:lang w:val="en-US" w:eastAsia="zh-CN"/>
              </w:rPr>
            </w:pPr>
          </w:p>
        </w:tc>
        <w:tc>
          <w:tcPr>
            <w:tcW w:w="1342" w:type="dxa"/>
            <w:vMerge w:val="continue"/>
            <w:tcBorders>
              <w:tl2br w:val="nil"/>
              <w:tr2bl w:val="nil"/>
            </w:tcBorders>
            <w:noWrap w:val="0"/>
            <w:vAlign w:val="center"/>
          </w:tcPr>
          <w:p w14:paraId="7CB32B3E">
            <w:pPr>
              <w:spacing w:line="300" w:lineRule="exact"/>
              <w:jc w:val="center"/>
              <w:rPr>
                <w:rFonts w:hint="default" w:ascii="Times New Roman" w:hAnsi="Times New Roman" w:cs="Times New Roman" w:eastAsiaTheme="minorEastAsia"/>
                <w:szCs w:val="21"/>
                <w:highlight w:val="none"/>
                <w:lang w:val="en-US" w:eastAsia="zh-CN"/>
              </w:rPr>
            </w:pPr>
          </w:p>
        </w:tc>
        <w:tc>
          <w:tcPr>
            <w:tcW w:w="1996" w:type="dxa"/>
            <w:tcBorders>
              <w:tl2br w:val="nil"/>
              <w:tr2bl w:val="nil"/>
            </w:tcBorders>
            <w:shd w:val="clear" w:color="auto" w:fill="auto"/>
            <w:noWrap w:val="0"/>
            <w:vAlign w:val="center"/>
          </w:tcPr>
          <w:p w14:paraId="73D3781D">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镉及其化合物</w:t>
            </w:r>
          </w:p>
        </w:tc>
        <w:tc>
          <w:tcPr>
            <w:tcW w:w="1558" w:type="dxa"/>
            <w:tcBorders>
              <w:tl2br w:val="nil"/>
              <w:tr2bl w:val="nil"/>
            </w:tcBorders>
            <w:shd w:val="clear" w:color="auto" w:fill="auto"/>
            <w:noWrap w:val="0"/>
            <w:vAlign w:val="center"/>
          </w:tcPr>
          <w:p w14:paraId="570D827A">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highlight w:val="none"/>
                <w:lang w:val="en-US" w:eastAsia="zh-CN"/>
              </w:rPr>
              <w:t>7.672</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w:t>
            </w:r>
            <w:r>
              <w:rPr>
                <w:rFonts w:hint="eastAsia" w:ascii="Times New Roman" w:hAnsi="Times New Roman" w:cs="Times New Roman"/>
                <w:szCs w:val="21"/>
                <w:highlight w:val="none"/>
                <w:vertAlign w:val="superscript"/>
                <w:lang w:val="en-US" w:eastAsia="zh-CN"/>
              </w:rPr>
              <w:t>5</w:t>
            </w:r>
          </w:p>
        </w:tc>
        <w:tc>
          <w:tcPr>
            <w:tcW w:w="1602" w:type="dxa"/>
            <w:tcBorders>
              <w:tl2br w:val="nil"/>
              <w:tr2bl w:val="nil"/>
            </w:tcBorders>
            <w:shd w:val="clear" w:color="auto" w:fill="auto"/>
            <w:noWrap w:val="0"/>
            <w:vAlign w:val="center"/>
          </w:tcPr>
          <w:p w14:paraId="070D953F">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highlight w:val="none"/>
                <w:lang w:val="en-US" w:eastAsia="zh-CN"/>
              </w:rPr>
              <w:t>1.75</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-7</w:t>
            </w:r>
          </w:p>
        </w:tc>
        <w:tc>
          <w:tcPr>
            <w:tcW w:w="1439" w:type="dxa"/>
            <w:tcBorders>
              <w:tl2br w:val="nil"/>
              <w:tr2bl w:val="nil"/>
            </w:tcBorders>
            <w:shd w:val="clear" w:color="auto" w:fill="auto"/>
            <w:noWrap w:val="0"/>
            <w:vAlign w:val="center"/>
          </w:tcPr>
          <w:p w14:paraId="47F3D3D2">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highlight w:val="none"/>
                <w:lang w:val="en-US" w:eastAsia="zh-CN"/>
              </w:rPr>
              <w:t>1.533</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-6</w:t>
            </w:r>
          </w:p>
        </w:tc>
      </w:tr>
      <w:tr w14:paraId="76EC3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5" w:type="dxa"/>
            <w:vMerge w:val="continue"/>
            <w:tcBorders>
              <w:tl2br w:val="nil"/>
              <w:tr2bl w:val="nil"/>
            </w:tcBorders>
            <w:noWrap w:val="0"/>
            <w:vAlign w:val="center"/>
          </w:tcPr>
          <w:p w14:paraId="71F6597F">
            <w:pPr>
              <w:spacing w:line="300" w:lineRule="exact"/>
              <w:jc w:val="center"/>
              <w:rPr>
                <w:rFonts w:hint="default" w:ascii="Times New Roman" w:hAnsi="Times New Roman" w:cs="Times New Roman" w:eastAsiaTheme="minorEastAsia"/>
                <w:szCs w:val="21"/>
                <w:highlight w:val="none"/>
                <w:lang w:val="en-US" w:eastAsia="zh-CN"/>
              </w:rPr>
            </w:pPr>
          </w:p>
        </w:tc>
        <w:tc>
          <w:tcPr>
            <w:tcW w:w="1342" w:type="dxa"/>
            <w:vMerge w:val="continue"/>
            <w:tcBorders>
              <w:tl2br w:val="nil"/>
              <w:tr2bl w:val="nil"/>
            </w:tcBorders>
            <w:noWrap w:val="0"/>
            <w:vAlign w:val="center"/>
          </w:tcPr>
          <w:p w14:paraId="22970463">
            <w:pPr>
              <w:spacing w:line="300" w:lineRule="exact"/>
              <w:jc w:val="center"/>
              <w:rPr>
                <w:rFonts w:hint="default" w:ascii="Times New Roman" w:hAnsi="Times New Roman" w:cs="Times New Roman" w:eastAsiaTheme="minorEastAsia"/>
                <w:szCs w:val="21"/>
                <w:highlight w:val="none"/>
                <w:lang w:val="en-US" w:eastAsia="zh-CN"/>
              </w:rPr>
            </w:pPr>
          </w:p>
        </w:tc>
        <w:tc>
          <w:tcPr>
            <w:tcW w:w="1996" w:type="dxa"/>
            <w:tcBorders>
              <w:tl2br w:val="nil"/>
              <w:tr2bl w:val="nil"/>
            </w:tcBorders>
            <w:shd w:val="clear" w:color="auto" w:fill="auto"/>
            <w:noWrap w:val="0"/>
            <w:vAlign w:val="center"/>
          </w:tcPr>
          <w:p w14:paraId="1F94B56B">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砷及其化合物</w:t>
            </w:r>
          </w:p>
        </w:tc>
        <w:tc>
          <w:tcPr>
            <w:tcW w:w="1558" w:type="dxa"/>
            <w:tcBorders>
              <w:tl2br w:val="nil"/>
              <w:tr2bl w:val="nil"/>
            </w:tcBorders>
            <w:shd w:val="clear" w:color="auto" w:fill="auto"/>
            <w:noWrap w:val="0"/>
            <w:vAlign w:val="center"/>
          </w:tcPr>
          <w:p w14:paraId="035862F7">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0.037</w:t>
            </w:r>
          </w:p>
        </w:tc>
        <w:tc>
          <w:tcPr>
            <w:tcW w:w="1602" w:type="dxa"/>
            <w:tcBorders>
              <w:tl2br w:val="nil"/>
              <w:tr2bl w:val="nil"/>
            </w:tcBorders>
            <w:shd w:val="clear" w:color="auto" w:fill="auto"/>
            <w:noWrap w:val="0"/>
            <w:vAlign w:val="center"/>
          </w:tcPr>
          <w:p w14:paraId="3373108B">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1.5</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4</w:t>
            </w:r>
          </w:p>
        </w:tc>
        <w:tc>
          <w:tcPr>
            <w:tcW w:w="1439" w:type="dxa"/>
            <w:tcBorders>
              <w:tl2br w:val="nil"/>
              <w:tr2bl w:val="nil"/>
            </w:tcBorders>
            <w:shd w:val="clear" w:color="auto" w:fill="auto"/>
            <w:noWrap w:val="0"/>
            <w:vAlign w:val="center"/>
          </w:tcPr>
          <w:p w14:paraId="7A8A35A2">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1.314</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3</w:t>
            </w:r>
          </w:p>
        </w:tc>
      </w:tr>
      <w:tr w14:paraId="78AAD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5" w:type="dxa"/>
            <w:vMerge w:val="continue"/>
            <w:tcBorders>
              <w:tl2br w:val="nil"/>
              <w:tr2bl w:val="nil"/>
            </w:tcBorders>
            <w:noWrap w:val="0"/>
            <w:vAlign w:val="center"/>
          </w:tcPr>
          <w:p w14:paraId="2450F630">
            <w:pPr>
              <w:spacing w:line="300" w:lineRule="exact"/>
              <w:jc w:val="center"/>
              <w:rPr>
                <w:rFonts w:hint="default" w:ascii="Times New Roman" w:hAnsi="Times New Roman" w:cs="Times New Roman" w:eastAsiaTheme="minorEastAsia"/>
                <w:szCs w:val="21"/>
                <w:highlight w:val="none"/>
                <w:lang w:val="en-US" w:eastAsia="zh-CN"/>
              </w:rPr>
            </w:pPr>
          </w:p>
        </w:tc>
        <w:tc>
          <w:tcPr>
            <w:tcW w:w="1342" w:type="dxa"/>
            <w:vMerge w:val="continue"/>
            <w:tcBorders>
              <w:tl2br w:val="nil"/>
              <w:tr2bl w:val="nil"/>
            </w:tcBorders>
            <w:noWrap w:val="0"/>
            <w:vAlign w:val="center"/>
          </w:tcPr>
          <w:p w14:paraId="0EE7564A">
            <w:pPr>
              <w:spacing w:line="300" w:lineRule="exact"/>
              <w:jc w:val="center"/>
              <w:rPr>
                <w:rFonts w:hint="default" w:ascii="Times New Roman" w:hAnsi="Times New Roman" w:cs="Times New Roman" w:eastAsiaTheme="minorEastAsia"/>
                <w:szCs w:val="21"/>
                <w:highlight w:val="none"/>
                <w:lang w:val="en-US" w:eastAsia="zh-CN"/>
              </w:rPr>
            </w:pPr>
          </w:p>
        </w:tc>
        <w:tc>
          <w:tcPr>
            <w:tcW w:w="1996" w:type="dxa"/>
            <w:tcBorders>
              <w:tl2br w:val="nil"/>
              <w:tr2bl w:val="nil"/>
            </w:tcBorders>
            <w:shd w:val="clear" w:color="auto" w:fill="auto"/>
            <w:noWrap w:val="0"/>
            <w:vAlign w:val="center"/>
          </w:tcPr>
          <w:p w14:paraId="2E0132DF">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铬及其化合物</w:t>
            </w:r>
          </w:p>
        </w:tc>
        <w:tc>
          <w:tcPr>
            <w:tcW w:w="1558" w:type="dxa"/>
            <w:tcBorders>
              <w:tl2br w:val="nil"/>
              <w:tr2bl w:val="nil"/>
            </w:tcBorders>
            <w:shd w:val="clear" w:color="auto" w:fill="auto"/>
            <w:noWrap w:val="0"/>
            <w:vAlign w:val="center"/>
          </w:tcPr>
          <w:p w14:paraId="7872C34A">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0.052</w:t>
            </w:r>
            <w:r>
              <w:rPr>
                <w:rFonts w:hint="eastAsia" w:ascii="Times New Roman" w:hAnsi="Times New Roman" w:cs="Times New Roman" w:eastAsiaTheme="minorEastAsia"/>
                <w:szCs w:val="21"/>
                <w:vertAlign w:val="superscript"/>
                <w:lang w:val="en-US" w:eastAsia="zh-CN"/>
              </w:rPr>
              <w:t>2</w:t>
            </w:r>
          </w:p>
        </w:tc>
        <w:tc>
          <w:tcPr>
            <w:tcW w:w="1602" w:type="dxa"/>
            <w:tcBorders>
              <w:tl2br w:val="nil"/>
              <w:tr2bl w:val="nil"/>
            </w:tcBorders>
            <w:shd w:val="clear" w:color="auto" w:fill="auto"/>
            <w:noWrap w:val="0"/>
            <w:vAlign w:val="center"/>
          </w:tcPr>
          <w:p w14:paraId="3B390332">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1.18</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-4</w:t>
            </w:r>
          </w:p>
        </w:tc>
        <w:tc>
          <w:tcPr>
            <w:tcW w:w="1439" w:type="dxa"/>
            <w:tcBorders>
              <w:tl2br w:val="nil"/>
              <w:tr2bl w:val="nil"/>
            </w:tcBorders>
            <w:shd w:val="clear" w:color="auto" w:fill="auto"/>
            <w:noWrap w:val="0"/>
            <w:vAlign w:val="center"/>
          </w:tcPr>
          <w:p w14:paraId="35F4C1AD">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0.001</w:t>
            </w:r>
          </w:p>
        </w:tc>
      </w:tr>
      <w:tr w14:paraId="438A2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5" w:type="dxa"/>
            <w:vMerge w:val="continue"/>
            <w:tcBorders>
              <w:tl2br w:val="nil"/>
              <w:tr2bl w:val="nil"/>
            </w:tcBorders>
            <w:noWrap w:val="0"/>
            <w:vAlign w:val="center"/>
          </w:tcPr>
          <w:p w14:paraId="0258C597">
            <w:pPr>
              <w:spacing w:line="300" w:lineRule="exact"/>
              <w:jc w:val="center"/>
              <w:rPr>
                <w:rFonts w:hint="default" w:ascii="Times New Roman" w:hAnsi="Times New Roman" w:cs="Times New Roman" w:eastAsiaTheme="minorEastAsia"/>
                <w:szCs w:val="21"/>
                <w:highlight w:val="none"/>
                <w:lang w:val="en-US" w:eastAsia="zh-CN"/>
              </w:rPr>
            </w:pPr>
          </w:p>
        </w:tc>
        <w:tc>
          <w:tcPr>
            <w:tcW w:w="1342" w:type="dxa"/>
            <w:vMerge w:val="continue"/>
            <w:tcBorders>
              <w:tl2br w:val="nil"/>
              <w:tr2bl w:val="nil"/>
            </w:tcBorders>
            <w:noWrap w:val="0"/>
            <w:vAlign w:val="center"/>
          </w:tcPr>
          <w:p w14:paraId="7CB497E8">
            <w:pPr>
              <w:spacing w:line="300" w:lineRule="exact"/>
              <w:jc w:val="center"/>
              <w:rPr>
                <w:rFonts w:hint="default" w:ascii="Times New Roman" w:hAnsi="Times New Roman" w:cs="Times New Roman" w:eastAsiaTheme="minorEastAsia"/>
                <w:szCs w:val="21"/>
                <w:highlight w:val="none"/>
                <w:lang w:val="en-US" w:eastAsia="zh-CN"/>
              </w:rPr>
            </w:pPr>
          </w:p>
        </w:tc>
        <w:tc>
          <w:tcPr>
            <w:tcW w:w="1996" w:type="dxa"/>
            <w:tcBorders>
              <w:tl2br w:val="nil"/>
              <w:tr2bl w:val="nil"/>
            </w:tcBorders>
            <w:shd w:val="clear" w:color="auto" w:fill="auto"/>
            <w:noWrap w:val="0"/>
            <w:vAlign w:val="center"/>
          </w:tcPr>
          <w:p w14:paraId="0AEAEDBE">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铊及其化合物</w:t>
            </w:r>
          </w:p>
        </w:tc>
        <w:tc>
          <w:tcPr>
            <w:tcW w:w="1558" w:type="dxa"/>
            <w:tcBorders>
              <w:tl2br w:val="nil"/>
              <w:tr2bl w:val="nil"/>
            </w:tcBorders>
            <w:shd w:val="clear" w:color="auto" w:fill="auto"/>
            <w:noWrap w:val="0"/>
            <w:vAlign w:val="center"/>
          </w:tcPr>
          <w:p w14:paraId="642B55A4">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9.607</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-5</w:t>
            </w:r>
          </w:p>
        </w:tc>
        <w:tc>
          <w:tcPr>
            <w:tcW w:w="1602" w:type="dxa"/>
            <w:tcBorders>
              <w:tl2br w:val="nil"/>
              <w:tr2bl w:val="nil"/>
            </w:tcBorders>
            <w:shd w:val="clear" w:color="auto" w:fill="auto"/>
            <w:noWrap w:val="0"/>
            <w:vAlign w:val="center"/>
          </w:tcPr>
          <w:p w14:paraId="2C8DFEF4">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2.191</w:t>
            </w:r>
            <w:r>
              <w:rPr>
                <w:rFonts w:hint="eastAsia" w:ascii="Times New Roman" w:hAnsi="Times New Roman" w:cs="Times New Roman" w:eastAsiaTheme="minorEastAsia"/>
                <w:szCs w:val="21"/>
                <w:lang w:val="en-US" w:eastAsia="zh-CN"/>
              </w:rPr>
              <w:t>×10</w:t>
            </w:r>
            <w:r>
              <w:rPr>
                <w:rFonts w:hint="eastAsia" w:ascii="Times New Roman" w:hAnsi="Times New Roman" w:cs="Times New Roman"/>
                <w:szCs w:val="21"/>
                <w:vertAlign w:val="superscript"/>
                <w:lang w:val="en-US" w:eastAsia="zh-CN"/>
              </w:rPr>
              <w:t>-7</w:t>
            </w:r>
          </w:p>
        </w:tc>
        <w:tc>
          <w:tcPr>
            <w:tcW w:w="1439" w:type="dxa"/>
            <w:tcBorders>
              <w:tl2br w:val="nil"/>
              <w:tr2bl w:val="nil"/>
            </w:tcBorders>
            <w:shd w:val="clear" w:color="auto" w:fill="auto"/>
            <w:noWrap w:val="0"/>
            <w:vAlign w:val="center"/>
          </w:tcPr>
          <w:p w14:paraId="72AD043A">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1.92</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6</w:t>
            </w:r>
          </w:p>
        </w:tc>
      </w:tr>
      <w:tr w14:paraId="545EA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5" w:type="dxa"/>
            <w:vMerge w:val="continue"/>
          </w:tcPr>
          <w:p w14:paraId="41DBBE8B">
            <w:pPr>
              <w:spacing w:line="300" w:lineRule="exact"/>
              <w:jc w:val="center"/>
              <w:rPr>
                <w:rFonts w:hint="default" w:ascii="Times New Roman" w:hAnsi="Times New Roman" w:cs="Times New Roman" w:eastAsiaTheme="minorEastAsia"/>
                <w:szCs w:val="21"/>
                <w:highlight w:val="none"/>
                <w:lang w:val="en-US" w:eastAsia="zh-CN"/>
              </w:rPr>
            </w:pPr>
          </w:p>
        </w:tc>
        <w:tc>
          <w:tcPr>
            <w:tcW w:w="1342" w:type="dxa"/>
            <w:vMerge w:val="continue"/>
          </w:tcPr>
          <w:p w14:paraId="6F9FE7FB">
            <w:pPr>
              <w:spacing w:line="300" w:lineRule="exact"/>
              <w:jc w:val="center"/>
              <w:rPr>
                <w:rFonts w:hint="default" w:ascii="Times New Roman" w:hAnsi="Times New Roman" w:cs="Times New Roman" w:eastAsiaTheme="minorEastAsia"/>
                <w:szCs w:val="21"/>
                <w:highlight w:val="none"/>
                <w:lang w:val="en-US" w:eastAsia="zh-CN"/>
              </w:rPr>
            </w:pPr>
          </w:p>
        </w:tc>
        <w:tc>
          <w:tcPr>
            <w:tcW w:w="1996" w:type="dxa"/>
            <w:shd w:val="clear" w:color="auto" w:fill="auto"/>
            <w:vAlign w:val="center"/>
          </w:tcPr>
          <w:p w14:paraId="08E4C4EC">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Sn+Sb+Cu+Mn+Ni</w:t>
            </w:r>
          </w:p>
        </w:tc>
        <w:tc>
          <w:tcPr>
            <w:tcW w:w="1558" w:type="dxa"/>
            <w:shd w:val="clear" w:color="auto" w:fill="auto"/>
            <w:vAlign w:val="center"/>
          </w:tcPr>
          <w:p w14:paraId="35D78784">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highlight w:val="none"/>
                <w:lang w:val="en-US" w:eastAsia="zh-CN"/>
              </w:rPr>
              <w:t>0.03</w:t>
            </w:r>
            <w:r>
              <w:rPr>
                <w:rFonts w:hint="eastAsia" w:ascii="Times New Roman" w:hAnsi="Times New Roman" w:cs="Times New Roman"/>
                <w:szCs w:val="21"/>
                <w:highlight w:val="none"/>
                <w:lang w:val="en-US" w:eastAsia="zh-CN"/>
              </w:rPr>
              <w:t>6</w:t>
            </w:r>
          </w:p>
        </w:tc>
        <w:tc>
          <w:tcPr>
            <w:tcW w:w="1602" w:type="dxa"/>
            <w:shd w:val="clear" w:color="auto" w:fill="auto"/>
            <w:vAlign w:val="center"/>
          </w:tcPr>
          <w:p w14:paraId="52817640">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highlight w:val="none"/>
                <w:lang w:val="en-US" w:eastAsia="zh-CN"/>
              </w:rPr>
              <w:t>8.162</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-5</w:t>
            </w:r>
          </w:p>
        </w:tc>
        <w:tc>
          <w:tcPr>
            <w:tcW w:w="1439" w:type="dxa"/>
            <w:shd w:val="clear" w:color="auto" w:fill="auto"/>
            <w:vAlign w:val="center"/>
          </w:tcPr>
          <w:p w14:paraId="07E0473F">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highlight w:val="none"/>
                <w:lang w:val="en-US" w:eastAsia="zh-CN"/>
              </w:rPr>
              <w:t>7.150</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-4</w:t>
            </w:r>
          </w:p>
        </w:tc>
      </w:tr>
      <w:tr w14:paraId="02079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5" w:type="dxa"/>
            <w:vMerge w:val="continue"/>
          </w:tcPr>
          <w:p w14:paraId="0861B03E">
            <w:pPr>
              <w:spacing w:line="300" w:lineRule="exact"/>
              <w:jc w:val="center"/>
              <w:rPr>
                <w:rFonts w:hint="default" w:ascii="Times New Roman" w:hAnsi="Times New Roman" w:cs="Times New Roman" w:eastAsiaTheme="minorEastAsia"/>
                <w:szCs w:val="21"/>
                <w:highlight w:val="none"/>
                <w:lang w:val="en-US" w:eastAsia="zh-CN"/>
              </w:rPr>
            </w:pPr>
          </w:p>
        </w:tc>
        <w:tc>
          <w:tcPr>
            <w:tcW w:w="1342" w:type="dxa"/>
            <w:vMerge w:val="continue"/>
          </w:tcPr>
          <w:p w14:paraId="48E46612">
            <w:pPr>
              <w:spacing w:line="300" w:lineRule="exact"/>
              <w:jc w:val="center"/>
              <w:rPr>
                <w:rFonts w:hint="default" w:ascii="Times New Roman" w:hAnsi="Times New Roman" w:cs="Times New Roman" w:eastAsiaTheme="minorEastAsia"/>
                <w:szCs w:val="21"/>
                <w:highlight w:val="none"/>
                <w:lang w:val="en-US" w:eastAsia="zh-CN"/>
              </w:rPr>
            </w:pPr>
          </w:p>
        </w:tc>
        <w:tc>
          <w:tcPr>
            <w:tcW w:w="1996" w:type="dxa"/>
            <w:shd w:val="clear" w:color="auto" w:fill="auto"/>
            <w:vAlign w:val="center"/>
          </w:tcPr>
          <w:p w14:paraId="22A27283">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二噁英类</w:t>
            </w:r>
          </w:p>
        </w:tc>
        <w:tc>
          <w:tcPr>
            <w:tcW w:w="1558" w:type="dxa"/>
            <w:shd w:val="clear" w:color="auto" w:fill="auto"/>
            <w:vAlign w:val="center"/>
          </w:tcPr>
          <w:p w14:paraId="2D29899D">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highlight w:val="none"/>
                <w:lang w:val="en-US" w:eastAsia="zh-CN"/>
              </w:rPr>
              <w:t>2.5×10</w:t>
            </w:r>
            <w:r>
              <w:rPr>
                <w:rFonts w:hint="eastAsia" w:ascii="Times New Roman" w:hAnsi="Times New Roman" w:cs="Times New Roman"/>
                <w:szCs w:val="21"/>
                <w:highlight w:val="none"/>
                <w:vertAlign w:val="superscript"/>
                <w:lang w:val="en-US" w:eastAsia="zh-CN"/>
              </w:rPr>
              <w:t>-6</w:t>
            </w:r>
          </w:p>
        </w:tc>
        <w:tc>
          <w:tcPr>
            <w:tcW w:w="1602" w:type="dxa"/>
            <w:shd w:val="clear" w:color="auto" w:fill="auto"/>
            <w:vAlign w:val="center"/>
          </w:tcPr>
          <w:p w14:paraId="0596F2DF">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highlight w:val="none"/>
                <w:lang w:val="en-US" w:eastAsia="zh-CN"/>
              </w:rPr>
              <w:t>5.</w:t>
            </w:r>
            <w:r>
              <w:rPr>
                <w:rFonts w:hint="eastAsia" w:ascii="Times New Roman" w:hAnsi="Times New Roman" w:cs="Times New Roman"/>
                <w:szCs w:val="21"/>
                <w:highlight w:val="none"/>
                <w:lang w:val="en-US" w:eastAsia="zh-CN"/>
              </w:rPr>
              <w:t>747</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-12</w:t>
            </w:r>
          </w:p>
        </w:tc>
        <w:tc>
          <w:tcPr>
            <w:tcW w:w="1439" w:type="dxa"/>
            <w:shd w:val="clear" w:color="auto" w:fill="auto"/>
            <w:vAlign w:val="center"/>
          </w:tcPr>
          <w:p w14:paraId="67841DC0">
            <w:pPr>
              <w:autoSpaceDE w:val="0"/>
              <w:autoSpaceDN w:val="0"/>
              <w:spacing w:line="300" w:lineRule="exact"/>
              <w:jc w:val="center"/>
              <w:rPr>
                <w:rFonts w:hint="eastAsia"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highlight w:val="none"/>
                <w:lang w:val="en-US" w:eastAsia="zh-CN"/>
              </w:rPr>
              <w:t>5.034</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-11</w:t>
            </w:r>
          </w:p>
        </w:tc>
      </w:tr>
      <w:tr w14:paraId="4CEB7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5" w:type="dxa"/>
            <w:vMerge w:val="restart"/>
            <w:vAlign w:val="center"/>
          </w:tcPr>
          <w:p w14:paraId="133A186A">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2</w:t>
            </w:r>
          </w:p>
        </w:tc>
        <w:tc>
          <w:tcPr>
            <w:tcW w:w="1342" w:type="dxa"/>
            <w:vMerge w:val="restart"/>
            <w:vAlign w:val="center"/>
          </w:tcPr>
          <w:p w14:paraId="2A94F587">
            <w:pPr>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医废暂存库（DA002）</w:t>
            </w:r>
          </w:p>
        </w:tc>
        <w:tc>
          <w:tcPr>
            <w:tcW w:w="1996" w:type="dxa"/>
            <w:shd w:val="clear" w:color="auto" w:fill="auto"/>
            <w:vAlign w:val="center"/>
          </w:tcPr>
          <w:p w14:paraId="3BEEC660">
            <w:pPr>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H</w:t>
            </w:r>
            <w:r>
              <w:rPr>
                <w:rFonts w:hint="eastAsia" w:ascii="Times New Roman" w:hAnsi="Times New Roman" w:cs="Times New Roman" w:eastAsiaTheme="minorEastAsia"/>
                <w:szCs w:val="21"/>
                <w:highlight w:val="none"/>
                <w:vertAlign w:val="subscript"/>
                <w:lang w:val="en-US" w:eastAsia="zh-CN"/>
              </w:rPr>
              <w:t>2</w:t>
            </w:r>
            <w:r>
              <w:rPr>
                <w:rFonts w:hint="eastAsia" w:ascii="Times New Roman" w:hAnsi="Times New Roman" w:cs="Times New Roman" w:eastAsiaTheme="minorEastAsia"/>
                <w:szCs w:val="21"/>
                <w:highlight w:val="none"/>
                <w:lang w:val="en-US" w:eastAsia="zh-CN"/>
              </w:rPr>
              <w:t>S</w:t>
            </w:r>
          </w:p>
        </w:tc>
        <w:tc>
          <w:tcPr>
            <w:tcW w:w="1558" w:type="dxa"/>
            <w:shd w:val="clear" w:color="auto" w:fill="auto"/>
            <w:vAlign w:val="center"/>
          </w:tcPr>
          <w:p w14:paraId="7847B4EF">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1602" w:type="dxa"/>
            <w:shd w:val="clear" w:color="auto" w:fill="auto"/>
            <w:vAlign w:val="center"/>
          </w:tcPr>
          <w:p w14:paraId="56978483">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5.34×10</w:t>
            </w:r>
            <w:r>
              <w:rPr>
                <w:rFonts w:hint="eastAsia" w:ascii="Times New Roman" w:hAnsi="Times New Roman" w:cs="Times New Roman"/>
                <w:szCs w:val="21"/>
                <w:highlight w:val="none"/>
                <w:vertAlign w:val="superscript"/>
                <w:lang w:val="en-US" w:eastAsia="zh-CN"/>
              </w:rPr>
              <w:t>-4</w:t>
            </w:r>
          </w:p>
        </w:tc>
        <w:tc>
          <w:tcPr>
            <w:tcW w:w="1439" w:type="dxa"/>
            <w:shd w:val="clear" w:color="auto" w:fill="auto"/>
            <w:vAlign w:val="center"/>
          </w:tcPr>
          <w:p w14:paraId="52E58C35">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4.678×10</w:t>
            </w:r>
            <w:r>
              <w:rPr>
                <w:rFonts w:hint="eastAsia" w:ascii="Times New Roman" w:hAnsi="Times New Roman" w:cs="Times New Roman"/>
                <w:szCs w:val="21"/>
                <w:highlight w:val="none"/>
                <w:vertAlign w:val="superscript"/>
                <w:lang w:val="en-US" w:eastAsia="zh-CN"/>
              </w:rPr>
              <w:t>-3</w:t>
            </w:r>
          </w:p>
        </w:tc>
      </w:tr>
      <w:tr w14:paraId="7509C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5" w:type="dxa"/>
            <w:vMerge w:val="continue"/>
            <w:vAlign w:val="center"/>
          </w:tcPr>
          <w:p w14:paraId="303FA694">
            <w:pPr>
              <w:spacing w:line="300" w:lineRule="exact"/>
              <w:jc w:val="center"/>
              <w:rPr>
                <w:rFonts w:hint="eastAsia" w:ascii="Times New Roman" w:hAnsi="Times New Roman" w:cs="Times New Roman" w:eastAsiaTheme="minorEastAsia"/>
                <w:szCs w:val="21"/>
                <w:highlight w:val="none"/>
                <w:lang w:val="en-US" w:eastAsia="zh-CN"/>
              </w:rPr>
            </w:pPr>
          </w:p>
        </w:tc>
        <w:tc>
          <w:tcPr>
            <w:tcW w:w="1342" w:type="dxa"/>
            <w:vMerge w:val="continue"/>
            <w:vAlign w:val="center"/>
          </w:tcPr>
          <w:p w14:paraId="262DB7C3">
            <w:pPr>
              <w:spacing w:line="300" w:lineRule="exact"/>
              <w:jc w:val="center"/>
              <w:rPr>
                <w:rFonts w:hint="eastAsia" w:ascii="Times New Roman" w:hAnsi="Times New Roman" w:cs="Times New Roman" w:eastAsiaTheme="minorEastAsia"/>
                <w:szCs w:val="21"/>
                <w:highlight w:val="none"/>
                <w:lang w:val="en-US" w:eastAsia="zh-CN"/>
              </w:rPr>
            </w:pPr>
          </w:p>
        </w:tc>
        <w:tc>
          <w:tcPr>
            <w:tcW w:w="1996" w:type="dxa"/>
            <w:shd w:val="clear" w:color="auto" w:fill="auto"/>
            <w:vAlign w:val="center"/>
          </w:tcPr>
          <w:p w14:paraId="35E8C93F">
            <w:pPr>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NH</w:t>
            </w:r>
            <w:r>
              <w:rPr>
                <w:rFonts w:hint="eastAsia" w:ascii="Times New Roman" w:hAnsi="Times New Roman" w:cs="Times New Roman" w:eastAsiaTheme="minorEastAsia"/>
                <w:szCs w:val="21"/>
                <w:highlight w:val="none"/>
                <w:vertAlign w:val="subscript"/>
                <w:lang w:val="en-US" w:eastAsia="zh-CN"/>
              </w:rPr>
              <w:t>3</w:t>
            </w:r>
          </w:p>
        </w:tc>
        <w:tc>
          <w:tcPr>
            <w:tcW w:w="1558" w:type="dxa"/>
            <w:shd w:val="clear" w:color="auto" w:fill="auto"/>
            <w:vAlign w:val="center"/>
          </w:tcPr>
          <w:p w14:paraId="7F38852A">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w:t>
            </w:r>
          </w:p>
        </w:tc>
        <w:tc>
          <w:tcPr>
            <w:tcW w:w="1602" w:type="dxa"/>
            <w:shd w:val="clear" w:color="auto" w:fill="auto"/>
            <w:vAlign w:val="center"/>
          </w:tcPr>
          <w:p w14:paraId="08116DC3">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4.237×10</w:t>
            </w:r>
            <w:r>
              <w:rPr>
                <w:rFonts w:hint="eastAsia" w:ascii="Times New Roman" w:hAnsi="Times New Roman" w:cs="Times New Roman"/>
                <w:szCs w:val="21"/>
                <w:highlight w:val="none"/>
                <w:vertAlign w:val="superscript"/>
                <w:lang w:val="en-US" w:eastAsia="zh-CN"/>
              </w:rPr>
              <w:t>-4</w:t>
            </w:r>
          </w:p>
        </w:tc>
        <w:tc>
          <w:tcPr>
            <w:tcW w:w="1439" w:type="dxa"/>
            <w:shd w:val="clear" w:color="auto" w:fill="auto"/>
            <w:vAlign w:val="center"/>
          </w:tcPr>
          <w:p w14:paraId="20A96E58">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3.711×10</w:t>
            </w:r>
            <w:r>
              <w:rPr>
                <w:rFonts w:hint="eastAsia" w:ascii="Times New Roman" w:hAnsi="Times New Roman" w:cs="Times New Roman"/>
                <w:szCs w:val="21"/>
                <w:highlight w:val="none"/>
                <w:vertAlign w:val="superscript"/>
                <w:lang w:val="en-US" w:eastAsia="zh-CN"/>
              </w:rPr>
              <w:t>-3</w:t>
            </w:r>
          </w:p>
        </w:tc>
      </w:tr>
    </w:tbl>
    <w:p w14:paraId="0C49113B">
      <w:pPr>
        <w:adjustRightInd w:val="0"/>
        <w:snapToGrid w:val="0"/>
        <w:spacing w:before="250" w:beforeLines="50"/>
        <w:ind w:firstLine="422" w:firstLineChars="200"/>
        <w:jc w:val="center"/>
        <w:rPr>
          <w:rFonts w:hint="default" w:ascii="Times New Roman" w:hAnsi="Times New Roman" w:cs="Times New Roman" w:eastAsiaTheme="minorEastAsia"/>
          <w:b/>
          <w:szCs w:val="21"/>
          <w:highlight w:val="none"/>
          <w:lang w:val="en-US" w:eastAsia="zh-CN"/>
        </w:rPr>
      </w:pPr>
      <w:r>
        <w:rPr>
          <w:rFonts w:hint="default" w:ascii="Times New Roman" w:hAnsi="Times New Roman" w:cs="Times New Roman" w:eastAsiaTheme="minorEastAsia"/>
          <w:b/>
          <w:szCs w:val="21"/>
          <w:highlight w:val="none"/>
          <w:lang w:val="en-US" w:eastAsia="zh-CN"/>
        </w:rPr>
        <w:t>表5.2-16  本项目大气污染物年排放量核算表</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5"/>
        <w:gridCol w:w="4264"/>
        <w:gridCol w:w="3073"/>
      </w:tblGrid>
      <w:tr w14:paraId="4B22C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95" w:type="pct"/>
            <w:tcBorders>
              <w:tl2br w:val="nil"/>
              <w:tr2bl w:val="nil"/>
            </w:tcBorders>
            <w:noWrap w:val="0"/>
            <w:vAlign w:val="center"/>
          </w:tcPr>
          <w:p w14:paraId="1675423E">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序号</w:t>
            </w:r>
          </w:p>
        </w:tc>
        <w:tc>
          <w:tcPr>
            <w:tcW w:w="2501" w:type="pct"/>
            <w:tcBorders>
              <w:tl2br w:val="nil"/>
              <w:tr2bl w:val="nil"/>
            </w:tcBorders>
            <w:noWrap w:val="0"/>
            <w:vAlign w:val="center"/>
          </w:tcPr>
          <w:p w14:paraId="48FD10E3">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污染物</w:t>
            </w:r>
          </w:p>
        </w:tc>
        <w:tc>
          <w:tcPr>
            <w:tcW w:w="1802" w:type="pct"/>
            <w:tcBorders>
              <w:tl2br w:val="nil"/>
              <w:tr2bl w:val="nil"/>
            </w:tcBorders>
            <w:noWrap w:val="0"/>
            <w:vAlign w:val="center"/>
          </w:tcPr>
          <w:p w14:paraId="4B8B89CE">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年排放量/（t/a）</w:t>
            </w:r>
          </w:p>
        </w:tc>
      </w:tr>
      <w:tr w14:paraId="69ECA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95" w:type="pct"/>
            <w:tcBorders>
              <w:tl2br w:val="nil"/>
              <w:tr2bl w:val="nil"/>
            </w:tcBorders>
            <w:noWrap w:val="0"/>
            <w:vAlign w:val="center"/>
          </w:tcPr>
          <w:p w14:paraId="61AD1D7C">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1</w:t>
            </w:r>
          </w:p>
        </w:tc>
        <w:tc>
          <w:tcPr>
            <w:tcW w:w="2501" w:type="pct"/>
            <w:tcBorders>
              <w:tl2br w:val="nil"/>
              <w:tr2bl w:val="nil"/>
            </w:tcBorders>
            <w:shd w:val="clear" w:color="auto" w:fill="auto"/>
            <w:noWrap w:val="0"/>
            <w:vAlign w:val="center"/>
          </w:tcPr>
          <w:p w14:paraId="54C9761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烟尘</w:t>
            </w:r>
          </w:p>
        </w:tc>
        <w:tc>
          <w:tcPr>
            <w:tcW w:w="3073" w:type="dxa"/>
            <w:tcBorders>
              <w:tl2br w:val="nil"/>
              <w:tr2bl w:val="nil"/>
            </w:tcBorders>
            <w:shd w:val="clear" w:color="auto" w:fill="auto"/>
            <w:noWrap w:val="0"/>
            <w:vAlign w:val="center"/>
          </w:tcPr>
          <w:p w14:paraId="1028803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0.178</w:t>
            </w:r>
          </w:p>
        </w:tc>
      </w:tr>
      <w:tr w14:paraId="43317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95" w:type="pct"/>
            <w:tcBorders>
              <w:tl2br w:val="nil"/>
              <w:tr2bl w:val="nil"/>
            </w:tcBorders>
            <w:noWrap w:val="0"/>
            <w:vAlign w:val="center"/>
          </w:tcPr>
          <w:p w14:paraId="7E458D2B">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2</w:t>
            </w:r>
          </w:p>
        </w:tc>
        <w:tc>
          <w:tcPr>
            <w:tcW w:w="2501" w:type="pct"/>
            <w:tcBorders>
              <w:tl2br w:val="nil"/>
              <w:tr2bl w:val="nil"/>
            </w:tcBorders>
            <w:shd w:val="clear" w:color="auto" w:fill="auto"/>
            <w:noWrap w:val="0"/>
            <w:vAlign w:val="center"/>
          </w:tcPr>
          <w:p w14:paraId="3ECA42F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SO</w:t>
            </w:r>
            <w:r>
              <w:rPr>
                <w:rFonts w:hint="eastAsia" w:ascii="Times New Roman" w:hAnsi="Times New Roman" w:cs="Times New Roman" w:eastAsiaTheme="minorEastAsia"/>
                <w:szCs w:val="21"/>
                <w:highlight w:val="none"/>
                <w:vertAlign w:val="subscript"/>
                <w:lang w:val="en-US" w:eastAsia="zh-CN"/>
              </w:rPr>
              <w:t>2</w:t>
            </w:r>
          </w:p>
        </w:tc>
        <w:tc>
          <w:tcPr>
            <w:tcW w:w="3073" w:type="dxa"/>
            <w:tcBorders>
              <w:tl2br w:val="nil"/>
              <w:tr2bl w:val="nil"/>
            </w:tcBorders>
            <w:shd w:val="clear" w:color="auto" w:fill="auto"/>
            <w:noWrap w:val="0"/>
            <w:vAlign w:val="center"/>
          </w:tcPr>
          <w:p w14:paraId="091D008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0.</w:t>
            </w:r>
            <w:r>
              <w:rPr>
                <w:rFonts w:hint="eastAsia" w:ascii="Times New Roman" w:hAnsi="Times New Roman" w:cs="Times New Roman"/>
                <w:szCs w:val="21"/>
                <w:highlight w:val="none"/>
                <w:lang w:val="en-US" w:eastAsia="zh-CN"/>
              </w:rPr>
              <w:t>255</w:t>
            </w:r>
          </w:p>
        </w:tc>
      </w:tr>
      <w:tr w14:paraId="0AF17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95" w:type="pct"/>
            <w:tcBorders>
              <w:tl2br w:val="nil"/>
              <w:tr2bl w:val="nil"/>
            </w:tcBorders>
            <w:noWrap w:val="0"/>
            <w:vAlign w:val="center"/>
          </w:tcPr>
          <w:p w14:paraId="7DCEECAD">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3</w:t>
            </w:r>
          </w:p>
        </w:tc>
        <w:tc>
          <w:tcPr>
            <w:tcW w:w="2501" w:type="pct"/>
            <w:tcBorders>
              <w:tl2br w:val="nil"/>
              <w:tr2bl w:val="nil"/>
            </w:tcBorders>
            <w:shd w:val="clear" w:color="auto" w:fill="auto"/>
            <w:noWrap w:val="0"/>
            <w:vAlign w:val="center"/>
          </w:tcPr>
          <w:p w14:paraId="6C49204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NOx</w:t>
            </w:r>
          </w:p>
        </w:tc>
        <w:tc>
          <w:tcPr>
            <w:tcW w:w="3073" w:type="dxa"/>
            <w:tcBorders>
              <w:tl2br w:val="nil"/>
              <w:tr2bl w:val="nil"/>
            </w:tcBorders>
            <w:shd w:val="clear" w:color="auto" w:fill="auto"/>
            <w:noWrap w:val="0"/>
            <w:vAlign w:val="center"/>
          </w:tcPr>
          <w:p w14:paraId="39A02CC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1.252</w:t>
            </w:r>
          </w:p>
        </w:tc>
      </w:tr>
      <w:tr w14:paraId="3B2C6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95" w:type="pct"/>
            <w:tcBorders>
              <w:tl2br w:val="nil"/>
              <w:tr2bl w:val="nil"/>
            </w:tcBorders>
            <w:noWrap w:val="0"/>
            <w:vAlign w:val="center"/>
          </w:tcPr>
          <w:p w14:paraId="5178C32A">
            <w:pPr>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4</w:t>
            </w:r>
          </w:p>
        </w:tc>
        <w:tc>
          <w:tcPr>
            <w:tcW w:w="2501" w:type="pct"/>
            <w:tcBorders>
              <w:tl2br w:val="nil"/>
              <w:tr2bl w:val="nil"/>
            </w:tcBorders>
            <w:shd w:val="clear" w:color="auto" w:fill="auto"/>
            <w:noWrap w:val="0"/>
            <w:vAlign w:val="center"/>
          </w:tcPr>
          <w:p w14:paraId="7BAEA3B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CO</w:t>
            </w:r>
          </w:p>
        </w:tc>
        <w:tc>
          <w:tcPr>
            <w:tcW w:w="3073" w:type="dxa"/>
            <w:tcBorders>
              <w:tl2br w:val="nil"/>
              <w:tr2bl w:val="nil"/>
            </w:tcBorders>
            <w:shd w:val="clear" w:color="auto" w:fill="auto"/>
            <w:noWrap w:val="0"/>
            <w:vAlign w:val="center"/>
          </w:tcPr>
          <w:p w14:paraId="3FD5F10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0.</w:t>
            </w:r>
            <w:r>
              <w:rPr>
                <w:rFonts w:hint="eastAsia" w:ascii="Times New Roman" w:hAnsi="Times New Roman" w:cs="Times New Roman"/>
                <w:szCs w:val="21"/>
                <w:highlight w:val="none"/>
                <w:lang w:val="en-US" w:eastAsia="zh-CN"/>
              </w:rPr>
              <w:t>345</w:t>
            </w:r>
          </w:p>
        </w:tc>
      </w:tr>
      <w:tr w14:paraId="35E28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95" w:type="pct"/>
            <w:tcBorders>
              <w:tl2br w:val="nil"/>
              <w:tr2bl w:val="nil"/>
            </w:tcBorders>
            <w:noWrap w:val="0"/>
            <w:vAlign w:val="center"/>
          </w:tcPr>
          <w:p w14:paraId="3E00ED5C">
            <w:pPr>
              <w:spacing w:line="300" w:lineRule="exact"/>
              <w:jc w:val="center"/>
              <w:rPr>
                <w:rFonts w:hint="default" w:ascii="Times New Roman" w:hAnsi="Times New Roman" w:cs="Times New Roman" w:eastAsiaTheme="minorEastAsia"/>
                <w:szCs w:val="21"/>
                <w:highlight w:val="none"/>
                <w:lang w:val="en-US" w:eastAsia="zh-CN"/>
              </w:rPr>
            </w:pPr>
            <w:bookmarkStart w:id="217" w:name="_Toc471765684"/>
            <w:r>
              <w:rPr>
                <w:rFonts w:hint="eastAsia" w:ascii="Times New Roman" w:hAnsi="Times New Roman" w:cs="Times New Roman"/>
                <w:szCs w:val="21"/>
                <w:highlight w:val="none"/>
                <w:lang w:val="en-US" w:eastAsia="zh-CN"/>
              </w:rPr>
              <w:t>5</w:t>
            </w:r>
          </w:p>
        </w:tc>
        <w:tc>
          <w:tcPr>
            <w:tcW w:w="2501" w:type="pct"/>
            <w:tcBorders>
              <w:tl2br w:val="nil"/>
              <w:tr2bl w:val="nil"/>
            </w:tcBorders>
            <w:shd w:val="clear" w:color="auto" w:fill="auto"/>
            <w:noWrap w:val="0"/>
            <w:vAlign w:val="center"/>
          </w:tcPr>
          <w:p w14:paraId="5511FD0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HCl</w:t>
            </w:r>
          </w:p>
        </w:tc>
        <w:tc>
          <w:tcPr>
            <w:tcW w:w="3073" w:type="dxa"/>
            <w:tcBorders>
              <w:tl2br w:val="nil"/>
              <w:tr2bl w:val="nil"/>
            </w:tcBorders>
            <w:shd w:val="clear" w:color="auto" w:fill="auto"/>
            <w:noWrap w:val="0"/>
            <w:vAlign w:val="center"/>
          </w:tcPr>
          <w:p w14:paraId="5107BC4E">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eastAsiaTheme="minorEastAsia"/>
                <w:szCs w:val="21"/>
                <w:highlight w:val="none"/>
                <w:lang w:val="en-US" w:eastAsia="zh-CN"/>
              </w:rPr>
              <w:t>0.1</w:t>
            </w:r>
            <w:r>
              <w:rPr>
                <w:rFonts w:hint="eastAsia" w:ascii="Times New Roman" w:hAnsi="Times New Roman" w:cs="Times New Roman"/>
                <w:szCs w:val="21"/>
                <w:highlight w:val="none"/>
                <w:lang w:val="en-US" w:eastAsia="zh-CN"/>
              </w:rPr>
              <w:t>44</w:t>
            </w:r>
          </w:p>
        </w:tc>
      </w:tr>
      <w:tr w14:paraId="0E48F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95" w:type="pct"/>
            <w:tcBorders>
              <w:tl2br w:val="nil"/>
              <w:tr2bl w:val="nil"/>
            </w:tcBorders>
            <w:noWrap w:val="0"/>
            <w:vAlign w:val="center"/>
          </w:tcPr>
          <w:p w14:paraId="5E8E4B5B">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6</w:t>
            </w:r>
          </w:p>
        </w:tc>
        <w:tc>
          <w:tcPr>
            <w:tcW w:w="2501" w:type="pct"/>
            <w:tcBorders>
              <w:tl2br w:val="nil"/>
              <w:tr2bl w:val="nil"/>
            </w:tcBorders>
            <w:shd w:val="clear" w:color="auto" w:fill="auto"/>
            <w:noWrap w:val="0"/>
            <w:vAlign w:val="center"/>
          </w:tcPr>
          <w:p w14:paraId="61CD248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HF</w:t>
            </w:r>
          </w:p>
        </w:tc>
        <w:tc>
          <w:tcPr>
            <w:tcW w:w="3073" w:type="dxa"/>
            <w:tcBorders>
              <w:tl2br w:val="nil"/>
              <w:tr2bl w:val="nil"/>
            </w:tcBorders>
            <w:shd w:val="clear" w:color="auto" w:fill="auto"/>
            <w:noWrap w:val="0"/>
            <w:vAlign w:val="center"/>
          </w:tcPr>
          <w:p w14:paraId="5F8795F2">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eastAsiaTheme="minorEastAsia"/>
                <w:szCs w:val="21"/>
                <w:highlight w:val="none"/>
                <w:lang w:val="en-US" w:eastAsia="zh-CN"/>
              </w:rPr>
              <w:t>0.0</w:t>
            </w:r>
            <w:r>
              <w:rPr>
                <w:rFonts w:hint="eastAsia" w:ascii="Times New Roman" w:hAnsi="Times New Roman" w:cs="Times New Roman"/>
                <w:szCs w:val="21"/>
                <w:highlight w:val="none"/>
                <w:lang w:val="en-US" w:eastAsia="zh-CN"/>
              </w:rPr>
              <w:t>4</w:t>
            </w:r>
          </w:p>
        </w:tc>
      </w:tr>
      <w:tr w14:paraId="40EA8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95" w:type="pct"/>
            <w:tcBorders>
              <w:tl2br w:val="nil"/>
              <w:tr2bl w:val="nil"/>
            </w:tcBorders>
            <w:noWrap w:val="0"/>
            <w:vAlign w:val="center"/>
          </w:tcPr>
          <w:p w14:paraId="4747D1E7">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7</w:t>
            </w:r>
          </w:p>
        </w:tc>
        <w:tc>
          <w:tcPr>
            <w:tcW w:w="2501" w:type="pct"/>
            <w:tcBorders>
              <w:tl2br w:val="nil"/>
              <w:tr2bl w:val="nil"/>
            </w:tcBorders>
            <w:shd w:val="clear" w:color="auto" w:fill="auto"/>
            <w:noWrap w:val="0"/>
            <w:vAlign w:val="center"/>
          </w:tcPr>
          <w:p w14:paraId="0421129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汞及其化合物</w:t>
            </w:r>
          </w:p>
        </w:tc>
        <w:tc>
          <w:tcPr>
            <w:tcW w:w="3073" w:type="dxa"/>
            <w:tcBorders>
              <w:tl2br w:val="nil"/>
              <w:tr2bl w:val="nil"/>
            </w:tcBorders>
            <w:shd w:val="clear" w:color="auto" w:fill="auto"/>
            <w:noWrap w:val="0"/>
            <w:vAlign w:val="center"/>
          </w:tcPr>
          <w:p w14:paraId="25740C6B">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eastAsiaTheme="minorEastAsia"/>
                <w:szCs w:val="21"/>
                <w:highlight w:val="none"/>
                <w:lang w:val="en-US" w:eastAsia="zh-CN"/>
              </w:rPr>
              <w:t>7.1</w:t>
            </w:r>
            <w:r>
              <w:rPr>
                <w:rFonts w:hint="eastAsia" w:ascii="Times New Roman" w:hAnsi="Times New Roman" w:cs="Times New Roman"/>
                <w:szCs w:val="21"/>
                <w:highlight w:val="none"/>
                <w:lang w:val="en-US" w:eastAsia="zh-CN"/>
              </w:rPr>
              <w:t>46</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w:t>
            </w:r>
            <w:r>
              <w:rPr>
                <w:rFonts w:hint="eastAsia" w:ascii="Times New Roman" w:hAnsi="Times New Roman" w:cs="Times New Roman"/>
                <w:szCs w:val="21"/>
                <w:highlight w:val="none"/>
                <w:vertAlign w:val="superscript"/>
                <w:lang w:val="en-US" w:eastAsia="zh-CN"/>
              </w:rPr>
              <w:t>8</w:t>
            </w:r>
          </w:p>
        </w:tc>
      </w:tr>
      <w:tr w14:paraId="374FB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95" w:type="pct"/>
            <w:tcBorders>
              <w:tl2br w:val="nil"/>
              <w:tr2bl w:val="nil"/>
            </w:tcBorders>
            <w:noWrap w:val="0"/>
            <w:vAlign w:val="center"/>
          </w:tcPr>
          <w:p w14:paraId="1000F063">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8</w:t>
            </w:r>
          </w:p>
        </w:tc>
        <w:tc>
          <w:tcPr>
            <w:tcW w:w="2501" w:type="pct"/>
            <w:tcBorders>
              <w:tl2br w:val="nil"/>
              <w:tr2bl w:val="nil"/>
            </w:tcBorders>
            <w:shd w:val="clear" w:color="auto" w:fill="auto"/>
            <w:noWrap w:val="0"/>
            <w:vAlign w:val="center"/>
          </w:tcPr>
          <w:p w14:paraId="1E5BF4A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铅及其化合物</w:t>
            </w:r>
          </w:p>
        </w:tc>
        <w:tc>
          <w:tcPr>
            <w:tcW w:w="3073" w:type="dxa"/>
            <w:tcBorders>
              <w:tl2br w:val="nil"/>
              <w:tr2bl w:val="nil"/>
            </w:tcBorders>
            <w:shd w:val="clear" w:color="auto" w:fill="auto"/>
            <w:noWrap w:val="0"/>
            <w:vAlign w:val="center"/>
          </w:tcPr>
          <w:p w14:paraId="3F3E2039">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eastAsiaTheme="minorEastAsia"/>
                <w:szCs w:val="21"/>
                <w:highlight w:val="none"/>
                <w:lang w:val="en-US" w:eastAsia="zh-CN"/>
              </w:rPr>
              <w:t>1.</w:t>
            </w:r>
            <w:r>
              <w:rPr>
                <w:rFonts w:hint="eastAsia" w:ascii="Times New Roman" w:hAnsi="Times New Roman" w:cs="Times New Roman"/>
                <w:szCs w:val="21"/>
                <w:highlight w:val="none"/>
                <w:lang w:val="en-US" w:eastAsia="zh-CN"/>
              </w:rPr>
              <w:t>284</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-4</w:t>
            </w:r>
          </w:p>
        </w:tc>
      </w:tr>
      <w:tr w14:paraId="427A0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95" w:type="pct"/>
            <w:tcBorders>
              <w:tl2br w:val="nil"/>
              <w:tr2bl w:val="nil"/>
            </w:tcBorders>
            <w:noWrap w:val="0"/>
            <w:vAlign w:val="center"/>
          </w:tcPr>
          <w:p w14:paraId="25A0A8DA">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9</w:t>
            </w:r>
          </w:p>
        </w:tc>
        <w:tc>
          <w:tcPr>
            <w:tcW w:w="2501" w:type="pct"/>
            <w:tcBorders>
              <w:tl2br w:val="nil"/>
              <w:tr2bl w:val="nil"/>
            </w:tcBorders>
            <w:shd w:val="clear" w:color="auto" w:fill="auto"/>
            <w:noWrap w:val="0"/>
            <w:vAlign w:val="center"/>
          </w:tcPr>
          <w:p w14:paraId="653DACE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镉及其化合物</w:t>
            </w:r>
          </w:p>
        </w:tc>
        <w:tc>
          <w:tcPr>
            <w:tcW w:w="3073" w:type="dxa"/>
            <w:tcBorders>
              <w:tl2br w:val="nil"/>
              <w:tr2bl w:val="nil"/>
            </w:tcBorders>
            <w:shd w:val="clear" w:color="auto" w:fill="auto"/>
            <w:noWrap w:val="0"/>
            <w:vAlign w:val="center"/>
          </w:tcPr>
          <w:p w14:paraId="72DAE4B6">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1.533</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-6</w:t>
            </w:r>
          </w:p>
        </w:tc>
      </w:tr>
      <w:tr w14:paraId="23E02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95" w:type="pct"/>
            <w:tcBorders>
              <w:tl2br w:val="nil"/>
              <w:tr2bl w:val="nil"/>
            </w:tcBorders>
            <w:noWrap w:val="0"/>
            <w:vAlign w:val="center"/>
          </w:tcPr>
          <w:p w14:paraId="7FEBF0CB">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10</w:t>
            </w:r>
          </w:p>
        </w:tc>
        <w:tc>
          <w:tcPr>
            <w:tcW w:w="2501" w:type="pct"/>
            <w:tcBorders>
              <w:tl2br w:val="nil"/>
              <w:tr2bl w:val="nil"/>
            </w:tcBorders>
            <w:shd w:val="clear" w:color="auto" w:fill="auto"/>
            <w:noWrap w:val="0"/>
            <w:vAlign w:val="center"/>
          </w:tcPr>
          <w:p w14:paraId="665F128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砷及其化合物</w:t>
            </w:r>
          </w:p>
        </w:tc>
        <w:tc>
          <w:tcPr>
            <w:tcW w:w="3073" w:type="dxa"/>
            <w:tcBorders>
              <w:tl2br w:val="nil"/>
              <w:tr2bl w:val="nil"/>
            </w:tcBorders>
            <w:shd w:val="clear" w:color="auto" w:fill="auto"/>
            <w:noWrap w:val="0"/>
            <w:vAlign w:val="center"/>
          </w:tcPr>
          <w:p w14:paraId="095E810E">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lang w:val="en-US" w:eastAsia="zh-CN"/>
              </w:rPr>
              <w:t>1.314</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3</w:t>
            </w:r>
          </w:p>
        </w:tc>
      </w:tr>
      <w:tr w14:paraId="38A8D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95" w:type="pct"/>
            <w:tcBorders>
              <w:tl2br w:val="nil"/>
              <w:tr2bl w:val="nil"/>
            </w:tcBorders>
            <w:noWrap w:val="0"/>
            <w:vAlign w:val="center"/>
          </w:tcPr>
          <w:p w14:paraId="13CD080B">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11</w:t>
            </w:r>
          </w:p>
        </w:tc>
        <w:tc>
          <w:tcPr>
            <w:tcW w:w="2501" w:type="pct"/>
            <w:tcBorders>
              <w:tl2br w:val="nil"/>
              <w:tr2bl w:val="nil"/>
            </w:tcBorders>
            <w:shd w:val="clear" w:color="auto" w:fill="auto"/>
            <w:noWrap w:val="0"/>
            <w:vAlign w:val="center"/>
          </w:tcPr>
          <w:p w14:paraId="4EE6EF9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铬及其化合物</w:t>
            </w:r>
          </w:p>
        </w:tc>
        <w:tc>
          <w:tcPr>
            <w:tcW w:w="3073" w:type="dxa"/>
            <w:tcBorders>
              <w:tl2br w:val="nil"/>
              <w:tr2bl w:val="nil"/>
            </w:tcBorders>
            <w:shd w:val="clear" w:color="auto" w:fill="auto"/>
            <w:noWrap w:val="0"/>
            <w:vAlign w:val="center"/>
          </w:tcPr>
          <w:p w14:paraId="6D43368C">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0.001</w:t>
            </w:r>
          </w:p>
        </w:tc>
      </w:tr>
      <w:tr w14:paraId="7CEC3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95" w:type="pct"/>
            <w:tcBorders>
              <w:tl2br w:val="nil"/>
              <w:tr2bl w:val="nil"/>
            </w:tcBorders>
            <w:noWrap w:val="0"/>
            <w:vAlign w:val="center"/>
          </w:tcPr>
          <w:p w14:paraId="622131DC">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12</w:t>
            </w:r>
          </w:p>
        </w:tc>
        <w:tc>
          <w:tcPr>
            <w:tcW w:w="2501" w:type="pct"/>
            <w:tcBorders>
              <w:tl2br w:val="nil"/>
              <w:tr2bl w:val="nil"/>
            </w:tcBorders>
            <w:shd w:val="clear" w:color="auto" w:fill="auto"/>
            <w:noWrap w:val="0"/>
            <w:vAlign w:val="center"/>
          </w:tcPr>
          <w:p w14:paraId="2B9E085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铊及其化合物</w:t>
            </w:r>
          </w:p>
        </w:tc>
        <w:tc>
          <w:tcPr>
            <w:tcW w:w="3073" w:type="dxa"/>
            <w:tcBorders>
              <w:tl2br w:val="nil"/>
              <w:tr2bl w:val="nil"/>
            </w:tcBorders>
            <w:shd w:val="clear" w:color="auto" w:fill="auto"/>
            <w:noWrap w:val="0"/>
            <w:vAlign w:val="center"/>
          </w:tcPr>
          <w:p w14:paraId="4813B29A">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1.92</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w:t>
            </w:r>
            <w:r>
              <w:rPr>
                <w:rFonts w:hint="eastAsia" w:ascii="Times New Roman" w:hAnsi="Times New Roman" w:cs="Times New Roman"/>
                <w:szCs w:val="21"/>
                <w:highlight w:val="none"/>
                <w:vertAlign w:val="superscript"/>
                <w:lang w:val="en-US" w:eastAsia="zh-CN"/>
              </w:rPr>
              <w:t>6</w:t>
            </w:r>
          </w:p>
        </w:tc>
      </w:tr>
      <w:tr w14:paraId="5FBC6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95" w:type="pct"/>
            <w:tcBorders>
              <w:tl2br w:val="nil"/>
              <w:tr2bl w:val="nil"/>
            </w:tcBorders>
            <w:noWrap w:val="0"/>
            <w:vAlign w:val="center"/>
          </w:tcPr>
          <w:p w14:paraId="0E4B9C64">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13</w:t>
            </w:r>
          </w:p>
        </w:tc>
        <w:tc>
          <w:tcPr>
            <w:tcW w:w="2501" w:type="pct"/>
            <w:tcBorders>
              <w:tl2br w:val="nil"/>
              <w:tr2bl w:val="nil"/>
            </w:tcBorders>
            <w:shd w:val="clear" w:color="auto" w:fill="auto"/>
            <w:noWrap w:val="0"/>
            <w:vAlign w:val="center"/>
          </w:tcPr>
          <w:p w14:paraId="37AFF68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Sn+Sb+Cu+Mn+Ni</w:t>
            </w:r>
          </w:p>
        </w:tc>
        <w:tc>
          <w:tcPr>
            <w:tcW w:w="3073" w:type="dxa"/>
            <w:tcBorders>
              <w:tl2br w:val="nil"/>
              <w:tr2bl w:val="nil"/>
            </w:tcBorders>
            <w:shd w:val="clear" w:color="auto" w:fill="auto"/>
            <w:noWrap w:val="0"/>
            <w:vAlign w:val="center"/>
          </w:tcPr>
          <w:p w14:paraId="675E32BC">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7.150</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-4</w:t>
            </w:r>
          </w:p>
        </w:tc>
      </w:tr>
      <w:tr w14:paraId="6BC30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95" w:type="pct"/>
            <w:tcBorders>
              <w:tl2br w:val="nil"/>
              <w:tr2bl w:val="nil"/>
            </w:tcBorders>
            <w:noWrap w:val="0"/>
            <w:vAlign w:val="center"/>
          </w:tcPr>
          <w:p w14:paraId="3151F6A0">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14</w:t>
            </w:r>
          </w:p>
        </w:tc>
        <w:tc>
          <w:tcPr>
            <w:tcW w:w="2501" w:type="pct"/>
            <w:tcBorders>
              <w:tl2br w:val="nil"/>
              <w:tr2bl w:val="nil"/>
            </w:tcBorders>
            <w:shd w:val="clear" w:color="auto" w:fill="auto"/>
            <w:noWrap w:val="0"/>
            <w:vAlign w:val="center"/>
          </w:tcPr>
          <w:p w14:paraId="54B75D36">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二噁英类</w:t>
            </w:r>
          </w:p>
        </w:tc>
        <w:tc>
          <w:tcPr>
            <w:tcW w:w="3073" w:type="dxa"/>
            <w:tcBorders>
              <w:tl2br w:val="nil"/>
              <w:tr2bl w:val="nil"/>
            </w:tcBorders>
            <w:shd w:val="clear" w:color="auto" w:fill="auto"/>
            <w:noWrap w:val="0"/>
            <w:vAlign w:val="center"/>
          </w:tcPr>
          <w:p w14:paraId="3EF450DF">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5.034</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-11</w:t>
            </w:r>
          </w:p>
        </w:tc>
      </w:tr>
      <w:tr w14:paraId="46417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95" w:type="pct"/>
            <w:tcBorders>
              <w:tl2br w:val="nil"/>
              <w:tr2bl w:val="nil"/>
            </w:tcBorders>
            <w:noWrap w:val="0"/>
            <w:vAlign w:val="center"/>
          </w:tcPr>
          <w:p w14:paraId="5D8AC60B">
            <w:pPr>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15</w:t>
            </w:r>
          </w:p>
        </w:tc>
        <w:tc>
          <w:tcPr>
            <w:tcW w:w="4264" w:type="dxa"/>
            <w:tcBorders>
              <w:tl2br w:val="nil"/>
              <w:tr2bl w:val="nil"/>
            </w:tcBorders>
            <w:shd w:val="clear" w:color="auto" w:fill="auto"/>
            <w:noWrap w:val="0"/>
            <w:vAlign w:val="center"/>
          </w:tcPr>
          <w:p w14:paraId="006E365E">
            <w:pPr>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H</w:t>
            </w:r>
            <w:r>
              <w:rPr>
                <w:rFonts w:hint="eastAsia" w:ascii="Times New Roman" w:hAnsi="Times New Roman" w:cs="Times New Roman" w:eastAsiaTheme="minorEastAsia"/>
                <w:szCs w:val="21"/>
                <w:highlight w:val="none"/>
                <w:vertAlign w:val="subscript"/>
                <w:lang w:val="en-US" w:eastAsia="zh-CN"/>
              </w:rPr>
              <w:t>2</w:t>
            </w:r>
            <w:r>
              <w:rPr>
                <w:rFonts w:hint="eastAsia" w:ascii="Times New Roman" w:hAnsi="Times New Roman" w:cs="Times New Roman" w:eastAsiaTheme="minorEastAsia"/>
                <w:szCs w:val="21"/>
                <w:highlight w:val="none"/>
                <w:lang w:val="en-US" w:eastAsia="zh-CN"/>
              </w:rPr>
              <w:t>S</w:t>
            </w:r>
          </w:p>
        </w:tc>
        <w:tc>
          <w:tcPr>
            <w:tcW w:w="3073" w:type="dxa"/>
            <w:tcBorders>
              <w:tl2br w:val="nil"/>
              <w:tr2bl w:val="nil"/>
            </w:tcBorders>
            <w:shd w:val="clear" w:color="auto" w:fill="auto"/>
            <w:noWrap w:val="0"/>
            <w:vAlign w:val="center"/>
          </w:tcPr>
          <w:p w14:paraId="0A3534D4">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4.678×10</w:t>
            </w:r>
            <w:r>
              <w:rPr>
                <w:rFonts w:hint="eastAsia" w:ascii="Times New Roman" w:hAnsi="Times New Roman" w:cs="Times New Roman"/>
                <w:szCs w:val="21"/>
                <w:highlight w:val="none"/>
                <w:vertAlign w:val="superscript"/>
                <w:lang w:val="en-US" w:eastAsia="zh-CN"/>
              </w:rPr>
              <w:t>-3</w:t>
            </w:r>
          </w:p>
        </w:tc>
      </w:tr>
      <w:tr w14:paraId="1C2A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95" w:type="pct"/>
            <w:tcBorders>
              <w:tl2br w:val="nil"/>
              <w:tr2bl w:val="nil"/>
            </w:tcBorders>
            <w:noWrap w:val="0"/>
            <w:vAlign w:val="center"/>
          </w:tcPr>
          <w:p w14:paraId="2503AE0B">
            <w:pPr>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16</w:t>
            </w:r>
          </w:p>
        </w:tc>
        <w:tc>
          <w:tcPr>
            <w:tcW w:w="4264" w:type="dxa"/>
            <w:tcBorders>
              <w:tl2br w:val="nil"/>
              <w:tr2bl w:val="nil"/>
            </w:tcBorders>
            <w:shd w:val="clear" w:color="auto" w:fill="auto"/>
            <w:noWrap w:val="0"/>
            <w:vAlign w:val="center"/>
          </w:tcPr>
          <w:p w14:paraId="54D11427">
            <w:pPr>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NH</w:t>
            </w:r>
            <w:r>
              <w:rPr>
                <w:rFonts w:hint="eastAsia" w:ascii="Times New Roman" w:hAnsi="Times New Roman" w:cs="Times New Roman" w:eastAsiaTheme="minorEastAsia"/>
                <w:szCs w:val="21"/>
                <w:highlight w:val="none"/>
                <w:vertAlign w:val="subscript"/>
                <w:lang w:val="en-US" w:eastAsia="zh-CN"/>
              </w:rPr>
              <w:t>3</w:t>
            </w:r>
          </w:p>
        </w:tc>
        <w:tc>
          <w:tcPr>
            <w:tcW w:w="3073" w:type="dxa"/>
            <w:tcBorders>
              <w:tl2br w:val="nil"/>
              <w:tr2bl w:val="nil"/>
            </w:tcBorders>
            <w:shd w:val="clear" w:color="auto" w:fill="auto"/>
            <w:noWrap w:val="0"/>
            <w:vAlign w:val="center"/>
          </w:tcPr>
          <w:p w14:paraId="2343465B">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3.711×10</w:t>
            </w:r>
            <w:r>
              <w:rPr>
                <w:rFonts w:hint="eastAsia" w:ascii="Times New Roman" w:hAnsi="Times New Roman" w:cs="Times New Roman"/>
                <w:szCs w:val="21"/>
                <w:highlight w:val="none"/>
                <w:vertAlign w:val="superscript"/>
                <w:lang w:val="en-US" w:eastAsia="zh-CN"/>
              </w:rPr>
              <w:t>-3</w:t>
            </w:r>
          </w:p>
        </w:tc>
      </w:tr>
    </w:tbl>
    <w:p w14:paraId="2823529F">
      <w:pPr>
        <w:pStyle w:val="4"/>
        <w:spacing w:before="120" w:after="120" w:line="500" w:lineRule="exact"/>
        <w:rPr>
          <w:rFonts w:hint="default" w:ascii="Times New Roman" w:hAnsi="Times New Roman" w:cs="Times New Roman" w:eastAsiaTheme="minorEastAsia"/>
          <w:kern w:val="0"/>
          <w:sz w:val="24"/>
          <w:szCs w:val="24"/>
          <w:lang w:val="en-US" w:eastAsia="en-US"/>
        </w:rPr>
      </w:pPr>
      <w:bookmarkStart w:id="218" w:name="_Toc27057"/>
      <w:r>
        <w:rPr>
          <w:rFonts w:hint="default" w:ascii="Times New Roman" w:hAnsi="Times New Roman" w:cs="Times New Roman" w:eastAsiaTheme="minorEastAsia"/>
          <w:kern w:val="0"/>
          <w:sz w:val="24"/>
          <w:szCs w:val="24"/>
          <w:lang w:val="en-US" w:eastAsia="en-US"/>
        </w:rPr>
        <w:t>5.2.</w:t>
      </w:r>
      <w:r>
        <w:rPr>
          <w:rFonts w:hint="eastAsia" w:ascii="Times New Roman" w:hAnsi="Times New Roman" w:cs="Times New Roman" w:eastAsiaTheme="minorEastAsia"/>
          <w:kern w:val="0"/>
          <w:sz w:val="24"/>
          <w:szCs w:val="24"/>
          <w:lang w:val="en-US" w:eastAsia="zh-CN"/>
        </w:rPr>
        <w:t>5</w:t>
      </w:r>
      <w:r>
        <w:rPr>
          <w:rFonts w:hint="default" w:ascii="Times New Roman" w:hAnsi="Times New Roman" w:cs="Times New Roman" w:eastAsiaTheme="minorEastAsia"/>
          <w:kern w:val="0"/>
          <w:sz w:val="24"/>
          <w:szCs w:val="24"/>
          <w:lang w:val="en-US" w:eastAsia="en-US"/>
        </w:rPr>
        <w:t xml:space="preserve"> 区域环境质量变化评价</w:t>
      </w:r>
      <w:bookmarkEnd w:id="218"/>
    </w:p>
    <w:p w14:paraId="4948A77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en-US"/>
        </w:rPr>
      </w:pPr>
      <w:r>
        <w:rPr>
          <w:rFonts w:hint="default" w:ascii="Times New Roman" w:hAnsi="Times New Roman" w:cs="Times New Roman" w:eastAsiaTheme="minorEastAsia"/>
          <w:sz w:val="24"/>
          <w:lang w:val="en-US" w:eastAsia="en-US"/>
        </w:rPr>
        <w:t>本项目位于</w:t>
      </w:r>
      <w:r>
        <w:rPr>
          <w:rFonts w:hint="eastAsia" w:ascii="Times New Roman" w:hAnsi="Times New Roman" w:cs="Times New Roman" w:eastAsiaTheme="minorEastAsia"/>
          <w:sz w:val="24"/>
          <w:lang w:val="en-US" w:eastAsia="zh-CN"/>
        </w:rPr>
        <w:t>喀什地区莎车县</w:t>
      </w:r>
      <w:r>
        <w:rPr>
          <w:rFonts w:hint="default" w:ascii="Times New Roman" w:hAnsi="Times New Roman" w:cs="Times New Roman" w:eastAsiaTheme="minorEastAsia"/>
          <w:sz w:val="24"/>
          <w:lang w:val="en-US" w:eastAsia="en-US"/>
        </w:rPr>
        <w:t>，属于环境空气质量</w:t>
      </w:r>
      <w:r>
        <w:rPr>
          <w:rFonts w:hint="default" w:ascii="Times New Roman" w:hAnsi="Times New Roman" w:cs="Times New Roman" w:eastAsiaTheme="minorEastAsia"/>
          <w:sz w:val="24"/>
          <w:lang w:val="en-US" w:eastAsia="zh-CN"/>
        </w:rPr>
        <w:t>不</w:t>
      </w:r>
      <w:r>
        <w:rPr>
          <w:rFonts w:hint="default" w:ascii="Times New Roman" w:hAnsi="Times New Roman" w:cs="Times New Roman" w:eastAsiaTheme="minorEastAsia"/>
          <w:sz w:val="24"/>
          <w:lang w:val="en-US" w:eastAsia="en-US"/>
        </w:rPr>
        <w:t>达标区；经预测：叠加源后，</w:t>
      </w:r>
      <w:r>
        <w:rPr>
          <w:rFonts w:hint="eastAsia" w:ascii="Times New Roman" w:hAnsi="Times New Roman" w:cs="Times New Roman" w:eastAsiaTheme="minorEastAsia"/>
          <w:sz w:val="24"/>
          <w:lang w:val="en-US" w:eastAsia="zh-CN"/>
        </w:rPr>
        <w:t>各项污染物</w:t>
      </w:r>
      <w:r>
        <w:rPr>
          <w:rFonts w:hint="default" w:ascii="Times New Roman" w:hAnsi="Times New Roman" w:cs="Times New Roman" w:eastAsiaTheme="minorEastAsia"/>
          <w:sz w:val="24"/>
          <w:lang w:val="en-US" w:eastAsia="en-US"/>
        </w:rPr>
        <w:t>的保证率日均浓度和年均质量浓度均符合《环境空气质量标准》</w:t>
      </w:r>
      <w:r>
        <w:rPr>
          <w:rFonts w:hint="default"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en-US"/>
        </w:rPr>
        <w:t>GB3095-20</w:t>
      </w:r>
      <w:r>
        <w:rPr>
          <w:rFonts w:hint="eastAsia" w:ascii="Times New Roman" w:hAnsi="Times New Roman" w:cs="Times New Roman" w:eastAsiaTheme="minorEastAsia"/>
          <w:sz w:val="24"/>
          <w:lang w:val="en-US" w:eastAsia="zh-CN"/>
        </w:rPr>
        <w:t>26</w:t>
      </w: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、《环境影响评价技术导则 大气环境》（HJ2.2-2018）附录D及《关于进一步加强生物质发电项目环境影响评价管理工作的通知》（环发〔2008〕82号）标准限值</w:t>
      </w:r>
      <w:r>
        <w:rPr>
          <w:rFonts w:hint="default" w:ascii="Times New Roman" w:hAnsi="Times New Roman" w:cs="Times New Roman" w:eastAsiaTheme="minorEastAsia"/>
          <w:sz w:val="24"/>
          <w:lang w:val="en-US" w:eastAsia="en-US"/>
        </w:rPr>
        <w:t>，项目污染物小时和日均浓度最大值占标率≤100%，污染物年均浓度最大值占标率≤30%。</w:t>
      </w:r>
    </w:p>
    <w:p w14:paraId="0EABAED8">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根据《关于在南疆四地州深度贫困地区实施〈环境影响评价技术导则 大气环境（HJ2.2-2018）〉差别化政策有关事宜的复函》（环办环评函〔2019〕590号），对于基准年城市环境质量PM</w:t>
      </w:r>
      <w:r>
        <w:rPr>
          <w:rFonts w:hint="default" w:ascii="Times New Roman" w:hAnsi="Times New Roman" w:cs="Times New Roman" w:eastAsiaTheme="minorEastAsia"/>
          <w:sz w:val="24"/>
          <w:vertAlign w:val="subscript"/>
          <w:lang w:val="en-US" w:eastAsia="zh-CN"/>
        </w:rPr>
        <w:t>2.5</w:t>
      </w:r>
      <w:r>
        <w:rPr>
          <w:rFonts w:hint="default" w:ascii="Times New Roman" w:hAnsi="Times New Roman" w:cs="Times New Roman" w:eastAsiaTheme="minorEastAsia"/>
          <w:sz w:val="24"/>
          <w:lang w:val="en-US" w:eastAsia="zh-CN"/>
        </w:rPr>
        <w:t>/PM</w:t>
      </w:r>
      <w:r>
        <w:rPr>
          <w:rFonts w:hint="default" w:ascii="Times New Roman" w:hAnsi="Times New Roman" w:cs="Times New Roman" w:eastAsiaTheme="minorEastAsia"/>
          <w:sz w:val="24"/>
          <w:vertAlign w:val="subscript"/>
          <w:lang w:val="en-US" w:eastAsia="zh-CN"/>
        </w:rPr>
        <w:t>10</w:t>
      </w:r>
      <w:r>
        <w:rPr>
          <w:rFonts w:hint="default" w:ascii="Times New Roman" w:hAnsi="Times New Roman" w:cs="Times New Roman" w:eastAsiaTheme="minorEastAsia"/>
          <w:sz w:val="24"/>
          <w:lang w:val="en-US" w:eastAsia="zh-CN"/>
        </w:rPr>
        <w:t>年均值比值小于0.5的不达标城市，一级评价项目同时满足以下条件：地方已发布“环境空气质量限期达标规划”或“打赢蓝天保卫战三年行动计划”，或近五年颗粒物（PM</w:t>
      </w:r>
      <w:r>
        <w:rPr>
          <w:rFonts w:hint="default" w:ascii="Times New Roman" w:hAnsi="Times New Roman" w:cs="Times New Roman" w:eastAsiaTheme="minorEastAsia"/>
          <w:sz w:val="24"/>
          <w:vertAlign w:val="subscript"/>
          <w:lang w:val="en-US" w:eastAsia="zh-CN"/>
        </w:rPr>
        <w:t>10</w:t>
      </w:r>
      <w:r>
        <w:rPr>
          <w:rFonts w:hint="default" w:ascii="Times New Roman" w:hAnsi="Times New Roman" w:cs="Times New Roman" w:eastAsiaTheme="minorEastAsia"/>
          <w:sz w:val="24"/>
          <w:lang w:val="en-US" w:eastAsia="zh-CN"/>
        </w:rPr>
        <w:t>、PM</w:t>
      </w:r>
      <w:r>
        <w:rPr>
          <w:rFonts w:hint="default" w:ascii="Times New Roman" w:hAnsi="Times New Roman" w:cs="Times New Roman" w:eastAsiaTheme="minorEastAsia"/>
          <w:sz w:val="24"/>
          <w:vertAlign w:val="subscript"/>
          <w:lang w:val="en-US" w:eastAsia="zh-CN"/>
        </w:rPr>
        <w:t>2.5</w:t>
      </w:r>
      <w:r>
        <w:rPr>
          <w:rFonts w:hint="default" w:ascii="Times New Roman" w:hAnsi="Times New Roman" w:cs="Times New Roman" w:eastAsiaTheme="minorEastAsia"/>
          <w:sz w:val="24"/>
          <w:lang w:val="en-US" w:eastAsia="zh-CN"/>
        </w:rPr>
        <w:t>）年均浓度呈下降趋势；新增污染源正常排放下污染物短期浓度贡献值最大浓度占标率≤100%；新增污染源正常排放下污染物年均浓度贡献值最大浓度占标率&lt;30%（其中一类区&lt;10%），可认为大气环境影响可接受。</w:t>
      </w:r>
    </w:p>
    <w:p w14:paraId="18B2688B">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en-US"/>
        </w:rPr>
      </w:pPr>
      <w:r>
        <w:rPr>
          <w:rFonts w:hint="default" w:ascii="Times New Roman" w:hAnsi="Times New Roman" w:cs="Times New Roman" w:eastAsiaTheme="minorEastAsia"/>
          <w:sz w:val="24"/>
          <w:lang w:val="en-US" w:eastAsia="en-US"/>
        </w:rPr>
        <w:t>综上，本项目在保证环保措施稳定运行条件下，通过严格管理确保污染物达标排放，认为大气环境影响可接受。</w:t>
      </w:r>
    </w:p>
    <w:p w14:paraId="351E4257">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219" w:name="_Toc25521"/>
      <w:r>
        <w:rPr>
          <w:rFonts w:hint="eastAsia" w:ascii="Times New Roman" w:hAnsi="Times New Roman" w:cs="Times New Roman" w:eastAsiaTheme="minorEastAsia"/>
          <w:kern w:val="0"/>
          <w:sz w:val="24"/>
          <w:szCs w:val="24"/>
          <w:lang w:val="en-US" w:eastAsia="zh-CN"/>
        </w:rPr>
        <w:t>5.2.6卫生防护距离</w:t>
      </w:r>
      <w:bookmarkEnd w:id="219"/>
    </w:p>
    <w:p w14:paraId="69FE3F18">
      <w:pPr>
        <w:pStyle w:val="20"/>
        <w:snapToGrid w:val="0"/>
        <w:ind w:left="0" w:leftChars="0" w:firstLine="480" w:firstLineChars="200"/>
        <w:jc w:val="left"/>
        <w:rPr>
          <w:rFonts w:hint="default"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本项目废气均为有组织排放，根据《大气有害物质无组织排放卫生防护距离推导技术导则》（GB/T 39499-2020），不设卫生防护距离。</w:t>
      </w:r>
    </w:p>
    <w:p w14:paraId="32F2EE80">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本项目大气环境影响评价自查表见表5.2-17。</w:t>
      </w:r>
    </w:p>
    <w:p w14:paraId="50D41CBA">
      <w:pPr>
        <w:adjustRightInd w:val="0"/>
        <w:snapToGrid w:val="0"/>
        <w:spacing w:before="250" w:beforeLines="50"/>
        <w:ind w:firstLine="422" w:firstLineChars="20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表5.2-17  建设项目大气环境影响评价自查表</w:t>
      </w:r>
    </w:p>
    <w:bookmarkEnd w:id="217"/>
    <w:tbl>
      <w:tblPr>
        <w:tblStyle w:val="12"/>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62"/>
        <w:gridCol w:w="1517"/>
        <w:gridCol w:w="832"/>
        <w:gridCol w:w="16"/>
        <w:gridCol w:w="538"/>
        <w:gridCol w:w="427"/>
        <w:gridCol w:w="575"/>
        <w:gridCol w:w="224"/>
        <w:gridCol w:w="449"/>
        <w:gridCol w:w="334"/>
        <w:gridCol w:w="424"/>
        <w:gridCol w:w="540"/>
        <w:gridCol w:w="733"/>
        <w:gridCol w:w="852"/>
      </w:tblGrid>
      <w:tr w14:paraId="02903D9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93" w:hRule="atLeast"/>
          <w:jc w:val="center"/>
        </w:trPr>
        <w:tc>
          <w:tcPr>
            <w:tcW w:w="1512" w:type="pct"/>
            <w:gridSpan w:val="2"/>
            <w:tcBorders>
              <w:tl2br w:val="nil"/>
              <w:tr2bl w:val="nil"/>
            </w:tcBorders>
            <w:noWrap w:val="0"/>
            <w:vAlign w:val="center"/>
          </w:tcPr>
          <w:p w14:paraId="1A7906DA">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工作内容</w:t>
            </w:r>
          </w:p>
        </w:tc>
        <w:tc>
          <w:tcPr>
            <w:tcW w:w="3487" w:type="pct"/>
            <w:gridSpan w:val="12"/>
            <w:tcBorders>
              <w:tl2br w:val="nil"/>
              <w:tr2bl w:val="nil"/>
            </w:tcBorders>
            <w:noWrap w:val="0"/>
            <w:vAlign w:val="center"/>
          </w:tcPr>
          <w:p w14:paraId="63347FD3">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自查项目</w:t>
            </w:r>
          </w:p>
        </w:tc>
      </w:tr>
      <w:tr w14:paraId="16DE01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23" w:type="pct"/>
            <w:vMerge w:val="restart"/>
            <w:tcBorders>
              <w:tl2br w:val="nil"/>
              <w:tr2bl w:val="nil"/>
            </w:tcBorders>
            <w:noWrap w:val="0"/>
            <w:vAlign w:val="center"/>
          </w:tcPr>
          <w:p w14:paraId="0CAAA693">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评价等级与范围</w:t>
            </w:r>
          </w:p>
        </w:tc>
        <w:tc>
          <w:tcPr>
            <w:tcW w:w="889" w:type="pct"/>
            <w:tcBorders>
              <w:tl2br w:val="nil"/>
              <w:tr2bl w:val="nil"/>
            </w:tcBorders>
            <w:noWrap w:val="0"/>
            <w:vAlign w:val="center"/>
          </w:tcPr>
          <w:p w14:paraId="24F1B480">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评价</w:t>
            </w:r>
          </w:p>
          <w:p w14:paraId="75123B35">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等级</w:t>
            </w:r>
          </w:p>
        </w:tc>
        <w:tc>
          <w:tcPr>
            <w:tcW w:w="1063" w:type="pct"/>
            <w:gridSpan w:val="4"/>
            <w:tcBorders>
              <w:tl2br w:val="nil"/>
              <w:tr2bl w:val="nil"/>
            </w:tcBorders>
            <w:noWrap w:val="0"/>
            <w:vAlign w:val="center"/>
          </w:tcPr>
          <w:p w14:paraId="6912BDDC">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一级☑</w:t>
            </w:r>
          </w:p>
        </w:tc>
        <w:tc>
          <w:tcPr>
            <w:tcW w:w="1176" w:type="pct"/>
            <w:gridSpan w:val="5"/>
            <w:tcBorders>
              <w:tl2br w:val="nil"/>
              <w:tr2bl w:val="nil"/>
            </w:tcBorders>
            <w:noWrap w:val="0"/>
            <w:vAlign w:val="center"/>
          </w:tcPr>
          <w:p w14:paraId="0E815B0D">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二级□</w:t>
            </w:r>
          </w:p>
        </w:tc>
        <w:tc>
          <w:tcPr>
            <w:tcW w:w="1246" w:type="pct"/>
            <w:gridSpan w:val="3"/>
            <w:tcBorders>
              <w:tl2br w:val="nil"/>
              <w:tr2bl w:val="nil"/>
            </w:tcBorders>
            <w:noWrap w:val="0"/>
            <w:vAlign w:val="center"/>
          </w:tcPr>
          <w:p w14:paraId="4BAC100E">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三级□</w:t>
            </w:r>
          </w:p>
        </w:tc>
      </w:tr>
      <w:tr w14:paraId="1667B5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23" w:type="pct"/>
            <w:vMerge w:val="continue"/>
            <w:tcBorders>
              <w:tl2br w:val="nil"/>
              <w:tr2bl w:val="nil"/>
            </w:tcBorders>
            <w:noWrap w:val="0"/>
            <w:vAlign w:val="center"/>
          </w:tcPr>
          <w:p w14:paraId="6C2203F9">
            <w:pPr>
              <w:spacing w:line="300" w:lineRule="exact"/>
              <w:jc w:val="center"/>
              <w:rPr>
                <w:rFonts w:hint="default" w:ascii="Times New Roman" w:hAnsi="Times New Roman" w:cs="Times New Roman" w:eastAsiaTheme="minorEastAsia"/>
                <w:szCs w:val="21"/>
                <w:lang w:val="en-US" w:eastAsia="zh-CN"/>
              </w:rPr>
            </w:pPr>
          </w:p>
        </w:tc>
        <w:tc>
          <w:tcPr>
            <w:tcW w:w="889" w:type="pct"/>
            <w:tcBorders>
              <w:tl2br w:val="nil"/>
              <w:tr2bl w:val="nil"/>
            </w:tcBorders>
            <w:noWrap w:val="0"/>
            <w:vAlign w:val="center"/>
          </w:tcPr>
          <w:p w14:paraId="47EC174D">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评价范围</w:t>
            </w:r>
          </w:p>
        </w:tc>
        <w:tc>
          <w:tcPr>
            <w:tcW w:w="1063" w:type="pct"/>
            <w:gridSpan w:val="4"/>
            <w:tcBorders>
              <w:tl2br w:val="nil"/>
              <w:tr2bl w:val="nil"/>
            </w:tcBorders>
            <w:noWrap w:val="0"/>
            <w:vAlign w:val="center"/>
          </w:tcPr>
          <w:p w14:paraId="1A06A7D1">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边长=50km□</w:t>
            </w:r>
          </w:p>
        </w:tc>
        <w:tc>
          <w:tcPr>
            <w:tcW w:w="1176" w:type="pct"/>
            <w:gridSpan w:val="5"/>
            <w:tcBorders>
              <w:tl2br w:val="nil"/>
              <w:tr2bl w:val="nil"/>
            </w:tcBorders>
            <w:noWrap w:val="0"/>
            <w:vAlign w:val="center"/>
          </w:tcPr>
          <w:p w14:paraId="630C97DE">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边长5</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50km□</w:t>
            </w:r>
          </w:p>
        </w:tc>
        <w:tc>
          <w:tcPr>
            <w:tcW w:w="1246" w:type="pct"/>
            <w:gridSpan w:val="3"/>
            <w:tcBorders>
              <w:tl2br w:val="nil"/>
              <w:tr2bl w:val="nil"/>
            </w:tcBorders>
            <w:noWrap w:val="0"/>
            <w:vAlign w:val="center"/>
          </w:tcPr>
          <w:p w14:paraId="3C614A16">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边长=5km☑</w:t>
            </w:r>
          </w:p>
        </w:tc>
      </w:tr>
      <w:tr w14:paraId="74662AE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23" w:type="pct"/>
            <w:vMerge w:val="restart"/>
            <w:tcBorders>
              <w:tl2br w:val="nil"/>
              <w:tr2bl w:val="nil"/>
            </w:tcBorders>
            <w:noWrap w:val="0"/>
            <w:vAlign w:val="center"/>
          </w:tcPr>
          <w:p w14:paraId="265C2253">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评价因子</w:t>
            </w:r>
          </w:p>
        </w:tc>
        <w:tc>
          <w:tcPr>
            <w:tcW w:w="889" w:type="pct"/>
            <w:tcBorders>
              <w:tl2br w:val="nil"/>
              <w:tr2bl w:val="nil"/>
            </w:tcBorders>
            <w:noWrap w:val="0"/>
            <w:vAlign w:val="center"/>
          </w:tcPr>
          <w:p w14:paraId="18AB4D6A">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SO</w:t>
            </w:r>
            <w:r>
              <w:rPr>
                <w:rFonts w:hint="default" w:ascii="Times New Roman" w:hAnsi="Times New Roman" w:cs="Times New Roman" w:eastAsiaTheme="minorEastAsia"/>
                <w:szCs w:val="21"/>
                <w:vertAlign w:val="subscript"/>
                <w:lang w:val="en-US" w:eastAsia="zh-CN"/>
              </w:rPr>
              <w:t>2</w:t>
            </w:r>
            <w:r>
              <w:rPr>
                <w:rFonts w:hint="default" w:ascii="Times New Roman" w:hAnsi="Times New Roman" w:cs="Times New Roman" w:eastAsiaTheme="minorEastAsia"/>
                <w:szCs w:val="21"/>
                <w:lang w:val="en-US" w:eastAsia="zh-CN"/>
              </w:rPr>
              <w:t>+NOx排放量</w:t>
            </w:r>
          </w:p>
        </w:tc>
        <w:tc>
          <w:tcPr>
            <w:tcW w:w="1063" w:type="pct"/>
            <w:gridSpan w:val="4"/>
            <w:tcBorders>
              <w:tl2br w:val="nil"/>
              <w:tr2bl w:val="nil"/>
            </w:tcBorders>
            <w:noWrap w:val="0"/>
            <w:vAlign w:val="center"/>
          </w:tcPr>
          <w:p w14:paraId="24C5FCEE">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≥2000t/a</w:t>
            </w:r>
            <w:r>
              <w:rPr>
                <w:rFonts w:hint="eastAsia" w:ascii="Times New Roman" w:hAnsi="Times New Roman" w:cs="Times New Roman"/>
                <w:szCs w:val="21"/>
                <w:lang w:val="en-US" w:eastAsia="zh-CN"/>
              </w:rPr>
              <w:t>☑</w:t>
            </w:r>
          </w:p>
        </w:tc>
        <w:tc>
          <w:tcPr>
            <w:tcW w:w="1176" w:type="pct"/>
            <w:gridSpan w:val="5"/>
            <w:tcBorders>
              <w:tl2br w:val="nil"/>
              <w:tr2bl w:val="nil"/>
            </w:tcBorders>
            <w:noWrap w:val="0"/>
            <w:vAlign w:val="center"/>
          </w:tcPr>
          <w:p w14:paraId="6A065822">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500</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2000t/a□</w:t>
            </w:r>
          </w:p>
        </w:tc>
        <w:tc>
          <w:tcPr>
            <w:tcW w:w="1246" w:type="pct"/>
            <w:gridSpan w:val="3"/>
            <w:tcBorders>
              <w:tl2br w:val="nil"/>
              <w:tr2bl w:val="nil"/>
            </w:tcBorders>
            <w:noWrap w:val="0"/>
            <w:vAlign w:val="center"/>
          </w:tcPr>
          <w:p w14:paraId="70B66E1B">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&lt;500t/a☑</w:t>
            </w:r>
          </w:p>
        </w:tc>
      </w:tr>
      <w:tr w14:paraId="19C88D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23" w:type="pct"/>
            <w:vMerge w:val="continue"/>
            <w:tcBorders>
              <w:tl2br w:val="nil"/>
              <w:tr2bl w:val="nil"/>
            </w:tcBorders>
            <w:noWrap w:val="0"/>
            <w:vAlign w:val="center"/>
          </w:tcPr>
          <w:p w14:paraId="0F8AC6B9">
            <w:pPr>
              <w:spacing w:line="300" w:lineRule="exact"/>
              <w:jc w:val="center"/>
              <w:rPr>
                <w:rFonts w:hint="default" w:ascii="Times New Roman" w:hAnsi="Times New Roman" w:cs="Times New Roman" w:eastAsiaTheme="minorEastAsia"/>
                <w:szCs w:val="21"/>
                <w:lang w:val="en-US" w:eastAsia="zh-CN"/>
              </w:rPr>
            </w:pPr>
          </w:p>
        </w:tc>
        <w:tc>
          <w:tcPr>
            <w:tcW w:w="889" w:type="pct"/>
            <w:tcBorders>
              <w:tl2br w:val="nil"/>
              <w:tr2bl w:val="nil"/>
            </w:tcBorders>
            <w:noWrap w:val="0"/>
            <w:vAlign w:val="center"/>
          </w:tcPr>
          <w:p w14:paraId="3DE51C6B">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评价</w:t>
            </w:r>
          </w:p>
          <w:p w14:paraId="4EE6DAE9">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因子</w:t>
            </w:r>
          </w:p>
        </w:tc>
        <w:tc>
          <w:tcPr>
            <w:tcW w:w="2240" w:type="pct"/>
            <w:gridSpan w:val="9"/>
            <w:tcBorders>
              <w:tl2br w:val="nil"/>
              <w:tr2bl w:val="nil"/>
            </w:tcBorders>
            <w:noWrap w:val="0"/>
            <w:vAlign w:val="center"/>
          </w:tcPr>
          <w:p w14:paraId="05D1F2CE">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基本污染物（SO</w:t>
            </w:r>
            <w:r>
              <w:rPr>
                <w:rFonts w:hint="default" w:ascii="Times New Roman" w:hAnsi="Times New Roman" w:cs="Times New Roman" w:eastAsiaTheme="minorEastAsia"/>
                <w:szCs w:val="21"/>
                <w:vertAlign w:val="subscript"/>
                <w:lang w:val="en-US" w:eastAsia="zh-CN"/>
              </w:rPr>
              <w:t>2</w:t>
            </w:r>
            <w:r>
              <w:rPr>
                <w:rFonts w:hint="default" w:ascii="Times New Roman" w:hAnsi="Times New Roman" w:cs="Times New Roman" w:eastAsiaTheme="minorEastAsia"/>
                <w:szCs w:val="21"/>
                <w:lang w:val="en-US" w:eastAsia="zh-CN"/>
              </w:rPr>
              <w:t>、NO</w:t>
            </w:r>
            <w:r>
              <w:rPr>
                <w:rFonts w:hint="default" w:ascii="Times New Roman" w:hAnsi="Times New Roman" w:cs="Times New Roman" w:eastAsiaTheme="minorEastAsia"/>
                <w:szCs w:val="21"/>
                <w:vertAlign w:val="subscript"/>
                <w:lang w:val="en-US" w:eastAsia="zh-CN"/>
              </w:rPr>
              <w:t>2</w:t>
            </w:r>
            <w:r>
              <w:rPr>
                <w:rFonts w:hint="default" w:ascii="Times New Roman" w:hAnsi="Times New Roman" w:cs="Times New Roman" w:eastAsiaTheme="minorEastAsia"/>
                <w:szCs w:val="21"/>
                <w:lang w:val="en-US" w:eastAsia="zh-CN"/>
              </w:rPr>
              <w:t>、PM</w:t>
            </w:r>
            <w:r>
              <w:rPr>
                <w:rFonts w:hint="default" w:ascii="Times New Roman" w:hAnsi="Times New Roman" w:cs="Times New Roman" w:eastAsiaTheme="minorEastAsia"/>
                <w:szCs w:val="21"/>
                <w:vertAlign w:val="subscript"/>
                <w:lang w:val="en-US" w:eastAsia="zh-CN"/>
              </w:rPr>
              <w:t>10</w:t>
            </w:r>
            <w:r>
              <w:rPr>
                <w:rFonts w:hint="default" w:ascii="Times New Roman" w:hAnsi="Times New Roman" w:cs="Times New Roman" w:eastAsiaTheme="minorEastAsia"/>
                <w:szCs w:val="21"/>
                <w:lang w:val="en-US" w:eastAsia="zh-CN"/>
              </w:rPr>
              <w:t>、PM</w:t>
            </w:r>
            <w:r>
              <w:rPr>
                <w:rFonts w:hint="default" w:ascii="Times New Roman" w:hAnsi="Times New Roman" w:cs="Times New Roman" w:eastAsiaTheme="minorEastAsia"/>
                <w:szCs w:val="21"/>
                <w:vertAlign w:val="subscript"/>
                <w:lang w:val="en-US" w:eastAsia="zh-CN"/>
              </w:rPr>
              <w:t>2.5</w:t>
            </w:r>
            <w:r>
              <w:rPr>
                <w:rFonts w:hint="default" w:ascii="Times New Roman" w:hAnsi="Times New Roman" w:cs="Times New Roman" w:eastAsiaTheme="minorEastAsia"/>
                <w:szCs w:val="21"/>
                <w:lang w:val="en-US" w:eastAsia="zh-CN"/>
              </w:rPr>
              <w:t>、CO）</w:t>
            </w:r>
          </w:p>
          <w:p w14:paraId="2BDD8CB0">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其他污染物（</w:t>
            </w:r>
            <w:r>
              <w:rPr>
                <w:rFonts w:hint="eastAsia" w:ascii="Times New Roman" w:hAnsi="Times New Roman" w:cs="Times New Roman"/>
                <w:szCs w:val="21"/>
                <w:lang w:val="en-US" w:eastAsia="zh-CN"/>
              </w:rPr>
              <w:t>HF、HCl、</w:t>
            </w:r>
            <w:r>
              <w:rPr>
                <w:rFonts w:hint="eastAsia" w:ascii="Times New Roman" w:hAnsi="Times New Roman" w:cs="Times New Roman" w:eastAsiaTheme="minorEastAsia"/>
                <w:szCs w:val="21"/>
                <w:lang w:val="en-US" w:eastAsia="zh-CN"/>
              </w:rPr>
              <w:t>汞及其化合物</w:t>
            </w:r>
            <w:r>
              <w:rPr>
                <w:rFonts w:hint="eastAsia" w:ascii="Times New Roman" w:hAnsi="Times New Roman" w:cs="Times New Roman"/>
                <w:szCs w:val="21"/>
                <w:lang w:val="en-US" w:eastAsia="zh-CN"/>
              </w:rPr>
              <w:t>、铅</w:t>
            </w:r>
            <w:r>
              <w:rPr>
                <w:rFonts w:hint="eastAsia" w:ascii="Times New Roman" w:hAnsi="Times New Roman" w:cs="Times New Roman" w:eastAsiaTheme="minorEastAsia"/>
                <w:szCs w:val="21"/>
                <w:lang w:val="en-US" w:eastAsia="zh-CN"/>
              </w:rPr>
              <w:t>及其化合物</w:t>
            </w:r>
            <w:r>
              <w:rPr>
                <w:rFonts w:hint="eastAsia" w:ascii="Times New Roman" w:hAnsi="Times New Roman" w:cs="Times New Roman"/>
                <w:szCs w:val="21"/>
                <w:lang w:val="en-US" w:eastAsia="zh-CN"/>
              </w:rPr>
              <w:t>、砷</w:t>
            </w:r>
            <w:r>
              <w:rPr>
                <w:rFonts w:hint="eastAsia" w:ascii="Times New Roman" w:hAnsi="Times New Roman" w:cs="Times New Roman" w:eastAsiaTheme="minorEastAsia"/>
                <w:szCs w:val="21"/>
                <w:lang w:val="en-US" w:eastAsia="zh-CN"/>
              </w:rPr>
              <w:t>及其化合物</w:t>
            </w:r>
            <w:r>
              <w:rPr>
                <w:rFonts w:hint="eastAsia" w:ascii="Times New Roman" w:hAnsi="Times New Roman" w:cs="Times New Roman"/>
                <w:szCs w:val="21"/>
                <w:lang w:val="en-US" w:eastAsia="zh-CN"/>
              </w:rPr>
              <w:t>、镉及其化合物、二噁英</w:t>
            </w:r>
            <w:r>
              <w:rPr>
                <w:rFonts w:hint="default" w:ascii="Times New Roman" w:hAnsi="Times New Roman" w:cs="Times New Roman" w:eastAsiaTheme="minorEastAsia"/>
                <w:szCs w:val="21"/>
                <w:lang w:val="en-US" w:eastAsia="zh-CN"/>
              </w:rPr>
              <w:t>）</w:t>
            </w:r>
          </w:p>
        </w:tc>
        <w:tc>
          <w:tcPr>
            <w:tcW w:w="1246" w:type="pct"/>
            <w:gridSpan w:val="3"/>
            <w:tcBorders>
              <w:tl2br w:val="nil"/>
              <w:tr2bl w:val="nil"/>
            </w:tcBorders>
            <w:noWrap w:val="0"/>
            <w:vAlign w:val="center"/>
          </w:tcPr>
          <w:p w14:paraId="2FAD750F">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包括二次PM</w:t>
            </w:r>
            <w:r>
              <w:rPr>
                <w:rFonts w:hint="default" w:ascii="Times New Roman" w:hAnsi="Times New Roman" w:cs="Times New Roman" w:eastAsiaTheme="minorEastAsia"/>
                <w:szCs w:val="21"/>
                <w:vertAlign w:val="subscript"/>
                <w:lang w:val="en-US" w:eastAsia="zh-CN"/>
              </w:rPr>
              <w:t>2.5</w:t>
            </w:r>
            <w:r>
              <w:rPr>
                <w:rFonts w:hint="default" w:ascii="Times New Roman" w:hAnsi="Times New Roman" w:cs="Times New Roman" w:eastAsiaTheme="minorEastAsia"/>
                <w:szCs w:val="21"/>
                <w:lang w:val="en-US" w:eastAsia="zh-CN"/>
              </w:rPr>
              <w:t xml:space="preserve">  □</w:t>
            </w:r>
          </w:p>
          <w:p w14:paraId="322B9027">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不包括二次PM</w:t>
            </w:r>
            <w:r>
              <w:rPr>
                <w:rFonts w:hint="default" w:ascii="Times New Roman" w:hAnsi="Times New Roman" w:cs="Times New Roman" w:eastAsiaTheme="minorEastAsia"/>
                <w:szCs w:val="21"/>
                <w:vertAlign w:val="subscript"/>
                <w:lang w:val="en-US" w:eastAsia="zh-CN"/>
              </w:rPr>
              <w:t>2.5</w:t>
            </w:r>
            <w:r>
              <w:rPr>
                <w:rFonts w:hint="default" w:ascii="Times New Roman" w:hAnsi="Times New Roman" w:cs="Times New Roman" w:eastAsiaTheme="minorEastAsia"/>
                <w:szCs w:val="21"/>
                <w:lang w:val="en-US" w:eastAsia="zh-CN"/>
              </w:rPr>
              <w:t>☑</w:t>
            </w:r>
          </w:p>
        </w:tc>
      </w:tr>
      <w:tr w14:paraId="2593432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23" w:type="pct"/>
            <w:tcBorders>
              <w:tl2br w:val="nil"/>
              <w:tr2bl w:val="nil"/>
            </w:tcBorders>
            <w:noWrap w:val="0"/>
            <w:vAlign w:val="center"/>
          </w:tcPr>
          <w:p w14:paraId="58BD3693">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评价标准</w:t>
            </w:r>
          </w:p>
        </w:tc>
        <w:tc>
          <w:tcPr>
            <w:tcW w:w="889" w:type="pct"/>
            <w:tcBorders>
              <w:tl2br w:val="nil"/>
              <w:tr2bl w:val="nil"/>
            </w:tcBorders>
            <w:noWrap w:val="0"/>
            <w:vAlign w:val="center"/>
          </w:tcPr>
          <w:p w14:paraId="0CC1EBA8">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评价</w:t>
            </w:r>
          </w:p>
          <w:p w14:paraId="77504E81">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标准</w:t>
            </w:r>
          </w:p>
        </w:tc>
        <w:tc>
          <w:tcPr>
            <w:tcW w:w="813" w:type="pct"/>
            <w:gridSpan w:val="3"/>
            <w:tcBorders>
              <w:tl2br w:val="nil"/>
              <w:tr2bl w:val="nil"/>
            </w:tcBorders>
            <w:noWrap w:val="0"/>
            <w:vAlign w:val="center"/>
          </w:tcPr>
          <w:p w14:paraId="4081893D">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国家标准☑</w:t>
            </w:r>
          </w:p>
        </w:tc>
        <w:tc>
          <w:tcPr>
            <w:tcW w:w="719" w:type="pct"/>
            <w:gridSpan w:val="3"/>
            <w:tcBorders>
              <w:tl2br w:val="nil"/>
              <w:tr2bl w:val="nil"/>
            </w:tcBorders>
            <w:noWrap w:val="0"/>
            <w:vAlign w:val="center"/>
          </w:tcPr>
          <w:p w14:paraId="07608450">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地方标准□</w:t>
            </w:r>
          </w:p>
        </w:tc>
        <w:tc>
          <w:tcPr>
            <w:tcW w:w="1024" w:type="pct"/>
            <w:gridSpan w:val="4"/>
            <w:tcBorders>
              <w:tl2br w:val="nil"/>
              <w:tr2bl w:val="nil"/>
            </w:tcBorders>
            <w:noWrap w:val="0"/>
            <w:vAlign w:val="center"/>
          </w:tcPr>
          <w:p w14:paraId="1296E0DF">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附录D☑</w:t>
            </w:r>
          </w:p>
        </w:tc>
        <w:tc>
          <w:tcPr>
            <w:tcW w:w="929" w:type="pct"/>
            <w:gridSpan w:val="2"/>
            <w:tcBorders>
              <w:tl2br w:val="nil"/>
              <w:tr2bl w:val="nil"/>
            </w:tcBorders>
            <w:noWrap w:val="0"/>
            <w:vAlign w:val="center"/>
          </w:tcPr>
          <w:p w14:paraId="7587E1A3">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其他标准</w:t>
            </w:r>
            <w:r>
              <w:rPr>
                <w:rFonts w:hint="eastAsia" w:ascii="Times New Roman" w:hAnsi="Times New Roman" w:cs="Times New Roman"/>
                <w:szCs w:val="21"/>
                <w:lang w:val="en-US" w:eastAsia="zh-CN"/>
              </w:rPr>
              <w:t>☑</w:t>
            </w:r>
          </w:p>
        </w:tc>
      </w:tr>
      <w:tr w14:paraId="04DA7BF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4" w:hRule="atLeast"/>
          <w:jc w:val="center"/>
        </w:trPr>
        <w:tc>
          <w:tcPr>
            <w:tcW w:w="623" w:type="pct"/>
            <w:vMerge w:val="restart"/>
            <w:tcBorders>
              <w:tl2br w:val="nil"/>
              <w:tr2bl w:val="nil"/>
            </w:tcBorders>
            <w:noWrap w:val="0"/>
            <w:vAlign w:val="center"/>
          </w:tcPr>
          <w:p w14:paraId="4422744F">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现状评价</w:t>
            </w:r>
          </w:p>
        </w:tc>
        <w:tc>
          <w:tcPr>
            <w:tcW w:w="889" w:type="pct"/>
            <w:tcBorders>
              <w:tl2br w:val="nil"/>
              <w:tr2bl w:val="nil"/>
            </w:tcBorders>
            <w:noWrap w:val="0"/>
            <w:vAlign w:val="center"/>
          </w:tcPr>
          <w:p w14:paraId="350F32EB">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环境功能区</w:t>
            </w:r>
          </w:p>
        </w:tc>
        <w:tc>
          <w:tcPr>
            <w:tcW w:w="1063" w:type="pct"/>
            <w:gridSpan w:val="4"/>
            <w:tcBorders>
              <w:tl2br w:val="nil"/>
              <w:tr2bl w:val="nil"/>
            </w:tcBorders>
            <w:noWrap w:val="0"/>
            <w:vAlign w:val="center"/>
          </w:tcPr>
          <w:p w14:paraId="5132EF08">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一类区</w:t>
            </w:r>
            <w:r>
              <w:rPr>
                <w:rFonts w:hint="eastAsia" w:ascii="Times New Roman" w:hAnsi="Times New Roman" w:cs="Times New Roman"/>
                <w:szCs w:val="21"/>
                <w:lang w:val="en-US" w:eastAsia="zh-CN"/>
              </w:rPr>
              <w:t>□</w:t>
            </w:r>
          </w:p>
        </w:tc>
        <w:tc>
          <w:tcPr>
            <w:tcW w:w="1176" w:type="pct"/>
            <w:gridSpan w:val="5"/>
            <w:tcBorders>
              <w:tl2br w:val="nil"/>
              <w:tr2bl w:val="nil"/>
            </w:tcBorders>
            <w:noWrap w:val="0"/>
            <w:vAlign w:val="center"/>
          </w:tcPr>
          <w:p w14:paraId="7F0A1EBE">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二类区☑</w:t>
            </w:r>
          </w:p>
        </w:tc>
        <w:tc>
          <w:tcPr>
            <w:tcW w:w="1246" w:type="pct"/>
            <w:gridSpan w:val="3"/>
            <w:tcBorders>
              <w:tl2br w:val="nil"/>
              <w:tr2bl w:val="nil"/>
            </w:tcBorders>
            <w:noWrap w:val="0"/>
            <w:vAlign w:val="center"/>
          </w:tcPr>
          <w:p w14:paraId="2D49FD1E">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一类区和二类区□</w:t>
            </w:r>
          </w:p>
        </w:tc>
      </w:tr>
      <w:tr w14:paraId="5865B45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79" w:hRule="atLeast"/>
          <w:jc w:val="center"/>
        </w:trPr>
        <w:tc>
          <w:tcPr>
            <w:tcW w:w="623" w:type="pct"/>
            <w:vMerge w:val="continue"/>
            <w:tcBorders>
              <w:tl2br w:val="nil"/>
              <w:tr2bl w:val="nil"/>
            </w:tcBorders>
            <w:noWrap w:val="0"/>
            <w:vAlign w:val="center"/>
          </w:tcPr>
          <w:p w14:paraId="13049B55">
            <w:pPr>
              <w:spacing w:line="300" w:lineRule="exact"/>
              <w:jc w:val="center"/>
              <w:rPr>
                <w:rFonts w:hint="default" w:ascii="Times New Roman" w:hAnsi="Times New Roman" w:cs="Times New Roman" w:eastAsiaTheme="minorEastAsia"/>
                <w:szCs w:val="21"/>
                <w:lang w:val="en-US" w:eastAsia="zh-CN"/>
              </w:rPr>
            </w:pPr>
          </w:p>
        </w:tc>
        <w:tc>
          <w:tcPr>
            <w:tcW w:w="889" w:type="pct"/>
            <w:tcBorders>
              <w:tl2br w:val="nil"/>
              <w:tr2bl w:val="nil"/>
            </w:tcBorders>
            <w:noWrap w:val="0"/>
            <w:vAlign w:val="center"/>
          </w:tcPr>
          <w:p w14:paraId="0AA316DC">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评价基准年</w:t>
            </w:r>
          </w:p>
        </w:tc>
        <w:tc>
          <w:tcPr>
            <w:tcW w:w="3487" w:type="pct"/>
            <w:gridSpan w:val="12"/>
            <w:tcBorders>
              <w:tl2br w:val="nil"/>
              <w:tr2bl w:val="nil"/>
            </w:tcBorders>
            <w:noWrap w:val="0"/>
            <w:vAlign w:val="center"/>
          </w:tcPr>
          <w:p w14:paraId="68D9B553">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（202</w:t>
            </w:r>
            <w:r>
              <w:rPr>
                <w:rFonts w:hint="eastAsia" w:ascii="Times New Roman" w:hAnsi="Times New Roman" w:cs="Times New Roman"/>
                <w:szCs w:val="21"/>
                <w:lang w:val="en-US" w:eastAsia="zh-CN"/>
              </w:rPr>
              <w:t>5</w:t>
            </w:r>
            <w:r>
              <w:rPr>
                <w:rFonts w:hint="default" w:ascii="Times New Roman" w:hAnsi="Times New Roman" w:cs="Times New Roman" w:eastAsiaTheme="minorEastAsia"/>
                <w:szCs w:val="21"/>
                <w:lang w:val="en-US" w:eastAsia="zh-CN"/>
              </w:rPr>
              <w:t>）年</w:t>
            </w:r>
          </w:p>
        </w:tc>
      </w:tr>
      <w:tr w14:paraId="4BE169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23" w:type="pct"/>
            <w:vMerge w:val="continue"/>
            <w:tcBorders>
              <w:tl2br w:val="nil"/>
              <w:tr2bl w:val="nil"/>
            </w:tcBorders>
            <w:noWrap w:val="0"/>
            <w:vAlign w:val="center"/>
          </w:tcPr>
          <w:p w14:paraId="23506840">
            <w:pPr>
              <w:spacing w:line="300" w:lineRule="exact"/>
              <w:jc w:val="center"/>
              <w:rPr>
                <w:rFonts w:hint="default" w:ascii="Times New Roman" w:hAnsi="Times New Roman" w:cs="Times New Roman" w:eastAsiaTheme="minorEastAsia"/>
                <w:szCs w:val="21"/>
                <w:lang w:val="en-US" w:eastAsia="zh-CN"/>
              </w:rPr>
            </w:pPr>
          </w:p>
        </w:tc>
        <w:tc>
          <w:tcPr>
            <w:tcW w:w="889" w:type="pct"/>
            <w:tcBorders>
              <w:tl2br w:val="nil"/>
              <w:tr2bl w:val="nil"/>
            </w:tcBorders>
            <w:noWrap w:val="0"/>
            <w:vAlign w:val="center"/>
          </w:tcPr>
          <w:p w14:paraId="05DB475D">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环境空气质量现状调查数据来源</w:t>
            </w:r>
          </w:p>
        </w:tc>
        <w:tc>
          <w:tcPr>
            <w:tcW w:w="1063" w:type="pct"/>
            <w:gridSpan w:val="4"/>
            <w:tcBorders>
              <w:tl2br w:val="nil"/>
              <w:tr2bl w:val="nil"/>
            </w:tcBorders>
            <w:noWrap w:val="0"/>
            <w:vAlign w:val="center"/>
          </w:tcPr>
          <w:p w14:paraId="003FD328">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长期例行监测数据□</w:t>
            </w:r>
          </w:p>
        </w:tc>
        <w:tc>
          <w:tcPr>
            <w:tcW w:w="1176" w:type="pct"/>
            <w:gridSpan w:val="5"/>
            <w:tcBorders>
              <w:tl2br w:val="nil"/>
              <w:tr2bl w:val="nil"/>
            </w:tcBorders>
            <w:noWrap w:val="0"/>
            <w:vAlign w:val="center"/>
          </w:tcPr>
          <w:p w14:paraId="7C3C5077">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主管部门发布的数据☑</w:t>
            </w:r>
          </w:p>
        </w:tc>
        <w:tc>
          <w:tcPr>
            <w:tcW w:w="1246" w:type="pct"/>
            <w:gridSpan w:val="3"/>
            <w:tcBorders>
              <w:tl2br w:val="nil"/>
              <w:tr2bl w:val="nil"/>
            </w:tcBorders>
            <w:noWrap w:val="0"/>
            <w:vAlign w:val="center"/>
          </w:tcPr>
          <w:p w14:paraId="1267F379">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现状补充监测☑</w:t>
            </w:r>
          </w:p>
        </w:tc>
      </w:tr>
      <w:tr w14:paraId="1DC2287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2" w:hRule="atLeast"/>
          <w:jc w:val="center"/>
        </w:trPr>
        <w:tc>
          <w:tcPr>
            <w:tcW w:w="623" w:type="pct"/>
            <w:vMerge w:val="continue"/>
            <w:tcBorders>
              <w:tl2br w:val="nil"/>
              <w:tr2bl w:val="nil"/>
            </w:tcBorders>
            <w:noWrap w:val="0"/>
            <w:vAlign w:val="center"/>
          </w:tcPr>
          <w:p w14:paraId="2738DD77">
            <w:pPr>
              <w:spacing w:line="300" w:lineRule="exact"/>
              <w:jc w:val="center"/>
              <w:rPr>
                <w:rFonts w:hint="default" w:ascii="Times New Roman" w:hAnsi="Times New Roman" w:cs="Times New Roman" w:eastAsiaTheme="minorEastAsia"/>
                <w:szCs w:val="21"/>
                <w:lang w:val="en-US" w:eastAsia="zh-CN"/>
              </w:rPr>
            </w:pPr>
          </w:p>
        </w:tc>
        <w:tc>
          <w:tcPr>
            <w:tcW w:w="889" w:type="pct"/>
            <w:tcBorders>
              <w:tl2br w:val="nil"/>
              <w:tr2bl w:val="nil"/>
            </w:tcBorders>
            <w:noWrap w:val="0"/>
            <w:vAlign w:val="center"/>
          </w:tcPr>
          <w:p w14:paraId="6CC0355D">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现状评价</w:t>
            </w:r>
          </w:p>
        </w:tc>
        <w:tc>
          <w:tcPr>
            <w:tcW w:w="1532" w:type="pct"/>
            <w:gridSpan w:val="6"/>
            <w:tcBorders>
              <w:tl2br w:val="nil"/>
              <w:tr2bl w:val="nil"/>
            </w:tcBorders>
            <w:noWrap w:val="0"/>
            <w:vAlign w:val="center"/>
          </w:tcPr>
          <w:p w14:paraId="464477C0">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达标区□</w:t>
            </w:r>
          </w:p>
        </w:tc>
        <w:tc>
          <w:tcPr>
            <w:tcW w:w="1954" w:type="pct"/>
            <w:gridSpan w:val="6"/>
            <w:tcBorders>
              <w:tl2br w:val="nil"/>
              <w:tr2bl w:val="nil"/>
            </w:tcBorders>
            <w:noWrap w:val="0"/>
            <w:vAlign w:val="center"/>
          </w:tcPr>
          <w:p w14:paraId="31147923">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不达标区☑</w:t>
            </w:r>
          </w:p>
        </w:tc>
      </w:tr>
      <w:tr w14:paraId="7EBE5A0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23" w:type="pct"/>
            <w:tcBorders>
              <w:tl2br w:val="nil"/>
              <w:tr2bl w:val="nil"/>
            </w:tcBorders>
            <w:noWrap w:val="0"/>
            <w:vAlign w:val="center"/>
          </w:tcPr>
          <w:p w14:paraId="1F707842">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污染源调查</w:t>
            </w:r>
          </w:p>
        </w:tc>
        <w:tc>
          <w:tcPr>
            <w:tcW w:w="889" w:type="pct"/>
            <w:tcBorders>
              <w:tl2br w:val="nil"/>
              <w:tr2bl w:val="nil"/>
            </w:tcBorders>
            <w:noWrap w:val="0"/>
            <w:vAlign w:val="center"/>
          </w:tcPr>
          <w:p w14:paraId="057D0AB7">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调查</w:t>
            </w:r>
          </w:p>
          <w:p w14:paraId="3949C14F">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内容</w:t>
            </w:r>
          </w:p>
        </w:tc>
        <w:tc>
          <w:tcPr>
            <w:tcW w:w="1400" w:type="pct"/>
            <w:gridSpan w:val="5"/>
            <w:tcBorders>
              <w:tl2br w:val="nil"/>
              <w:tr2bl w:val="nil"/>
            </w:tcBorders>
            <w:noWrap w:val="0"/>
            <w:vAlign w:val="center"/>
          </w:tcPr>
          <w:p w14:paraId="500A5C6A">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本项目正常排放源☑</w:t>
            </w:r>
          </w:p>
          <w:p w14:paraId="0592EEC2">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本项目非正常排放源☑</w:t>
            </w:r>
          </w:p>
          <w:p w14:paraId="4729555B">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现有污染源</w:t>
            </w:r>
            <w:r>
              <w:rPr>
                <w:rFonts w:hint="eastAsia" w:ascii="Times New Roman" w:hAnsi="Times New Roman" w:cs="Times New Roman"/>
                <w:szCs w:val="21"/>
                <w:lang w:val="en-US" w:eastAsia="zh-CN"/>
              </w:rPr>
              <w:t>☑</w:t>
            </w:r>
          </w:p>
        </w:tc>
        <w:tc>
          <w:tcPr>
            <w:tcW w:w="839" w:type="pct"/>
            <w:gridSpan w:val="4"/>
            <w:tcBorders>
              <w:tl2br w:val="nil"/>
              <w:tr2bl w:val="nil"/>
            </w:tcBorders>
            <w:noWrap w:val="0"/>
            <w:vAlign w:val="center"/>
          </w:tcPr>
          <w:p w14:paraId="6DF6BAE6">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拟替代的污染源</w:t>
            </w:r>
            <w:r>
              <w:rPr>
                <w:rFonts w:hint="eastAsia" w:ascii="Times New Roman" w:hAnsi="Times New Roman" w:cs="Times New Roman"/>
                <w:szCs w:val="21"/>
                <w:lang w:val="en-US" w:eastAsia="zh-CN"/>
              </w:rPr>
              <w:t>□</w:t>
            </w:r>
          </w:p>
        </w:tc>
        <w:tc>
          <w:tcPr>
            <w:tcW w:w="746" w:type="pct"/>
            <w:gridSpan w:val="2"/>
            <w:tcBorders>
              <w:tl2br w:val="nil"/>
              <w:tr2bl w:val="nil"/>
            </w:tcBorders>
            <w:noWrap w:val="0"/>
            <w:vAlign w:val="center"/>
          </w:tcPr>
          <w:p w14:paraId="22C3D3A5">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其他在建、拟建项目污染源☑</w:t>
            </w:r>
          </w:p>
        </w:tc>
        <w:tc>
          <w:tcPr>
            <w:tcW w:w="499" w:type="pct"/>
            <w:tcBorders>
              <w:tl2br w:val="nil"/>
              <w:tr2bl w:val="nil"/>
            </w:tcBorders>
            <w:noWrap w:val="0"/>
            <w:vAlign w:val="center"/>
          </w:tcPr>
          <w:p w14:paraId="1CEACD14">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区域污染源☑</w:t>
            </w:r>
          </w:p>
        </w:tc>
      </w:tr>
      <w:tr w14:paraId="70ED17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23" w:type="pct"/>
            <w:vMerge w:val="restart"/>
            <w:tcBorders>
              <w:tl2br w:val="nil"/>
              <w:tr2bl w:val="nil"/>
            </w:tcBorders>
            <w:noWrap w:val="0"/>
            <w:vAlign w:val="center"/>
          </w:tcPr>
          <w:p w14:paraId="53B3529B">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大气环境影响预测与评价</w:t>
            </w:r>
          </w:p>
        </w:tc>
        <w:tc>
          <w:tcPr>
            <w:tcW w:w="889" w:type="pct"/>
            <w:tcBorders>
              <w:tl2br w:val="nil"/>
              <w:tr2bl w:val="nil"/>
            </w:tcBorders>
            <w:noWrap w:val="0"/>
            <w:vAlign w:val="center"/>
          </w:tcPr>
          <w:p w14:paraId="488B50C7">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预测</w:t>
            </w:r>
          </w:p>
          <w:p w14:paraId="37C17BF1">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模型</w:t>
            </w:r>
          </w:p>
        </w:tc>
        <w:tc>
          <w:tcPr>
            <w:tcW w:w="497" w:type="pct"/>
            <w:gridSpan w:val="2"/>
            <w:tcBorders>
              <w:tl2br w:val="nil"/>
              <w:tr2bl w:val="nil"/>
            </w:tcBorders>
            <w:noWrap w:val="0"/>
            <w:vAlign w:val="center"/>
          </w:tcPr>
          <w:p w14:paraId="4E5B16C0">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AERMOD☑</w:t>
            </w:r>
          </w:p>
        </w:tc>
        <w:tc>
          <w:tcPr>
            <w:tcW w:w="566" w:type="pct"/>
            <w:gridSpan w:val="2"/>
            <w:tcBorders>
              <w:tl2br w:val="nil"/>
              <w:tr2bl w:val="nil"/>
            </w:tcBorders>
            <w:noWrap w:val="0"/>
            <w:vAlign w:val="center"/>
          </w:tcPr>
          <w:p w14:paraId="145CD82F">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ADMS□</w:t>
            </w:r>
          </w:p>
        </w:tc>
        <w:tc>
          <w:tcPr>
            <w:tcW w:w="468" w:type="pct"/>
            <w:gridSpan w:val="2"/>
            <w:tcBorders>
              <w:tl2br w:val="nil"/>
              <w:tr2bl w:val="nil"/>
            </w:tcBorders>
            <w:noWrap w:val="0"/>
            <w:vAlign w:val="center"/>
          </w:tcPr>
          <w:p w14:paraId="104B0F0D">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AUSTAL2000□</w:t>
            </w:r>
          </w:p>
        </w:tc>
        <w:tc>
          <w:tcPr>
            <w:tcW w:w="459" w:type="pct"/>
            <w:gridSpan w:val="2"/>
            <w:tcBorders>
              <w:tl2br w:val="nil"/>
              <w:tr2bl w:val="nil"/>
            </w:tcBorders>
            <w:noWrap w:val="0"/>
            <w:vAlign w:val="center"/>
          </w:tcPr>
          <w:p w14:paraId="460A795F">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EDMS/AEDT□</w:t>
            </w:r>
          </w:p>
        </w:tc>
        <w:tc>
          <w:tcPr>
            <w:tcW w:w="565" w:type="pct"/>
            <w:gridSpan w:val="2"/>
            <w:tcBorders>
              <w:tl2br w:val="nil"/>
              <w:tr2bl w:val="nil"/>
            </w:tcBorders>
            <w:noWrap w:val="0"/>
            <w:vAlign w:val="center"/>
          </w:tcPr>
          <w:p w14:paraId="1871D2A2">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CALPUFF□</w:t>
            </w:r>
          </w:p>
        </w:tc>
        <w:tc>
          <w:tcPr>
            <w:tcW w:w="430" w:type="pct"/>
            <w:tcBorders>
              <w:tl2br w:val="nil"/>
              <w:tr2bl w:val="nil"/>
            </w:tcBorders>
            <w:noWrap w:val="0"/>
            <w:vAlign w:val="center"/>
          </w:tcPr>
          <w:p w14:paraId="1FC78618">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网格模型□</w:t>
            </w:r>
          </w:p>
        </w:tc>
        <w:tc>
          <w:tcPr>
            <w:tcW w:w="499" w:type="pct"/>
            <w:tcBorders>
              <w:tl2br w:val="nil"/>
              <w:tr2bl w:val="nil"/>
            </w:tcBorders>
            <w:noWrap w:val="0"/>
            <w:vAlign w:val="center"/>
          </w:tcPr>
          <w:p w14:paraId="07FEE866">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其他□</w:t>
            </w:r>
          </w:p>
        </w:tc>
      </w:tr>
      <w:tr w14:paraId="2BC288B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23" w:type="pct"/>
            <w:vMerge w:val="continue"/>
            <w:tcBorders>
              <w:tl2br w:val="nil"/>
              <w:tr2bl w:val="nil"/>
            </w:tcBorders>
            <w:noWrap w:val="0"/>
            <w:vAlign w:val="center"/>
          </w:tcPr>
          <w:p w14:paraId="63AE8AF4">
            <w:pPr>
              <w:spacing w:line="300" w:lineRule="exact"/>
              <w:jc w:val="center"/>
              <w:rPr>
                <w:rFonts w:hint="default" w:ascii="Times New Roman" w:hAnsi="Times New Roman" w:cs="Times New Roman" w:eastAsiaTheme="minorEastAsia"/>
                <w:szCs w:val="21"/>
                <w:lang w:val="en-US" w:eastAsia="zh-CN"/>
              </w:rPr>
            </w:pPr>
          </w:p>
        </w:tc>
        <w:tc>
          <w:tcPr>
            <w:tcW w:w="889" w:type="pct"/>
            <w:tcBorders>
              <w:tl2br w:val="nil"/>
              <w:tr2bl w:val="nil"/>
            </w:tcBorders>
            <w:noWrap w:val="0"/>
            <w:vAlign w:val="center"/>
          </w:tcPr>
          <w:p w14:paraId="249750CB">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预测</w:t>
            </w:r>
          </w:p>
          <w:p w14:paraId="5CFE2F03">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范围</w:t>
            </w:r>
          </w:p>
        </w:tc>
        <w:tc>
          <w:tcPr>
            <w:tcW w:w="1063" w:type="pct"/>
            <w:gridSpan w:val="4"/>
            <w:tcBorders>
              <w:tl2br w:val="nil"/>
              <w:tr2bl w:val="nil"/>
            </w:tcBorders>
            <w:noWrap w:val="0"/>
            <w:vAlign w:val="center"/>
          </w:tcPr>
          <w:p w14:paraId="10DC4F14">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边长≥50km□</w:t>
            </w:r>
          </w:p>
        </w:tc>
        <w:tc>
          <w:tcPr>
            <w:tcW w:w="1176" w:type="pct"/>
            <w:gridSpan w:val="5"/>
            <w:tcBorders>
              <w:tl2br w:val="nil"/>
              <w:tr2bl w:val="nil"/>
            </w:tcBorders>
            <w:noWrap w:val="0"/>
            <w:vAlign w:val="center"/>
          </w:tcPr>
          <w:p w14:paraId="377BA634">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边长5～50km□</w:t>
            </w:r>
          </w:p>
        </w:tc>
        <w:tc>
          <w:tcPr>
            <w:tcW w:w="1246" w:type="pct"/>
            <w:gridSpan w:val="3"/>
            <w:tcBorders>
              <w:tl2br w:val="nil"/>
              <w:tr2bl w:val="nil"/>
            </w:tcBorders>
            <w:noWrap w:val="0"/>
            <w:vAlign w:val="center"/>
          </w:tcPr>
          <w:p w14:paraId="22AB2188">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边长=5km☑</w:t>
            </w:r>
          </w:p>
        </w:tc>
      </w:tr>
      <w:tr w14:paraId="209DB14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23" w:type="pct"/>
            <w:vMerge w:val="continue"/>
            <w:tcBorders>
              <w:tl2br w:val="nil"/>
              <w:tr2bl w:val="nil"/>
            </w:tcBorders>
            <w:noWrap w:val="0"/>
            <w:vAlign w:val="center"/>
          </w:tcPr>
          <w:p w14:paraId="255B6E1D">
            <w:pPr>
              <w:spacing w:line="300" w:lineRule="exact"/>
              <w:jc w:val="center"/>
              <w:rPr>
                <w:rFonts w:hint="default" w:ascii="Times New Roman" w:hAnsi="Times New Roman" w:cs="Times New Roman" w:eastAsiaTheme="minorEastAsia"/>
                <w:szCs w:val="21"/>
                <w:lang w:val="en-US" w:eastAsia="zh-CN"/>
              </w:rPr>
            </w:pPr>
          </w:p>
        </w:tc>
        <w:tc>
          <w:tcPr>
            <w:tcW w:w="889" w:type="pct"/>
            <w:tcBorders>
              <w:tl2br w:val="nil"/>
              <w:tr2bl w:val="nil"/>
            </w:tcBorders>
            <w:noWrap w:val="0"/>
            <w:vAlign w:val="center"/>
          </w:tcPr>
          <w:p w14:paraId="54C31E4C">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预测</w:t>
            </w:r>
          </w:p>
          <w:p w14:paraId="4E5FB0E3">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因子</w:t>
            </w:r>
          </w:p>
        </w:tc>
        <w:tc>
          <w:tcPr>
            <w:tcW w:w="1795" w:type="pct"/>
            <w:gridSpan w:val="7"/>
            <w:tcBorders>
              <w:tl2br w:val="nil"/>
              <w:tr2bl w:val="nil"/>
            </w:tcBorders>
            <w:noWrap w:val="0"/>
            <w:vAlign w:val="center"/>
          </w:tcPr>
          <w:p w14:paraId="59843BE2">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预测因子（SO</w:t>
            </w:r>
            <w:r>
              <w:rPr>
                <w:rFonts w:hint="default" w:ascii="Times New Roman" w:hAnsi="Times New Roman" w:cs="Times New Roman" w:eastAsiaTheme="minorEastAsia"/>
                <w:szCs w:val="21"/>
                <w:vertAlign w:val="subscript"/>
                <w:lang w:val="en-US" w:eastAsia="zh-CN"/>
              </w:rPr>
              <w:t>2</w:t>
            </w:r>
            <w:r>
              <w:rPr>
                <w:rFonts w:hint="default" w:ascii="Times New Roman" w:hAnsi="Times New Roman" w:cs="Times New Roman" w:eastAsiaTheme="minorEastAsia"/>
                <w:szCs w:val="21"/>
                <w:lang w:val="en-US" w:eastAsia="zh-CN"/>
              </w:rPr>
              <w:t>、NO</w:t>
            </w:r>
            <w:r>
              <w:rPr>
                <w:rFonts w:hint="default" w:ascii="Times New Roman" w:hAnsi="Times New Roman" w:cs="Times New Roman" w:eastAsiaTheme="minorEastAsia"/>
                <w:szCs w:val="21"/>
                <w:vertAlign w:val="subscript"/>
                <w:lang w:val="en-US" w:eastAsia="zh-CN"/>
              </w:rPr>
              <w:t>2</w:t>
            </w:r>
            <w:r>
              <w:rPr>
                <w:rFonts w:hint="default" w:ascii="Times New Roman" w:hAnsi="Times New Roman" w:cs="Times New Roman" w:eastAsiaTheme="minorEastAsia"/>
                <w:szCs w:val="21"/>
                <w:lang w:val="en-US" w:eastAsia="zh-CN"/>
              </w:rPr>
              <w:t>、PM</w:t>
            </w:r>
            <w:r>
              <w:rPr>
                <w:rFonts w:hint="default" w:ascii="Times New Roman" w:hAnsi="Times New Roman" w:cs="Times New Roman" w:eastAsiaTheme="minorEastAsia"/>
                <w:szCs w:val="21"/>
                <w:vertAlign w:val="subscript"/>
                <w:lang w:val="en-US" w:eastAsia="zh-CN"/>
              </w:rPr>
              <w:t>10</w:t>
            </w:r>
            <w:r>
              <w:rPr>
                <w:rFonts w:hint="default" w:ascii="Times New Roman" w:hAnsi="Times New Roman" w:cs="Times New Roman" w:eastAsiaTheme="minorEastAsia"/>
                <w:szCs w:val="21"/>
                <w:lang w:val="en-US" w:eastAsia="zh-CN"/>
              </w:rPr>
              <w:t>、PM</w:t>
            </w:r>
            <w:r>
              <w:rPr>
                <w:rFonts w:hint="default" w:ascii="Times New Roman" w:hAnsi="Times New Roman" w:cs="Times New Roman" w:eastAsiaTheme="minorEastAsia"/>
                <w:szCs w:val="21"/>
                <w:vertAlign w:val="subscript"/>
                <w:lang w:val="en-US" w:eastAsia="zh-CN"/>
              </w:rPr>
              <w:t>2.5</w:t>
            </w:r>
            <w:r>
              <w:rPr>
                <w:rFonts w:hint="default" w:ascii="Times New Roman" w:hAnsi="Times New Roman" w:cs="Times New Roman" w:eastAsiaTheme="minorEastAsia"/>
                <w:szCs w:val="21"/>
                <w:lang w:val="en-US" w:eastAsia="zh-CN"/>
              </w:rPr>
              <w:t>、CO</w:t>
            </w:r>
            <w:r>
              <w:rPr>
                <w:rFonts w:hint="eastAsia" w:ascii="Times New Roman" w:hAnsi="Times New Roman" w:cs="Times New Roman"/>
                <w:szCs w:val="21"/>
                <w:lang w:val="en-US" w:eastAsia="zh-CN"/>
              </w:rPr>
              <w:t>、HF、HCl、</w:t>
            </w:r>
            <w:r>
              <w:rPr>
                <w:rFonts w:hint="eastAsia" w:ascii="Times New Roman" w:hAnsi="Times New Roman" w:cs="Times New Roman" w:eastAsiaTheme="minorEastAsia"/>
                <w:szCs w:val="21"/>
                <w:lang w:val="en-US" w:eastAsia="zh-CN"/>
              </w:rPr>
              <w:t>汞及其化合物</w:t>
            </w:r>
            <w:r>
              <w:rPr>
                <w:rFonts w:hint="eastAsia" w:ascii="Times New Roman" w:hAnsi="Times New Roman" w:cs="Times New Roman"/>
                <w:szCs w:val="21"/>
                <w:lang w:val="en-US" w:eastAsia="zh-CN"/>
              </w:rPr>
              <w:t>、铅</w:t>
            </w:r>
            <w:r>
              <w:rPr>
                <w:rFonts w:hint="eastAsia" w:ascii="Times New Roman" w:hAnsi="Times New Roman" w:cs="Times New Roman" w:eastAsiaTheme="minorEastAsia"/>
                <w:szCs w:val="21"/>
                <w:lang w:val="en-US" w:eastAsia="zh-CN"/>
              </w:rPr>
              <w:t>及其化合物</w:t>
            </w:r>
            <w:r>
              <w:rPr>
                <w:rFonts w:hint="eastAsia" w:ascii="Times New Roman" w:hAnsi="Times New Roman" w:cs="Times New Roman"/>
                <w:szCs w:val="21"/>
                <w:lang w:val="en-US" w:eastAsia="zh-CN"/>
              </w:rPr>
              <w:t>、砷</w:t>
            </w:r>
            <w:r>
              <w:rPr>
                <w:rFonts w:hint="eastAsia" w:ascii="Times New Roman" w:hAnsi="Times New Roman" w:cs="Times New Roman" w:eastAsiaTheme="minorEastAsia"/>
                <w:szCs w:val="21"/>
                <w:lang w:val="en-US" w:eastAsia="zh-CN"/>
              </w:rPr>
              <w:t>及其化合物</w:t>
            </w:r>
            <w:r>
              <w:rPr>
                <w:rFonts w:hint="eastAsia" w:ascii="Times New Roman" w:hAnsi="Times New Roman" w:cs="Times New Roman"/>
                <w:szCs w:val="21"/>
                <w:lang w:val="en-US" w:eastAsia="zh-CN"/>
              </w:rPr>
              <w:t>、镉及其化合物、二噁英</w:t>
            </w:r>
            <w:r>
              <w:rPr>
                <w:rFonts w:hint="default" w:ascii="Times New Roman" w:hAnsi="Times New Roman" w:cs="Times New Roman" w:eastAsiaTheme="minorEastAsia"/>
                <w:szCs w:val="21"/>
                <w:lang w:val="en-US" w:eastAsia="zh-CN"/>
              </w:rPr>
              <w:t>）</w:t>
            </w:r>
          </w:p>
        </w:tc>
        <w:tc>
          <w:tcPr>
            <w:tcW w:w="1691" w:type="pct"/>
            <w:gridSpan w:val="5"/>
            <w:tcBorders>
              <w:tl2br w:val="nil"/>
              <w:tr2bl w:val="nil"/>
            </w:tcBorders>
            <w:noWrap w:val="0"/>
            <w:vAlign w:val="center"/>
          </w:tcPr>
          <w:p w14:paraId="196DEC57">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包括二次PM</w:t>
            </w:r>
            <w:r>
              <w:rPr>
                <w:rFonts w:hint="default" w:ascii="Times New Roman" w:hAnsi="Times New Roman" w:cs="Times New Roman" w:eastAsiaTheme="minorEastAsia"/>
                <w:szCs w:val="21"/>
                <w:vertAlign w:val="subscript"/>
                <w:lang w:val="en-US" w:eastAsia="zh-CN"/>
              </w:rPr>
              <w:t>2.5</w:t>
            </w:r>
            <w:r>
              <w:rPr>
                <w:rFonts w:hint="default" w:ascii="Times New Roman" w:hAnsi="Times New Roman" w:cs="Times New Roman" w:eastAsiaTheme="minorEastAsia"/>
                <w:szCs w:val="21"/>
                <w:lang w:val="en-US" w:eastAsia="zh-CN"/>
              </w:rPr>
              <w:t xml:space="preserve">  □</w:t>
            </w:r>
          </w:p>
          <w:p w14:paraId="6E0820BA">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不包括二次PM</w:t>
            </w:r>
            <w:r>
              <w:rPr>
                <w:rFonts w:hint="default" w:ascii="Times New Roman" w:hAnsi="Times New Roman" w:cs="Times New Roman" w:eastAsiaTheme="minorEastAsia"/>
                <w:szCs w:val="21"/>
                <w:vertAlign w:val="subscript"/>
                <w:lang w:val="en-US" w:eastAsia="zh-CN"/>
              </w:rPr>
              <w:t>2.5</w:t>
            </w:r>
            <w:r>
              <w:rPr>
                <w:rFonts w:hint="default" w:ascii="Times New Roman" w:hAnsi="Times New Roman" w:cs="Times New Roman" w:eastAsiaTheme="minorEastAsia"/>
                <w:szCs w:val="21"/>
                <w:lang w:val="en-US" w:eastAsia="zh-CN"/>
              </w:rPr>
              <w:t>☑</w:t>
            </w:r>
          </w:p>
        </w:tc>
      </w:tr>
      <w:tr w14:paraId="7CBF987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23" w:type="pct"/>
            <w:vMerge w:val="continue"/>
            <w:tcBorders>
              <w:tl2br w:val="nil"/>
              <w:tr2bl w:val="nil"/>
            </w:tcBorders>
            <w:noWrap w:val="0"/>
            <w:vAlign w:val="center"/>
          </w:tcPr>
          <w:p w14:paraId="1200B03B">
            <w:pPr>
              <w:spacing w:line="300" w:lineRule="exact"/>
              <w:jc w:val="center"/>
              <w:rPr>
                <w:rFonts w:hint="default" w:ascii="Times New Roman" w:hAnsi="Times New Roman" w:cs="Times New Roman" w:eastAsiaTheme="minorEastAsia"/>
                <w:szCs w:val="21"/>
                <w:lang w:val="en-US" w:eastAsia="zh-CN"/>
              </w:rPr>
            </w:pPr>
          </w:p>
        </w:tc>
        <w:tc>
          <w:tcPr>
            <w:tcW w:w="889" w:type="pct"/>
            <w:tcBorders>
              <w:tl2br w:val="nil"/>
              <w:tr2bl w:val="nil"/>
            </w:tcBorders>
            <w:noWrap w:val="0"/>
            <w:vAlign w:val="center"/>
          </w:tcPr>
          <w:p w14:paraId="7C395C01">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正常排放短期浓度贡献值</w:t>
            </w:r>
          </w:p>
        </w:tc>
        <w:tc>
          <w:tcPr>
            <w:tcW w:w="1795" w:type="pct"/>
            <w:gridSpan w:val="7"/>
            <w:tcBorders>
              <w:tl2br w:val="nil"/>
              <w:tr2bl w:val="nil"/>
            </w:tcBorders>
            <w:noWrap w:val="0"/>
            <w:vAlign w:val="center"/>
          </w:tcPr>
          <w:p w14:paraId="1D1B295F">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C本项目最大占标率≤100%☑</w:t>
            </w:r>
          </w:p>
        </w:tc>
        <w:tc>
          <w:tcPr>
            <w:tcW w:w="1691" w:type="pct"/>
            <w:gridSpan w:val="5"/>
            <w:tcBorders>
              <w:tl2br w:val="nil"/>
              <w:tr2bl w:val="nil"/>
            </w:tcBorders>
            <w:noWrap w:val="0"/>
            <w:vAlign w:val="center"/>
          </w:tcPr>
          <w:p w14:paraId="1A0879AD">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C本项目最大占标率&gt;100%□</w:t>
            </w:r>
          </w:p>
        </w:tc>
      </w:tr>
      <w:tr w14:paraId="2C067CA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23" w:type="pct"/>
            <w:vMerge w:val="continue"/>
            <w:tcBorders>
              <w:tl2br w:val="nil"/>
              <w:tr2bl w:val="nil"/>
            </w:tcBorders>
            <w:noWrap w:val="0"/>
            <w:vAlign w:val="center"/>
          </w:tcPr>
          <w:p w14:paraId="4581CD36">
            <w:pPr>
              <w:spacing w:line="300" w:lineRule="exact"/>
              <w:jc w:val="center"/>
              <w:rPr>
                <w:rFonts w:hint="default" w:ascii="Times New Roman" w:hAnsi="Times New Roman" w:cs="Times New Roman" w:eastAsiaTheme="minorEastAsia"/>
                <w:szCs w:val="21"/>
                <w:lang w:val="en-US" w:eastAsia="zh-CN"/>
              </w:rPr>
            </w:pPr>
          </w:p>
        </w:tc>
        <w:tc>
          <w:tcPr>
            <w:tcW w:w="889" w:type="pct"/>
            <w:vMerge w:val="restart"/>
            <w:tcBorders>
              <w:tl2br w:val="nil"/>
              <w:tr2bl w:val="nil"/>
            </w:tcBorders>
            <w:noWrap w:val="0"/>
            <w:vAlign w:val="center"/>
          </w:tcPr>
          <w:p w14:paraId="17727349">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正常排放年均浓度贡献值</w:t>
            </w:r>
          </w:p>
        </w:tc>
        <w:tc>
          <w:tcPr>
            <w:tcW w:w="488" w:type="pct"/>
            <w:tcBorders>
              <w:tl2br w:val="nil"/>
              <w:tr2bl w:val="nil"/>
            </w:tcBorders>
            <w:noWrap w:val="0"/>
            <w:vAlign w:val="center"/>
          </w:tcPr>
          <w:p w14:paraId="69643DDD">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一类区</w:t>
            </w:r>
          </w:p>
        </w:tc>
        <w:tc>
          <w:tcPr>
            <w:tcW w:w="1307" w:type="pct"/>
            <w:gridSpan w:val="6"/>
            <w:tcBorders>
              <w:tl2br w:val="nil"/>
              <w:tr2bl w:val="nil"/>
            </w:tcBorders>
            <w:noWrap w:val="0"/>
            <w:vAlign w:val="center"/>
          </w:tcPr>
          <w:p w14:paraId="626D261C">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C本项目最大占标率≤10%</w:t>
            </w:r>
            <w:r>
              <w:rPr>
                <w:rFonts w:hint="eastAsia" w:ascii="Times New Roman" w:hAnsi="Times New Roman" w:cs="Times New Roman"/>
                <w:szCs w:val="21"/>
                <w:lang w:val="en-US" w:eastAsia="zh-CN"/>
              </w:rPr>
              <w:t>□</w:t>
            </w:r>
          </w:p>
        </w:tc>
        <w:tc>
          <w:tcPr>
            <w:tcW w:w="1691" w:type="pct"/>
            <w:gridSpan w:val="5"/>
            <w:tcBorders>
              <w:tl2br w:val="nil"/>
              <w:tr2bl w:val="nil"/>
            </w:tcBorders>
            <w:noWrap w:val="0"/>
            <w:vAlign w:val="center"/>
          </w:tcPr>
          <w:p w14:paraId="49CE9CEE">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C本项目最大占标率&gt;10%□</w:t>
            </w:r>
          </w:p>
        </w:tc>
      </w:tr>
      <w:tr w14:paraId="2676EC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23" w:type="pct"/>
            <w:vMerge w:val="continue"/>
            <w:tcBorders>
              <w:tl2br w:val="nil"/>
              <w:tr2bl w:val="nil"/>
            </w:tcBorders>
            <w:noWrap w:val="0"/>
            <w:vAlign w:val="center"/>
          </w:tcPr>
          <w:p w14:paraId="073D1330">
            <w:pPr>
              <w:spacing w:line="300" w:lineRule="exact"/>
              <w:jc w:val="center"/>
              <w:rPr>
                <w:rFonts w:hint="default" w:ascii="Times New Roman" w:hAnsi="Times New Roman" w:cs="Times New Roman" w:eastAsiaTheme="minorEastAsia"/>
                <w:szCs w:val="21"/>
                <w:lang w:val="en-US" w:eastAsia="zh-CN"/>
              </w:rPr>
            </w:pPr>
          </w:p>
        </w:tc>
        <w:tc>
          <w:tcPr>
            <w:tcW w:w="889" w:type="pct"/>
            <w:vMerge w:val="continue"/>
            <w:tcBorders>
              <w:tl2br w:val="nil"/>
              <w:tr2bl w:val="nil"/>
            </w:tcBorders>
            <w:noWrap w:val="0"/>
            <w:vAlign w:val="center"/>
          </w:tcPr>
          <w:p w14:paraId="67D3D39E">
            <w:pPr>
              <w:spacing w:line="300" w:lineRule="exact"/>
              <w:jc w:val="center"/>
              <w:rPr>
                <w:rFonts w:hint="default" w:ascii="Times New Roman" w:hAnsi="Times New Roman" w:cs="Times New Roman" w:eastAsiaTheme="minorEastAsia"/>
                <w:szCs w:val="21"/>
                <w:lang w:val="en-US" w:eastAsia="zh-CN"/>
              </w:rPr>
            </w:pPr>
          </w:p>
        </w:tc>
        <w:tc>
          <w:tcPr>
            <w:tcW w:w="488" w:type="pct"/>
            <w:tcBorders>
              <w:tl2br w:val="nil"/>
              <w:tr2bl w:val="nil"/>
            </w:tcBorders>
            <w:noWrap w:val="0"/>
            <w:vAlign w:val="center"/>
          </w:tcPr>
          <w:p w14:paraId="549856BD">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二类区</w:t>
            </w:r>
          </w:p>
        </w:tc>
        <w:tc>
          <w:tcPr>
            <w:tcW w:w="1307" w:type="pct"/>
            <w:gridSpan w:val="6"/>
            <w:tcBorders>
              <w:tl2br w:val="nil"/>
              <w:tr2bl w:val="nil"/>
            </w:tcBorders>
            <w:noWrap w:val="0"/>
            <w:vAlign w:val="center"/>
          </w:tcPr>
          <w:p w14:paraId="3785A5E7">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C本项目最大占标率≤30%☑</w:t>
            </w:r>
          </w:p>
        </w:tc>
        <w:tc>
          <w:tcPr>
            <w:tcW w:w="1691" w:type="pct"/>
            <w:gridSpan w:val="5"/>
            <w:tcBorders>
              <w:tl2br w:val="nil"/>
              <w:tr2bl w:val="nil"/>
            </w:tcBorders>
            <w:noWrap w:val="0"/>
            <w:vAlign w:val="center"/>
          </w:tcPr>
          <w:p w14:paraId="1491037B">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C本项目最大占标率&gt;30%□</w:t>
            </w:r>
          </w:p>
        </w:tc>
      </w:tr>
      <w:tr w14:paraId="33A3700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23" w:type="pct"/>
            <w:vMerge w:val="continue"/>
            <w:tcBorders>
              <w:tl2br w:val="nil"/>
              <w:tr2bl w:val="nil"/>
            </w:tcBorders>
            <w:noWrap w:val="0"/>
            <w:vAlign w:val="center"/>
          </w:tcPr>
          <w:p w14:paraId="6AF645A8">
            <w:pPr>
              <w:spacing w:line="300" w:lineRule="exact"/>
              <w:jc w:val="center"/>
              <w:rPr>
                <w:rFonts w:hint="default" w:ascii="Times New Roman" w:hAnsi="Times New Roman" w:cs="Times New Roman" w:eastAsiaTheme="minorEastAsia"/>
                <w:szCs w:val="21"/>
                <w:lang w:val="en-US" w:eastAsia="zh-CN"/>
              </w:rPr>
            </w:pPr>
          </w:p>
        </w:tc>
        <w:tc>
          <w:tcPr>
            <w:tcW w:w="889" w:type="pct"/>
            <w:tcBorders>
              <w:tl2br w:val="nil"/>
              <w:tr2bl w:val="nil"/>
            </w:tcBorders>
            <w:noWrap w:val="0"/>
            <w:vAlign w:val="center"/>
          </w:tcPr>
          <w:p w14:paraId="63ED7075">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非正常排放1h浓度贡献值</w:t>
            </w:r>
          </w:p>
        </w:tc>
        <w:tc>
          <w:tcPr>
            <w:tcW w:w="1063" w:type="pct"/>
            <w:gridSpan w:val="4"/>
            <w:tcBorders>
              <w:tl2br w:val="nil"/>
              <w:tr2bl w:val="nil"/>
            </w:tcBorders>
            <w:noWrap w:val="0"/>
            <w:vAlign w:val="center"/>
          </w:tcPr>
          <w:p w14:paraId="746F2D33">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非正常持续时长（1）h</w:t>
            </w:r>
          </w:p>
        </w:tc>
        <w:tc>
          <w:tcPr>
            <w:tcW w:w="1176" w:type="pct"/>
            <w:gridSpan w:val="5"/>
            <w:tcBorders>
              <w:tl2br w:val="nil"/>
              <w:tr2bl w:val="nil"/>
            </w:tcBorders>
            <w:noWrap w:val="0"/>
            <w:vAlign w:val="center"/>
          </w:tcPr>
          <w:p w14:paraId="4CE8102C">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C非正常占标率≤100%</w:t>
            </w:r>
            <w:r>
              <w:rPr>
                <w:rFonts w:hint="eastAsia" w:ascii="Times New Roman" w:hAnsi="Times New Roman" w:cs="Times New Roman"/>
                <w:szCs w:val="21"/>
                <w:lang w:val="en-US" w:eastAsia="zh-CN"/>
              </w:rPr>
              <w:t>☑</w:t>
            </w:r>
          </w:p>
        </w:tc>
        <w:tc>
          <w:tcPr>
            <w:tcW w:w="1246" w:type="pct"/>
            <w:gridSpan w:val="3"/>
            <w:tcBorders>
              <w:tl2br w:val="nil"/>
              <w:tr2bl w:val="nil"/>
            </w:tcBorders>
            <w:noWrap w:val="0"/>
            <w:vAlign w:val="center"/>
          </w:tcPr>
          <w:p w14:paraId="6216104B">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C非正常占标率&gt;100%</w:t>
            </w:r>
            <w:r>
              <w:rPr>
                <w:rFonts w:hint="eastAsia" w:ascii="Times New Roman" w:hAnsi="Times New Roman" w:cs="Times New Roman"/>
                <w:szCs w:val="21"/>
                <w:lang w:val="en-US" w:eastAsia="zh-CN"/>
              </w:rPr>
              <w:t>□</w:t>
            </w:r>
          </w:p>
        </w:tc>
      </w:tr>
      <w:tr w14:paraId="1C312FC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23" w:type="pct"/>
            <w:vMerge w:val="continue"/>
            <w:tcBorders>
              <w:tl2br w:val="nil"/>
              <w:tr2bl w:val="nil"/>
            </w:tcBorders>
            <w:noWrap w:val="0"/>
            <w:vAlign w:val="center"/>
          </w:tcPr>
          <w:p w14:paraId="4A8A2F89">
            <w:pPr>
              <w:spacing w:line="300" w:lineRule="exact"/>
              <w:jc w:val="center"/>
              <w:rPr>
                <w:rFonts w:hint="default" w:ascii="Times New Roman" w:hAnsi="Times New Roman" w:cs="Times New Roman" w:eastAsiaTheme="minorEastAsia"/>
                <w:szCs w:val="21"/>
                <w:lang w:val="en-US" w:eastAsia="zh-CN"/>
              </w:rPr>
            </w:pPr>
          </w:p>
        </w:tc>
        <w:tc>
          <w:tcPr>
            <w:tcW w:w="889" w:type="pct"/>
            <w:tcBorders>
              <w:tl2br w:val="nil"/>
              <w:tr2bl w:val="nil"/>
            </w:tcBorders>
            <w:noWrap w:val="0"/>
            <w:vAlign w:val="center"/>
          </w:tcPr>
          <w:p w14:paraId="27B99A33">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保证率日平均浓度和年平均浓度叠加值</w:t>
            </w:r>
          </w:p>
        </w:tc>
        <w:tc>
          <w:tcPr>
            <w:tcW w:w="1532" w:type="pct"/>
            <w:gridSpan w:val="6"/>
            <w:tcBorders>
              <w:tl2br w:val="nil"/>
              <w:tr2bl w:val="nil"/>
            </w:tcBorders>
            <w:noWrap w:val="0"/>
            <w:vAlign w:val="center"/>
          </w:tcPr>
          <w:p w14:paraId="57600AC7">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C叠加达标☑</w:t>
            </w:r>
          </w:p>
        </w:tc>
        <w:tc>
          <w:tcPr>
            <w:tcW w:w="1954" w:type="pct"/>
            <w:gridSpan w:val="6"/>
            <w:tcBorders>
              <w:tl2br w:val="nil"/>
              <w:tr2bl w:val="nil"/>
            </w:tcBorders>
            <w:noWrap w:val="0"/>
            <w:vAlign w:val="center"/>
          </w:tcPr>
          <w:p w14:paraId="1A27A20B">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C叠加不达标</w:t>
            </w:r>
            <w:r>
              <w:rPr>
                <w:rFonts w:hint="eastAsia" w:ascii="Times New Roman" w:hAnsi="Times New Roman" w:cs="Times New Roman"/>
                <w:szCs w:val="21"/>
                <w:lang w:val="en-US" w:eastAsia="zh-CN"/>
              </w:rPr>
              <w:t>□</w:t>
            </w:r>
          </w:p>
        </w:tc>
      </w:tr>
      <w:tr w14:paraId="75DBBA8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23" w:type="pct"/>
            <w:vMerge w:val="continue"/>
            <w:tcBorders>
              <w:tl2br w:val="nil"/>
              <w:tr2bl w:val="nil"/>
            </w:tcBorders>
            <w:noWrap w:val="0"/>
            <w:vAlign w:val="center"/>
          </w:tcPr>
          <w:p w14:paraId="420929F7">
            <w:pPr>
              <w:spacing w:line="300" w:lineRule="exact"/>
              <w:jc w:val="center"/>
              <w:rPr>
                <w:rFonts w:hint="default" w:ascii="Times New Roman" w:hAnsi="Times New Roman" w:cs="Times New Roman" w:eastAsiaTheme="minorEastAsia"/>
                <w:szCs w:val="21"/>
                <w:lang w:val="en-US" w:eastAsia="zh-CN"/>
              </w:rPr>
            </w:pPr>
          </w:p>
        </w:tc>
        <w:tc>
          <w:tcPr>
            <w:tcW w:w="889" w:type="pct"/>
            <w:tcBorders>
              <w:tl2br w:val="nil"/>
              <w:tr2bl w:val="nil"/>
            </w:tcBorders>
            <w:noWrap w:val="0"/>
            <w:vAlign w:val="center"/>
          </w:tcPr>
          <w:p w14:paraId="084D4744">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区域环境质量的整体变化情况</w:t>
            </w:r>
          </w:p>
        </w:tc>
        <w:tc>
          <w:tcPr>
            <w:tcW w:w="2240" w:type="pct"/>
            <w:gridSpan w:val="9"/>
            <w:tcBorders>
              <w:tl2br w:val="nil"/>
              <w:tr2bl w:val="nil"/>
            </w:tcBorders>
            <w:noWrap w:val="0"/>
            <w:vAlign w:val="center"/>
          </w:tcPr>
          <w:p w14:paraId="7612BFBA">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K≤-20%</w:t>
            </w:r>
            <w:r>
              <w:rPr>
                <w:rFonts w:hint="eastAsia" w:ascii="Times New Roman" w:hAnsi="Times New Roman" w:cs="Times New Roman"/>
                <w:szCs w:val="21"/>
                <w:lang w:val="en-US" w:eastAsia="zh-CN"/>
              </w:rPr>
              <w:t>☑</w:t>
            </w:r>
          </w:p>
        </w:tc>
        <w:tc>
          <w:tcPr>
            <w:tcW w:w="1246" w:type="pct"/>
            <w:gridSpan w:val="3"/>
            <w:tcBorders>
              <w:tl2br w:val="nil"/>
              <w:tr2bl w:val="nil"/>
            </w:tcBorders>
            <w:noWrap w:val="0"/>
            <w:vAlign w:val="center"/>
          </w:tcPr>
          <w:p w14:paraId="55AB833B">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K&gt;-20%□</w:t>
            </w:r>
          </w:p>
        </w:tc>
      </w:tr>
      <w:tr w14:paraId="2F6ED6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23" w:type="pct"/>
            <w:vMerge w:val="restart"/>
            <w:tcBorders>
              <w:tl2br w:val="nil"/>
              <w:tr2bl w:val="nil"/>
            </w:tcBorders>
            <w:noWrap w:val="0"/>
            <w:vAlign w:val="center"/>
          </w:tcPr>
          <w:p w14:paraId="131D688A">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环境监测计划</w:t>
            </w:r>
          </w:p>
        </w:tc>
        <w:tc>
          <w:tcPr>
            <w:tcW w:w="889" w:type="pct"/>
            <w:tcBorders>
              <w:tl2br w:val="nil"/>
              <w:tr2bl w:val="nil"/>
            </w:tcBorders>
            <w:noWrap w:val="0"/>
            <w:vAlign w:val="center"/>
          </w:tcPr>
          <w:p w14:paraId="0C3E5457">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污染源监测</w:t>
            </w:r>
          </w:p>
        </w:tc>
        <w:tc>
          <w:tcPr>
            <w:tcW w:w="1063" w:type="pct"/>
            <w:gridSpan w:val="4"/>
            <w:tcBorders>
              <w:tl2br w:val="nil"/>
              <w:tr2bl w:val="nil"/>
            </w:tcBorders>
            <w:noWrap w:val="0"/>
            <w:vAlign w:val="center"/>
          </w:tcPr>
          <w:p w14:paraId="2046EA9F">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监测因子（</w:t>
            </w:r>
            <w:r>
              <w:rPr>
                <w:rFonts w:hint="default" w:ascii="Times New Roman" w:hAnsi="Times New Roman" w:cs="Times New Roman" w:eastAsiaTheme="minorEastAsia"/>
                <w:szCs w:val="21"/>
                <w:highlight w:val="none"/>
                <w:lang w:val="en-US" w:eastAsia="zh-CN"/>
              </w:rPr>
              <w:t>SO</w:t>
            </w:r>
            <w:r>
              <w:rPr>
                <w:rFonts w:hint="default" w:ascii="Times New Roman" w:hAnsi="Times New Roman" w:cs="Times New Roman" w:eastAsiaTheme="minorEastAsia"/>
                <w:szCs w:val="21"/>
                <w:highlight w:val="none"/>
                <w:vertAlign w:val="subscript"/>
                <w:lang w:val="en-US" w:eastAsia="zh-CN"/>
              </w:rPr>
              <w:t>2</w:t>
            </w:r>
            <w:r>
              <w:rPr>
                <w:rFonts w:hint="eastAsia" w:ascii="Times New Roman" w:hAnsi="Times New Roman" w:cs="Times New Roman" w:eastAsiaTheme="minorEastAsia"/>
                <w:szCs w:val="21"/>
                <w:highlight w:val="none"/>
                <w:lang w:val="en-US" w:eastAsia="zh-CN"/>
              </w:rPr>
              <w:t>、</w:t>
            </w:r>
            <w:r>
              <w:rPr>
                <w:rFonts w:hint="default" w:ascii="Times New Roman" w:hAnsi="Times New Roman" w:cs="Times New Roman" w:eastAsiaTheme="minorEastAsia"/>
                <w:szCs w:val="21"/>
                <w:highlight w:val="none"/>
                <w:lang w:val="en-US" w:eastAsia="zh-CN"/>
              </w:rPr>
              <w:t>NOx</w:t>
            </w:r>
            <w:r>
              <w:rPr>
                <w:rFonts w:hint="eastAsia" w:ascii="Times New Roman" w:hAnsi="Times New Roman" w:cs="Times New Roman" w:eastAsiaTheme="minorEastAsia"/>
                <w:szCs w:val="21"/>
                <w:highlight w:val="none"/>
                <w:lang w:val="en-US" w:eastAsia="zh-CN"/>
              </w:rPr>
              <w:t>、颗粒物、</w:t>
            </w:r>
            <w:r>
              <w:rPr>
                <w:rFonts w:hint="default" w:ascii="Times New Roman" w:hAnsi="Times New Roman" w:cs="Times New Roman" w:eastAsiaTheme="minorEastAsia"/>
                <w:szCs w:val="21"/>
                <w:highlight w:val="none"/>
                <w:lang w:val="en-US" w:eastAsia="zh-CN"/>
              </w:rPr>
              <w:t>HCl</w:t>
            </w:r>
            <w:r>
              <w:rPr>
                <w:rFonts w:hint="eastAsia" w:ascii="Times New Roman" w:hAnsi="Times New Roman" w:cs="Times New Roman" w:eastAsiaTheme="minorEastAsia"/>
                <w:szCs w:val="21"/>
                <w:highlight w:val="none"/>
                <w:lang w:val="en-US" w:eastAsia="zh-CN"/>
              </w:rPr>
              <w:t>、</w:t>
            </w:r>
            <w:r>
              <w:rPr>
                <w:rFonts w:hint="default" w:ascii="Times New Roman" w:hAnsi="Times New Roman" w:cs="Times New Roman" w:eastAsiaTheme="minorEastAsia"/>
                <w:szCs w:val="21"/>
                <w:highlight w:val="none"/>
                <w:lang w:val="en-US" w:eastAsia="zh-CN"/>
              </w:rPr>
              <w:t>CO</w:t>
            </w:r>
            <w:r>
              <w:rPr>
                <w:rFonts w:hint="eastAsia" w:ascii="Times New Roman" w:hAnsi="Times New Roman" w:cs="Times New Roman" w:eastAsiaTheme="minorEastAsia"/>
                <w:szCs w:val="21"/>
                <w:highlight w:val="none"/>
                <w:lang w:val="en-US" w:eastAsia="zh-CN"/>
              </w:rPr>
              <w:t>、</w:t>
            </w:r>
            <w:r>
              <w:rPr>
                <w:rFonts w:hint="default" w:ascii="Times New Roman" w:hAnsi="Times New Roman" w:cs="Times New Roman" w:eastAsiaTheme="minorEastAsia"/>
                <w:szCs w:val="21"/>
                <w:highlight w:val="none"/>
                <w:lang w:val="en-US" w:eastAsia="zh-CN"/>
              </w:rPr>
              <w:t>HF</w:t>
            </w:r>
            <w:r>
              <w:rPr>
                <w:rFonts w:hint="eastAsia" w:ascii="Times New Roman" w:hAnsi="Times New Roman" w:cs="Times New Roman" w:eastAsiaTheme="minorEastAsia"/>
                <w:szCs w:val="21"/>
                <w:highlight w:val="none"/>
                <w:lang w:val="en-US" w:eastAsia="zh-CN"/>
              </w:rPr>
              <w:t>、二噁英类、汞及其化合物、镉及其化合物、砷、镍及其化合物、铅及其化合物、铬、锡、锑、铜、锰及其化合物</w:t>
            </w:r>
            <w:r>
              <w:rPr>
                <w:rFonts w:hint="default" w:ascii="Times New Roman" w:hAnsi="Times New Roman" w:cs="Times New Roman" w:eastAsiaTheme="minorEastAsia"/>
                <w:szCs w:val="21"/>
                <w:lang w:val="en-US" w:eastAsia="zh-CN"/>
              </w:rPr>
              <w:t>）</w:t>
            </w:r>
          </w:p>
        </w:tc>
        <w:tc>
          <w:tcPr>
            <w:tcW w:w="1176" w:type="pct"/>
            <w:gridSpan w:val="5"/>
            <w:tcBorders>
              <w:tl2br w:val="nil"/>
              <w:tr2bl w:val="nil"/>
            </w:tcBorders>
            <w:noWrap w:val="0"/>
            <w:vAlign w:val="center"/>
          </w:tcPr>
          <w:p w14:paraId="2FFB8697">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有组织废气监测☑</w:t>
            </w:r>
          </w:p>
          <w:p w14:paraId="34D64CCD">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无组织废气监测</w:t>
            </w:r>
            <w:r>
              <w:rPr>
                <w:rFonts w:hint="eastAsia" w:ascii="Times New Roman" w:hAnsi="Times New Roman" w:cs="Times New Roman"/>
                <w:szCs w:val="21"/>
                <w:lang w:val="en-US" w:eastAsia="zh-CN"/>
              </w:rPr>
              <w:t>☑</w:t>
            </w:r>
          </w:p>
        </w:tc>
        <w:tc>
          <w:tcPr>
            <w:tcW w:w="1246" w:type="pct"/>
            <w:gridSpan w:val="3"/>
            <w:tcBorders>
              <w:tl2br w:val="nil"/>
              <w:tr2bl w:val="nil"/>
            </w:tcBorders>
            <w:noWrap w:val="0"/>
            <w:vAlign w:val="center"/>
          </w:tcPr>
          <w:p w14:paraId="1B018531">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无监测□</w:t>
            </w:r>
          </w:p>
        </w:tc>
      </w:tr>
      <w:tr w14:paraId="24F0C4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623" w:type="pct"/>
            <w:vMerge w:val="continue"/>
            <w:tcBorders>
              <w:tl2br w:val="nil"/>
              <w:tr2bl w:val="nil"/>
            </w:tcBorders>
            <w:noWrap w:val="0"/>
            <w:vAlign w:val="center"/>
          </w:tcPr>
          <w:p w14:paraId="7DFBB978">
            <w:pPr>
              <w:spacing w:line="300" w:lineRule="exact"/>
              <w:jc w:val="center"/>
              <w:rPr>
                <w:rFonts w:hint="default" w:ascii="Times New Roman" w:hAnsi="Times New Roman" w:cs="Times New Roman" w:eastAsiaTheme="minorEastAsia"/>
                <w:szCs w:val="21"/>
                <w:lang w:val="en-US" w:eastAsia="zh-CN"/>
              </w:rPr>
            </w:pPr>
          </w:p>
        </w:tc>
        <w:tc>
          <w:tcPr>
            <w:tcW w:w="889" w:type="pct"/>
            <w:tcBorders>
              <w:tl2br w:val="nil"/>
              <w:tr2bl w:val="nil"/>
            </w:tcBorders>
            <w:noWrap w:val="0"/>
            <w:vAlign w:val="center"/>
          </w:tcPr>
          <w:p w14:paraId="01FD1B19">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环境质量监测</w:t>
            </w:r>
          </w:p>
        </w:tc>
        <w:tc>
          <w:tcPr>
            <w:tcW w:w="1063" w:type="pct"/>
            <w:gridSpan w:val="4"/>
            <w:tcBorders>
              <w:tl2br w:val="nil"/>
              <w:tr2bl w:val="nil"/>
            </w:tcBorders>
            <w:noWrap w:val="0"/>
            <w:vAlign w:val="center"/>
          </w:tcPr>
          <w:p w14:paraId="6CC78C37">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监测因子（</w:t>
            </w:r>
            <w:r>
              <w:rPr>
                <w:rFonts w:hint="default" w:ascii="Times New Roman" w:hAnsi="Times New Roman" w:cs="Times New Roman" w:eastAsiaTheme="minorEastAsia"/>
                <w:szCs w:val="21"/>
                <w:highlight w:val="none"/>
                <w:lang w:val="en-US" w:eastAsia="zh-CN"/>
              </w:rPr>
              <w:t>SO</w:t>
            </w:r>
            <w:r>
              <w:rPr>
                <w:rFonts w:hint="default" w:ascii="Times New Roman" w:hAnsi="Times New Roman" w:cs="Times New Roman" w:eastAsiaTheme="minorEastAsia"/>
                <w:szCs w:val="21"/>
                <w:highlight w:val="none"/>
                <w:vertAlign w:val="subscript"/>
                <w:lang w:val="en-US" w:eastAsia="zh-CN"/>
              </w:rPr>
              <w:t>2</w:t>
            </w:r>
            <w:r>
              <w:rPr>
                <w:rFonts w:hint="eastAsia" w:ascii="Times New Roman" w:hAnsi="Times New Roman" w:cs="Times New Roman" w:eastAsiaTheme="minorEastAsia"/>
                <w:szCs w:val="21"/>
                <w:highlight w:val="none"/>
                <w:lang w:val="en-US" w:eastAsia="zh-CN"/>
              </w:rPr>
              <w:t>、</w:t>
            </w:r>
            <w:r>
              <w:rPr>
                <w:rFonts w:hint="default" w:ascii="Times New Roman" w:hAnsi="Times New Roman" w:cs="Times New Roman" w:eastAsiaTheme="minorEastAsia"/>
                <w:szCs w:val="21"/>
                <w:highlight w:val="none"/>
                <w:lang w:val="en-US" w:eastAsia="zh-CN"/>
              </w:rPr>
              <w:t>NOx</w:t>
            </w:r>
            <w:r>
              <w:rPr>
                <w:rFonts w:hint="eastAsia" w:ascii="Times New Roman" w:hAnsi="Times New Roman" w:cs="Times New Roman" w:eastAsiaTheme="minorEastAsia"/>
                <w:szCs w:val="21"/>
                <w:highlight w:val="none"/>
                <w:lang w:val="en-US" w:eastAsia="zh-CN"/>
              </w:rPr>
              <w:t>、颗粒物、</w:t>
            </w:r>
            <w:r>
              <w:rPr>
                <w:rFonts w:hint="default" w:ascii="Times New Roman" w:hAnsi="Times New Roman" w:cs="Times New Roman" w:eastAsiaTheme="minorEastAsia"/>
                <w:szCs w:val="21"/>
                <w:highlight w:val="none"/>
                <w:lang w:val="en-US" w:eastAsia="zh-CN"/>
              </w:rPr>
              <w:t>HCl</w:t>
            </w:r>
            <w:r>
              <w:rPr>
                <w:rFonts w:hint="eastAsia" w:ascii="Times New Roman" w:hAnsi="Times New Roman" w:cs="Times New Roman" w:eastAsiaTheme="minorEastAsia"/>
                <w:szCs w:val="21"/>
                <w:highlight w:val="none"/>
                <w:lang w:val="en-US" w:eastAsia="zh-CN"/>
              </w:rPr>
              <w:t>、</w:t>
            </w:r>
            <w:r>
              <w:rPr>
                <w:rFonts w:hint="default" w:ascii="Times New Roman" w:hAnsi="Times New Roman" w:cs="Times New Roman" w:eastAsiaTheme="minorEastAsia"/>
                <w:szCs w:val="21"/>
                <w:highlight w:val="none"/>
                <w:lang w:val="en-US" w:eastAsia="zh-CN"/>
              </w:rPr>
              <w:t>CO</w:t>
            </w:r>
            <w:r>
              <w:rPr>
                <w:rFonts w:hint="eastAsia" w:ascii="Times New Roman" w:hAnsi="Times New Roman" w:cs="Times New Roman" w:eastAsiaTheme="minorEastAsia"/>
                <w:szCs w:val="21"/>
                <w:highlight w:val="none"/>
                <w:lang w:val="en-US" w:eastAsia="zh-CN"/>
              </w:rPr>
              <w:t>、</w:t>
            </w:r>
            <w:r>
              <w:rPr>
                <w:rFonts w:hint="default" w:ascii="Times New Roman" w:hAnsi="Times New Roman" w:cs="Times New Roman" w:eastAsiaTheme="minorEastAsia"/>
                <w:szCs w:val="21"/>
                <w:highlight w:val="none"/>
                <w:lang w:val="en-US" w:eastAsia="zh-CN"/>
              </w:rPr>
              <w:t>HF</w:t>
            </w:r>
            <w:r>
              <w:rPr>
                <w:rFonts w:hint="eastAsia" w:ascii="Times New Roman" w:hAnsi="Times New Roman" w:cs="Times New Roman" w:eastAsiaTheme="minorEastAsia"/>
                <w:szCs w:val="21"/>
                <w:highlight w:val="none"/>
                <w:lang w:val="en-US" w:eastAsia="zh-CN"/>
              </w:rPr>
              <w:t>、二噁英类、汞及其化合物、镉及其化合物、砷、镍及其化合物、铅及其化合物、铬、锡、锑、铜、锰及其化合物</w:t>
            </w:r>
            <w:r>
              <w:rPr>
                <w:rFonts w:hint="default" w:ascii="Times New Roman" w:hAnsi="Times New Roman" w:cs="Times New Roman" w:eastAsiaTheme="minorEastAsia"/>
                <w:szCs w:val="21"/>
                <w:lang w:val="en-US" w:eastAsia="zh-CN"/>
              </w:rPr>
              <w:t>）</w:t>
            </w:r>
          </w:p>
        </w:tc>
        <w:tc>
          <w:tcPr>
            <w:tcW w:w="1176" w:type="pct"/>
            <w:gridSpan w:val="5"/>
            <w:tcBorders>
              <w:tl2br w:val="nil"/>
              <w:tr2bl w:val="nil"/>
            </w:tcBorders>
            <w:noWrap w:val="0"/>
            <w:vAlign w:val="center"/>
          </w:tcPr>
          <w:p w14:paraId="4B7565ED">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监测点位数（</w:t>
            </w:r>
            <w:r>
              <w:rPr>
                <w:rFonts w:hint="eastAsia" w:ascii="Times New Roman" w:hAnsi="Times New Roman" w:cs="Times New Roman"/>
                <w:szCs w:val="21"/>
                <w:lang w:val="en-US" w:eastAsia="zh-CN"/>
              </w:rPr>
              <w:t>3</w:t>
            </w:r>
            <w:r>
              <w:rPr>
                <w:rFonts w:hint="default" w:ascii="Times New Roman" w:hAnsi="Times New Roman" w:cs="Times New Roman" w:eastAsiaTheme="minorEastAsia"/>
                <w:szCs w:val="21"/>
                <w:lang w:val="en-US" w:eastAsia="zh-CN"/>
              </w:rPr>
              <w:t>）</w:t>
            </w:r>
          </w:p>
        </w:tc>
        <w:tc>
          <w:tcPr>
            <w:tcW w:w="1246" w:type="pct"/>
            <w:gridSpan w:val="3"/>
            <w:tcBorders>
              <w:tl2br w:val="nil"/>
              <w:tr2bl w:val="nil"/>
            </w:tcBorders>
            <w:noWrap w:val="0"/>
            <w:vAlign w:val="center"/>
          </w:tcPr>
          <w:p w14:paraId="51CC0BED">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无监测□</w:t>
            </w:r>
          </w:p>
        </w:tc>
      </w:tr>
      <w:tr w14:paraId="1BE2686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23" w:type="pct"/>
            <w:vMerge w:val="restart"/>
            <w:tcBorders>
              <w:tl2br w:val="nil"/>
              <w:tr2bl w:val="nil"/>
            </w:tcBorders>
            <w:noWrap w:val="0"/>
            <w:vAlign w:val="center"/>
          </w:tcPr>
          <w:p w14:paraId="334D62E3">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评价结论</w:t>
            </w:r>
          </w:p>
        </w:tc>
        <w:tc>
          <w:tcPr>
            <w:tcW w:w="889" w:type="pct"/>
            <w:tcBorders>
              <w:tl2br w:val="nil"/>
              <w:tr2bl w:val="nil"/>
            </w:tcBorders>
            <w:noWrap w:val="0"/>
            <w:vAlign w:val="center"/>
          </w:tcPr>
          <w:p w14:paraId="163E9830">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环境</w:t>
            </w:r>
          </w:p>
          <w:p w14:paraId="5092916D">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影响</w:t>
            </w:r>
          </w:p>
        </w:tc>
        <w:tc>
          <w:tcPr>
            <w:tcW w:w="3487" w:type="pct"/>
            <w:gridSpan w:val="12"/>
            <w:tcBorders>
              <w:tl2br w:val="nil"/>
              <w:tr2bl w:val="nil"/>
            </w:tcBorders>
            <w:noWrap w:val="0"/>
            <w:vAlign w:val="center"/>
          </w:tcPr>
          <w:p w14:paraId="1C681DD0">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可以接受☑      不可以接受□</w:t>
            </w:r>
          </w:p>
        </w:tc>
      </w:tr>
      <w:tr w14:paraId="31FF764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23" w:type="pct"/>
            <w:vMerge w:val="continue"/>
            <w:tcBorders>
              <w:tl2br w:val="nil"/>
              <w:tr2bl w:val="nil"/>
            </w:tcBorders>
            <w:noWrap w:val="0"/>
            <w:vAlign w:val="center"/>
          </w:tcPr>
          <w:p w14:paraId="41805803">
            <w:pPr>
              <w:spacing w:line="300" w:lineRule="exact"/>
              <w:jc w:val="center"/>
              <w:rPr>
                <w:rFonts w:hint="default" w:ascii="Times New Roman" w:hAnsi="Times New Roman" w:cs="Times New Roman" w:eastAsiaTheme="minorEastAsia"/>
                <w:szCs w:val="21"/>
                <w:lang w:val="en-US" w:eastAsia="zh-CN"/>
              </w:rPr>
            </w:pPr>
          </w:p>
        </w:tc>
        <w:tc>
          <w:tcPr>
            <w:tcW w:w="889" w:type="pct"/>
            <w:tcBorders>
              <w:tl2br w:val="nil"/>
              <w:tr2bl w:val="nil"/>
            </w:tcBorders>
            <w:noWrap w:val="0"/>
            <w:vAlign w:val="center"/>
          </w:tcPr>
          <w:p w14:paraId="7D1A4A66">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大气环境防护距离</w:t>
            </w:r>
          </w:p>
        </w:tc>
        <w:tc>
          <w:tcPr>
            <w:tcW w:w="3487" w:type="pct"/>
            <w:gridSpan w:val="12"/>
            <w:tcBorders>
              <w:tl2br w:val="nil"/>
              <w:tr2bl w:val="nil"/>
            </w:tcBorders>
            <w:noWrap w:val="0"/>
            <w:vAlign w:val="center"/>
          </w:tcPr>
          <w:p w14:paraId="7969617D">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距（/）厂界最远（/）m</w:t>
            </w:r>
          </w:p>
        </w:tc>
      </w:tr>
      <w:tr w14:paraId="513C15B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47" w:hRule="atLeast"/>
          <w:jc w:val="center"/>
        </w:trPr>
        <w:tc>
          <w:tcPr>
            <w:tcW w:w="623" w:type="pct"/>
            <w:vMerge w:val="continue"/>
            <w:tcBorders>
              <w:tl2br w:val="nil"/>
              <w:tr2bl w:val="nil"/>
            </w:tcBorders>
            <w:noWrap w:val="0"/>
            <w:vAlign w:val="center"/>
          </w:tcPr>
          <w:p w14:paraId="2B1577D4">
            <w:pPr>
              <w:spacing w:line="300" w:lineRule="exact"/>
              <w:jc w:val="center"/>
              <w:rPr>
                <w:rFonts w:hint="default" w:ascii="Times New Roman" w:hAnsi="Times New Roman" w:cs="Times New Roman" w:eastAsiaTheme="minorEastAsia"/>
                <w:szCs w:val="21"/>
                <w:lang w:val="en-US" w:eastAsia="zh-CN"/>
              </w:rPr>
            </w:pPr>
          </w:p>
        </w:tc>
        <w:tc>
          <w:tcPr>
            <w:tcW w:w="889" w:type="pct"/>
            <w:vMerge w:val="restart"/>
            <w:tcBorders>
              <w:tl2br w:val="nil"/>
              <w:tr2bl w:val="nil"/>
            </w:tcBorders>
            <w:noWrap w:val="0"/>
            <w:vAlign w:val="center"/>
          </w:tcPr>
          <w:p w14:paraId="2FE8C62B">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污染源年排放量</w:t>
            </w:r>
          </w:p>
        </w:tc>
        <w:tc>
          <w:tcPr>
            <w:tcW w:w="813" w:type="pct"/>
            <w:gridSpan w:val="3"/>
            <w:tcBorders>
              <w:tl2br w:val="nil"/>
              <w:tr2bl w:val="nil"/>
            </w:tcBorders>
            <w:noWrap w:val="0"/>
            <w:vAlign w:val="center"/>
          </w:tcPr>
          <w:p w14:paraId="3A0CFF96">
            <w:pPr>
              <w:spacing w:line="300" w:lineRule="exact"/>
              <w:jc w:val="center"/>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烟尘</w:t>
            </w:r>
          </w:p>
          <w:p w14:paraId="7A14023C">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r>
              <w:rPr>
                <w:rFonts w:hint="eastAsia" w:ascii="Times New Roman" w:hAnsi="Times New Roman" w:cs="Times New Roman"/>
                <w:szCs w:val="21"/>
                <w:lang w:val="en-US" w:eastAsia="zh-CN"/>
              </w:rPr>
              <w:t>0.178</w:t>
            </w:r>
            <w:r>
              <w:rPr>
                <w:rFonts w:hint="default" w:ascii="Times New Roman" w:hAnsi="Times New Roman" w:cs="Times New Roman" w:eastAsiaTheme="minorEastAsia"/>
                <w:szCs w:val="21"/>
                <w:lang w:val="en-US" w:eastAsia="zh-CN"/>
              </w:rPr>
              <w:t>)t/a</w:t>
            </w:r>
          </w:p>
        </w:tc>
        <w:tc>
          <w:tcPr>
            <w:tcW w:w="719" w:type="pct"/>
            <w:gridSpan w:val="3"/>
            <w:tcBorders>
              <w:tl2br w:val="nil"/>
              <w:tr2bl w:val="nil"/>
            </w:tcBorders>
            <w:noWrap w:val="0"/>
            <w:vAlign w:val="center"/>
          </w:tcPr>
          <w:p w14:paraId="77CC1838">
            <w:pPr>
              <w:spacing w:line="300" w:lineRule="exact"/>
              <w:jc w:val="center"/>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SO</w:t>
            </w:r>
            <w:r>
              <w:rPr>
                <w:rFonts w:hint="eastAsia" w:ascii="Times New Roman" w:hAnsi="Times New Roman" w:cs="Times New Roman"/>
                <w:szCs w:val="21"/>
                <w:vertAlign w:val="subscript"/>
                <w:lang w:val="en-US" w:eastAsia="zh-CN"/>
              </w:rPr>
              <w:t>2</w:t>
            </w:r>
          </w:p>
          <w:p w14:paraId="4ACD72B5">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r>
              <w:rPr>
                <w:rFonts w:hint="eastAsia" w:ascii="Times New Roman" w:hAnsi="Times New Roman" w:cs="Times New Roman"/>
                <w:szCs w:val="21"/>
                <w:lang w:val="en-US" w:eastAsia="zh-CN"/>
              </w:rPr>
              <w:t>0.255</w:t>
            </w:r>
            <w:r>
              <w:rPr>
                <w:rFonts w:hint="default" w:ascii="Times New Roman" w:hAnsi="Times New Roman" w:cs="Times New Roman" w:eastAsiaTheme="minorEastAsia"/>
                <w:szCs w:val="21"/>
                <w:lang w:val="en-US" w:eastAsia="zh-CN"/>
              </w:rPr>
              <w:t>)t/a</w:t>
            </w:r>
          </w:p>
        </w:tc>
        <w:tc>
          <w:tcPr>
            <w:tcW w:w="1024" w:type="pct"/>
            <w:gridSpan w:val="4"/>
            <w:tcBorders>
              <w:tl2br w:val="nil"/>
              <w:tr2bl w:val="nil"/>
            </w:tcBorders>
            <w:noWrap w:val="0"/>
            <w:vAlign w:val="center"/>
          </w:tcPr>
          <w:p w14:paraId="02008CC4">
            <w:pPr>
              <w:spacing w:line="300" w:lineRule="exact"/>
              <w:jc w:val="center"/>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NOx</w:t>
            </w:r>
          </w:p>
          <w:p w14:paraId="442684AA">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r>
              <w:rPr>
                <w:rFonts w:hint="eastAsia" w:ascii="Times New Roman" w:hAnsi="Times New Roman" w:cs="Times New Roman"/>
                <w:szCs w:val="21"/>
                <w:lang w:val="en-US" w:eastAsia="zh-CN"/>
              </w:rPr>
              <w:t>1.252</w:t>
            </w:r>
            <w:r>
              <w:rPr>
                <w:rFonts w:hint="default" w:ascii="Times New Roman" w:hAnsi="Times New Roman" w:cs="Times New Roman" w:eastAsiaTheme="minorEastAsia"/>
                <w:szCs w:val="21"/>
                <w:lang w:val="en-US" w:eastAsia="zh-CN"/>
              </w:rPr>
              <w:t>)t/a</w:t>
            </w:r>
          </w:p>
        </w:tc>
        <w:tc>
          <w:tcPr>
            <w:tcW w:w="929" w:type="pct"/>
            <w:gridSpan w:val="2"/>
            <w:tcBorders>
              <w:tl2br w:val="nil"/>
              <w:tr2bl w:val="nil"/>
            </w:tcBorders>
            <w:noWrap w:val="0"/>
            <w:vAlign w:val="center"/>
          </w:tcPr>
          <w:p w14:paraId="1AF8138F">
            <w:pPr>
              <w:spacing w:line="300" w:lineRule="exact"/>
              <w:jc w:val="center"/>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CO</w:t>
            </w:r>
          </w:p>
          <w:p w14:paraId="444D84F4">
            <w:pPr>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(0.345)</w:t>
            </w:r>
            <w:r>
              <w:rPr>
                <w:rFonts w:hint="default" w:ascii="Times New Roman" w:hAnsi="Times New Roman" w:cs="Times New Roman" w:eastAsiaTheme="minorEastAsia"/>
                <w:szCs w:val="21"/>
                <w:lang w:val="en-US" w:eastAsia="zh-CN"/>
              </w:rPr>
              <w:t>t/a</w:t>
            </w:r>
          </w:p>
        </w:tc>
      </w:tr>
      <w:tr w14:paraId="16445C6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23" w:type="pct"/>
            <w:vMerge w:val="continue"/>
            <w:tcBorders>
              <w:tl2br w:val="nil"/>
              <w:tr2bl w:val="nil"/>
            </w:tcBorders>
            <w:noWrap w:val="0"/>
            <w:vAlign w:val="center"/>
          </w:tcPr>
          <w:p w14:paraId="0607A66C">
            <w:pPr>
              <w:spacing w:line="300" w:lineRule="exact"/>
              <w:jc w:val="center"/>
              <w:rPr>
                <w:rFonts w:hint="default" w:ascii="Times New Roman" w:hAnsi="Times New Roman" w:cs="Times New Roman" w:eastAsiaTheme="minorEastAsia"/>
                <w:szCs w:val="21"/>
                <w:lang w:val="en-US" w:eastAsia="zh-CN"/>
              </w:rPr>
            </w:pPr>
          </w:p>
        </w:tc>
        <w:tc>
          <w:tcPr>
            <w:tcW w:w="889" w:type="pct"/>
            <w:vMerge w:val="continue"/>
            <w:tcBorders>
              <w:tl2br w:val="nil"/>
              <w:tr2bl w:val="nil"/>
            </w:tcBorders>
            <w:noWrap w:val="0"/>
            <w:vAlign w:val="center"/>
          </w:tcPr>
          <w:p w14:paraId="4AC07E48">
            <w:pPr>
              <w:spacing w:line="300" w:lineRule="exact"/>
              <w:jc w:val="center"/>
              <w:rPr>
                <w:rFonts w:hint="default" w:ascii="Times New Roman" w:hAnsi="Times New Roman" w:cs="Times New Roman" w:eastAsiaTheme="minorEastAsia"/>
                <w:szCs w:val="21"/>
                <w:lang w:val="en-US" w:eastAsia="zh-CN"/>
              </w:rPr>
            </w:pPr>
          </w:p>
        </w:tc>
        <w:tc>
          <w:tcPr>
            <w:tcW w:w="813" w:type="pct"/>
            <w:gridSpan w:val="3"/>
            <w:tcBorders>
              <w:tl2br w:val="nil"/>
              <w:tr2bl w:val="nil"/>
            </w:tcBorders>
            <w:noWrap w:val="0"/>
            <w:vAlign w:val="center"/>
          </w:tcPr>
          <w:p w14:paraId="695EEAFB">
            <w:pPr>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HCl</w:t>
            </w:r>
          </w:p>
          <w:p w14:paraId="702290BA">
            <w:pPr>
              <w:spacing w:line="300" w:lineRule="exact"/>
              <w:jc w:val="center"/>
              <w:rPr>
                <w:rFonts w:hint="default"/>
                <w:lang w:val="en-US" w:eastAsia="zh-CN"/>
              </w:rPr>
            </w:pPr>
            <w:r>
              <w:rPr>
                <w:rFonts w:hint="default" w:ascii="Times New Roman" w:hAnsi="Times New Roman" w:cs="Times New Roman" w:eastAsiaTheme="minorEastAsia"/>
                <w:szCs w:val="21"/>
                <w:lang w:val="en-US" w:eastAsia="zh-CN"/>
              </w:rPr>
              <w:t>(</w:t>
            </w:r>
            <w:r>
              <w:rPr>
                <w:rFonts w:hint="eastAsia" w:ascii="Times New Roman" w:hAnsi="Times New Roman" w:cs="Times New Roman"/>
                <w:szCs w:val="21"/>
                <w:lang w:val="en-US" w:eastAsia="zh-CN"/>
              </w:rPr>
              <w:t>0.144</w:t>
            </w:r>
            <w:r>
              <w:rPr>
                <w:rFonts w:hint="default" w:ascii="Times New Roman" w:hAnsi="Times New Roman" w:cs="Times New Roman" w:eastAsiaTheme="minorEastAsia"/>
                <w:szCs w:val="21"/>
                <w:lang w:val="en-US" w:eastAsia="zh-CN"/>
              </w:rPr>
              <w:t>)t/a</w:t>
            </w:r>
          </w:p>
        </w:tc>
        <w:tc>
          <w:tcPr>
            <w:tcW w:w="719" w:type="pct"/>
            <w:gridSpan w:val="3"/>
            <w:tcBorders>
              <w:tl2br w:val="nil"/>
              <w:tr2bl w:val="nil"/>
            </w:tcBorders>
            <w:noWrap w:val="0"/>
            <w:vAlign w:val="center"/>
          </w:tcPr>
          <w:p w14:paraId="10D63C7C">
            <w:pPr>
              <w:spacing w:line="300" w:lineRule="exact"/>
              <w:jc w:val="center"/>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HF</w:t>
            </w:r>
          </w:p>
          <w:p w14:paraId="7A795C88">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r>
              <w:rPr>
                <w:rFonts w:hint="eastAsia" w:ascii="Times New Roman" w:hAnsi="Times New Roman" w:cs="Times New Roman"/>
                <w:szCs w:val="21"/>
                <w:lang w:val="en-US" w:eastAsia="zh-CN"/>
              </w:rPr>
              <w:t>0.04</w:t>
            </w:r>
            <w:r>
              <w:rPr>
                <w:rFonts w:hint="default" w:ascii="Times New Roman" w:hAnsi="Times New Roman" w:cs="Times New Roman" w:eastAsiaTheme="minorEastAsia"/>
                <w:szCs w:val="21"/>
                <w:lang w:val="en-US" w:eastAsia="zh-CN"/>
              </w:rPr>
              <w:t>)t/a</w:t>
            </w:r>
          </w:p>
        </w:tc>
        <w:tc>
          <w:tcPr>
            <w:tcW w:w="1024" w:type="pct"/>
            <w:gridSpan w:val="4"/>
            <w:tcBorders>
              <w:tl2br w:val="nil"/>
              <w:tr2bl w:val="nil"/>
            </w:tcBorders>
            <w:noWrap w:val="0"/>
            <w:vAlign w:val="center"/>
          </w:tcPr>
          <w:p w14:paraId="5E906A2B">
            <w:pPr>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汞及其化合物</w:t>
            </w: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7.1</w:t>
            </w:r>
            <w:r>
              <w:rPr>
                <w:rFonts w:hint="eastAsia" w:ascii="Times New Roman" w:hAnsi="Times New Roman" w:cs="Times New Roman"/>
                <w:szCs w:val="21"/>
                <w:lang w:val="en-US" w:eastAsia="zh-CN"/>
              </w:rPr>
              <w:t>4</w:t>
            </w:r>
            <w:r>
              <w:rPr>
                <w:rFonts w:hint="eastAsia" w:ascii="Times New Roman" w:hAnsi="Times New Roman" w:cs="Times New Roman" w:eastAsiaTheme="minorEastAsia"/>
                <w:szCs w:val="21"/>
                <w:lang w:val="en-US" w:eastAsia="zh-CN"/>
              </w:rPr>
              <w:t>6×10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8</w:t>
            </w:r>
            <w:r>
              <w:rPr>
                <w:rFonts w:hint="eastAsia" w:ascii="Times New Roman" w:hAnsi="Times New Roman" w:cs="Times New Roman"/>
                <w:szCs w:val="21"/>
                <w:vertAlign w:val="baseline"/>
                <w:lang w:val="en-US" w:eastAsia="zh-CN"/>
              </w:rPr>
              <w:t>）</w:t>
            </w:r>
            <w:r>
              <w:rPr>
                <w:rFonts w:hint="default" w:ascii="Times New Roman" w:hAnsi="Times New Roman" w:cs="Times New Roman" w:eastAsiaTheme="minorEastAsia"/>
                <w:szCs w:val="21"/>
                <w:lang w:val="en-US" w:eastAsia="zh-CN"/>
              </w:rPr>
              <w:t>t/a</w:t>
            </w:r>
          </w:p>
        </w:tc>
        <w:tc>
          <w:tcPr>
            <w:tcW w:w="929" w:type="pct"/>
            <w:gridSpan w:val="2"/>
            <w:tcBorders>
              <w:tl2br w:val="nil"/>
              <w:tr2bl w:val="nil"/>
            </w:tcBorders>
            <w:noWrap w:val="0"/>
            <w:vAlign w:val="center"/>
          </w:tcPr>
          <w:p w14:paraId="5EE03804">
            <w:pPr>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铅及其化合物</w:t>
            </w: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1.</w:t>
            </w:r>
            <w:r>
              <w:rPr>
                <w:rFonts w:hint="eastAsia" w:ascii="Times New Roman" w:hAnsi="Times New Roman" w:cs="Times New Roman"/>
                <w:szCs w:val="21"/>
                <w:lang w:val="en-US" w:eastAsia="zh-CN"/>
              </w:rPr>
              <w:t>284</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-4</w:t>
            </w:r>
            <w:r>
              <w:rPr>
                <w:rFonts w:hint="eastAsia" w:ascii="Times New Roman" w:hAnsi="Times New Roman" w:cs="Times New Roman"/>
                <w:szCs w:val="21"/>
                <w:vertAlign w:val="baseline"/>
                <w:lang w:val="en-US" w:eastAsia="zh-CN"/>
              </w:rPr>
              <w:t>）</w:t>
            </w:r>
            <w:r>
              <w:rPr>
                <w:rFonts w:hint="default" w:ascii="Times New Roman" w:hAnsi="Times New Roman" w:cs="Times New Roman" w:eastAsiaTheme="minorEastAsia"/>
                <w:szCs w:val="21"/>
                <w:lang w:val="en-US" w:eastAsia="zh-CN"/>
              </w:rPr>
              <w:t>t/a</w:t>
            </w:r>
          </w:p>
        </w:tc>
      </w:tr>
      <w:tr w14:paraId="07F7B6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23" w:type="pct"/>
            <w:vMerge w:val="continue"/>
            <w:tcBorders>
              <w:tl2br w:val="nil"/>
              <w:tr2bl w:val="nil"/>
            </w:tcBorders>
            <w:noWrap w:val="0"/>
            <w:vAlign w:val="center"/>
          </w:tcPr>
          <w:p w14:paraId="6810067A">
            <w:pPr>
              <w:spacing w:line="300" w:lineRule="exact"/>
              <w:jc w:val="center"/>
              <w:rPr>
                <w:rFonts w:hint="default" w:ascii="Times New Roman" w:hAnsi="Times New Roman" w:cs="Times New Roman" w:eastAsiaTheme="minorEastAsia"/>
                <w:szCs w:val="21"/>
                <w:lang w:val="en-US" w:eastAsia="zh-CN"/>
              </w:rPr>
            </w:pPr>
          </w:p>
        </w:tc>
        <w:tc>
          <w:tcPr>
            <w:tcW w:w="889" w:type="pct"/>
            <w:vMerge w:val="continue"/>
            <w:tcBorders>
              <w:tl2br w:val="nil"/>
              <w:tr2bl w:val="nil"/>
            </w:tcBorders>
            <w:noWrap w:val="0"/>
            <w:vAlign w:val="center"/>
          </w:tcPr>
          <w:p w14:paraId="49F5FC28">
            <w:pPr>
              <w:spacing w:line="300" w:lineRule="exact"/>
              <w:jc w:val="center"/>
              <w:rPr>
                <w:rFonts w:hint="default" w:ascii="Times New Roman" w:hAnsi="Times New Roman" w:cs="Times New Roman" w:eastAsiaTheme="minorEastAsia"/>
                <w:szCs w:val="21"/>
                <w:lang w:val="en-US" w:eastAsia="zh-CN"/>
              </w:rPr>
            </w:pPr>
          </w:p>
        </w:tc>
        <w:tc>
          <w:tcPr>
            <w:tcW w:w="813" w:type="pct"/>
            <w:gridSpan w:val="3"/>
            <w:tcBorders>
              <w:tl2br w:val="nil"/>
              <w:tr2bl w:val="nil"/>
            </w:tcBorders>
            <w:shd w:val="clear" w:color="auto" w:fill="auto"/>
            <w:noWrap w:val="0"/>
            <w:vAlign w:val="center"/>
          </w:tcPr>
          <w:p w14:paraId="425F6E7A">
            <w:pPr>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镉及其化合物</w:t>
            </w:r>
            <w:r>
              <w:rPr>
                <w:rFonts w:hint="eastAsia" w:ascii="Times New Roman" w:hAnsi="Times New Roman" w:cs="Times New Roman"/>
                <w:szCs w:val="21"/>
                <w:lang w:val="en-US" w:eastAsia="zh-CN"/>
              </w:rPr>
              <w:t>（1.533</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-6</w:t>
            </w:r>
            <w:r>
              <w:rPr>
                <w:rFonts w:hint="eastAsia" w:ascii="Times New Roman" w:hAnsi="Times New Roman" w:cs="Times New Roman"/>
                <w:szCs w:val="21"/>
                <w:vertAlign w:val="baseline"/>
                <w:lang w:val="en-US" w:eastAsia="zh-CN"/>
              </w:rPr>
              <w:t>）</w:t>
            </w:r>
            <w:r>
              <w:rPr>
                <w:rFonts w:hint="default" w:ascii="Times New Roman" w:hAnsi="Times New Roman" w:cs="Times New Roman" w:eastAsiaTheme="minorEastAsia"/>
                <w:szCs w:val="21"/>
                <w:lang w:val="en-US" w:eastAsia="zh-CN"/>
              </w:rPr>
              <w:t>t/a</w:t>
            </w:r>
          </w:p>
        </w:tc>
        <w:tc>
          <w:tcPr>
            <w:tcW w:w="719" w:type="pct"/>
            <w:gridSpan w:val="3"/>
            <w:tcBorders>
              <w:tl2br w:val="nil"/>
              <w:tr2bl w:val="nil"/>
            </w:tcBorders>
            <w:shd w:val="clear" w:color="auto" w:fill="auto"/>
            <w:noWrap w:val="0"/>
            <w:vAlign w:val="center"/>
          </w:tcPr>
          <w:p w14:paraId="46E480BA">
            <w:pPr>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砷及其化合物</w:t>
            </w:r>
            <w:r>
              <w:rPr>
                <w:rFonts w:hint="eastAsia" w:ascii="Times New Roman" w:hAnsi="Times New Roman" w:cs="Times New Roman"/>
                <w:szCs w:val="21"/>
                <w:lang w:val="en-US" w:eastAsia="zh-CN"/>
              </w:rPr>
              <w:t>（1.314</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3</w:t>
            </w:r>
            <w:r>
              <w:rPr>
                <w:rFonts w:hint="eastAsia" w:ascii="Times New Roman" w:hAnsi="Times New Roman" w:cs="Times New Roman"/>
                <w:szCs w:val="21"/>
                <w:vertAlign w:val="baseline"/>
                <w:lang w:val="en-US" w:eastAsia="zh-CN"/>
              </w:rPr>
              <w:t>）</w:t>
            </w:r>
            <w:r>
              <w:rPr>
                <w:rFonts w:hint="default" w:ascii="Times New Roman" w:hAnsi="Times New Roman" w:cs="Times New Roman" w:eastAsiaTheme="minorEastAsia"/>
                <w:szCs w:val="21"/>
                <w:lang w:val="en-US" w:eastAsia="zh-CN"/>
              </w:rPr>
              <w:t>t/a</w:t>
            </w:r>
          </w:p>
        </w:tc>
        <w:tc>
          <w:tcPr>
            <w:tcW w:w="1024" w:type="pct"/>
            <w:gridSpan w:val="4"/>
            <w:tcBorders>
              <w:tl2br w:val="nil"/>
              <w:tr2bl w:val="nil"/>
            </w:tcBorders>
            <w:shd w:val="clear" w:color="auto" w:fill="auto"/>
            <w:noWrap w:val="0"/>
            <w:vAlign w:val="center"/>
          </w:tcPr>
          <w:p w14:paraId="1B648BFD">
            <w:pPr>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铬及其化合物</w:t>
            </w:r>
            <w:r>
              <w:rPr>
                <w:rFonts w:hint="eastAsia" w:ascii="Times New Roman" w:hAnsi="Times New Roman" w:cs="Times New Roman"/>
                <w:szCs w:val="21"/>
                <w:lang w:val="en-US" w:eastAsia="zh-CN"/>
              </w:rPr>
              <w:t>（0.001</w:t>
            </w:r>
            <w:r>
              <w:rPr>
                <w:rFonts w:hint="eastAsia" w:ascii="Times New Roman" w:hAnsi="Times New Roman" w:cs="Times New Roman"/>
                <w:szCs w:val="21"/>
                <w:vertAlign w:val="baseline"/>
                <w:lang w:val="en-US" w:eastAsia="zh-CN"/>
              </w:rPr>
              <w:t>）</w:t>
            </w:r>
            <w:r>
              <w:rPr>
                <w:rFonts w:hint="default" w:ascii="Times New Roman" w:hAnsi="Times New Roman" w:cs="Times New Roman" w:eastAsiaTheme="minorEastAsia"/>
                <w:szCs w:val="21"/>
                <w:lang w:val="en-US" w:eastAsia="zh-CN"/>
              </w:rPr>
              <w:t>t/a</w:t>
            </w:r>
          </w:p>
        </w:tc>
        <w:tc>
          <w:tcPr>
            <w:tcW w:w="929" w:type="pct"/>
            <w:gridSpan w:val="2"/>
            <w:tcBorders>
              <w:tl2br w:val="nil"/>
              <w:tr2bl w:val="nil"/>
            </w:tcBorders>
            <w:shd w:val="clear" w:color="auto" w:fill="auto"/>
            <w:noWrap w:val="0"/>
            <w:vAlign w:val="center"/>
          </w:tcPr>
          <w:p w14:paraId="5833BDEA">
            <w:pPr>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铊及其化合物</w:t>
            </w:r>
            <w:r>
              <w:rPr>
                <w:rFonts w:hint="default" w:ascii="Times New Roman" w:hAnsi="Times New Roman" w:cs="Times New Roman" w:eastAsiaTheme="minorEastAsia"/>
                <w:szCs w:val="21"/>
                <w:lang w:val="en-US" w:eastAsia="zh-CN"/>
              </w:rPr>
              <w:t>（</w:t>
            </w:r>
            <w:r>
              <w:rPr>
                <w:rFonts w:hint="eastAsia" w:ascii="Times New Roman" w:hAnsi="Times New Roman" w:cs="Times New Roman"/>
                <w:szCs w:val="21"/>
                <w:lang w:val="en-US" w:eastAsia="zh-CN"/>
              </w:rPr>
              <w:t>1.92</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6</w:t>
            </w:r>
            <w:r>
              <w:rPr>
                <w:rFonts w:hint="default" w:ascii="Times New Roman" w:hAnsi="Times New Roman" w:cs="Times New Roman" w:eastAsiaTheme="minorEastAsia"/>
                <w:szCs w:val="21"/>
                <w:lang w:val="en-US" w:eastAsia="zh-CN"/>
              </w:rPr>
              <w:t>）t/a</w:t>
            </w:r>
          </w:p>
        </w:tc>
      </w:tr>
      <w:tr w14:paraId="61FFE21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23" w:type="pct"/>
            <w:vMerge w:val="continue"/>
            <w:tcBorders>
              <w:tl2br w:val="nil"/>
              <w:tr2bl w:val="nil"/>
            </w:tcBorders>
            <w:noWrap w:val="0"/>
            <w:vAlign w:val="center"/>
          </w:tcPr>
          <w:p w14:paraId="6799FF58">
            <w:pPr>
              <w:spacing w:line="300" w:lineRule="exact"/>
              <w:jc w:val="center"/>
              <w:rPr>
                <w:rFonts w:hint="default" w:ascii="Times New Roman" w:hAnsi="Times New Roman" w:cs="Times New Roman" w:eastAsiaTheme="minorEastAsia"/>
                <w:szCs w:val="21"/>
                <w:lang w:val="en-US" w:eastAsia="zh-CN"/>
              </w:rPr>
            </w:pPr>
          </w:p>
        </w:tc>
        <w:tc>
          <w:tcPr>
            <w:tcW w:w="889" w:type="pct"/>
            <w:vMerge w:val="continue"/>
            <w:tcBorders>
              <w:tl2br w:val="nil"/>
              <w:tr2bl w:val="nil"/>
            </w:tcBorders>
            <w:noWrap w:val="0"/>
            <w:vAlign w:val="center"/>
          </w:tcPr>
          <w:p w14:paraId="5295574C">
            <w:pPr>
              <w:spacing w:line="300" w:lineRule="exact"/>
              <w:jc w:val="center"/>
              <w:rPr>
                <w:rFonts w:hint="default" w:ascii="Times New Roman" w:hAnsi="Times New Roman" w:cs="Times New Roman" w:eastAsiaTheme="minorEastAsia"/>
                <w:szCs w:val="21"/>
                <w:lang w:val="en-US" w:eastAsia="zh-CN"/>
              </w:rPr>
            </w:pPr>
          </w:p>
        </w:tc>
        <w:tc>
          <w:tcPr>
            <w:tcW w:w="1532" w:type="pct"/>
            <w:gridSpan w:val="6"/>
            <w:tcBorders>
              <w:tl2br w:val="nil"/>
              <w:tr2bl w:val="nil"/>
            </w:tcBorders>
            <w:shd w:val="clear" w:color="auto" w:fill="auto"/>
            <w:noWrap w:val="0"/>
            <w:vAlign w:val="center"/>
          </w:tcPr>
          <w:p w14:paraId="259C5F07">
            <w:pPr>
              <w:spacing w:line="300" w:lineRule="exact"/>
              <w:jc w:val="center"/>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Sn+Sb+Cu+Mn+Ni</w:t>
            </w:r>
          </w:p>
          <w:p w14:paraId="3F17FECF">
            <w:pPr>
              <w:spacing w:line="300" w:lineRule="exact"/>
              <w:jc w:val="center"/>
              <w:rPr>
                <w:rFonts w:hint="eastAsia" w:ascii="Times New Roman" w:hAnsi="Times New Roman" w:cs="Times New Roman"/>
                <w:szCs w:val="21"/>
                <w:lang w:val="en-US" w:eastAsia="zh-CN"/>
              </w:rPr>
            </w:pPr>
            <w:r>
              <w:rPr>
                <w:rFonts w:hint="default" w:ascii="Times New Roman" w:hAnsi="Times New Roman" w:cs="Times New Roman"/>
                <w:szCs w:val="21"/>
                <w:lang w:val="en-US" w:eastAsia="zh-CN"/>
              </w:rPr>
              <w:t>(</w:t>
            </w:r>
            <w:r>
              <w:rPr>
                <w:rFonts w:hint="eastAsia" w:ascii="Times New Roman" w:hAnsi="Times New Roman" w:cs="Times New Roman"/>
                <w:szCs w:val="21"/>
                <w:lang w:val="en-US" w:eastAsia="zh-CN"/>
              </w:rPr>
              <w:t>7.15×10</w:t>
            </w:r>
            <w:r>
              <w:rPr>
                <w:rFonts w:hint="eastAsia" w:ascii="Times New Roman" w:hAnsi="Times New Roman" w:cs="Times New Roman"/>
                <w:szCs w:val="21"/>
                <w:vertAlign w:val="superscript"/>
                <w:lang w:val="en-US" w:eastAsia="zh-CN"/>
              </w:rPr>
              <w:t>-4</w:t>
            </w:r>
            <w:r>
              <w:rPr>
                <w:rFonts w:hint="default" w:ascii="Times New Roman" w:hAnsi="Times New Roman" w:cs="Times New Roman"/>
                <w:szCs w:val="21"/>
                <w:lang w:val="en-US" w:eastAsia="zh-CN"/>
              </w:rPr>
              <w:t>)t/a</w:t>
            </w:r>
          </w:p>
        </w:tc>
        <w:tc>
          <w:tcPr>
            <w:tcW w:w="1954" w:type="pct"/>
            <w:gridSpan w:val="6"/>
            <w:tcBorders>
              <w:tl2br w:val="nil"/>
              <w:tr2bl w:val="nil"/>
            </w:tcBorders>
            <w:shd w:val="clear" w:color="auto" w:fill="auto"/>
            <w:noWrap w:val="0"/>
            <w:vAlign w:val="center"/>
          </w:tcPr>
          <w:p w14:paraId="234356CE">
            <w:pPr>
              <w:spacing w:line="300" w:lineRule="exact"/>
              <w:jc w:val="center"/>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二噁英类</w:t>
            </w:r>
          </w:p>
          <w:p w14:paraId="74FE5F75">
            <w:pPr>
              <w:spacing w:line="300" w:lineRule="exact"/>
              <w:jc w:val="center"/>
              <w:rPr>
                <w:rFonts w:hint="eastAsia" w:ascii="Times New Roman" w:hAnsi="Times New Roman" w:cs="Times New Roman"/>
                <w:szCs w:val="21"/>
                <w:lang w:val="en-US" w:eastAsia="zh-CN"/>
              </w:rPr>
            </w:pPr>
            <w:r>
              <w:rPr>
                <w:rFonts w:hint="default" w:ascii="Times New Roman" w:hAnsi="Times New Roman" w:cs="Times New Roman"/>
                <w:szCs w:val="21"/>
                <w:lang w:val="en-US" w:eastAsia="zh-CN"/>
              </w:rPr>
              <w:t>(</w:t>
            </w:r>
            <w:r>
              <w:rPr>
                <w:rFonts w:hint="eastAsia" w:ascii="Times New Roman" w:hAnsi="Times New Roman" w:cs="Times New Roman"/>
                <w:szCs w:val="21"/>
                <w:lang w:val="en-US" w:eastAsia="zh-CN"/>
              </w:rPr>
              <w:t>5.034×10</w:t>
            </w:r>
            <w:r>
              <w:rPr>
                <w:rFonts w:hint="eastAsia" w:ascii="Times New Roman" w:hAnsi="Times New Roman" w:cs="Times New Roman"/>
                <w:szCs w:val="21"/>
                <w:vertAlign w:val="superscript"/>
                <w:lang w:val="en-US" w:eastAsia="zh-CN"/>
              </w:rPr>
              <w:t>-11</w:t>
            </w:r>
            <w:r>
              <w:rPr>
                <w:rFonts w:hint="default" w:ascii="Times New Roman" w:hAnsi="Times New Roman" w:cs="Times New Roman"/>
                <w:szCs w:val="21"/>
                <w:lang w:val="en-US" w:eastAsia="zh-CN"/>
              </w:rPr>
              <w:t>)t/a</w:t>
            </w:r>
          </w:p>
        </w:tc>
      </w:tr>
      <w:tr w14:paraId="7A8B33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23" w:type="pct"/>
            <w:vMerge w:val="continue"/>
            <w:tcBorders>
              <w:tl2br w:val="nil"/>
              <w:tr2bl w:val="nil"/>
            </w:tcBorders>
            <w:noWrap w:val="0"/>
            <w:vAlign w:val="center"/>
          </w:tcPr>
          <w:p w14:paraId="2F5C4C76">
            <w:pPr>
              <w:spacing w:line="300" w:lineRule="exact"/>
              <w:jc w:val="center"/>
              <w:rPr>
                <w:rFonts w:hint="default" w:ascii="Times New Roman" w:hAnsi="Times New Roman" w:cs="Times New Roman" w:eastAsiaTheme="minorEastAsia"/>
                <w:szCs w:val="21"/>
                <w:lang w:val="en-US" w:eastAsia="zh-CN"/>
              </w:rPr>
            </w:pPr>
          </w:p>
        </w:tc>
        <w:tc>
          <w:tcPr>
            <w:tcW w:w="889" w:type="pct"/>
            <w:vMerge w:val="continue"/>
            <w:tcBorders>
              <w:tl2br w:val="nil"/>
              <w:tr2bl w:val="nil"/>
            </w:tcBorders>
            <w:noWrap w:val="0"/>
            <w:vAlign w:val="center"/>
          </w:tcPr>
          <w:p w14:paraId="18B4C79A">
            <w:pPr>
              <w:spacing w:line="300" w:lineRule="exact"/>
              <w:jc w:val="center"/>
              <w:rPr>
                <w:rFonts w:hint="default" w:ascii="Times New Roman" w:hAnsi="Times New Roman" w:cs="Times New Roman" w:eastAsiaTheme="minorEastAsia"/>
                <w:szCs w:val="21"/>
                <w:lang w:val="en-US" w:eastAsia="zh-CN"/>
              </w:rPr>
            </w:pPr>
          </w:p>
        </w:tc>
        <w:tc>
          <w:tcPr>
            <w:tcW w:w="1532" w:type="pct"/>
            <w:gridSpan w:val="6"/>
            <w:tcBorders>
              <w:tl2br w:val="nil"/>
              <w:tr2bl w:val="nil"/>
            </w:tcBorders>
            <w:shd w:val="clear" w:color="auto" w:fill="auto"/>
            <w:noWrap w:val="0"/>
            <w:vAlign w:val="center"/>
          </w:tcPr>
          <w:p w14:paraId="57C91546">
            <w:pPr>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eastAsiaTheme="minorEastAsia"/>
                <w:szCs w:val="21"/>
                <w:highlight w:val="none"/>
                <w:lang w:val="en-US" w:eastAsia="zh-CN"/>
              </w:rPr>
              <w:t>H</w:t>
            </w:r>
            <w:r>
              <w:rPr>
                <w:rFonts w:hint="eastAsia" w:ascii="Times New Roman" w:hAnsi="Times New Roman" w:cs="Times New Roman" w:eastAsiaTheme="minorEastAsia"/>
                <w:szCs w:val="21"/>
                <w:highlight w:val="none"/>
                <w:vertAlign w:val="subscript"/>
                <w:lang w:val="en-US" w:eastAsia="zh-CN"/>
              </w:rPr>
              <w:t>2</w:t>
            </w:r>
            <w:r>
              <w:rPr>
                <w:rFonts w:hint="eastAsia" w:ascii="Times New Roman" w:hAnsi="Times New Roman" w:cs="Times New Roman" w:eastAsiaTheme="minorEastAsia"/>
                <w:szCs w:val="21"/>
                <w:highlight w:val="none"/>
                <w:lang w:val="en-US" w:eastAsia="zh-CN"/>
              </w:rPr>
              <w:t>S</w:t>
            </w:r>
          </w:p>
        </w:tc>
        <w:tc>
          <w:tcPr>
            <w:tcW w:w="1954" w:type="pct"/>
            <w:gridSpan w:val="6"/>
            <w:tcBorders>
              <w:tl2br w:val="nil"/>
              <w:tr2bl w:val="nil"/>
            </w:tcBorders>
            <w:shd w:val="clear" w:color="auto" w:fill="auto"/>
            <w:noWrap w:val="0"/>
            <w:vAlign w:val="center"/>
          </w:tcPr>
          <w:p w14:paraId="6E01D8DB">
            <w:pPr>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eastAsiaTheme="minorEastAsia"/>
                <w:szCs w:val="21"/>
                <w:highlight w:val="none"/>
                <w:lang w:val="en-US" w:eastAsia="zh-CN"/>
              </w:rPr>
              <w:t>NH</w:t>
            </w:r>
            <w:r>
              <w:rPr>
                <w:rFonts w:hint="eastAsia" w:ascii="Times New Roman" w:hAnsi="Times New Roman" w:cs="Times New Roman" w:eastAsiaTheme="minorEastAsia"/>
                <w:szCs w:val="21"/>
                <w:highlight w:val="none"/>
                <w:vertAlign w:val="subscript"/>
                <w:lang w:val="en-US" w:eastAsia="zh-CN"/>
              </w:rPr>
              <w:t>3</w:t>
            </w:r>
          </w:p>
        </w:tc>
      </w:tr>
      <w:tr w14:paraId="76FC65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23" w:type="pct"/>
            <w:vMerge w:val="continue"/>
            <w:tcBorders>
              <w:tl2br w:val="nil"/>
              <w:tr2bl w:val="nil"/>
            </w:tcBorders>
            <w:noWrap w:val="0"/>
            <w:vAlign w:val="center"/>
          </w:tcPr>
          <w:p w14:paraId="2729E8E9">
            <w:pPr>
              <w:spacing w:line="300" w:lineRule="exact"/>
              <w:jc w:val="center"/>
              <w:rPr>
                <w:rFonts w:hint="default" w:ascii="Times New Roman" w:hAnsi="Times New Roman" w:cs="Times New Roman" w:eastAsiaTheme="minorEastAsia"/>
                <w:szCs w:val="21"/>
                <w:lang w:val="en-US" w:eastAsia="zh-CN"/>
              </w:rPr>
            </w:pPr>
          </w:p>
        </w:tc>
        <w:tc>
          <w:tcPr>
            <w:tcW w:w="889" w:type="pct"/>
            <w:vMerge w:val="continue"/>
            <w:tcBorders>
              <w:tl2br w:val="nil"/>
              <w:tr2bl w:val="nil"/>
            </w:tcBorders>
            <w:noWrap w:val="0"/>
            <w:vAlign w:val="center"/>
          </w:tcPr>
          <w:p w14:paraId="09E9DE15">
            <w:pPr>
              <w:spacing w:line="300" w:lineRule="exact"/>
              <w:jc w:val="center"/>
              <w:rPr>
                <w:rFonts w:hint="default" w:ascii="Times New Roman" w:hAnsi="Times New Roman" w:cs="Times New Roman" w:eastAsiaTheme="minorEastAsia"/>
                <w:szCs w:val="21"/>
                <w:lang w:val="en-US" w:eastAsia="zh-CN"/>
              </w:rPr>
            </w:pPr>
          </w:p>
        </w:tc>
        <w:tc>
          <w:tcPr>
            <w:tcW w:w="1532" w:type="pct"/>
            <w:gridSpan w:val="6"/>
            <w:tcBorders>
              <w:tl2br w:val="nil"/>
              <w:tr2bl w:val="nil"/>
            </w:tcBorders>
            <w:shd w:val="clear" w:color="auto" w:fill="auto"/>
            <w:noWrap w:val="0"/>
            <w:vAlign w:val="center"/>
          </w:tcPr>
          <w:p w14:paraId="37A06A93">
            <w:pPr>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w:t>
            </w:r>
            <w:r>
              <w:rPr>
                <w:rFonts w:hint="eastAsia" w:ascii="Times New Roman" w:hAnsi="Times New Roman" w:cs="Times New Roman"/>
                <w:szCs w:val="21"/>
                <w:highlight w:val="none"/>
                <w:lang w:val="en-US" w:eastAsia="zh-CN"/>
              </w:rPr>
              <w:t>4.678×10</w:t>
            </w:r>
            <w:r>
              <w:rPr>
                <w:rFonts w:hint="eastAsia" w:ascii="Times New Roman" w:hAnsi="Times New Roman" w:cs="Times New Roman"/>
                <w:szCs w:val="21"/>
                <w:highlight w:val="none"/>
                <w:vertAlign w:val="superscript"/>
                <w:lang w:val="en-US" w:eastAsia="zh-CN"/>
              </w:rPr>
              <w:t>-3</w:t>
            </w:r>
            <w:r>
              <w:rPr>
                <w:rFonts w:hint="eastAsia" w:ascii="Times New Roman" w:hAnsi="Times New Roman" w:cs="Times New Roman"/>
                <w:szCs w:val="21"/>
                <w:vertAlign w:val="baseline"/>
                <w:lang w:val="en-US" w:eastAsia="zh-CN"/>
              </w:rPr>
              <w:t>)</w:t>
            </w:r>
            <w:r>
              <w:rPr>
                <w:rFonts w:hint="eastAsia" w:ascii="Times New Roman" w:hAnsi="Times New Roman" w:cs="Times New Roman"/>
                <w:szCs w:val="21"/>
                <w:lang w:val="en-US" w:eastAsia="zh-CN"/>
              </w:rPr>
              <w:t>t/a</w:t>
            </w:r>
          </w:p>
        </w:tc>
        <w:tc>
          <w:tcPr>
            <w:tcW w:w="1954" w:type="pct"/>
            <w:gridSpan w:val="6"/>
            <w:tcBorders>
              <w:tl2br w:val="nil"/>
              <w:tr2bl w:val="nil"/>
            </w:tcBorders>
            <w:shd w:val="clear" w:color="auto" w:fill="auto"/>
            <w:noWrap w:val="0"/>
            <w:vAlign w:val="center"/>
          </w:tcPr>
          <w:p w14:paraId="6CB42652">
            <w:pPr>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w:t>
            </w:r>
            <w:r>
              <w:rPr>
                <w:rFonts w:hint="eastAsia" w:ascii="Times New Roman" w:hAnsi="Times New Roman" w:cs="Times New Roman"/>
                <w:szCs w:val="21"/>
                <w:highlight w:val="none"/>
                <w:lang w:val="en-US" w:eastAsia="zh-CN"/>
              </w:rPr>
              <w:t>3.711×10</w:t>
            </w:r>
            <w:r>
              <w:rPr>
                <w:rFonts w:hint="eastAsia" w:ascii="Times New Roman" w:hAnsi="Times New Roman" w:cs="Times New Roman"/>
                <w:szCs w:val="21"/>
                <w:highlight w:val="none"/>
                <w:vertAlign w:val="superscript"/>
                <w:lang w:val="en-US" w:eastAsia="zh-CN"/>
              </w:rPr>
              <w:t>-3</w:t>
            </w:r>
            <w:r>
              <w:rPr>
                <w:rFonts w:hint="eastAsia" w:ascii="Times New Roman" w:hAnsi="Times New Roman" w:cs="Times New Roman"/>
                <w:szCs w:val="21"/>
                <w:lang w:val="en-US" w:eastAsia="zh-CN"/>
              </w:rPr>
              <w:t>)t/a</w:t>
            </w:r>
          </w:p>
        </w:tc>
      </w:tr>
    </w:tbl>
    <w:p w14:paraId="63679D86">
      <w:pPr>
        <w:pStyle w:val="3"/>
        <w:spacing w:before="120" w:after="120" w:line="500" w:lineRule="exact"/>
        <w:ind w:left="375" w:hanging="375" w:firstLineChars="0"/>
        <w:contextualSpacing/>
        <w:rPr>
          <w:rFonts w:hint="eastAsia" w:ascii="Times New Roman" w:hAnsi="Times New Roman" w:cs="Times New Roman" w:eastAsiaTheme="minorEastAsia"/>
          <w:snapToGrid w:val="0"/>
          <w:kern w:val="0"/>
          <w:sz w:val="28"/>
          <w:szCs w:val="28"/>
          <w:lang w:val="en-US" w:eastAsia="zh-CN"/>
        </w:rPr>
      </w:pPr>
      <w:bookmarkStart w:id="220" w:name="_Toc5163"/>
      <w:r>
        <w:rPr>
          <w:rFonts w:hint="eastAsia" w:ascii="Times New Roman" w:hAnsi="Times New Roman" w:cs="Times New Roman" w:eastAsiaTheme="minorEastAsia"/>
          <w:snapToGrid w:val="0"/>
          <w:kern w:val="0"/>
          <w:sz w:val="28"/>
          <w:szCs w:val="28"/>
          <w:lang w:val="en-US" w:eastAsia="zh-CN"/>
        </w:rPr>
        <w:t>5.3运营期地表水环境影响评价</w:t>
      </w:r>
      <w:bookmarkEnd w:id="220"/>
    </w:p>
    <w:p w14:paraId="50F3BE5A">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221" w:name="_Toc1917"/>
      <w:r>
        <w:rPr>
          <w:rFonts w:hint="eastAsia" w:ascii="Times New Roman" w:hAnsi="Times New Roman" w:cs="Times New Roman" w:eastAsiaTheme="minorEastAsia"/>
          <w:kern w:val="0"/>
          <w:sz w:val="24"/>
          <w:szCs w:val="24"/>
          <w:lang w:val="en-US" w:eastAsia="zh-CN"/>
        </w:rPr>
        <w:t>5.3.1本项目地表水环境影响分析</w:t>
      </w:r>
      <w:bookmarkEnd w:id="221"/>
    </w:p>
    <w:p w14:paraId="01B8DE0E">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本项目产生的废水主要为循环系统、软化水系统和脱酸系统定排水、各类清洗废水。</w:t>
      </w:r>
    </w:p>
    <w:p w14:paraId="6298BD58">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sz w:val="24"/>
          <w:lang w:val="en-US" w:eastAsia="zh-CN"/>
        </w:rPr>
        <w:t>项目</w:t>
      </w:r>
      <w:r>
        <w:rPr>
          <w:rFonts w:hint="eastAsia" w:ascii="Times New Roman" w:hAnsi="Times New Roman" w:cs="Times New Roman" w:eastAsiaTheme="minorEastAsia"/>
          <w:sz w:val="24"/>
          <w:lang w:val="en-US" w:eastAsia="zh-CN"/>
        </w:rPr>
        <w:t>废水排入场内污水处理系统处理，废水采用“调节池+预处理（沉淀）</w:t>
      </w:r>
      <w:r>
        <w:rPr>
          <w:rFonts w:hint="default" w:ascii="Times New Roman" w:hAnsi="Times New Roman" w:cs="Times New Roman" w:eastAsiaTheme="minorEastAsia"/>
          <w:sz w:val="24"/>
          <w:lang w:val="en-US" w:eastAsia="zh-CN"/>
        </w:rPr>
        <w:t>+MBR+DTRO</w:t>
      </w:r>
      <w:r>
        <w:rPr>
          <w:rFonts w:hint="eastAsia" w:ascii="Times New Roman" w:hAnsi="Times New Roman" w:cs="Times New Roman" w:eastAsiaTheme="minorEastAsia"/>
          <w:sz w:val="24"/>
          <w:lang w:val="en-US" w:eastAsia="zh-CN"/>
        </w:rPr>
        <w:t>+接触池（次氯酸钠消毒）”处理工艺，处理后出水达到《医疗机构水污染物排放标准》（GB18466-2005）、《城市污水再生利用工业用水水质》（GB/T 19923-2024）和《污水综合排放标准》（GB8978-1996）三者较严限值后作为洗涤用水全部回用。本项目废水全部回用，因此，正常情况下不会对项目区周边的地表水环境造成影响。</w:t>
      </w:r>
    </w:p>
    <w:p w14:paraId="663C2043">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222" w:name="_Toc16054"/>
      <w:r>
        <w:rPr>
          <w:rFonts w:hint="eastAsia" w:ascii="Times New Roman" w:hAnsi="Times New Roman" w:cs="Times New Roman" w:eastAsiaTheme="minorEastAsia"/>
          <w:kern w:val="0"/>
          <w:sz w:val="24"/>
          <w:szCs w:val="24"/>
          <w:lang w:val="en-US" w:eastAsia="zh-CN"/>
        </w:rPr>
        <w:t>5.3.</w:t>
      </w:r>
      <w:r>
        <w:rPr>
          <w:rFonts w:hint="eastAsia" w:ascii="Times New Roman" w:hAnsi="Times New Roman" w:cs="Times New Roman"/>
          <w:kern w:val="0"/>
          <w:sz w:val="24"/>
          <w:szCs w:val="24"/>
          <w:lang w:val="en-US" w:eastAsia="zh-CN"/>
        </w:rPr>
        <w:t>2</w:t>
      </w:r>
      <w:r>
        <w:rPr>
          <w:rFonts w:hint="eastAsia" w:ascii="Times New Roman" w:hAnsi="Times New Roman" w:cs="Times New Roman" w:eastAsiaTheme="minorEastAsia"/>
          <w:kern w:val="0"/>
          <w:sz w:val="24"/>
          <w:szCs w:val="24"/>
          <w:lang w:val="en-US" w:eastAsia="zh-CN"/>
        </w:rPr>
        <w:t>地表水环境影响自查表</w:t>
      </w:r>
      <w:bookmarkEnd w:id="222"/>
    </w:p>
    <w:p w14:paraId="6D70C8E5">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项目地表水环境影响评价自查表见表5.</w:t>
      </w:r>
      <w:r>
        <w:rPr>
          <w:rFonts w:hint="eastAsia" w:ascii="Times New Roman" w:hAnsi="Times New Roman" w:cs="Times New Roman"/>
          <w:sz w:val="24"/>
          <w:highlight w:val="none"/>
          <w:lang w:val="en-US" w:eastAsia="zh-CN"/>
        </w:rPr>
        <w:t>3-1</w:t>
      </w:r>
      <w:r>
        <w:rPr>
          <w:rFonts w:hint="eastAsia" w:ascii="Times New Roman" w:hAnsi="Times New Roman" w:cs="Times New Roman" w:eastAsiaTheme="minorEastAsia"/>
          <w:sz w:val="24"/>
          <w:highlight w:val="none"/>
          <w:lang w:val="en-US" w:eastAsia="zh-CN"/>
        </w:rPr>
        <w:t>。</w:t>
      </w:r>
    </w:p>
    <w:p w14:paraId="305E8CCD">
      <w:pPr>
        <w:snapToGrid w:val="0"/>
        <w:spacing w:before="241" w:beforeLines="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表5.</w:t>
      </w:r>
      <w:r>
        <w:rPr>
          <w:rFonts w:hint="eastAsia" w:ascii="Times New Roman" w:hAnsi="Times New Roman" w:cs="Times New Roman"/>
          <w:b/>
          <w:szCs w:val="21"/>
          <w:lang w:val="en-US" w:eastAsia="zh-CN"/>
        </w:rPr>
        <w:t>3-1</w:t>
      </w:r>
      <w:r>
        <w:rPr>
          <w:rFonts w:hint="default" w:ascii="Times New Roman" w:hAnsi="Times New Roman" w:cs="Times New Roman" w:eastAsiaTheme="minorEastAsia"/>
          <w:b/>
          <w:szCs w:val="21"/>
          <w:lang w:val="en-US" w:eastAsia="zh-CN"/>
        </w:rPr>
        <w:t xml:space="preserve">  建设项目地表水环境影响评价自查表</w:t>
      </w:r>
    </w:p>
    <w:tbl>
      <w:tblPr>
        <w:tblStyle w:val="12"/>
        <w:tblW w:w="499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43"/>
        <w:gridCol w:w="1554"/>
        <w:gridCol w:w="1452"/>
        <w:gridCol w:w="364"/>
        <w:gridCol w:w="938"/>
        <w:gridCol w:w="650"/>
        <w:gridCol w:w="552"/>
        <w:gridCol w:w="1085"/>
        <w:gridCol w:w="278"/>
        <w:gridCol w:w="1197"/>
      </w:tblGrid>
      <w:tr w14:paraId="6C484D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73" w:type="pct"/>
            <w:gridSpan w:val="2"/>
            <w:tcBorders>
              <w:top w:val="single" w:color="auto" w:sz="4" w:space="0"/>
              <w:left w:val="single" w:color="auto" w:sz="4" w:space="0"/>
              <w:bottom w:val="single" w:color="auto" w:sz="4" w:space="0"/>
              <w:right w:val="single" w:color="auto" w:sz="4" w:space="0"/>
            </w:tcBorders>
            <w:noWrap w:val="0"/>
            <w:vAlign w:val="center"/>
          </w:tcPr>
          <w:p w14:paraId="731BA4DB">
            <w:pPr>
              <w:autoSpaceDE w:val="0"/>
              <w:autoSpaceDN w:val="0"/>
              <w:spacing w:line="300" w:lineRule="exact"/>
              <w:jc w:val="center"/>
              <w:rPr>
                <w:rFonts w:hint="default" w:ascii="Times New Roman" w:hAnsi="Times New Roman" w:cs="Times New Roman" w:eastAsiaTheme="minorEastAsia"/>
                <w:szCs w:val="21"/>
                <w:lang w:val="en-US" w:eastAsia="zh-CN"/>
              </w:rPr>
            </w:pPr>
            <w:bookmarkStart w:id="223" w:name="OLE_LINK777" w:colFirst="0" w:colLast="1"/>
            <w:r>
              <w:rPr>
                <w:rFonts w:hint="default" w:ascii="Times New Roman" w:hAnsi="Times New Roman" w:cs="Times New Roman" w:eastAsiaTheme="minorEastAsia"/>
                <w:szCs w:val="21"/>
                <w:lang w:val="en-US" w:eastAsia="zh-CN"/>
              </w:rPr>
              <w:t>工作内容</w:t>
            </w:r>
          </w:p>
        </w:tc>
        <w:tc>
          <w:tcPr>
            <w:tcW w:w="3826" w:type="pct"/>
            <w:gridSpan w:val="8"/>
            <w:tcBorders>
              <w:top w:val="single" w:color="auto" w:sz="4" w:space="0"/>
              <w:left w:val="single" w:color="auto" w:sz="4" w:space="0"/>
              <w:bottom w:val="single" w:color="auto" w:sz="4" w:space="0"/>
              <w:right w:val="single" w:color="auto" w:sz="4" w:space="0"/>
            </w:tcBorders>
            <w:noWrap w:val="0"/>
            <w:vAlign w:val="center"/>
          </w:tcPr>
          <w:p w14:paraId="270609F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自查项目</w:t>
            </w:r>
          </w:p>
        </w:tc>
      </w:tr>
      <w:bookmarkEnd w:id="223"/>
      <w:tr w14:paraId="4970D4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restart"/>
            <w:tcBorders>
              <w:top w:val="single" w:color="auto" w:sz="4" w:space="0"/>
              <w:left w:val="single" w:color="auto" w:sz="4" w:space="0"/>
              <w:bottom w:val="single" w:color="auto" w:sz="4" w:space="0"/>
              <w:right w:val="single" w:color="auto" w:sz="4" w:space="0"/>
            </w:tcBorders>
            <w:noWrap w:val="0"/>
            <w:vAlign w:val="center"/>
          </w:tcPr>
          <w:p w14:paraId="0EEF21C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影</w:t>
            </w:r>
          </w:p>
          <w:p w14:paraId="195FFFC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响</w:t>
            </w:r>
          </w:p>
          <w:p w14:paraId="1D70C38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识</w:t>
            </w:r>
          </w:p>
          <w:p w14:paraId="48270CF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别</w:t>
            </w:r>
          </w:p>
        </w:tc>
        <w:tc>
          <w:tcPr>
            <w:tcW w:w="913" w:type="pct"/>
            <w:tcBorders>
              <w:top w:val="single" w:color="auto" w:sz="4" w:space="0"/>
              <w:left w:val="single" w:color="auto" w:sz="4" w:space="0"/>
              <w:bottom w:val="single" w:color="auto" w:sz="4" w:space="0"/>
              <w:right w:val="single" w:color="auto" w:sz="4" w:space="0"/>
            </w:tcBorders>
            <w:noWrap w:val="0"/>
            <w:vAlign w:val="center"/>
          </w:tcPr>
          <w:p w14:paraId="07529DC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影响类型</w:t>
            </w:r>
          </w:p>
        </w:tc>
        <w:tc>
          <w:tcPr>
            <w:tcW w:w="3826" w:type="pct"/>
            <w:gridSpan w:val="8"/>
            <w:tcBorders>
              <w:top w:val="single" w:color="auto" w:sz="4" w:space="0"/>
              <w:left w:val="single" w:color="auto" w:sz="4" w:space="0"/>
              <w:bottom w:val="single" w:color="auto" w:sz="4" w:space="0"/>
              <w:right w:val="single" w:color="auto" w:sz="4" w:space="0"/>
            </w:tcBorders>
            <w:noWrap w:val="0"/>
            <w:vAlign w:val="center"/>
          </w:tcPr>
          <w:p w14:paraId="3B602A5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水污染影响型</w:t>
            </w:r>
            <w:r>
              <w:rPr>
                <w:rFonts w:hint="default" w:ascii="Times New Roman" w:hAnsi="Times New Roman" w:cs="Times New Roman" w:eastAsiaTheme="minorEastAsia"/>
                <w:szCs w:val="21"/>
                <w:lang w:val="en-US" w:eastAsia="zh-CN"/>
              </w:rPr>
              <w:sym w:font="Wingdings 2" w:char="F052"/>
            </w:r>
            <w:r>
              <w:rPr>
                <w:rFonts w:hint="default" w:ascii="Times New Roman" w:hAnsi="Times New Roman" w:cs="Times New Roman" w:eastAsiaTheme="minorEastAsia"/>
                <w:szCs w:val="21"/>
                <w:lang w:val="en-US" w:eastAsia="zh-CN"/>
              </w:rPr>
              <w:t>；水文要素影响型</w:t>
            </w:r>
            <w:r>
              <w:rPr>
                <w:rFonts w:hint="default" w:ascii="Times New Roman" w:hAnsi="Times New Roman" w:cs="Times New Roman" w:eastAsiaTheme="minorEastAsia"/>
                <w:szCs w:val="21"/>
                <w:lang w:val="en-US" w:eastAsia="zh-CN"/>
              </w:rPr>
              <w:sym w:font="Wingdings 2" w:char="F0A3"/>
            </w:r>
          </w:p>
        </w:tc>
      </w:tr>
      <w:tr w14:paraId="6489F3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continue"/>
            <w:tcBorders>
              <w:top w:val="single" w:color="auto" w:sz="4" w:space="0"/>
              <w:left w:val="single" w:color="auto" w:sz="4" w:space="0"/>
              <w:bottom w:val="single" w:color="auto" w:sz="4" w:space="0"/>
              <w:right w:val="single" w:color="auto" w:sz="4" w:space="0"/>
            </w:tcBorders>
            <w:noWrap w:val="0"/>
            <w:vAlign w:val="center"/>
          </w:tcPr>
          <w:p w14:paraId="506820A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3" w:type="pct"/>
            <w:tcBorders>
              <w:top w:val="single" w:color="auto" w:sz="4" w:space="0"/>
              <w:left w:val="single" w:color="auto" w:sz="4" w:space="0"/>
              <w:bottom w:val="single" w:color="auto" w:sz="4" w:space="0"/>
              <w:right w:val="single" w:color="auto" w:sz="4" w:space="0"/>
            </w:tcBorders>
            <w:noWrap w:val="0"/>
            <w:vAlign w:val="center"/>
          </w:tcPr>
          <w:p w14:paraId="64A6B89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水环境保护</w:t>
            </w:r>
          </w:p>
          <w:p w14:paraId="19C8F3C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目标</w:t>
            </w:r>
          </w:p>
        </w:tc>
        <w:tc>
          <w:tcPr>
            <w:tcW w:w="3826" w:type="pct"/>
            <w:gridSpan w:val="8"/>
            <w:tcBorders>
              <w:top w:val="single" w:color="auto" w:sz="4" w:space="0"/>
              <w:left w:val="single" w:color="auto" w:sz="4" w:space="0"/>
              <w:bottom w:val="single" w:color="auto" w:sz="4" w:space="0"/>
              <w:right w:val="single" w:color="auto" w:sz="4" w:space="0"/>
            </w:tcBorders>
            <w:noWrap w:val="0"/>
            <w:vAlign w:val="center"/>
          </w:tcPr>
          <w:p w14:paraId="7831987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饮用水水源保护区</w:t>
            </w:r>
            <w:r>
              <w:rPr>
                <w:rFonts w:hint="default" w:ascii="Times New Roman" w:hAnsi="Times New Roman" w:cs="Times New Roman" w:eastAsiaTheme="minorEastAsia"/>
                <w:szCs w:val="21"/>
                <w:lang w:val="en-US" w:eastAsia="zh-CN"/>
              </w:rPr>
              <w:sym w:font="Wingdings 2" w:char="F0A3"/>
            </w:r>
            <w:r>
              <w:rPr>
                <w:rFonts w:hint="default" w:ascii="Times New Roman" w:hAnsi="Times New Roman" w:cs="Times New Roman" w:eastAsiaTheme="minorEastAsia"/>
                <w:szCs w:val="21"/>
                <w:lang w:val="en-US" w:eastAsia="zh-CN"/>
              </w:rPr>
              <w:t>；饮用水取水口</w:t>
            </w:r>
            <w:r>
              <w:rPr>
                <w:rFonts w:hint="default" w:ascii="Times New Roman" w:hAnsi="Times New Roman" w:cs="Times New Roman" w:eastAsiaTheme="minorEastAsia"/>
                <w:szCs w:val="21"/>
                <w:lang w:val="en-US" w:eastAsia="zh-CN"/>
              </w:rPr>
              <w:sym w:font="Wingdings 2" w:char="F0A3"/>
            </w:r>
            <w:r>
              <w:rPr>
                <w:rFonts w:hint="default" w:ascii="Times New Roman" w:hAnsi="Times New Roman" w:cs="Times New Roman" w:eastAsiaTheme="minorEastAsia"/>
                <w:szCs w:val="21"/>
                <w:lang w:val="en-US" w:eastAsia="zh-CN"/>
              </w:rPr>
              <w:t>；涉水的自然保护区</w:t>
            </w:r>
            <w:r>
              <w:rPr>
                <w:rFonts w:hint="default" w:ascii="Times New Roman" w:hAnsi="Times New Roman" w:cs="Times New Roman" w:eastAsiaTheme="minorEastAsia"/>
                <w:szCs w:val="21"/>
                <w:lang w:val="en-US" w:eastAsia="zh-CN"/>
              </w:rPr>
              <w:sym w:font="Wingdings 2" w:char="F0A3"/>
            </w:r>
            <w:r>
              <w:rPr>
                <w:rFonts w:hint="default" w:ascii="Times New Roman" w:hAnsi="Times New Roman" w:cs="Times New Roman" w:eastAsiaTheme="minorEastAsia"/>
                <w:szCs w:val="21"/>
                <w:lang w:val="en-US" w:eastAsia="zh-CN"/>
              </w:rPr>
              <w:t>；重要湿地</w:t>
            </w:r>
            <w:r>
              <w:rPr>
                <w:rFonts w:hint="default" w:ascii="Times New Roman" w:hAnsi="Times New Roman" w:cs="Times New Roman" w:eastAsiaTheme="minorEastAsia"/>
                <w:szCs w:val="21"/>
                <w:lang w:val="en-US" w:eastAsia="zh-CN"/>
              </w:rPr>
              <w:sym w:font="Wingdings 2" w:char="F0A3"/>
            </w:r>
            <w:r>
              <w:rPr>
                <w:rFonts w:hint="default" w:ascii="Times New Roman" w:hAnsi="Times New Roman" w:cs="Times New Roman" w:eastAsiaTheme="minorEastAsia"/>
                <w:szCs w:val="21"/>
                <w:lang w:val="en-US" w:eastAsia="zh-CN"/>
              </w:rPr>
              <w:t xml:space="preserve">；重点保护与珍稀水生生物的栖息地 </w:t>
            </w:r>
            <w:r>
              <w:rPr>
                <w:rFonts w:hint="default" w:ascii="Times New Roman" w:hAnsi="Times New Roman" w:cs="Times New Roman" w:eastAsiaTheme="minorEastAsia"/>
                <w:szCs w:val="21"/>
                <w:lang w:val="en-US" w:eastAsia="zh-CN"/>
              </w:rPr>
              <w:sym w:font="Wingdings 2" w:char="F0A3"/>
            </w:r>
            <w:r>
              <w:rPr>
                <w:rFonts w:hint="default" w:ascii="Times New Roman" w:hAnsi="Times New Roman" w:cs="Times New Roman" w:eastAsiaTheme="minorEastAsia"/>
                <w:szCs w:val="21"/>
                <w:lang w:val="en-US" w:eastAsia="zh-CN"/>
              </w:rPr>
              <w:t xml:space="preserve">；重要水生生物的自然产卵场及索饵场、越冬场和洄游通道、天然渔场等渔业水体 </w:t>
            </w:r>
            <w:r>
              <w:rPr>
                <w:rFonts w:hint="default" w:ascii="Times New Roman" w:hAnsi="Times New Roman" w:cs="Times New Roman" w:eastAsiaTheme="minorEastAsia"/>
                <w:szCs w:val="21"/>
                <w:lang w:val="en-US" w:eastAsia="zh-CN"/>
              </w:rPr>
              <w:sym w:font="Wingdings 2" w:char="F0A3"/>
            </w:r>
            <w:r>
              <w:rPr>
                <w:rFonts w:hint="default" w:ascii="Times New Roman" w:hAnsi="Times New Roman" w:cs="Times New Roman" w:eastAsiaTheme="minorEastAsia"/>
                <w:szCs w:val="21"/>
                <w:lang w:val="en-US" w:eastAsia="zh-CN"/>
              </w:rPr>
              <w:t>；涉水的风景名胜区</w:t>
            </w:r>
            <w:r>
              <w:rPr>
                <w:rFonts w:hint="default" w:ascii="Times New Roman" w:hAnsi="Times New Roman" w:cs="Times New Roman" w:eastAsiaTheme="minorEastAsia"/>
                <w:szCs w:val="21"/>
                <w:lang w:val="en-US" w:eastAsia="zh-CN"/>
              </w:rPr>
              <w:sym w:font="Wingdings 2" w:char="F0A3"/>
            </w:r>
            <w:r>
              <w:rPr>
                <w:rFonts w:hint="default" w:ascii="Times New Roman" w:hAnsi="Times New Roman" w:cs="Times New Roman" w:eastAsiaTheme="minorEastAsia"/>
                <w:szCs w:val="21"/>
                <w:lang w:val="en-US" w:eastAsia="zh-CN"/>
              </w:rPr>
              <w:t>；其他</w:t>
            </w:r>
            <w:r>
              <w:rPr>
                <w:rFonts w:hint="default" w:ascii="Times New Roman" w:hAnsi="Times New Roman" w:cs="Times New Roman" w:eastAsiaTheme="minorEastAsia"/>
                <w:szCs w:val="21"/>
                <w:lang w:val="en-US" w:eastAsia="zh-CN"/>
              </w:rPr>
              <w:sym w:font="Wingdings 2" w:char="00A3"/>
            </w:r>
          </w:p>
        </w:tc>
      </w:tr>
      <w:tr w14:paraId="10E827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continue"/>
            <w:tcBorders>
              <w:top w:val="single" w:color="auto" w:sz="4" w:space="0"/>
              <w:left w:val="single" w:color="auto" w:sz="4" w:space="0"/>
              <w:bottom w:val="single" w:color="auto" w:sz="4" w:space="0"/>
              <w:right w:val="single" w:color="auto" w:sz="4" w:space="0"/>
            </w:tcBorders>
            <w:noWrap w:val="0"/>
            <w:vAlign w:val="center"/>
          </w:tcPr>
          <w:p w14:paraId="3AAFD1E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3" w:type="pct"/>
            <w:vMerge w:val="restart"/>
            <w:tcBorders>
              <w:top w:val="single" w:color="auto" w:sz="4" w:space="0"/>
              <w:left w:val="single" w:color="auto" w:sz="4" w:space="0"/>
              <w:bottom w:val="single" w:color="auto" w:sz="4" w:space="0"/>
              <w:right w:val="single" w:color="auto" w:sz="4" w:space="0"/>
            </w:tcBorders>
            <w:noWrap w:val="0"/>
            <w:vAlign w:val="center"/>
          </w:tcPr>
          <w:p w14:paraId="31D4215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影响途径</w:t>
            </w:r>
          </w:p>
        </w:tc>
        <w:tc>
          <w:tcPr>
            <w:tcW w:w="2000" w:type="pct"/>
            <w:gridSpan w:val="4"/>
            <w:tcBorders>
              <w:top w:val="single" w:color="auto" w:sz="4" w:space="0"/>
              <w:left w:val="single" w:color="auto" w:sz="4" w:space="0"/>
              <w:bottom w:val="single" w:color="auto" w:sz="4" w:space="0"/>
              <w:right w:val="single" w:color="auto" w:sz="4" w:space="0"/>
            </w:tcBorders>
            <w:noWrap w:val="0"/>
            <w:vAlign w:val="center"/>
          </w:tcPr>
          <w:p w14:paraId="741B4F8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水污染影响型</w:t>
            </w:r>
          </w:p>
        </w:tc>
        <w:tc>
          <w:tcPr>
            <w:tcW w:w="1826" w:type="pct"/>
            <w:gridSpan w:val="4"/>
            <w:tcBorders>
              <w:top w:val="single" w:color="auto" w:sz="4" w:space="0"/>
              <w:left w:val="single" w:color="auto" w:sz="4" w:space="0"/>
              <w:bottom w:val="single" w:color="auto" w:sz="4" w:space="0"/>
              <w:right w:val="single" w:color="auto" w:sz="4" w:space="0"/>
            </w:tcBorders>
            <w:noWrap w:val="0"/>
            <w:vAlign w:val="center"/>
          </w:tcPr>
          <w:p w14:paraId="55E4F69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水文要素影响型</w:t>
            </w:r>
          </w:p>
        </w:tc>
      </w:tr>
      <w:tr w14:paraId="3A5C97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continue"/>
            <w:tcBorders>
              <w:top w:val="single" w:color="auto" w:sz="4" w:space="0"/>
              <w:left w:val="single" w:color="auto" w:sz="4" w:space="0"/>
              <w:bottom w:val="single" w:color="auto" w:sz="4" w:space="0"/>
              <w:right w:val="single" w:color="auto" w:sz="4" w:space="0"/>
            </w:tcBorders>
            <w:noWrap w:val="0"/>
            <w:vAlign w:val="center"/>
          </w:tcPr>
          <w:p w14:paraId="3FCB4A8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3" w:type="pct"/>
            <w:vMerge w:val="continue"/>
            <w:tcBorders>
              <w:top w:val="single" w:color="auto" w:sz="4" w:space="0"/>
              <w:left w:val="single" w:color="auto" w:sz="4" w:space="0"/>
              <w:bottom w:val="single" w:color="auto" w:sz="4" w:space="0"/>
              <w:right w:val="single" w:color="auto" w:sz="4" w:space="0"/>
            </w:tcBorders>
            <w:noWrap w:val="0"/>
            <w:vAlign w:val="center"/>
          </w:tcPr>
          <w:p w14:paraId="645D1BD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00" w:type="pct"/>
            <w:gridSpan w:val="4"/>
            <w:tcBorders>
              <w:top w:val="single" w:color="auto" w:sz="4" w:space="0"/>
              <w:left w:val="single" w:color="auto" w:sz="4" w:space="0"/>
              <w:bottom w:val="single" w:color="auto" w:sz="4" w:space="0"/>
              <w:right w:val="single" w:color="auto" w:sz="4" w:space="0"/>
            </w:tcBorders>
            <w:noWrap w:val="0"/>
            <w:vAlign w:val="center"/>
          </w:tcPr>
          <w:p w14:paraId="2D89212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直接排放</w:t>
            </w:r>
            <w:r>
              <w:rPr>
                <w:rFonts w:hint="default" w:ascii="Times New Roman" w:hAnsi="Times New Roman" w:cs="Times New Roman" w:eastAsiaTheme="minorEastAsia"/>
                <w:szCs w:val="21"/>
                <w:lang w:val="en-US" w:eastAsia="zh-CN"/>
              </w:rPr>
              <w:sym w:font="Wingdings 2" w:char="F0A3"/>
            </w:r>
            <w:r>
              <w:rPr>
                <w:rFonts w:hint="default" w:ascii="Times New Roman" w:hAnsi="Times New Roman" w:cs="Times New Roman" w:eastAsiaTheme="minorEastAsia"/>
                <w:szCs w:val="21"/>
                <w:lang w:val="en-US" w:eastAsia="zh-CN"/>
              </w:rPr>
              <w:t xml:space="preserve">；间接排放 </w:t>
            </w:r>
            <w:r>
              <w:rPr>
                <w:rFonts w:hint="default" w:ascii="Times New Roman" w:hAnsi="Times New Roman" w:cs="Times New Roman" w:eastAsiaTheme="minorEastAsia"/>
                <w:szCs w:val="21"/>
                <w:lang w:val="en-US" w:eastAsia="zh-CN"/>
              </w:rPr>
              <w:sym w:font="Wingdings 2" w:char="0052"/>
            </w:r>
            <w:r>
              <w:rPr>
                <w:rFonts w:hint="default" w:ascii="Times New Roman" w:hAnsi="Times New Roman" w:cs="Times New Roman" w:eastAsiaTheme="minorEastAsia"/>
                <w:szCs w:val="21"/>
                <w:lang w:val="en-US" w:eastAsia="zh-CN"/>
              </w:rPr>
              <w:t xml:space="preserve">；其他 </w:t>
            </w:r>
            <w:r>
              <w:rPr>
                <w:rFonts w:hint="default" w:ascii="Times New Roman" w:hAnsi="Times New Roman" w:cs="Times New Roman" w:eastAsiaTheme="minorEastAsia"/>
                <w:szCs w:val="21"/>
                <w:lang w:val="en-US" w:eastAsia="zh-CN"/>
              </w:rPr>
              <w:sym w:font="Wingdings 2" w:char="00A3"/>
            </w:r>
          </w:p>
        </w:tc>
        <w:tc>
          <w:tcPr>
            <w:tcW w:w="1826" w:type="pct"/>
            <w:gridSpan w:val="4"/>
            <w:tcBorders>
              <w:top w:val="single" w:color="auto" w:sz="4" w:space="0"/>
              <w:left w:val="single" w:color="auto" w:sz="4" w:space="0"/>
              <w:bottom w:val="single" w:color="auto" w:sz="4" w:space="0"/>
              <w:right w:val="single" w:color="auto" w:sz="4" w:space="0"/>
            </w:tcBorders>
            <w:noWrap w:val="0"/>
            <w:vAlign w:val="center"/>
          </w:tcPr>
          <w:p w14:paraId="1C31F69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水温</w:t>
            </w:r>
            <w:r>
              <w:rPr>
                <w:rFonts w:hint="default" w:ascii="Times New Roman" w:hAnsi="Times New Roman" w:cs="Times New Roman" w:eastAsiaTheme="minorEastAsia"/>
                <w:szCs w:val="21"/>
                <w:lang w:val="en-US" w:eastAsia="zh-CN"/>
              </w:rPr>
              <w:sym w:font="Wingdings 2" w:char="F0A3"/>
            </w:r>
            <w:r>
              <w:rPr>
                <w:rFonts w:hint="default" w:ascii="Times New Roman" w:hAnsi="Times New Roman" w:cs="Times New Roman" w:eastAsiaTheme="minorEastAsia"/>
                <w:szCs w:val="21"/>
                <w:lang w:val="en-US" w:eastAsia="zh-CN"/>
              </w:rPr>
              <w:t>；径流</w:t>
            </w:r>
            <w:r>
              <w:rPr>
                <w:rFonts w:hint="default" w:ascii="Times New Roman" w:hAnsi="Times New Roman" w:cs="Times New Roman" w:eastAsiaTheme="minorEastAsia"/>
                <w:szCs w:val="21"/>
                <w:lang w:val="en-US" w:eastAsia="zh-CN"/>
              </w:rPr>
              <w:sym w:font="Wingdings 2" w:char="F0A3"/>
            </w:r>
            <w:r>
              <w:rPr>
                <w:rFonts w:hint="default" w:ascii="Times New Roman" w:hAnsi="Times New Roman" w:cs="Times New Roman" w:eastAsiaTheme="minorEastAsia"/>
                <w:szCs w:val="21"/>
                <w:lang w:val="en-US" w:eastAsia="zh-CN"/>
              </w:rPr>
              <w:t>；水域面积</w:t>
            </w:r>
            <w:r>
              <w:rPr>
                <w:rFonts w:hint="default" w:ascii="Times New Roman" w:hAnsi="Times New Roman" w:cs="Times New Roman" w:eastAsiaTheme="minorEastAsia"/>
                <w:szCs w:val="21"/>
                <w:lang w:val="en-US" w:eastAsia="zh-CN"/>
              </w:rPr>
              <w:sym w:font="Wingdings 2" w:char="F0A3"/>
            </w:r>
          </w:p>
        </w:tc>
      </w:tr>
      <w:tr w14:paraId="18DA90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continue"/>
            <w:tcBorders>
              <w:top w:val="single" w:color="auto" w:sz="4" w:space="0"/>
              <w:left w:val="single" w:color="auto" w:sz="4" w:space="0"/>
              <w:bottom w:val="single" w:color="auto" w:sz="4" w:space="0"/>
              <w:right w:val="single" w:color="auto" w:sz="4" w:space="0"/>
            </w:tcBorders>
            <w:noWrap w:val="0"/>
            <w:vAlign w:val="center"/>
          </w:tcPr>
          <w:p w14:paraId="675F441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3" w:type="pct"/>
            <w:tcBorders>
              <w:top w:val="single" w:color="auto" w:sz="4" w:space="0"/>
              <w:left w:val="single" w:color="auto" w:sz="4" w:space="0"/>
              <w:bottom w:val="single" w:color="auto" w:sz="4" w:space="0"/>
              <w:right w:val="single" w:color="auto" w:sz="4" w:space="0"/>
            </w:tcBorders>
            <w:noWrap w:val="0"/>
            <w:vAlign w:val="center"/>
          </w:tcPr>
          <w:p w14:paraId="42253F4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影响因子</w:t>
            </w:r>
          </w:p>
        </w:tc>
        <w:tc>
          <w:tcPr>
            <w:tcW w:w="2000" w:type="pct"/>
            <w:gridSpan w:val="4"/>
            <w:tcBorders>
              <w:top w:val="single" w:color="auto" w:sz="4" w:space="0"/>
              <w:left w:val="single" w:color="auto" w:sz="4" w:space="0"/>
              <w:bottom w:val="single" w:color="auto" w:sz="4" w:space="0"/>
              <w:right w:val="single" w:color="auto" w:sz="4" w:space="0"/>
            </w:tcBorders>
            <w:noWrap w:val="0"/>
            <w:vAlign w:val="center"/>
          </w:tcPr>
          <w:p w14:paraId="58EE002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持久性污染物</w:t>
            </w:r>
            <w:r>
              <w:rPr>
                <w:rFonts w:hint="default" w:ascii="Times New Roman" w:hAnsi="Times New Roman" w:cs="Times New Roman" w:eastAsiaTheme="minorEastAsia"/>
                <w:szCs w:val="21"/>
                <w:lang w:val="en-US" w:eastAsia="zh-CN"/>
              </w:rPr>
              <w:sym w:font="Wingdings 2" w:char="F0A3"/>
            </w:r>
            <w:r>
              <w:rPr>
                <w:rFonts w:hint="default" w:ascii="Times New Roman" w:hAnsi="Times New Roman" w:cs="Times New Roman" w:eastAsiaTheme="minorEastAsia"/>
                <w:szCs w:val="21"/>
                <w:lang w:val="en-US" w:eastAsia="zh-CN"/>
              </w:rPr>
              <w:t>；有毒有害污染物</w:t>
            </w:r>
            <w:r>
              <w:rPr>
                <w:rFonts w:hint="default" w:ascii="Times New Roman" w:hAnsi="Times New Roman" w:cs="Times New Roman" w:eastAsiaTheme="minorEastAsia"/>
                <w:szCs w:val="21"/>
                <w:lang w:val="en-US" w:eastAsia="zh-CN"/>
              </w:rPr>
              <w:sym w:font="Wingdings 2" w:char="F0A3"/>
            </w:r>
            <w:r>
              <w:rPr>
                <w:rFonts w:hint="default" w:ascii="Times New Roman" w:hAnsi="Times New Roman" w:cs="Times New Roman" w:eastAsiaTheme="minorEastAsia"/>
                <w:szCs w:val="21"/>
                <w:lang w:val="en-US" w:eastAsia="zh-CN"/>
              </w:rPr>
              <w:t>；非持久性污染物</w:t>
            </w:r>
            <w:r>
              <w:rPr>
                <w:rFonts w:hint="default" w:ascii="Times New Roman" w:hAnsi="Times New Roman" w:cs="Times New Roman" w:eastAsiaTheme="minorEastAsia"/>
                <w:szCs w:val="21"/>
                <w:lang w:val="en-US" w:eastAsia="zh-CN"/>
              </w:rPr>
              <w:sym w:font="Wingdings 2" w:char="F052"/>
            </w:r>
            <w:r>
              <w:rPr>
                <w:rFonts w:hint="default" w:ascii="Times New Roman" w:hAnsi="Times New Roman" w:cs="Times New Roman" w:eastAsiaTheme="minorEastAsia"/>
                <w:szCs w:val="21"/>
                <w:lang w:val="en-US" w:eastAsia="zh-CN"/>
              </w:rPr>
              <w:t>；pH值</w:t>
            </w:r>
            <w:r>
              <w:rPr>
                <w:rFonts w:hint="default" w:ascii="Times New Roman" w:hAnsi="Times New Roman" w:cs="Times New Roman" w:eastAsiaTheme="minorEastAsia"/>
                <w:szCs w:val="21"/>
                <w:lang w:val="en-US" w:eastAsia="zh-CN"/>
              </w:rPr>
              <w:sym w:font="Wingdings 2" w:char="00A3"/>
            </w:r>
            <w:r>
              <w:rPr>
                <w:rFonts w:hint="default" w:ascii="Times New Roman" w:hAnsi="Times New Roman" w:cs="Times New Roman" w:eastAsiaTheme="minorEastAsia"/>
                <w:szCs w:val="21"/>
                <w:lang w:val="en-US" w:eastAsia="zh-CN"/>
              </w:rPr>
              <w:t>；热污染</w:t>
            </w:r>
            <w:r>
              <w:rPr>
                <w:rFonts w:hint="default" w:ascii="Times New Roman" w:hAnsi="Times New Roman" w:cs="Times New Roman" w:eastAsiaTheme="minorEastAsia"/>
                <w:szCs w:val="21"/>
                <w:lang w:val="en-US" w:eastAsia="zh-CN"/>
              </w:rPr>
              <w:sym w:font="Wingdings 2" w:char="F0A3"/>
            </w:r>
            <w:r>
              <w:rPr>
                <w:rFonts w:hint="default" w:ascii="Times New Roman" w:hAnsi="Times New Roman" w:cs="Times New Roman" w:eastAsiaTheme="minorEastAsia"/>
                <w:szCs w:val="21"/>
                <w:lang w:val="en-US" w:eastAsia="zh-CN"/>
              </w:rPr>
              <w:t>；富营养化</w:t>
            </w:r>
            <w:r>
              <w:rPr>
                <w:rFonts w:hint="default" w:ascii="Times New Roman" w:hAnsi="Times New Roman" w:cs="Times New Roman" w:eastAsiaTheme="minorEastAsia"/>
                <w:szCs w:val="21"/>
                <w:lang w:val="en-US" w:eastAsia="zh-CN"/>
              </w:rPr>
              <w:sym w:font="Wingdings 2" w:char="F0A3"/>
            </w:r>
            <w:r>
              <w:rPr>
                <w:rFonts w:hint="default" w:ascii="Times New Roman" w:hAnsi="Times New Roman" w:cs="Times New Roman" w:eastAsiaTheme="minorEastAsia"/>
                <w:szCs w:val="21"/>
                <w:lang w:val="en-US" w:eastAsia="zh-CN"/>
              </w:rPr>
              <w:t xml:space="preserve">；其他 </w:t>
            </w:r>
            <w:r>
              <w:rPr>
                <w:rFonts w:hint="default" w:ascii="Times New Roman" w:hAnsi="Times New Roman" w:cs="Times New Roman" w:eastAsiaTheme="minorEastAsia"/>
                <w:szCs w:val="21"/>
                <w:lang w:val="en-US" w:eastAsia="zh-CN"/>
              </w:rPr>
              <w:sym w:font="Wingdings 2" w:char="00A3"/>
            </w:r>
          </w:p>
        </w:tc>
        <w:tc>
          <w:tcPr>
            <w:tcW w:w="1826" w:type="pct"/>
            <w:gridSpan w:val="4"/>
            <w:tcBorders>
              <w:top w:val="single" w:color="auto" w:sz="4" w:space="0"/>
              <w:left w:val="single" w:color="auto" w:sz="4" w:space="0"/>
              <w:bottom w:val="single" w:color="auto" w:sz="4" w:space="0"/>
              <w:right w:val="single" w:color="auto" w:sz="4" w:space="0"/>
            </w:tcBorders>
            <w:noWrap w:val="0"/>
            <w:vAlign w:val="center"/>
          </w:tcPr>
          <w:p w14:paraId="5FE18CD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水温</w:t>
            </w:r>
            <w:r>
              <w:rPr>
                <w:rFonts w:hint="default" w:ascii="Times New Roman" w:hAnsi="Times New Roman" w:cs="Times New Roman" w:eastAsiaTheme="minorEastAsia"/>
                <w:szCs w:val="21"/>
                <w:lang w:val="en-US" w:eastAsia="zh-CN"/>
              </w:rPr>
              <w:sym w:font="Wingdings 2" w:char="F0A3"/>
            </w:r>
            <w:r>
              <w:rPr>
                <w:rFonts w:hint="default" w:ascii="Times New Roman" w:hAnsi="Times New Roman" w:cs="Times New Roman" w:eastAsiaTheme="minorEastAsia"/>
                <w:szCs w:val="21"/>
                <w:lang w:val="en-US" w:eastAsia="zh-CN"/>
              </w:rPr>
              <w:t>；水位（水深）</w:t>
            </w:r>
            <w:r>
              <w:rPr>
                <w:rFonts w:hint="default" w:ascii="Times New Roman" w:hAnsi="Times New Roman" w:cs="Times New Roman" w:eastAsiaTheme="minorEastAsia"/>
                <w:szCs w:val="21"/>
                <w:lang w:val="en-US" w:eastAsia="zh-CN"/>
              </w:rPr>
              <w:sym w:font="Wingdings 2" w:char="F0A3"/>
            </w:r>
            <w:r>
              <w:rPr>
                <w:rFonts w:hint="default" w:ascii="Times New Roman" w:hAnsi="Times New Roman" w:cs="Times New Roman" w:eastAsiaTheme="minorEastAsia"/>
                <w:szCs w:val="21"/>
                <w:lang w:val="en-US" w:eastAsia="zh-CN"/>
              </w:rPr>
              <w:t>；</w:t>
            </w:r>
          </w:p>
          <w:p w14:paraId="1302FB3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流速</w:t>
            </w:r>
            <w:r>
              <w:rPr>
                <w:rFonts w:hint="default" w:ascii="Times New Roman" w:hAnsi="Times New Roman" w:cs="Times New Roman" w:eastAsiaTheme="minorEastAsia"/>
                <w:szCs w:val="21"/>
                <w:lang w:val="en-US" w:eastAsia="zh-CN"/>
              </w:rPr>
              <w:sym w:font="Wingdings 2" w:char="F0A3"/>
            </w:r>
            <w:r>
              <w:rPr>
                <w:rFonts w:hint="default" w:ascii="Times New Roman" w:hAnsi="Times New Roman" w:cs="Times New Roman" w:eastAsiaTheme="minorEastAsia"/>
                <w:szCs w:val="21"/>
                <w:lang w:val="en-US" w:eastAsia="zh-CN"/>
              </w:rPr>
              <w:t>；流量</w:t>
            </w:r>
            <w:r>
              <w:rPr>
                <w:rFonts w:hint="default" w:ascii="Times New Roman" w:hAnsi="Times New Roman" w:cs="Times New Roman" w:eastAsiaTheme="minorEastAsia"/>
                <w:szCs w:val="21"/>
                <w:lang w:val="en-US" w:eastAsia="zh-CN"/>
              </w:rPr>
              <w:sym w:font="Wingdings 2" w:char="F0A3"/>
            </w:r>
            <w:r>
              <w:rPr>
                <w:rFonts w:hint="default" w:ascii="Times New Roman" w:hAnsi="Times New Roman" w:cs="Times New Roman" w:eastAsiaTheme="minorEastAsia"/>
                <w:szCs w:val="21"/>
                <w:lang w:val="en-US" w:eastAsia="zh-CN"/>
              </w:rPr>
              <w:t>；其他</w:t>
            </w:r>
            <w:r>
              <w:rPr>
                <w:rFonts w:hint="default" w:ascii="Times New Roman" w:hAnsi="Times New Roman" w:cs="Times New Roman" w:eastAsiaTheme="minorEastAsia"/>
                <w:szCs w:val="21"/>
                <w:lang w:val="en-US" w:eastAsia="zh-CN"/>
              </w:rPr>
              <w:sym w:font="Wingdings 2" w:char="F0A3"/>
            </w:r>
          </w:p>
        </w:tc>
      </w:tr>
      <w:tr w14:paraId="44BC72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73" w:type="pct"/>
            <w:gridSpan w:val="2"/>
            <w:vMerge w:val="restart"/>
            <w:tcBorders>
              <w:top w:val="single" w:color="auto" w:sz="4" w:space="0"/>
              <w:left w:val="single" w:color="auto" w:sz="4" w:space="0"/>
              <w:bottom w:val="single" w:color="auto" w:sz="4" w:space="0"/>
              <w:right w:val="single" w:color="auto" w:sz="4" w:space="0"/>
            </w:tcBorders>
            <w:noWrap w:val="0"/>
            <w:vAlign w:val="center"/>
          </w:tcPr>
          <w:p w14:paraId="68B2346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评价等级</w:t>
            </w:r>
          </w:p>
        </w:tc>
        <w:tc>
          <w:tcPr>
            <w:tcW w:w="2000" w:type="pct"/>
            <w:gridSpan w:val="4"/>
            <w:tcBorders>
              <w:top w:val="single" w:color="auto" w:sz="4" w:space="0"/>
              <w:left w:val="single" w:color="auto" w:sz="4" w:space="0"/>
              <w:bottom w:val="single" w:color="auto" w:sz="4" w:space="0"/>
              <w:right w:val="single" w:color="auto" w:sz="4" w:space="0"/>
            </w:tcBorders>
            <w:noWrap w:val="0"/>
            <w:vAlign w:val="center"/>
          </w:tcPr>
          <w:p w14:paraId="086A738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水污染影响型</w:t>
            </w:r>
          </w:p>
        </w:tc>
        <w:tc>
          <w:tcPr>
            <w:tcW w:w="1826" w:type="pct"/>
            <w:gridSpan w:val="4"/>
            <w:tcBorders>
              <w:top w:val="single" w:color="auto" w:sz="4" w:space="0"/>
              <w:left w:val="single" w:color="auto" w:sz="4" w:space="0"/>
              <w:bottom w:val="single" w:color="auto" w:sz="4" w:space="0"/>
              <w:right w:val="single" w:color="auto" w:sz="4" w:space="0"/>
            </w:tcBorders>
            <w:noWrap w:val="0"/>
            <w:vAlign w:val="center"/>
          </w:tcPr>
          <w:p w14:paraId="2019205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水文要素影响型</w:t>
            </w:r>
          </w:p>
        </w:tc>
      </w:tr>
      <w:tr w14:paraId="655884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73" w:type="pct"/>
            <w:gridSpan w:val="2"/>
            <w:vMerge w:val="continue"/>
            <w:tcBorders>
              <w:top w:val="single" w:color="auto" w:sz="4" w:space="0"/>
              <w:left w:val="single" w:color="auto" w:sz="4" w:space="0"/>
              <w:bottom w:val="single" w:color="auto" w:sz="4" w:space="0"/>
              <w:right w:val="single" w:color="auto" w:sz="4" w:space="0"/>
            </w:tcBorders>
            <w:noWrap w:val="0"/>
            <w:vAlign w:val="center"/>
          </w:tcPr>
          <w:p w14:paraId="58A157C7">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00" w:type="pct"/>
            <w:gridSpan w:val="4"/>
            <w:tcBorders>
              <w:top w:val="single" w:color="auto" w:sz="4" w:space="0"/>
              <w:left w:val="single" w:color="auto" w:sz="4" w:space="0"/>
              <w:bottom w:val="single" w:color="auto" w:sz="4" w:space="0"/>
              <w:right w:val="single" w:color="auto" w:sz="4" w:space="0"/>
            </w:tcBorders>
            <w:noWrap w:val="0"/>
            <w:vAlign w:val="center"/>
          </w:tcPr>
          <w:p w14:paraId="2994B82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一级 </w:t>
            </w:r>
            <w:r>
              <w:rPr>
                <w:rFonts w:hint="default" w:ascii="Times New Roman" w:hAnsi="Times New Roman" w:cs="Times New Roman" w:eastAsiaTheme="minorEastAsia"/>
                <w:szCs w:val="21"/>
                <w:lang w:val="en-US" w:eastAsia="zh-CN"/>
              </w:rPr>
              <w:sym w:font="Wingdings 2" w:char="F0A3"/>
            </w:r>
            <w:r>
              <w:rPr>
                <w:rFonts w:hint="default" w:ascii="Times New Roman" w:hAnsi="Times New Roman" w:cs="Times New Roman" w:eastAsiaTheme="minorEastAsia"/>
                <w:szCs w:val="21"/>
                <w:lang w:val="en-US" w:eastAsia="zh-CN"/>
              </w:rPr>
              <w:t xml:space="preserve">；二级 </w:t>
            </w:r>
            <w:r>
              <w:rPr>
                <w:rFonts w:hint="default" w:ascii="Times New Roman" w:hAnsi="Times New Roman" w:cs="Times New Roman" w:eastAsiaTheme="minorEastAsia"/>
                <w:szCs w:val="21"/>
                <w:lang w:val="en-US" w:eastAsia="zh-CN"/>
              </w:rPr>
              <w:sym w:font="Wingdings 2" w:char="F0A3"/>
            </w:r>
            <w:r>
              <w:rPr>
                <w:rFonts w:hint="default" w:ascii="Times New Roman" w:hAnsi="Times New Roman" w:cs="Times New Roman" w:eastAsiaTheme="minorEastAsia"/>
                <w:szCs w:val="21"/>
                <w:lang w:val="en-US" w:eastAsia="zh-CN"/>
              </w:rPr>
              <w:t xml:space="preserve">；三级A </w:t>
            </w:r>
            <w:r>
              <w:rPr>
                <w:rFonts w:hint="default" w:ascii="Times New Roman" w:hAnsi="Times New Roman" w:cs="Times New Roman" w:eastAsiaTheme="minorEastAsia"/>
                <w:szCs w:val="21"/>
                <w:lang w:val="en-US" w:eastAsia="zh-CN"/>
              </w:rPr>
              <w:sym w:font="Wingdings 2" w:char="00A3"/>
            </w:r>
            <w:r>
              <w:rPr>
                <w:rFonts w:hint="default" w:ascii="Times New Roman" w:hAnsi="Times New Roman" w:cs="Times New Roman" w:eastAsiaTheme="minorEastAsia"/>
                <w:szCs w:val="21"/>
                <w:lang w:val="en-US" w:eastAsia="zh-CN"/>
              </w:rPr>
              <w:t>；</w:t>
            </w:r>
          </w:p>
          <w:p w14:paraId="02D8658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三级B </w:t>
            </w:r>
            <w:r>
              <w:rPr>
                <w:rFonts w:hint="default" w:ascii="Times New Roman" w:hAnsi="Times New Roman" w:cs="Times New Roman" w:eastAsiaTheme="minorEastAsia"/>
                <w:szCs w:val="21"/>
                <w:lang w:val="en-US" w:eastAsia="zh-CN"/>
              </w:rPr>
              <w:sym w:font="Wingdings 2" w:char="F052"/>
            </w:r>
          </w:p>
        </w:tc>
        <w:tc>
          <w:tcPr>
            <w:tcW w:w="1826" w:type="pct"/>
            <w:gridSpan w:val="4"/>
            <w:tcBorders>
              <w:top w:val="single" w:color="auto" w:sz="4" w:space="0"/>
              <w:left w:val="single" w:color="auto" w:sz="4" w:space="0"/>
              <w:bottom w:val="single" w:color="auto" w:sz="4" w:space="0"/>
              <w:right w:val="single" w:color="auto" w:sz="4" w:space="0"/>
            </w:tcBorders>
            <w:noWrap w:val="0"/>
            <w:vAlign w:val="center"/>
          </w:tcPr>
          <w:p w14:paraId="0393B0B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一级</w:t>
            </w:r>
            <w:r>
              <w:rPr>
                <w:rFonts w:hint="default" w:ascii="Times New Roman" w:hAnsi="Times New Roman" w:cs="Times New Roman" w:eastAsiaTheme="minorEastAsia"/>
                <w:szCs w:val="21"/>
                <w:lang w:val="en-US" w:eastAsia="zh-CN"/>
              </w:rPr>
              <w:sym w:font="Wingdings 2" w:char="00A3"/>
            </w:r>
            <w:r>
              <w:rPr>
                <w:rFonts w:hint="default" w:ascii="Times New Roman" w:hAnsi="Times New Roman" w:cs="Times New Roman" w:eastAsiaTheme="minorEastAsia"/>
                <w:szCs w:val="21"/>
                <w:lang w:val="en-US" w:eastAsia="zh-CN"/>
              </w:rPr>
              <w:t>；二级</w:t>
            </w:r>
            <w:r>
              <w:rPr>
                <w:rFonts w:hint="default" w:ascii="Times New Roman" w:hAnsi="Times New Roman" w:cs="Times New Roman" w:eastAsiaTheme="minorEastAsia"/>
                <w:szCs w:val="21"/>
                <w:lang w:val="en-US" w:eastAsia="zh-CN"/>
              </w:rPr>
              <w:sym w:font="Wingdings 2" w:char="00A3"/>
            </w:r>
            <w:r>
              <w:rPr>
                <w:rFonts w:hint="default" w:ascii="Times New Roman" w:hAnsi="Times New Roman" w:cs="Times New Roman" w:eastAsiaTheme="minorEastAsia"/>
                <w:szCs w:val="21"/>
                <w:lang w:val="en-US" w:eastAsia="zh-CN"/>
              </w:rPr>
              <w:t>；三级</w:t>
            </w:r>
            <w:r>
              <w:rPr>
                <w:rFonts w:hint="default" w:ascii="Times New Roman" w:hAnsi="Times New Roman" w:cs="Times New Roman" w:eastAsiaTheme="minorEastAsia"/>
                <w:szCs w:val="21"/>
                <w:lang w:val="en-US" w:eastAsia="zh-CN"/>
              </w:rPr>
              <w:sym w:font="Wingdings 2" w:char="00A3"/>
            </w:r>
          </w:p>
        </w:tc>
      </w:tr>
      <w:tr w14:paraId="5127A8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restart"/>
            <w:tcBorders>
              <w:top w:val="single" w:color="auto" w:sz="4" w:space="0"/>
              <w:left w:val="single" w:color="auto" w:sz="4" w:space="0"/>
              <w:bottom w:val="single" w:color="auto" w:sz="4" w:space="0"/>
              <w:right w:val="single" w:color="auto" w:sz="4" w:space="0"/>
            </w:tcBorders>
            <w:noWrap w:val="0"/>
            <w:vAlign w:val="center"/>
          </w:tcPr>
          <w:p w14:paraId="29904B7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现</w:t>
            </w:r>
          </w:p>
          <w:p w14:paraId="2EDE272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状</w:t>
            </w:r>
          </w:p>
          <w:p w14:paraId="70CCDA0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调</w:t>
            </w:r>
          </w:p>
          <w:p w14:paraId="53A613D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查</w:t>
            </w:r>
          </w:p>
        </w:tc>
        <w:tc>
          <w:tcPr>
            <w:tcW w:w="913" w:type="pct"/>
            <w:vMerge w:val="restart"/>
            <w:tcBorders>
              <w:top w:val="single" w:color="auto" w:sz="4" w:space="0"/>
              <w:left w:val="single" w:color="auto" w:sz="4" w:space="0"/>
              <w:bottom w:val="single" w:color="auto" w:sz="4" w:space="0"/>
              <w:right w:val="single" w:color="auto" w:sz="4" w:space="0"/>
            </w:tcBorders>
            <w:noWrap w:val="0"/>
            <w:vAlign w:val="center"/>
          </w:tcPr>
          <w:p w14:paraId="3194655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区域污染源</w:t>
            </w:r>
          </w:p>
        </w:tc>
        <w:tc>
          <w:tcPr>
            <w:tcW w:w="2000" w:type="pct"/>
            <w:gridSpan w:val="4"/>
            <w:tcBorders>
              <w:top w:val="single" w:color="auto" w:sz="4" w:space="0"/>
              <w:left w:val="single" w:color="auto" w:sz="4" w:space="0"/>
              <w:bottom w:val="single" w:color="auto" w:sz="4" w:space="0"/>
              <w:right w:val="single" w:color="auto" w:sz="4" w:space="0"/>
            </w:tcBorders>
            <w:noWrap w:val="0"/>
            <w:vAlign w:val="center"/>
          </w:tcPr>
          <w:p w14:paraId="7E9AB16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调查项目</w:t>
            </w:r>
          </w:p>
        </w:tc>
        <w:tc>
          <w:tcPr>
            <w:tcW w:w="1826" w:type="pct"/>
            <w:gridSpan w:val="4"/>
            <w:tcBorders>
              <w:top w:val="single" w:color="auto" w:sz="4" w:space="0"/>
              <w:left w:val="single" w:color="auto" w:sz="4" w:space="0"/>
              <w:bottom w:val="single" w:color="auto" w:sz="4" w:space="0"/>
              <w:right w:val="single" w:color="auto" w:sz="4" w:space="0"/>
            </w:tcBorders>
            <w:noWrap w:val="0"/>
            <w:vAlign w:val="center"/>
          </w:tcPr>
          <w:p w14:paraId="65DEB69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数据来源</w:t>
            </w:r>
          </w:p>
        </w:tc>
      </w:tr>
      <w:tr w14:paraId="05D056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continue"/>
            <w:tcBorders>
              <w:top w:val="single" w:color="auto" w:sz="4" w:space="0"/>
              <w:left w:val="single" w:color="auto" w:sz="4" w:space="0"/>
              <w:bottom w:val="single" w:color="auto" w:sz="4" w:space="0"/>
              <w:right w:val="single" w:color="auto" w:sz="4" w:space="0"/>
            </w:tcBorders>
            <w:noWrap w:val="0"/>
            <w:vAlign w:val="center"/>
          </w:tcPr>
          <w:p w14:paraId="76FEFF9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3" w:type="pct"/>
            <w:vMerge w:val="continue"/>
            <w:tcBorders>
              <w:top w:val="single" w:color="auto" w:sz="4" w:space="0"/>
              <w:left w:val="single" w:color="auto" w:sz="4" w:space="0"/>
              <w:bottom w:val="single" w:color="auto" w:sz="4" w:space="0"/>
              <w:right w:val="single" w:color="auto" w:sz="4" w:space="0"/>
            </w:tcBorders>
            <w:noWrap w:val="0"/>
            <w:vAlign w:val="center"/>
          </w:tcPr>
          <w:p w14:paraId="5F63753A">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67" w:type="pct"/>
            <w:gridSpan w:val="2"/>
            <w:tcBorders>
              <w:top w:val="single" w:color="auto" w:sz="4" w:space="0"/>
              <w:left w:val="single" w:color="auto" w:sz="4" w:space="0"/>
              <w:bottom w:val="single" w:color="auto" w:sz="4" w:space="0"/>
              <w:right w:val="single" w:color="auto" w:sz="4" w:space="0"/>
            </w:tcBorders>
            <w:noWrap w:val="0"/>
            <w:vAlign w:val="center"/>
          </w:tcPr>
          <w:p w14:paraId="26BC3E4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已建 </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；在建</w:t>
            </w:r>
            <w:r>
              <w:rPr>
                <w:rFonts w:hint="default" w:ascii="Times New Roman" w:hAnsi="Times New Roman" w:cs="Times New Roman" w:eastAsiaTheme="minorEastAsia"/>
                <w:szCs w:val="21"/>
                <w:lang w:val="en-US" w:eastAsia="zh-CN"/>
              </w:rPr>
              <w:sym w:font="Wingdings 2" w:char="00A3"/>
            </w:r>
            <w:r>
              <w:rPr>
                <w:rFonts w:hint="default" w:ascii="Times New Roman" w:hAnsi="Times New Roman" w:cs="Times New Roman" w:eastAsiaTheme="minorEastAsia"/>
                <w:szCs w:val="21"/>
                <w:lang w:val="en-US" w:eastAsia="zh-CN"/>
              </w:rPr>
              <w:t>；</w:t>
            </w:r>
          </w:p>
          <w:p w14:paraId="7D68941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拟建</w:t>
            </w:r>
            <w:r>
              <w:rPr>
                <w:rFonts w:hint="default" w:ascii="Times New Roman" w:hAnsi="Times New Roman" w:cs="Times New Roman" w:eastAsiaTheme="minorEastAsia"/>
                <w:szCs w:val="21"/>
                <w:lang w:val="en-US" w:eastAsia="zh-CN"/>
              </w:rPr>
              <w:sym w:font="Wingdings 2" w:char="00A3"/>
            </w:r>
            <w:r>
              <w:rPr>
                <w:rFonts w:hint="default" w:ascii="Times New Roman" w:hAnsi="Times New Roman" w:cs="Times New Roman" w:eastAsiaTheme="minorEastAsia"/>
                <w:szCs w:val="21"/>
                <w:lang w:val="en-US" w:eastAsia="zh-CN"/>
              </w:rPr>
              <w:t>；其他</w:t>
            </w:r>
            <w:r>
              <w:rPr>
                <w:rFonts w:hint="default" w:ascii="Times New Roman" w:hAnsi="Times New Roman" w:cs="Times New Roman" w:eastAsiaTheme="minorEastAsia"/>
                <w:szCs w:val="21"/>
                <w:lang w:val="en-US" w:eastAsia="zh-CN"/>
              </w:rPr>
              <w:sym w:font="Wingdings 2" w:char="00A3"/>
            </w:r>
          </w:p>
        </w:tc>
        <w:tc>
          <w:tcPr>
            <w:tcW w:w="932" w:type="pct"/>
            <w:gridSpan w:val="2"/>
            <w:tcBorders>
              <w:top w:val="single" w:color="auto" w:sz="4" w:space="0"/>
              <w:left w:val="single" w:color="auto" w:sz="4" w:space="0"/>
              <w:bottom w:val="single" w:color="auto" w:sz="4" w:space="0"/>
              <w:right w:val="single" w:color="auto" w:sz="4" w:space="0"/>
            </w:tcBorders>
            <w:noWrap w:val="0"/>
            <w:vAlign w:val="center"/>
          </w:tcPr>
          <w:p w14:paraId="6810E4D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拟替代的污染源</w:t>
            </w:r>
            <w:r>
              <w:rPr>
                <w:rFonts w:hint="default" w:ascii="Times New Roman" w:hAnsi="Times New Roman" w:cs="Times New Roman" w:eastAsiaTheme="minorEastAsia"/>
                <w:szCs w:val="21"/>
                <w:lang w:val="en-US" w:eastAsia="zh-CN"/>
              </w:rPr>
              <w:sym w:font="Wingdings 2" w:char="00A3"/>
            </w:r>
          </w:p>
        </w:tc>
        <w:tc>
          <w:tcPr>
            <w:tcW w:w="1826" w:type="pct"/>
            <w:gridSpan w:val="4"/>
            <w:tcBorders>
              <w:top w:val="single" w:color="auto" w:sz="4" w:space="0"/>
              <w:left w:val="single" w:color="auto" w:sz="4" w:space="0"/>
              <w:bottom w:val="single" w:color="auto" w:sz="4" w:space="0"/>
              <w:right w:val="single" w:color="auto" w:sz="4" w:space="0"/>
            </w:tcBorders>
            <w:noWrap w:val="0"/>
            <w:vAlign w:val="center"/>
          </w:tcPr>
          <w:p w14:paraId="0DD082D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排污许可证 </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；环评</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；环保验收 □；既有实测 □；现场监测 □；入河排放口数据□；其他 □</w:t>
            </w:r>
          </w:p>
        </w:tc>
      </w:tr>
      <w:tr w14:paraId="36627E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continue"/>
            <w:tcBorders>
              <w:top w:val="single" w:color="auto" w:sz="4" w:space="0"/>
              <w:left w:val="single" w:color="auto" w:sz="4" w:space="0"/>
              <w:bottom w:val="single" w:color="auto" w:sz="4" w:space="0"/>
              <w:right w:val="single" w:color="auto" w:sz="4" w:space="0"/>
            </w:tcBorders>
            <w:noWrap w:val="0"/>
            <w:vAlign w:val="center"/>
          </w:tcPr>
          <w:p w14:paraId="757E29E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3" w:type="pct"/>
            <w:vMerge w:val="restart"/>
            <w:tcBorders>
              <w:top w:val="single" w:color="auto" w:sz="4" w:space="0"/>
              <w:left w:val="single" w:color="auto" w:sz="4" w:space="0"/>
              <w:bottom w:val="single" w:color="auto" w:sz="4" w:space="0"/>
              <w:right w:val="single" w:color="auto" w:sz="4" w:space="0"/>
            </w:tcBorders>
            <w:noWrap w:val="0"/>
            <w:vAlign w:val="center"/>
          </w:tcPr>
          <w:p w14:paraId="3893845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受影响水体水环境质量</w:t>
            </w:r>
          </w:p>
        </w:tc>
        <w:tc>
          <w:tcPr>
            <w:tcW w:w="2000" w:type="pct"/>
            <w:gridSpan w:val="4"/>
            <w:tcBorders>
              <w:top w:val="single" w:color="auto" w:sz="4" w:space="0"/>
              <w:left w:val="single" w:color="auto" w:sz="4" w:space="0"/>
              <w:bottom w:val="single" w:color="auto" w:sz="4" w:space="0"/>
              <w:right w:val="single" w:color="auto" w:sz="4" w:space="0"/>
            </w:tcBorders>
            <w:noWrap w:val="0"/>
            <w:vAlign w:val="center"/>
          </w:tcPr>
          <w:p w14:paraId="38D6A37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调查时期</w:t>
            </w:r>
          </w:p>
        </w:tc>
        <w:tc>
          <w:tcPr>
            <w:tcW w:w="1826" w:type="pct"/>
            <w:gridSpan w:val="4"/>
            <w:tcBorders>
              <w:top w:val="single" w:color="auto" w:sz="4" w:space="0"/>
              <w:left w:val="single" w:color="auto" w:sz="4" w:space="0"/>
              <w:bottom w:val="single" w:color="auto" w:sz="4" w:space="0"/>
              <w:right w:val="single" w:color="auto" w:sz="4" w:space="0"/>
            </w:tcBorders>
            <w:noWrap w:val="0"/>
            <w:vAlign w:val="center"/>
          </w:tcPr>
          <w:p w14:paraId="660E7F8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数据来源</w:t>
            </w:r>
          </w:p>
        </w:tc>
      </w:tr>
      <w:tr w14:paraId="468BC8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continue"/>
            <w:tcBorders>
              <w:top w:val="single" w:color="auto" w:sz="4" w:space="0"/>
              <w:left w:val="single" w:color="auto" w:sz="4" w:space="0"/>
              <w:bottom w:val="single" w:color="auto" w:sz="4" w:space="0"/>
              <w:right w:val="single" w:color="auto" w:sz="4" w:space="0"/>
            </w:tcBorders>
            <w:noWrap w:val="0"/>
            <w:vAlign w:val="center"/>
          </w:tcPr>
          <w:p w14:paraId="2F251867">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3" w:type="pct"/>
            <w:vMerge w:val="continue"/>
            <w:tcBorders>
              <w:top w:val="single" w:color="auto" w:sz="4" w:space="0"/>
              <w:left w:val="single" w:color="auto" w:sz="4" w:space="0"/>
              <w:bottom w:val="single" w:color="auto" w:sz="4" w:space="0"/>
              <w:right w:val="single" w:color="auto" w:sz="4" w:space="0"/>
            </w:tcBorders>
            <w:noWrap w:val="0"/>
            <w:vAlign w:val="center"/>
          </w:tcPr>
          <w:p w14:paraId="133717EC">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00" w:type="pct"/>
            <w:gridSpan w:val="4"/>
            <w:tcBorders>
              <w:top w:val="single" w:color="auto" w:sz="4" w:space="0"/>
              <w:left w:val="single" w:color="auto" w:sz="4" w:space="0"/>
              <w:bottom w:val="single" w:color="auto" w:sz="4" w:space="0"/>
              <w:right w:val="single" w:color="auto" w:sz="4" w:space="0"/>
            </w:tcBorders>
            <w:noWrap w:val="0"/>
            <w:vAlign w:val="center"/>
          </w:tcPr>
          <w:p w14:paraId="2A7B057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丰水期 </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 xml:space="preserve">；平水期 </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 xml:space="preserve">；枯水期 </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；冰封期</w:t>
            </w: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 xml:space="preserve">春季 </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 xml:space="preserve">；夏季 </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；秋季</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 xml:space="preserve">；冬季 </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 xml:space="preserve"> </w:t>
            </w:r>
          </w:p>
        </w:tc>
        <w:tc>
          <w:tcPr>
            <w:tcW w:w="1826" w:type="pct"/>
            <w:gridSpan w:val="4"/>
            <w:tcBorders>
              <w:top w:val="single" w:color="auto" w:sz="4" w:space="0"/>
              <w:left w:val="single" w:color="auto" w:sz="4" w:space="0"/>
              <w:bottom w:val="single" w:color="auto" w:sz="4" w:space="0"/>
              <w:right w:val="single" w:color="auto" w:sz="4" w:space="0"/>
            </w:tcBorders>
            <w:noWrap w:val="0"/>
            <w:vAlign w:val="center"/>
          </w:tcPr>
          <w:p w14:paraId="6457351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生态环境保护主管部门 </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w:t>
            </w:r>
          </w:p>
          <w:p w14:paraId="2FBE9F2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补充监测 </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 xml:space="preserve">；其他 </w:t>
            </w:r>
            <w:r>
              <w:rPr>
                <w:rFonts w:hint="eastAsia" w:ascii="Times New Roman" w:hAnsi="Times New Roman" w:cs="Times New Roman"/>
                <w:szCs w:val="21"/>
                <w:lang w:val="en-US" w:eastAsia="zh-CN"/>
              </w:rPr>
              <w:t>□</w:t>
            </w:r>
          </w:p>
        </w:tc>
      </w:tr>
      <w:tr w14:paraId="5865AE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continue"/>
            <w:tcBorders>
              <w:top w:val="single" w:color="auto" w:sz="4" w:space="0"/>
              <w:left w:val="single" w:color="auto" w:sz="4" w:space="0"/>
              <w:bottom w:val="single" w:color="auto" w:sz="4" w:space="0"/>
              <w:right w:val="single" w:color="auto" w:sz="4" w:space="0"/>
            </w:tcBorders>
            <w:noWrap w:val="0"/>
            <w:vAlign w:val="center"/>
          </w:tcPr>
          <w:p w14:paraId="560DF28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3" w:type="pct"/>
            <w:tcBorders>
              <w:top w:val="single" w:color="auto" w:sz="4" w:space="0"/>
              <w:left w:val="single" w:color="auto" w:sz="4" w:space="0"/>
              <w:bottom w:val="single" w:color="auto" w:sz="4" w:space="0"/>
              <w:right w:val="single" w:color="auto" w:sz="4" w:space="0"/>
            </w:tcBorders>
            <w:noWrap w:val="0"/>
            <w:vAlign w:val="center"/>
          </w:tcPr>
          <w:p w14:paraId="090E70C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区域水资源开发利用状况</w:t>
            </w:r>
          </w:p>
        </w:tc>
        <w:tc>
          <w:tcPr>
            <w:tcW w:w="3826" w:type="pct"/>
            <w:gridSpan w:val="8"/>
            <w:tcBorders>
              <w:top w:val="single" w:color="auto" w:sz="4" w:space="0"/>
              <w:left w:val="single" w:color="auto" w:sz="4" w:space="0"/>
              <w:bottom w:val="single" w:color="auto" w:sz="4" w:space="0"/>
              <w:right w:val="single" w:color="auto" w:sz="4" w:space="0"/>
            </w:tcBorders>
            <w:noWrap w:val="0"/>
            <w:vAlign w:val="center"/>
          </w:tcPr>
          <w:p w14:paraId="0351F65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未开发 </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 xml:space="preserve">；开发量 40%以下 </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 xml:space="preserve">；开发量 40%以上 </w:t>
            </w:r>
            <w:r>
              <w:rPr>
                <w:rFonts w:hint="eastAsia" w:ascii="Times New Roman" w:hAnsi="Times New Roman" w:cs="Times New Roman"/>
                <w:szCs w:val="21"/>
                <w:lang w:val="en-US" w:eastAsia="zh-CN"/>
              </w:rPr>
              <w:t>□</w:t>
            </w:r>
          </w:p>
        </w:tc>
      </w:tr>
      <w:tr w14:paraId="534985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continue"/>
            <w:tcBorders>
              <w:top w:val="single" w:color="auto" w:sz="4" w:space="0"/>
              <w:left w:val="single" w:color="auto" w:sz="4" w:space="0"/>
              <w:bottom w:val="single" w:color="auto" w:sz="4" w:space="0"/>
              <w:right w:val="single" w:color="auto" w:sz="4" w:space="0"/>
            </w:tcBorders>
            <w:noWrap w:val="0"/>
            <w:vAlign w:val="center"/>
          </w:tcPr>
          <w:p w14:paraId="0A0C5A5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3" w:type="pct"/>
            <w:vMerge w:val="restart"/>
            <w:tcBorders>
              <w:top w:val="single" w:color="auto" w:sz="4" w:space="0"/>
              <w:left w:val="single" w:color="auto" w:sz="4" w:space="0"/>
              <w:bottom w:val="single" w:color="auto" w:sz="4" w:space="0"/>
              <w:right w:val="single" w:color="auto" w:sz="4" w:space="0"/>
            </w:tcBorders>
            <w:noWrap w:val="0"/>
            <w:vAlign w:val="center"/>
          </w:tcPr>
          <w:p w14:paraId="415567D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水文情势调查</w:t>
            </w:r>
          </w:p>
        </w:tc>
        <w:tc>
          <w:tcPr>
            <w:tcW w:w="2000" w:type="pct"/>
            <w:gridSpan w:val="4"/>
            <w:tcBorders>
              <w:top w:val="single" w:color="auto" w:sz="4" w:space="0"/>
              <w:left w:val="single" w:color="auto" w:sz="4" w:space="0"/>
              <w:bottom w:val="single" w:color="auto" w:sz="4" w:space="0"/>
              <w:right w:val="single" w:color="auto" w:sz="4" w:space="0"/>
            </w:tcBorders>
            <w:noWrap w:val="0"/>
            <w:vAlign w:val="center"/>
          </w:tcPr>
          <w:p w14:paraId="12E64F3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调查时期</w:t>
            </w:r>
          </w:p>
        </w:tc>
        <w:tc>
          <w:tcPr>
            <w:tcW w:w="1826" w:type="pct"/>
            <w:gridSpan w:val="4"/>
            <w:tcBorders>
              <w:top w:val="single" w:color="auto" w:sz="4" w:space="0"/>
              <w:left w:val="single" w:color="auto" w:sz="4" w:space="0"/>
              <w:bottom w:val="single" w:color="auto" w:sz="4" w:space="0"/>
              <w:right w:val="single" w:color="auto" w:sz="4" w:space="0"/>
            </w:tcBorders>
            <w:noWrap w:val="0"/>
            <w:vAlign w:val="center"/>
          </w:tcPr>
          <w:p w14:paraId="22F6281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数据来源</w:t>
            </w:r>
          </w:p>
        </w:tc>
      </w:tr>
      <w:tr w14:paraId="1CDA37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continue"/>
            <w:tcBorders>
              <w:top w:val="single" w:color="auto" w:sz="4" w:space="0"/>
              <w:left w:val="single" w:color="auto" w:sz="4" w:space="0"/>
              <w:bottom w:val="single" w:color="auto" w:sz="4" w:space="0"/>
              <w:right w:val="single" w:color="auto" w:sz="4" w:space="0"/>
            </w:tcBorders>
            <w:noWrap w:val="0"/>
            <w:vAlign w:val="center"/>
          </w:tcPr>
          <w:p w14:paraId="68129C5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3" w:type="pct"/>
            <w:vMerge w:val="continue"/>
            <w:tcBorders>
              <w:top w:val="single" w:color="auto" w:sz="4" w:space="0"/>
              <w:left w:val="single" w:color="auto" w:sz="4" w:space="0"/>
              <w:bottom w:val="single" w:color="auto" w:sz="4" w:space="0"/>
              <w:right w:val="single" w:color="auto" w:sz="4" w:space="0"/>
            </w:tcBorders>
            <w:noWrap w:val="0"/>
            <w:vAlign w:val="center"/>
          </w:tcPr>
          <w:p w14:paraId="44B8E2F5">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00" w:type="pct"/>
            <w:gridSpan w:val="4"/>
            <w:tcBorders>
              <w:top w:val="single" w:color="auto" w:sz="4" w:space="0"/>
              <w:left w:val="single" w:color="auto" w:sz="4" w:space="0"/>
              <w:bottom w:val="single" w:color="auto" w:sz="4" w:space="0"/>
              <w:right w:val="single" w:color="auto" w:sz="4" w:space="0"/>
            </w:tcBorders>
            <w:noWrap w:val="0"/>
            <w:vAlign w:val="center"/>
          </w:tcPr>
          <w:p w14:paraId="6C9BA15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丰水期 </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 xml:space="preserve">；平水期 </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 xml:space="preserve">；枯水期 </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；冰封期</w:t>
            </w: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 xml:space="preserve">春季 </w:t>
            </w:r>
            <w:r>
              <w:rPr>
                <w:rFonts w:hint="default" w:ascii="Times New Roman" w:hAnsi="Times New Roman" w:cs="Times New Roman" w:eastAsiaTheme="minorEastAsia"/>
                <w:szCs w:val="21"/>
                <w:lang w:val="en-US" w:eastAsia="zh-CN"/>
              </w:rPr>
              <w:sym w:font="Wingdings 2" w:char="F0A3"/>
            </w:r>
            <w:r>
              <w:rPr>
                <w:rFonts w:hint="default" w:ascii="Times New Roman" w:hAnsi="Times New Roman" w:cs="Times New Roman" w:eastAsiaTheme="minorEastAsia"/>
                <w:szCs w:val="21"/>
                <w:lang w:val="en-US" w:eastAsia="zh-CN"/>
              </w:rPr>
              <w:t>；夏季</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 xml:space="preserve">；秋季 </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 xml:space="preserve">；冬季 </w:t>
            </w:r>
            <w:r>
              <w:rPr>
                <w:rFonts w:hint="eastAsia" w:ascii="Times New Roman" w:hAnsi="Times New Roman" w:cs="Times New Roman"/>
                <w:szCs w:val="21"/>
                <w:lang w:val="en-US" w:eastAsia="zh-CN"/>
              </w:rPr>
              <w:t>□</w:t>
            </w:r>
          </w:p>
        </w:tc>
        <w:tc>
          <w:tcPr>
            <w:tcW w:w="1826" w:type="pct"/>
            <w:gridSpan w:val="4"/>
            <w:tcBorders>
              <w:top w:val="single" w:color="auto" w:sz="4" w:space="0"/>
              <w:left w:val="single" w:color="auto" w:sz="4" w:space="0"/>
              <w:bottom w:val="single" w:color="auto" w:sz="4" w:space="0"/>
              <w:right w:val="single" w:color="auto" w:sz="4" w:space="0"/>
            </w:tcBorders>
            <w:noWrap w:val="0"/>
            <w:vAlign w:val="center"/>
          </w:tcPr>
          <w:p w14:paraId="0A8AFFA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水行政主管部门 </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 xml:space="preserve">；补充监测 </w:t>
            </w:r>
            <w:r>
              <w:rPr>
                <w:rFonts w:hint="default" w:ascii="Times New Roman" w:hAnsi="Times New Roman" w:cs="Times New Roman" w:eastAsiaTheme="minorEastAsia"/>
                <w:szCs w:val="21"/>
                <w:lang w:val="en-US" w:eastAsia="zh-CN"/>
              </w:rPr>
              <w:sym w:font="Wingdings 2" w:char="F0A3"/>
            </w:r>
            <w:r>
              <w:rPr>
                <w:rFonts w:hint="default" w:ascii="Times New Roman" w:hAnsi="Times New Roman" w:cs="Times New Roman" w:eastAsiaTheme="minorEastAsia"/>
                <w:szCs w:val="21"/>
                <w:lang w:val="en-US" w:eastAsia="zh-CN"/>
              </w:rPr>
              <w:t xml:space="preserve">；其他 </w:t>
            </w:r>
            <w:r>
              <w:rPr>
                <w:rFonts w:hint="eastAsia" w:ascii="Times New Roman" w:hAnsi="Times New Roman" w:cs="Times New Roman"/>
                <w:szCs w:val="21"/>
                <w:lang w:val="en-US" w:eastAsia="zh-CN"/>
              </w:rPr>
              <w:t>□</w:t>
            </w:r>
          </w:p>
        </w:tc>
      </w:tr>
      <w:tr w14:paraId="7E894C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continue"/>
            <w:tcBorders>
              <w:top w:val="single" w:color="auto" w:sz="4" w:space="0"/>
              <w:left w:val="single" w:color="auto" w:sz="4" w:space="0"/>
              <w:bottom w:val="single" w:color="auto" w:sz="4" w:space="0"/>
              <w:right w:val="single" w:color="auto" w:sz="4" w:space="0"/>
            </w:tcBorders>
            <w:noWrap w:val="0"/>
            <w:vAlign w:val="center"/>
          </w:tcPr>
          <w:p w14:paraId="13F342DC">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3" w:type="pct"/>
            <w:vMerge w:val="restart"/>
            <w:tcBorders>
              <w:top w:val="single" w:color="auto" w:sz="4" w:space="0"/>
              <w:left w:val="single" w:color="auto" w:sz="4" w:space="0"/>
              <w:bottom w:val="single" w:color="auto" w:sz="4" w:space="0"/>
              <w:right w:val="single" w:color="auto" w:sz="4" w:space="0"/>
            </w:tcBorders>
            <w:noWrap w:val="0"/>
            <w:vAlign w:val="center"/>
          </w:tcPr>
          <w:p w14:paraId="4D26931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补充监测</w:t>
            </w:r>
          </w:p>
        </w:tc>
        <w:tc>
          <w:tcPr>
            <w:tcW w:w="2000" w:type="pct"/>
            <w:gridSpan w:val="4"/>
            <w:tcBorders>
              <w:top w:val="single" w:color="auto" w:sz="4" w:space="0"/>
              <w:left w:val="single" w:color="auto" w:sz="4" w:space="0"/>
              <w:bottom w:val="single" w:color="auto" w:sz="4" w:space="0"/>
              <w:right w:val="single" w:color="auto" w:sz="4" w:space="0"/>
            </w:tcBorders>
            <w:noWrap w:val="0"/>
            <w:vAlign w:val="center"/>
          </w:tcPr>
          <w:p w14:paraId="51C028D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监测时期</w:t>
            </w:r>
          </w:p>
        </w:tc>
        <w:tc>
          <w:tcPr>
            <w:tcW w:w="961" w:type="pct"/>
            <w:gridSpan w:val="2"/>
            <w:tcBorders>
              <w:top w:val="single" w:color="auto" w:sz="4" w:space="0"/>
              <w:left w:val="single" w:color="auto" w:sz="4" w:space="0"/>
              <w:bottom w:val="single" w:color="auto" w:sz="4" w:space="0"/>
              <w:right w:val="single" w:color="auto" w:sz="4" w:space="0"/>
            </w:tcBorders>
            <w:noWrap w:val="0"/>
            <w:vAlign w:val="center"/>
          </w:tcPr>
          <w:p w14:paraId="339029B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监测因子</w:t>
            </w:r>
          </w:p>
        </w:tc>
        <w:tc>
          <w:tcPr>
            <w:tcW w:w="864" w:type="pct"/>
            <w:gridSpan w:val="2"/>
            <w:tcBorders>
              <w:top w:val="single" w:color="auto" w:sz="4" w:space="0"/>
              <w:left w:val="single" w:color="auto" w:sz="4" w:space="0"/>
              <w:bottom w:val="single" w:color="auto" w:sz="4" w:space="0"/>
              <w:right w:val="single" w:color="auto" w:sz="4" w:space="0"/>
            </w:tcBorders>
            <w:noWrap w:val="0"/>
            <w:vAlign w:val="center"/>
          </w:tcPr>
          <w:p w14:paraId="4E3A964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监测断面或点位</w:t>
            </w:r>
          </w:p>
        </w:tc>
      </w:tr>
      <w:tr w14:paraId="4FC6F8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continue"/>
            <w:tcBorders>
              <w:top w:val="single" w:color="auto" w:sz="4" w:space="0"/>
              <w:left w:val="single" w:color="auto" w:sz="4" w:space="0"/>
              <w:bottom w:val="single" w:color="auto" w:sz="4" w:space="0"/>
              <w:right w:val="single" w:color="auto" w:sz="4" w:space="0"/>
            </w:tcBorders>
            <w:noWrap w:val="0"/>
            <w:vAlign w:val="center"/>
          </w:tcPr>
          <w:p w14:paraId="7694C07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3" w:type="pct"/>
            <w:vMerge w:val="continue"/>
            <w:tcBorders>
              <w:top w:val="single" w:color="auto" w:sz="4" w:space="0"/>
              <w:left w:val="single" w:color="auto" w:sz="4" w:space="0"/>
              <w:bottom w:val="single" w:color="auto" w:sz="4" w:space="0"/>
              <w:right w:val="single" w:color="auto" w:sz="4" w:space="0"/>
            </w:tcBorders>
            <w:noWrap w:val="0"/>
            <w:vAlign w:val="center"/>
          </w:tcPr>
          <w:p w14:paraId="1C9E716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00" w:type="pct"/>
            <w:gridSpan w:val="4"/>
            <w:tcBorders>
              <w:top w:val="single" w:color="auto" w:sz="4" w:space="0"/>
              <w:left w:val="single" w:color="auto" w:sz="4" w:space="0"/>
              <w:bottom w:val="single" w:color="auto" w:sz="4" w:space="0"/>
              <w:right w:val="single" w:color="auto" w:sz="4" w:space="0"/>
            </w:tcBorders>
            <w:noWrap w:val="0"/>
            <w:vAlign w:val="center"/>
          </w:tcPr>
          <w:p w14:paraId="4E3F1D2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丰水期 </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；平水期</w:t>
            </w:r>
            <w:r>
              <w:rPr>
                <w:rFonts w:hint="default" w:ascii="Times New Roman" w:hAnsi="Times New Roman" w:cs="Times New Roman" w:eastAsiaTheme="minorEastAsia"/>
                <w:szCs w:val="21"/>
                <w:lang w:val="en-US" w:eastAsia="zh-CN"/>
              </w:rPr>
              <w:sym w:font="Wingdings 2" w:char="00A3"/>
            </w:r>
            <w:r>
              <w:rPr>
                <w:rFonts w:hint="default" w:ascii="Times New Roman" w:hAnsi="Times New Roman" w:cs="Times New Roman" w:eastAsiaTheme="minorEastAsia"/>
                <w:szCs w:val="21"/>
                <w:lang w:val="en-US" w:eastAsia="zh-CN"/>
              </w:rPr>
              <w:t>；枯水期</w:t>
            </w:r>
            <w:r>
              <w:rPr>
                <w:rFonts w:hint="default" w:ascii="Times New Roman" w:hAnsi="Times New Roman" w:cs="Times New Roman" w:eastAsiaTheme="minorEastAsia"/>
                <w:szCs w:val="21"/>
                <w:lang w:val="en-US" w:eastAsia="zh-CN"/>
              </w:rPr>
              <w:sym w:font="Wingdings 2" w:char="00A3"/>
            </w:r>
            <w:r>
              <w:rPr>
                <w:rFonts w:hint="default" w:ascii="Times New Roman" w:hAnsi="Times New Roman" w:cs="Times New Roman" w:eastAsiaTheme="minorEastAsia"/>
                <w:szCs w:val="21"/>
                <w:lang w:val="en-US" w:eastAsia="zh-CN"/>
              </w:rPr>
              <w:t xml:space="preserve">；冰封期 </w:t>
            </w:r>
            <w:r>
              <w:rPr>
                <w:rFonts w:hint="default" w:ascii="Times New Roman" w:hAnsi="Times New Roman" w:cs="Times New Roman" w:eastAsiaTheme="minorEastAsia"/>
                <w:szCs w:val="21"/>
                <w:lang w:val="en-US" w:eastAsia="zh-CN"/>
              </w:rPr>
              <w:sym w:font="Wingdings 2" w:char="00A3"/>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春季</w:t>
            </w:r>
            <w:r>
              <w:rPr>
                <w:rFonts w:hint="default" w:ascii="Times New Roman" w:hAnsi="Times New Roman" w:cs="Times New Roman" w:eastAsiaTheme="minorEastAsia"/>
                <w:szCs w:val="21"/>
                <w:lang w:val="en-US" w:eastAsia="zh-CN"/>
              </w:rPr>
              <w:sym w:font="Wingdings 2" w:char="00A3"/>
            </w:r>
            <w:r>
              <w:rPr>
                <w:rFonts w:hint="default" w:ascii="Times New Roman" w:hAnsi="Times New Roman" w:cs="Times New Roman" w:eastAsiaTheme="minorEastAsia"/>
                <w:szCs w:val="21"/>
                <w:lang w:val="en-US" w:eastAsia="zh-CN"/>
              </w:rPr>
              <w:t>；夏季</w:t>
            </w:r>
            <w:r>
              <w:rPr>
                <w:rFonts w:hint="default" w:ascii="Times New Roman" w:hAnsi="Times New Roman" w:cs="Times New Roman" w:eastAsiaTheme="minorEastAsia"/>
                <w:szCs w:val="21"/>
                <w:lang w:val="en-US" w:eastAsia="zh-CN"/>
              </w:rPr>
              <w:sym w:font="Wingdings 2" w:char="00A3"/>
            </w:r>
            <w:r>
              <w:rPr>
                <w:rFonts w:hint="default" w:ascii="Times New Roman" w:hAnsi="Times New Roman" w:cs="Times New Roman" w:eastAsiaTheme="minorEastAsia"/>
                <w:szCs w:val="21"/>
                <w:lang w:val="en-US" w:eastAsia="zh-CN"/>
              </w:rPr>
              <w:t xml:space="preserve">；秋季 </w:t>
            </w:r>
            <w:r>
              <w:rPr>
                <w:rFonts w:hint="default" w:ascii="Times New Roman" w:hAnsi="Times New Roman" w:cs="Times New Roman" w:eastAsiaTheme="minorEastAsia"/>
                <w:szCs w:val="21"/>
                <w:lang w:val="en-US" w:eastAsia="zh-CN"/>
              </w:rPr>
              <w:sym w:font="Wingdings 2" w:char="00A3"/>
            </w:r>
            <w:r>
              <w:rPr>
                <w:rFonts w:hint="default" w:ascii="Times New Roman" w:hAnsi="Times New Roman" w:cs="Times New Roman" w:eastAsiaTheme="minorEastAsia"/>
                <w:szCs w:val="21"/>
                <w:lang w:val="en-US" w:eastAsia="zh-CN"/>
              </w:rPr>
              <w:t>；冬季</w:t>
            </w:r>
            <w:r>
              <w:rPr>
                <w:rFonts w:hint="default" w:ascii="Times New Roman" w:hAnsi="Times New Roman" w:cs="Times New Roman" w:eastAsiaTheme="minorEastAsia"/>
                <w:szCs w:val="21"/>
                <w:lang w:val="en-US" w:eastAsia="zh-CN"/>
              </w:rPr>
              <w:sym w:font="Wingdings 2" w:char="00A3"/>
            </w:r>
          </w:p>
        </w:tc>
        <w:tc>
          <w:tcPr>
            <w:tcW w:w="961" w:type="pct"/>
            <w:gridSpan w:val="2"/>
            <w:tcBorders>
              <w:top w:val="single" w:color="auto" w:sz="4" w:space="0"/>
              <w:left w:val="single" w:color="auto" w:sz="4" w:space="0"/>
              <w:bottom w:val="single" w:color="auto" w:sz="4" w:space="0"/>
              <w:right w:val="single" w:color="auto" w:sz="4" w:space="0"/>
            </w:tcBorders>
            <w:noWrap w:val="0"/>
            <w:vAlign w:val="center"/>
          </w:tcPr>
          <w:p w14:paraId="52F708A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864" w:type="pct"/>
            <w:gridSpan w:val="2"/>
            <w:tcBorders>
              <w:top w:val="single" w:color="auto" w:sz="4" w:space="0"/>
              <w:left w:val="single" w:color="auto" w:sz="4" w:space="0"/>
              <w:bottom w:val="single" w:color="auto" w:sz="4" w:space="0"/>
              <w:right w:val="single" w:color="auto" w:sz="4" w:space="0"/>
            </w:tcBorders>
            <w:noWrap w:val="0"/>
            <w:vAlign w:val="center"/>
          </w:tcPr>
          <w:p w14:paraId="59C3E99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r>
      <w:tr w14:paraId="631887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restart"/>
            <w:tcBorders>
              <w:top w:val="single" w:color="auto" w:sz="4" w:space="0"/>
              <w:left w:val="single" w:color="auto" w:sz="4" w:space="0"/>
              <w:bottom w:val="single" w:color="auto" w:sz="4" w:space="0"/>
              <w:right w:val="single" w:color="auto" w:sz="4" w:space="0"/>
            </w:tcBorders>
            <w:noWrap w:val="0"/>
            <w:vAlign w:val="center"/>
          </w:tcPr>
          <w:p w14:paraId="778776E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现</w:t>
            </w:r>
          </w:p>
          <w:p w14:paraId="1BEBAC6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状</w:t>
            </w:r>
          </w:p>
          <w:p w14:paraId="169B14A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w:t>
            </w:r>
          </w:p>
          <w:p w14:paraId="3137BD3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价</w:t>
            </w:r>
          </w:p>
        </w:tc>
        <w:tc>
          <w:tcPr>
            <w:tcW w:w="913" w:type="pct"/>
            <w:tcBorders>
              <w:top w:val="single" w:color="auto" w:sz="4" w:space="0"/>
              <w:left w:val="single" w:color="auto" w:sz="4" w:space="0"/>
              <w:bottom w:val="single" w:color="auto" w:sz="4" w:space="0"/>
              <w:right w:val="single" w:color="auto" w:sz="4" w:space="0"/>
            </w:tcBorders>
            <w:noWrap w:val="0"/>
            <w:vAlign w:val="center"/>
          </w:tcPr>
          <w:p w14:paraId="2E1A694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评价范围</w:t>
            </w:r>
          </w:p>
        </w:tc>
        <w:tc>
          <w:tcPr>
            <w:tcW w:w="3826" w:type="pct"/>
            <w:gridSpan w:val="8"/>
            <w:tcBorders>
              <w:top w:val="single" w:color="auto" w:sz="4" w:space="0"/>
              <w:left w:val="single" w:color="auto" w:sz="4" w:space="0"/>
              <w:bottom w:val="single" w:color="auto" w:sz="4" w:space="0"/>
              <w:right w:val="single" w:color="auto" w:sz="4" w:space="0"/>
            </w:tcBorders>
            <w:noWrap w:val="0"/>
            <w:vAlign w:val="center"/>
          </w:tcPr>
          <w:p w14:paraId="04AF765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河流：长度（ ）km；湖库、河口及近岸海域：面积（/）km</w:t>
            </w:r>
            <w:r>
              <w:rPr>
                <w:rFonts w:hint="default" w:ascii="Times New Roman" w:hAnsi="Times New Roman" w:cs="Times New Roman" w:eastAsiaTheme="minorEastAsia"/>
                <w:szCs w:val="21"/>
                <w:vertAlign w:val="superscript"/>
                <w:lang w:val="en-US" w:eastAsia="zh-CN"/>
              </w:rPr>
              <w:t>2</w:t>
            </w:r>
          </w:p>
        </w:tc>
      </w:tr>
      <w:tr w14:paraId="4A1730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continue"/>
            <w:tcBorders>
              <w:top w:val="single" w:color="auto" w:sz="4" w:space="0"/>
              <w:left w:val="single" w:color="auto" w:sz="4" w:space="0"/>
              <w:bottom w:val="single" w:color="auto" w:sz="4" w:space="0"/>
              <w:right w:val="single" w:color="auto" w:sz="4" w:space="0"/>
            </w:tcBorders>
            <w:noWrap w:val="0"/>
            <w:vAlign w:val="center"/>
          </w:tcPr>
          <w:p w14:paraId="504876F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3" w:type="pct"/>
            <w:tcBorders>
              <w:top w:val="single" w:color="auto" w:sz="4" w:space="0"/>
              <w:left w:val="single" w:color="auto" w:sz="4" w:space="0"/>
              <w:bottom w:val="single" w:color="auto" w:sz="4" w:space="0"/>
              <w:right w:val="single" w:color="auto" w:sz="4" w:space="0"/>
            </w:tcBorders>
            <w:noWrap w:val="0"/>
            <w:vAlign w:val="center"/>
          </w:tcPr>
          <w:p w14:paraId="6A0F5F4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评价因子</w:t>
            </w:r>
          </w:p>
        </w:tc>
        <w:tc>
          <w:tcPr>
            <w:tcW w:w="3826" w:type="pct"/>
            <w:gridSpan w:val="8"/>
            <w:tcBorders>
              <w:top w:val="single" w:color="auto" w:sz="4" w:space="0"/>
              <w:left w:val="single" w:color="auto" w:sz="4" w:space="0"/>
              <w:bottom w:val="single" w:color="auto" w:sz="4" w:space="0"/>
              <w:right w:val="single" w:color="auto" w:sz="4" w:space="0"/>
            </w:tcBorders>
            <w:noWrap w:val="0"/>
            <w:vAlign w:val="center"/>
          </w:tcPr>
          <w:p w14:paraId="2A857F1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r>
      <w:tr w14:paraId="4D35D6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continue"/>
            <w:tcBorders>
              <w:top w:val="single" w:color="auto" w:sz="4" w:space="0"/>
              <w:left w:val="single" w:color="auto" w:sz="4" w:space="0"/>
              <w:bottom w:val="single" w:color="auto" w:sz="4" w:space="0"/>
              <w:right w:val="single" w:color="auto" w:sz="4" w:space="0"/>
            </w:tcBorders>
            <w:noWrap w:val="0"/>
            <w:vAlign w:val="center"/>
          </w:tcPr>
          <w:p w14:paraId="29A2BE1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3" w:type="pct"/>
            <w:tcBorders>
              <w:top w:val="single" w:color="auto" w:sz="4" w:space="0"/>
              <w:left w:val="single" w:color="auto" w:sz="4" w:space="0"/>
              <w:bottom w:val="single" w:color="auto" w:sz="4" w:space="0"/>
              <w:right w:val="single" w:color="auto" w:sz="4" w:space="0"/>
            </w:tcBorders>
            <w:noWrap w:val="0"/>
            <w:vAlign w:val="center"/>
          </w:tcPr>
          <w:p w14:paraId="419F422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评价标准</w:t>
            </w:r>
          </w:p>
        </w:tc>
        <w:tc>
          <w:tcPr>
            <w:tcW w:w="3826" w:type="pct"/>
            <w:gridSpan w:val="8"/>
            <w:tcBorders>
              <w:top w:val="single" w:color="auto" w:sz="4" w:space="0"/>
              <w:left w:val="single" w:color="auto" w:sz="4" w:space="0"/>
              <w:bottom w:val="single" w:color="auto" w:sz="4" w:space="0"/>
              <w:right w:val="single" w:color="auto" w:sz="4" w:space="0"/>
            </w:tcBorders>
            <w:noWrap w:val="0"/>
            <w:vAlign w:val="center"/>
          </w:tcPr>
          <w:p w14:paraId="499A4AE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河流、湖库、河口：Ⅰ类</w:t>
            </w:r>
            <w:r>
              <w:rPr>
                <w:rFonts w:hint="default" w:ascii="Times New Roman" w:hAnsi="Times New Roman" w:cs="Times New Roman" w:eastAsiaTheme="minorEastAsia"/>
                <w:szCs w:val="21"/>
                <w:lang w:val="en-US" w:eastAsia="zh-CN"/>
              </w:rPr>
              <w:sym w:font="Wingdings 2" w:char="00A3"/>
            </w:r>
            <w:r>
              <w:rPr>
                <w:rFonts w:hint="default" w:ascii="Times New Roman" w:hAnsi="Times New Roman" w:cs="Times New Roman" w:eastAsiaTheme="minorEastAsia"/>
                <w:szCs w:val="21"/>
                <w:lang w:val="en-US" w:eastAsia="zh-CN"/>
              </w:rPr>
              <w:t xml:space="preserve">；Ⅱ类 </w:t>
            </w:r>
            <w:r>
              <w:rPr>
                <w:rFonts w:hint="default" w:ascii="Times New Roman" w:hAnsi="Times New Roman" w:cs="Times New Roman" w:eastAsiaTheme="minorEastAsia"/>
                <w:szCs w:val="21"/>
                <w:lang w:val="en-US" w:eastAsia="zh-CN"/>
              </w:rPr>
              <w:sym w:font="Wingdings 2" w:char="F0A3"/>
            </w:r>
            <w:r>
              <w:rPr>
                <w:rFonts w:hint="default" w:ascii="Times New Roman" w:hAnsi="Times New Roman" w:cs="Times New Roman" w:eastAsiaTheme="minorEastAsia"/>
                <w:szCs w:val="21"/>
                <w:lang w:val="en-US" w:eastAsia="zh-CN"/>
              </w:rPr>
              <w:t>；Ⅲ类</w:t>
            </w:r>
            <w:r>
              <w:rPr>
                <w:rFonts w:hint="default" w:ascii="Times New Roman" w:hAnsi="Times New Roman" w:cs="Times New Roman" w:eastAsiaTheme="minorEastAsia"/>
                <w:szCs w:val="21"/>
                <w:lang w:val="en-US" w:eastAsia="zh-CN"/>
              </w:rPr>
              <w:sym w:font="Wingdings 2" w:char="00A3"/>
            </w:r>
            <w:r>
              <w:rPr>
                <w:rFonts w:hint="default" w:ascii="Times New Roman" w:hAnsi="Times New Roman" w:cs="Times New Roman" w:eastAsiaTheme="minorEastAsia"/>
                <w:szCs w:val="21"/>
                <w:lang w:val="en-US" w:eastAsia="zh-CN"/>
              </w:rPr>
              <w:t>；Ⅳ类</w:t>
            </w:r>
            <w:r>
              <w:rPr>
                <w:rFonts w:hint="default" w:ascii="Times New Roman" w:hAnsi="Times New Roman" w:cs="Times New Roman" w:eastAsiaTheme="minorEastAsia"/>
                <w:szCs w:val="21"/>
                <w:lang w:val="en-US" w:eastAsia="zh-CN"/>
              </w:rPr>
              <w:sym w:font="Wingdings 2" w:char="00A3"/>
            </w:r>
            <w:r>
              <w:rPr>
                <w:rFonts w:hint="default" w:ascii="Times New Roman" w:hAnsi="Times New Roman" w:cs="Times New Roman" w:eastAsiaTheme="minorEastAsia"/>
                <w:szCs w:val="21"/>
                <w:lang w:val="en-US" w:eastAsia="zh-CN"/>
              </w:rPr>
              <w:t>；Ⅴ类</w:t>
            </w:r>
            <w:r>
              <w:rPr>
                <w:rFonts w:hint="default" w:ascii="Times New Roman" w:hAnsi="Times New Roman" w:cs="Times New Roman" w:eastAsiaTheme="minorEastAsia"/>
                <w:szCs w:val="21"/>
                <w:lang w:val="en-US" w:eastAsia="zh-CN"/>
              </w:rPr>
              <w:sym w:font="Wingdings 2" w:char="00A3"/>
            </w:r>
          </w:p>
          <w:p w14:paraId="0950350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近岸海域：第一类</w:t>
            </w:r>
            <w:r>
              <w:rPr>
                <w:rFonts w:hint="default" w:ascii="Times New Roman" w:hAnsi="Times New Roman" w:cs="Times New Roman" w:eastAsiaTheme="minorEastAsia"/>
                <w:szCs w:val="21"/>
                <w:lang w:val="en-US" w:eastAsia="zh-CN"/>
              </w:rPr>
              <w:sym w:font="Wingdings 2" w:char="00A3"/>
            </w:r>
            <w:r>
              <w:rPr>
                <w:rFonts w:hint="default" w:ascii="Times New Roman" w:hAnsi="Times New Roman" w:cs="Times New Roman" w:eastAsiaTheme="minorEastAsia"/>
                <w:szCs w:val="21"/>
                <w:lang w:val="en-US" w:eastAsia="zh-CN"/>
              </w:rPr>
              <w:t>；第二类</w:t>
            </w:r>
            <w:r>
              <w:rPr>
                <w:rFonts w:hint="default" w:ascii="Times New Roman" w:hAnsi="Times New Roman" w:cs="Times New Roman" w:eastAsiaTheme="minorEastAsia"/>
                <w:szCs w:val="21"/>
                <w:lang w:val="en-US" w:eastAsia="zh-CN"/>
              </w:rPr>
              <w:sym w:font="Wingdings 2" w:char="00A3"/>
            </w:r>
            <w:r>
              <w:rPr>
                <w:rFonts w:hint="default" w:ascii="Times New Roman" w:hAnsi="Times New Roman" w:cs="Times New Roman" w:eastAsiaTheme="minorEastAsia"/>
                <w:szCs w:val="21"/>
                <w:lang w:val="en-US" w:eastAsia="zh-CN"/>
              </w:rPr>
              <w:t>；第三类</w:t>
            </w:r>
            <w:r>
              <w:rPr>
                <w:rFonts w:hint="default" w:ascii="Times New Roman" w:hAnsi="Times New Roman" w:cs="Times New Roman" w:eastAsiaTheme="minorEastAsia"/>
                <w:szCs w:val="21"/>
                <w:lang w:val="en-US" w:eastAsia="zh-CN"/>
              </w:rPr>
              <w:sym w:font="Wingdings 2" w:char="00A3"/>
            </w:r>
            <w:r>
              <w:rPr>
                <w:rFonts w:hint="default" w:ascii="Times New Roman" w:hAnsi="Times New Roman" w:cs="Times New Roman" w:eastAsiaTheme="minorEastAsia"/>
                <w:szCs w:val="21"/>
                <w:lang w:val="en-US" w:eastAsia="zh-CN"/>
              </w:rPr>
              <w:t>；第四类</w:t>
            </w:r>
            <w:r>
              <w:rPr>
                <w:rFonts w:hint="default" w:ascii="Times New Roman" w:hAnsi="Times New Roman" w:cs="Times New Roman" w:eastAsiaTheme="minorEastAsia"/>
                <w:szCs w:val="21"/>
                <w:lang w:val="en-US" w:eastAsia="zh-CN"/>
              </w:rPr>
              <w:sym w:font="Wingdings 2" w:char="00A3"/>
            </w:r>
          </w:p>
          <w:p w14:paraId="2082811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规划年评价标准（ ）</w:t>
            </w:r>
          </w:p>
        </w:tc>
      </w:tr>
      <w:tr w14:paraId="02D574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continue"/>
            <w:tcBorders>
              <w:top w:val="single" w:color="auto" w:sz="4" w:space="0"/>
              <w:left w:val="single" w:color="auto" w:sz="4" w:space="0"/>
              <w:bottom w:val="single" w:color="auto" w:sz="4" w:space="0"/>
              <w:right w:val="single" w:color="auto" w:sz="4" w:space="0"/>
            </w:tcBorders>
            <w:noWrap w:val="0"/>
            <w:vAlign w:val="center"/>
          </w:tcPr>
          <w:p w14:paraId="07CC0AF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3" w:type="pct"/>
            <w:tcBorders>
              <w:top w:val="single" w:color="auto" w:sz="4" w:space="0"/>
              <w:left w:val="single" w:color="auto" w:sz="4" w:space="0"/>
              <w:bottom w:val="single" w:color="auto" w:sz="4" w:space="0"/>
              <w:right w:val="single" w:color="auto" w:sz="4" w:space="0"/>
            </w:tcBorders>
            <w:noWrap w:val="0"/>
            <w:vAlign w:val="center"/>
          </w:tcPr>
          <w:p w14:paraId="740D84D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评价时期</w:t>
            </w:r>
          </w:p>
        </w:tc>
        <w:tc>
          <w:tcPr>
            <w:tcW w:w="3826" w:type="pct"/>
            <w:gridSpan w:val="8"/>
            <w:tcBorders>
              <w:top w:val="single" w:color="auto" w:sz="4" w:space="0"/>
              <w:left w:val="single" w:color="auto" w:sz="4" w:space="0"/>
              <w:bottom w:val="single" w:color="auto" w:sz="4" w:space="0"/>
              <w:right w:val="single" w:color="auto" w:sz="4" w:space="0"/>
            </w:tcBorders>
            <w:noWrap w:val="0"/>
            <w:vAlign w:val="center"/>
          </w:tcPr>
          <w:p w14:paraId="2734D5A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丰水期 □；平水期 □；枯水期 □；冰封期 □ </w:t>
            </w:r>
          </w:p>
          <w:p w14:paraId="1D27275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春季 </w:t>
            </w:r>
            <w:r>
              <w:rPr>
                <w:rFonts w:hint="default" w:ascii="Times New Roman" w:hAnsi="Times New Roman" w:cs="Times New Roman" w:eastAsiaTheme="minorEastAsia"/>
                <w:szCs w:val="21"/>
                <w:lang w:val="en-US" w:eastAsia="zh-CN"/>
              </w:rPr>
              <w:sym w:font="Wingdings 2" w:char="F0A3"/>
            </w:r>
            <w:r>
              <w:rPr>
                <w:rFonts w:hint="default" w:ascii="Times New Roman" w:hAnsi="Times New Roman" w:cs="Times New Roman" w:eastAsiaTheme="minorEastAsia"/>
                <w:szCs w:val="21"/>
                <w:lang w:val="en-US" w:eastAsia="zh-CN"/>
              </w:rPr>
              <w:t xml:space="preserve">；夏季 □；秋季 □；冬季 □ </w:t>
            </w:r>
          </w:p>
        </w:tc>
      </w:tr>
      <w:tr w14:paraId="5D660C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continue"/>
            <w:tcBorders>
              <w:top w:val="single" w:color="auto" w:sz="4" w:space="0"/>
              <w:left w:val="single" w:color="auto" w:sz="4" w:space="0"/>
              <w:bottom w:val="single" w:color="auto" w:sz="4" w:space="0"/>
              <w:right w:val="single" w:color="auto" w:sz="4" w:space="0"/>
            </w:tcBorders>
            <w:noWrap w:val="0"/>
            <w:vAlign w:val="center"/>
          </w:tcPr>
          <w:p w14:paraId="326AD35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3" w:type="pct"/>
            <w:tcBorders>
              <w:top w:val="single" w:color="auto" w:sz="4" w:space="0"/>
              <w:left w:val="single" w:color="auto" w:sz="4" w:space="0"/>
              <w:bottom w:val="single" w:color="auto" w:sz="4" w:space="0"/>
              <w:right w:val="single" w:color="auto" w:sz="4" w:space="0"/>
            </w:tcBorders>
            <w:noWrap w:val="0"/>
            <w:vAlign w:val="center"/>
          </w:tcPr>
          <w:p w14:paraId="4E55956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评价结论</w:t>
            </w:r>
          </w:p>
        </w:tc>
        <w:tc>
          <w:tcPr>
            <w:tcW w:w="3124" w:type="pct"/>
            <w:gridSpan w:val="7"/>
            <w:tcBorders>
              <w:top w:val="single" w:color="auto" w:sz="4" w:space="0"/>
              <w:left w:val="single" w:color="auto" w:sz="4" w:space="0"/>
              <w:bottom w:val="single" w:color="auto" w:sz="4" w:space="0"/>
              <w:right w:val="single" w:color="auto" w:sz="4" w:space="0"/>
            </w:tcBorders>
            <w:noWrap w:val="0"/>
            <w:vAlign w:val="center"/>
          </w:tcPr>
          <w:p w14:paraId="7AA033A2">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水环境功能区或水功能区、近岸海域环境功能区水质达标状况：达标 □；不达标 </w:t>
            </w:r>
            <w:r>
              <w:rPr>
                <w:rFonts w:hint="default" w:ascii="Times New Roman" w:hAnsi="Times New Roman" w:cs="Times New Roman" w:eastAsiaTheme="minorEastAsia"/>
                <w:szCs w:val="21"/>
                <w:lang w:val="en-US" w:eastAsia="zh-CN"/>
              </w:rPr>
              <w:sym w:font="Wingdings 2" w:char="F0A3"/>
            </w:r>
          </w:p>
          <w:p w14:paraId="0A306B2E">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水环境控制单元或断面水质达标状况</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达标□；不达标□</w:t>
            </w:r>
          </w:p>
          <w:p w14:paraId="436C4BBD">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水环境保护目标质量状况：达标□；不达标 □ </w:t>
            </w:r>
          </w:p>
          <w:p w14:paraId="7A955B2A">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对照断面、控制断面等代表性断面的水质状况：达标□；不达标</w:t>
            </w:r>
            <w:r>
              <w:rPr>
                <w:rFonts w:hint="default" w:ascii="Times New Roman" w:hAnsi="Times New Roman" w:cs="Times New Roman" w:eastAsiaTheme="minorEastAsia"/>
                <w:szCs w:val="21"/>
                <w:lang w:val="en-US" w:eastAsia="zh-CN"/>
              </w:rPr>
              <w:sym w:font="Wingdings 2" w:char="F0A3"/>
            </w:r>
          </w:p>
          <w:p w14:paraId="5A48EBEB">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底泥污染评价 □ </w:t>
            </w:r>
          </w:p>
          <w:p w14:paraId="242E4A58">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水资源与开发利用程度及其水文情势评价 □ </w:t>
            </w:r>
          </w:p>
          <w:p w14:paraId="3508D0BA">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水环境质量回顾评价 □ </w:t>
            </w:r>
          </w:p>
          <w:p w14:paraId="32791846">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流域（区域）水资源（包括水能资源）与开发利用总体状况、生态流量管理要求与现状满足程度、建设项目占用水域空间</w:t>
            </w:r>
          </w:p>
          <w:p w14:paraId="6CD7C497">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水流状况与河湖演变状况 □</w:t>
            </w:r>
          </w:p>
        </w:tc>
        <w:tc>
          <w:tcPr>
            <w:tcW w:w="701" w:type="pct"/>
            <w:tcBorders>
              <w:top w:val="single" w:color="auto" w:sz="4" w:space="0"/>
              <w:left w:val="single" w:color="auto" w:sz="4" w:space="0"/>
              <w:bottom w:val="single" w:color="auto" w:sz="4" w:space="0"/>
              <w:right w:val="single" w:color="auto" w:sz="4" w:space="0"/>
            </w:tcBorders>
            <w:noWrap w:val="0"/>
            <w:vAlign w:val="center"/>
          </w:tcPr>
          <w:p w14:paraId="03184FD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达标区 □ </w:t>
            </w:r>
          </w:p>
          <w:p w14:paraId="663F487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不达标区 □</w:t>
            </w:r>
          </w:p>
        </w:tc>
      </w:tr>
      <w:tr w14:paraId="6ACD0B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restart"/>
            <w:tcBorders>
              <w:top w:val="single" w:color="auto" w:sz="4" w:space="0"/>
              <w:left w:val="single" w:color="auto" w:sz="4" w:space="0"/>
              <w:bottom w:val="single" w:color="auto" w:sz="4" w:space="0"/>
              <w:right w:val="single" w:color="auto" w:sz="4" w:space="0"/>
            </w:tcBorders>
            <w:noWrap w:val="0"/>
            <w:vAlign w:val="center"/>
          </w:tcPr>
          <w:p w14:paraId="5739CD3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影</w:t>
            </w:r>
          </w:p>
          <w:p w14:paraId="0E9BEFF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响</w:t>
            </w:r>
          </w:p>
          <w:p w14:paraId="7ED9E18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预</w:t>
            </w:r>
          </w:p>
          <w:p w14:paraId="3010A1A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测</w:t>
            </w:r>
          </w:p>
        </w:tc>
        <w:tc>
          <w:tcPr>
            <w:tcW w:w="913" w:type="pct"/>
            <w:tcBorders>
              <w:top w:val="single" w:color="auto" w:sz="4" w:space="0"/>
              <w:left w:val="single" w:color="auto" w:sz="4" w:space="0"/>
              <w:bottom w:val="single" w:color="auto" w:sz="4" w:space="0"/>
              <w:right w:val="single" w:color="auto" w:sz="4" w:space="0"/>
            </w:tcBorders>
            <w:noWrap w:val="0"/>
            <w:vAlign w:val="center"/>
          </w:tcPr>
          <w:p w14:paraId="33A14FB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预测范围</w:t>
            </w:r>
          </w:p>
        </w:tc>
        <w:tc>
          <w:tcPr>
            <w:tcW w:w="3826" w:type="pct"/>
            <w:gridSpan w:val="8"/>
            <w:tcBorders>
              <w:top w:val="single" w:color="auto" w:sz="4" w:space="0"/>
              <w:left w:val="single" w:color="auto" w:sz="4" w:space="0"/>
              <w:bottom w:val="single" w:color="auto" w:sz="4" w:space="0"/>
              <w:right w:val="single" w:color="auto" w:sz="4" w:space="0"/>
            </w:tcBorders>
            <w:noWrap w:val="0"/>
            <w:vAlign w:val="center"/>
          </w:tcPr>
          <w:p w14:paraId="007CB0B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河流：长度（/）km；湖库、河口及近岸海域：面积（/）km</w:t>
            </w:r>
            <w:r>
              <w:rPr>
                <w:rFonts w:hint="default" w:ascii="Times New Roman" w:hAnsi="Times New Roman" w:cs="Times New Roman" w:eastAsiaTheme="minorEastAsia"/>
                <w:szCs w:val="21"/>
                <w:vertAlign w:val="superscript"/>
                <w:lang w:val="en-US" w:eastAsia="zh-CN"/>
              </w:rPr>
              <w:t>2</w:t>
            </w:r>
          </w:p>
        </w:tc>
      </w:tr>
      <w:tr w14:paraId="01A7EB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continue"/>
            <w:tcBorders>
              <w:top w:val="single" w:color="auto" w:sz="4" w:space="0"/>
              <w:left w:val="single" w:color="auto" w:sz="4" w:space="0"/>
              <w:bottom w:val="single" w:color="auto" w:sz="4" w:space="0"/>
              <w:right w:val="single" w:color="auto" w:sz="4" w:space="0"/>
            </w:tcBorders>
            <w:noWrap w:val="0"/>
            <w:vAlign w:val="center"/>
          </w:tcPr>
          <w:p w14:paraId="454E9047">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3" w:type="pct"/>
            <w:tcBorders>
              <w:top w:val="single" w:color="auto" w:sz="4" w:space="0"/>
              <w:left w:val="single" w:color="auto" w:sz="4" w:space="0"/>
              <w:bottom w:val="single" w:color="auto" w:sz="4" w:space="0"/>
              <w:right w:val="single" w:color="auto" w:sz="4" w:space="0"/>
            </w:tcBorders>
            <w:noWrap w:val="0"/>
            <w:vAlign w:val="center"/>
          </w:tcPr>
          <w:p w14:paraId="08EE343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预测因子</w:t>
            </w:r>
          </w:p>
        </w:tc>
        <w:tc>
          <w:tcPr>
            <w:tcW w:w="3826" w:type="pct"/>
            <w:gridSpan w:val="8"/>
            <w:tcBorders>
              <w:top w:val="single" w:color="auto" w:sz="4" w:space="0"/>
              <w:left w:val="single" w:color="auto" w:sz="4" w:space="0"/>
              <w:bottom w:val="single" w:color="auto" w:sz="4" w:space="0"/>
              <w:right w:val="single" w:color="auto" w:sz="4" w:space="0"/>
            </w:tcBorders>
            <w:noWrap w:val="0"/>
            <w:vAlign w:val="center"/>
          </w:tcPr>
          <w:p w14:paraId="3C2877E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r>
      <w:tr w14:paraId="5D8379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continue"/>
            <w:tcBorders>
              <w:top w:val="single" w:color="auto" w:sz="4" w:space="0"/>
              <w:left w:val="single" w:color="auto" w:sz="4" w:space="0"/>
              <w:bottom w:val="single" w:color="auto" w:sz="4" w:space="0"/>
              <w:right w:val="single" w:color="auto" w:sz="4" w:space="0"/>
            </w:tcBorders>
            <w:noWrap w:val="0"/>
            <w:vAlign w:val="center"/>
          </w:tcPr>
          <w:p w14:paraId="559B23B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3" w:type="pct"/>
            <w:tcBorders>
              <w:top w:val="single" w:color="auto" w:sz="4" w:space="0"/>
              <w:left w:val="single" w:color="auto" w:sz="4" w:space="0"/>
              <w:bottom w:val="single" w:color="auto" w:sz="4" w:space="0"/>
              <w:right w:val="single" w:color="auto" w:sz="4" w:space="0"/>
            </w:tcBorders>
            <w:noWrap w:val="0"/>
            <w:vAlign w:val="center"/>
          </w:tcPr>
          <w:p w14:paraId="49F4B80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预测时期</w:t>
            </w:r>
          </w:p>
        </w:tc>
        <w:tc>
          <w:tcPr>
            <w:tcW w:w="3826" w:type="pct"/>
            <w:gridSpan w:val="8"/>
            <w:tcBorders>
              <w:top w:val="single" w:color="auto" w:sz="4" w:space="0"/>
              <w:left w:val="single" w:color="auto" w:sz="4" w:space="0"/>
              <w:bottom w:val="single" w:color="auto" w:sz="4" w:space="0"/>
              <w:right w:val="single" w:color="auto" w:sz="4" w:space="0"/>
            </w:tcBorders>
            <w:noWrap w:val="0"/>
            <w:vAlign w:val="center"/>
          </w:tcPr>
          <w:p w14:paraId="6D1433F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丰水期 □；平水期 □；枯水期 □；冰封期 □</w:t>
            </w:r>
          </w:p>
          <w:p w14:paraId="4486D76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春季 □；夏季 □；秋季 □；冬季 □ </w:t>
            </w:r>
          </w:p>
          <w:p w14:paraId="2EE800B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设计水文条件 □</w:t>
            </w:r>
          </w:p>
        </w:tc>
      </w:tr>
      <w:tr w14:paraId="6A2FAE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continue"/>
            <w:tcBorders>
              <w:top w:val="single" w:color="auto" w:sz="4" w:space="0"/>
              <w:left w:val="single" w:color="auto" w:sz="4" w:space="0"/>
              <w:bottom w:val="single" w:color="auto" w:sz="4" w:space="0"/>
              <w:right w:val="single" w:color="auto" w:sz="4" w:space="0"/>
            </w:tcBorders>
            <w:noWrap w:val="0"/>
            <w:vAlign w:val="center"/>
          </w:tcPr>
          <w:p w14:paraId="1B92DF8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3" w:type="pct"/>
            <w:tcBorders>
              <w:top w:val="single" w:color="auto" w:sz="4" w:space="0"/>
              <w:left w:val="single" w:color="auto" w:sz="4" w:space="0"/>
              <w:bottom w:val="single" w:color="auto" w:sz="4" w:space="0"/>
              <w:right w:val="single" w:color="auto" w:sz="4" w:space="0"/>
            </w:tcBorders>
            <w:noWrap w:val="0"/>
            <w:vAlign w:val="center"/>
          </w:tcPr>
          <w:p w14:paraId="0FAC10B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预测情景</w:t>
            </w:r>
          </w:p>
        </w:tc>
        <w:tc>
          <w:tcPr>
            <w:tcW w:w="3826" w:type="pct"/>
            <w:gridSpan w:val="8"/>
            <w:tcBorders>
              <w:top w:val="single" w:color="auto" w:sz="4" w:space="0"/>
              <w:left w:val="single" w:color="auto" w:sz="4" w:space="0"/>
              <w:bottom w:val="single" w:color="auto" w:sz="4" w:space="0"/>
              <w:right w:val="single" w:color="auto" w:sz="4" w:space="0"/>
            </w:tcBorders>
            <w:noWrap w:val="0"/>
            <w:vAlign w:val="center"/>
          </w:tcPr>
          <w:p w14:paraId="1AE8D3E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建设期□；生产运行期 □；服务期满后 □ </w:t>
            </w:r>
          </w:p>
          <w:p w14:paraId="797063E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正常工况 □；非正常工况 □ </w:t>
            </w:r>
          </w:p>
          <w:p w14:paraId="726DADD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污染控制和减缓措施方案 □ </w:t>
            </w:r>
          </w:p>
          <w:p w14:paraId="5C15BD5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区（流）域环境质量改善目标要求情景 □</w:t>
            </w:r>
          </w:p>
        </w:tc>
      </w:tr>
      <w:tr w14:paraId="42F7D7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continue"/>
            <w:tcBorders>
              <w:top w:val="single" w:color="auto" w:sz="4" w:space="0"/>
              <w:left w:val="single" w:color="auto" w:sz="4" w:space="0"/>
              <w:bottom w:val="single" w:color="auto" w:sz="4" w:space="0"/>
              <w:right w:val="single" w:color="auto" w:sz="4" w:space="0"/>
            </w:tcBorders>
            <w:noWrap w:val="0"/>
            <w:vAlign w:val="center"/>
          </w:tcPr>
          <w:p w14:paraId="74DD86DA">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3" w:type="pct"/>
            <w:tcBorders>
              <w:top w:val="single" w:color="auto" w:sz="4" w:space="0"/>
              <w:left w:val="single" w:color="auto" w:sz="4" w:space="0"/>
              <w:bottom w:val="single" w:color="auto" w:sz="4" w:space="0"/>
              <w:right w:val="single" w:color="auto" w:sz="4" w:space="0"/>
            </w:tcBorders>
            <w:noWrap w:val="0"/>
            <w:vAlign w:val="center"/>
          </w:tcPr>
          <w:p w14:paraId="24A4C51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预测方法</w:t>
            </w:r>
          </w:p>
        </w:tc>
        <w:tc>
          <w:tcPr>
            <w:tcW w:w="3826" w:type="pct"/>
            <w:gridSpan w:val="8"/>
            <w:tcBorders>
              <w:top w:val="single" w:color="auto" w:sz="4" w:space="0"/>
              <w:left w:val="single" w:color="auto" w:sz="4" w:space="0"/>
              <w:bottom w:val="single" w:color="auto" w:sz="4" w:space="0"/>
              <w:right w:val="single" w:color="auto" w:sz="4" w:space="0"/>
            </w:tcBorders>
            <w:noWrap w:val="0"/>
            <w:vAlign w:val="center"/>
          </w:tcPr>
          <w:p w14:paraId="3FC1C71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数值解 □：解析解 □；其他 □ </w:t>
            </w:r>
          </w:p>
          <w:p w14:paraId="0D4339E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导则推荐模式 □：其他 □</w:t>
            </w:r>
          </w:p>
        </w:tc>
      </w:tr>
      <w:tr w14:paraId="5D7D20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restart"/>
            <w:tcBorders>
              <w:top w:val="single" w:color="auto" w:sz="4" w:space="0"/>
              <w:left w:val="single" w:color="auto" w:sz="4" w:space="0"/>
              <w:bottom w:val="single" w:color="auto" w:sz="4" w:space="0"/>
              <w:right w:val="single" w:color="auto" w:sz="4" w:space="0"/>
            </w:tcBorders>
            <w:noWrap w:val="0"/>
            <w:vAlign w:val="center"/>
          </w:tcPr>
          <w:p w14:paraId="2F131A8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影</w:t>
            </w:r>
          </w:p>
          <w:p w14:paraId="6036BE6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响</w:t>
            </w:r>
          </w:p>
          <w:p w14:paraId="231BC77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w:t>
            </w:r>
          </w:p>
          <w:p w14:paraId="60FC7C6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价</w:t>
            </w:r>
          </w:p>
        </w:tc>
        <w:tc>
          <w:tcPr>
            <w:tcW w:w="913" w:type="pct"/>
            <w:tcBorders>
              <w:top w:val="single" w:color="auto" w:sz="4" w:space="0"/>
              <w:left w:val="single" w:color="auto" w:sz="4" w:space="0"/>
              <w:bottom w:val="single" w:color="auto" w:sz="4" w:space="0"/>
              <w:right w:val="single" w:color="auto" w:sz="4" w:space="0"/>
            </w:tcBorders>
            <w:noWrap w:val="0"/>
            <w:vAlign w:val="center"/>
          </w:tcPr>
          <w:p w14:paraId="1218C12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水污染控制和水环境影响减缓措施有效性评价</w:t>
            </w:r>
          </w:p>
        </w:tc>
        <w:tc>
          <w:tcPr>
            <w:tcW w:w="3826" w:type="pct"/>
            <w:gridSpan w:val="8"/>
            <w:tcBorders>
              <w:top w:val="single" w:color="auto" w:sz="4" w:space="0"/>
              <w:left w:val="single" w:color="auto" w:sz="4" w:space="0"/>
              <w:bottom w:val="single" w:color="auto" w:sz="4" w:space="0"/>
              <w:right w:val="single" w:color="auto" w:sz="4" w:space="0"/>
            </w:tcBorders>
            <w:noWrap w:val="0"/>
            <w:vAlign w:val="center"/>
          </w:tcPr>
          <w:p w14:paraId="1789582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区（流）域水环境质量改善目标</w:t>
            </w:r>
            <w:r>
              <w:rPr>
                <w:rFonts w:hint="default" w:ascii="Times New Roman" w:hAnsi="Times New Roman" w:cs="Times New Roman" w:eastAsiaTheme="minorEastAsia"/>
                <w:szCs w:val="21"/>
                <w:lang w:val="en-US" w:eastAsia="zh-CN"/>
              </w:rPr>
              <w:sym w:font="Wingdings 2" w:char="F052"/>
            </w:r>
            <w:r>
              <w:rPr>
                <w:rFonts w:hint="default" w:ascii="Times New Roman" w:hAnsi="Times New Roman" w:cs="Times New Roman" w:eastAsiaTheme="minorEastAsia"/>
                <w:szCs w:val="21"/>
                <w:lang w:val="en-US" w:eastAsia="zh-CN"/>
              </w:rPr>
              <w:t xml:space="preserve">；替代削减源 □ </w:t>
            </w:r>
          </w:p>
        </w:tc>
      </w:tr>
      <w:tr w14:paraId="2B2BFC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continue"/>
            <w:tcBorders>
              <w:top w:val="single" w:color="auto" w:sz="4" w:space="0"/>
              <w:left w:val="single" w:color="auto" w:sz="4" w:space="0"/>
              <w:bottom w:val="single" w:color="auto" w:sz="4" w:space="0"/>
              <w:right w:val="single" w:color="auto" w:sz="4" w:space="0"/>
            </w:tcBorders>
            <w:noWrap w:val="0"/>
            <w:vAlign w:val="center"/>
          </w:tcPr>
          <w:p w14:paraId="72BD9C9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3" w:type="pct"/>
            <w:tcBorders>
              <w:top w:val="single" w:color="auto" w:sz="4" w:space="0"/>
              <w:left w:val="single" w:color="auto" w:sz="4" w:space="0"/>
              <w:bottom w:val="single" w:color="auto" w:sz="4" w:space="0"/>
              <w:right w:val="single" w:color="auto" w:sz="4" w:space="0"/>
            </w:tcBorders>
            <w:noWrap w:val="0"/>
            <w:vAlign w:val="center"/>
          </w:tcPr>
          <w:p w14:paraId="5E1A882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水环境影响评价</w:t>
            </w:r>
          </w:p>
        </w:tc>
        <w:tc>
          <w:tcPr>
            <w:tcW w:w="3826" w:type="pct"/>
            <w:gridSpan w:val="8"/>
            <w:tcBorders>
              <w:top w:val="single" w:color="auto" w:sz="4" w:space="0"/>
              <w:left w:val="single" w:color="auto" w:sz="4" w:space="0"/>
              <w:bottom w:val="single" w:color="auto" w:sz="4" w:space="0"/>
              <w:right w:val="single" w:color="auto" w:sz="4" w:space="0"/>
            </w:tcBorders>
            <w:noWrap w:val="0"/>
            <w:vAlign w:val="center"/>
          </w:tcPr>
          <w:p w14:paraId="4ECCDE01">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排放口混合区外满足水环境管理要求 □ </w:t>
            </w:r>
          </w:p>
          <w:p w14:paraId="4E2F0F98">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水环境功能区或水功能区、近岸海域环境功能区水质达标 □ </w:t>
            </w:r>
          </w:p>
          <w:p w14:paraId="4E7647B1">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满足水环境保护目标水域水环境质量要求 □ </w:t>
            </w:r>
          </w:p>
          <w:p w14:paraId="43BFDEB1">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水环境控制单元或断面水质达标 □ </w:t>
            </w:r>
          </w:p>
          <w:p w14:paraId="45EBF70A">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满足重点水污染物排放总量控制指标要求，重点行业建设项目， 主要污染物排放满足等量或减量替代要求 □ </w:t>
            </w:r>
          </w:p>
          <w:p w14:paraId="15B488B3">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满足区（流）域水环境质量改善目标要求</w:t>
            </w:r>
            <w:r>
              <w:rPr>
                <w:rFonts w:hint="default" w:ascii="Times New Roman" w:hAnsi="Times New Roman" w:cs="Times New Roman" w:eastAsiaTheme="minorEastAsia"/>
                <w:szCs w:val="21"/>
                <w:lang w:val="en-US" w:eastAsia="zh-CN"/>
              </w:rPr>
              <w:sym w:font="Wingdings 2" w:char="F052"/>
            </w:r>
          </w:p>
          <w:p w14:paraId="2601559C">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水文要素影响型建设项目同时应包括水文情势变化评价、主要水文特征值影响评价、生态流量符合性评价 □ </w:t>
            </w:r>
          </w:p>
          <w:p w14:paraId="7F86486D">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对于新设或调整入河（湖库、近岸海域）排放口的建设项目，应包括排放口设置的环境合理性评价 □ </w:t>
            </w:r>
          </w:p>
          <w:p w14:paraId="4B7AE44D">
            <w:pPr>
              <w:autoSpaceDE w:val="0"/>
              <w:autoSpaceDN w:val="0"/>
              <w:spacing w:line="300" w:lineRule="exact"/>
              <w:jc w:val="left"/>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满足生态保护红线、水环境质量底线、资源利用上线和环境准入清单管理要求 □</w:t>
            </w:r>
          </w:p>
        </w:tc>
      </w:tr>
      <w:tr w14:paraId="6BC3A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continue"/>
            <w:tcBorders>
              <w:top w:val="single" w:color="auto" w:sz="4" w:space="0"/>
              <w:left w:val="single" w:color="auto" w:sz="4" w:space="0"/>
              <w:bottom w:val="single" w:color="auto" w:sz="4" w:space="0"/>
              <w:right w:val="single" w:color="auto" w:sz="4" w:space="0"/>
            </w:tcBorders>
            <w:noWrap w:val="0"/>
            <w:vAlign w:val="center"/>
          </w:tcPr>
          <w:p w14:paraId="5BB39AF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3" w:type="pct"/>
            <w:vMerge w:val="restart"/>
            <w:tcBorders>
              <w:top w:val="single" w:color="auto" w:sz="4" w:space="0"/>
              <w:left w:val="single" w:color="auto" w:sz="4" w:space="0"/>
              <w:bottom w:val="single" w:color="auto" w:sz="4" w:space="0"/>
              <w:right w:val="single" w:color="auto" w:sz="4" w:space="0"/>
            </w:tcBorders>
            <w:noWrap w:val="0"/>
            <w:vAlign w:val="center"/>
          </w:tcPr>
          <w:p w14:paraId="1193B0F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污染源排放量核算</w:t>
            </w:r>
          </w:p>
        </w:tc>
        <w:tc>
          <w:tcPr>
            <w:tcW w:w="2000" w:type="pct"/>
            <w:gridSpan w:val="4"/>
            <w:tcBorders>
              <w:top w:val="single" w:color="auto" w:sz="4" w:space="0"/>
              <w:left w:val="single" w:color="auto" w:sz="4" w:space="0"/>
              <w:bottom w:val="single" w:color="auto" w:sz="4" w:space="0"/>
              <w:right w:val="single" w:color="auto" w:sz="4" w:space="0"/>
            </w:tcBorders>
            <w:noWrap w:val="0"/>
            <w:vAlign w:val="center"/>
          </w:tcPr>
          <w:p w14:paraId="620C69E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污染物名称</w:t>
            </w:r>
          </w:p>
        </w:tc>
        <w:tc>
          <w:tcPr>
            <w:tcW w:w="961" w:type="pct"/>
            <w:gridSpan w:val="2"/>
            <w:tcBorders>
              <w:top w:val="single" w:color="auto" w:sz="4" w:space="0"/>
              <w:left w:val="single" w:color="auto" w:sz="4" w:space="0"/>
              <w:bottom w:val="single" w:color="auto" w:sz="4" w:space="0"/>
              <w:right w:val="single" w:color="auto" w:sz="4" w:space="0"/>
            </w:tcBorders>
            <w:noWrap w:val="0"/>
            <w:vAlign w:val="center"/>
          </w:tcPr>
          <w:p w14:paraId="6365576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排放量/（t/a）</w:t>
            </w:r>
          </w:p>
        </w:tc>
        <w:tc>
          <w:tcPr>
            <w:tcW w:w="864" w:type="pct"/>
            <w:gridSpan w:val="2"/>
            <w:tcBorders>
              <w:top w:val="single" w:color="auto" w:sz="4" w:space="0"/>
              <w:left w:val="single" w:color="auto" w:sz="4" w:space="0"/>
              <w:bottom w:val="single" w:color="auto" w:sz="4" w:space="0"/>
              <w:right w:val="single" w:color="auto" w:sz="4" w:space="0"/>
            </w:tcBorders>
            <w:noWrap w:val="0"/>
            <w:vAlign w:val="center"/>
          </w:tcPr>
          <w:p w14:paraId="5858EB4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排放浓度/（mg/L）</w:t>
            </w:r>
          </w:p>
        </w:tc>
      </w:tr>
      <w:tr w14:paraId="6FEE52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continue"/>
            <w:tcBorders>
              <w:top w:val="single" w:color="auto" w:sz="4" w:space="0"/>
              <w:left w:val="single" w:color="auto" w:sz="4" w:space="0"/>
              <w:bottom w:val="single" w:color="auto" w:sz="4" w:space="0"/>
              <w:right w:val="single" w:color="auto" w:sz="4" w:space="0"/>
            </w:tcBorders>
            <w:noWrap w:val="0"/>
            <w:vAlign w:val="center"/>
          </w:tcPr>
          <w:p w14:paraId="08777E15">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3" w:type="pct"/>
            <w:vMerge w:val="continue"/>
            <w:tcBorders>
              <w:top w:val="single" w:color="auto" w:sz="4" w:space="0"/>
              <w:left w:val="single" w:color="auto" w:sz="4" w:space="0"/>
              <w:bottom w:val="single" w:color="auto" w:sz="4" w:space="0"/>
              <w:right w:val="single" w:color="auto" w:sz="4" w:space="0"/>
            </w:tcBorders>
            <w:noWrap w:val="0"/>
            <w:vAlign w:val="center"/>
          </w:tcPr>
          <w:p w14:paraId="578A776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00" w:type="pct"/>
            <w:gridSpan w:val="4"/>
            <w:tcBorders>
              <w:top w:val="single" w:color="auto" w:sz="4" w:space="0"/>
              <w:left w:val="single" w:color="auto" w:sz="4" w:space="0"/>
              <w:bottom w:val="single" w:color="auto" w:sz="4" w:space="0"/>
              <w:right w:val="single" w:color="auto" w:sz="4" w:space="0"/>
            </w:tcBorders>
            <w:noWrap w:val="0"/>
            <w:vAlign w:val="center"/>
          </w:tcPr>
          <w:p w14:paraId="4FF16AC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961" w:type="pct"/>
            <w:gridSpan w:val="2"/>
            <w:tcBorders>
              <w:top w:val="single" w:color="auto" w:sz="4" w:space="0"/>
              <w:left w:val="single" w:color="auto" w:sz="4" w:space="0"/>
              <w:bottom w:val="single" w:color="auto" w:sz="4" w:space="0"/>
              <w:right w:val="single" w:color="auto" w:sz="4" w:space="0"/>
            </w:tcBorders>
            <w:noWrap w:val="0"/>
            <w:vAlign w:val="center"/>
          </w:tcPr>
          <w:p w14:paraId="2DA1296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864" w:type="pct"/>
            <w:gridSpan w:val="2"/>
            <w:tcBorders>
              <w:top w:val="single" w:color="auto" w:sz="4" w:space="0"/>
              <w:left w:val="single" w:color="auto" w:sz="4" w:space="0"/>
              <w:bottom w:val="single" w:color="auto" w:sz="4" w:space="0"/>
              <w:right w:val="single" w:color="auto" w:sz="4" w:space="0"/>
            </w:tcBorders>
            <w:noWrap w:val="0"/>
            <w:vAlign w:val="center"/>
          </w:tcPr>
          <w:p w14:paraId="53225D7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r>
      <w:tr w14:paraId="49776B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continue"/>
            <w:tcBorders>
              <w:top w:val="single" w:color="auto" w:sz="4" w:space="0"/>
              <w:left w:val="single" w:color="auto" w:sz="4" w:space="0"/>
              <w:bottom w:val="single" w:color="auto" w:sz="4" w:space="0"/>
              <w:right w:val="single" w:color="auto" w:sz="4" w:space="0"/>
            </w:tcBorders>
            <w:noWrap w:val="0"/>
            <w:vAlign w:val="center"/>
          </w:tcPr>
          <w:p w14:paraId="236A8B45">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3" w:type="pct"/>
            <w:vMerge w:val="restart"/>
            <w:tcBorders>
              <w:top w:val="single" w:color="auto" w:sz="4" w:space="0"/>
              <w:left w:val="single" w:color="auto" w:sz="4" w:space="0"/>
              <w:bottom w:val="single" w:color="auto" w:sz="4" w:space="0"/>
              <w:right w:val="single" w:color="auto" w:sz="4" w:space="0"/>
            </w:tcBorders>
            <w:noWrap w:val="0"/>
            <w:vAlign w:val="center"/>
          </w:tcPr>
          <w:p w14:paraId="63B6BA2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替代源排放情况</w:t>
            </w:r>
          </w:p>
        </w:tc>
        <w:tc>
          <w:tcPr>
            <w:tcW w:w="853" w:type="pct"/>
            <w:tcBorders>
              <w:top w:val="single" w:color="auto" w:sz="4" w:space="0"/>
              <w:left w:val="single" w:color="auto" w:sz="4" w:space="0"/>
              <w:bottom w:val="single" w:color="auto" w:sz="4" w:space="0"/>
              <w:right w:val="single" w:color="auto" w:sz="4" w:space="0"/>
            </w:tcBorders>
            <w:noWrap w:val="0"/>
            <w:vAlign w:val="center"/>
          </w:tcPr>
          <w:p w14:paraId="1003D61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污染源名称</w:t>
            </w:r>
          </w:p>
        </w:tc>
        <w:tc>
          <w:tcPr>
            <w:tcW w:w="765" w:type="pct"/>
            <w:gridSpan w:val="2"/>
            <w:tcBorders>
              <w:top w:val="single" w:color="auto" w:sz="4" w:space="0"/>
              <w:left w:val="single" w:color="auto" w:sz="4" w:space="0"/>
              <w:bottom w:val="single" w:color="auto" w:sz="4" w:space="0"/>
              <w:right w:val="single" w:color="auto" w:sz="4" w:space="0"/>
            </w:tcBorders>
            <w:noWrap w:val="0"/>
            <w:vAlign w:val="center"/>
          </w:tcPr>
          <w:p w14:paraId="16A458E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排污许可证编号</w:t>
            </w:r>
          </w:p>
        </w:tc>
        <w:tc>
          <w:tcPr>
            <w:tcW w:w="705" w:type="pct"/>
            <w:gridSpan w:val="2"/>
            <w:tcBorders>
              <w:top w:val="single" w:color="auto" w:sz="4" w:space="0"/>
              <w:left w:val="single" w:color="auto" w:sz="4" w:space="0"/>
              <w:bottom w:val="single" w:color="auto" w:sz="4" w:space="0"/>
              <w:right w:val="single" w:color="auto" w:sz="4" w:space="0"/>
            </w:tcBorders>
            <w:noWrap w:val="0"/>
            <w:vAlign w:val="center"/>
          </w:tcPr>
          <w:p w14:paraId="2A06311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污染物名称</w:t>
            </w:r>
          </w:p>
        </w:tc>
        <w:tc>
          <w:tcPr>
            <w:tcW w:w="636" w:type="pct"/>
            <w:tcBorders>
              <w:top w:val="single" w:color="auto" w:sz="4" w:space="0"/>
              <w:left w:val="single" w:color="auto" w:sz="4" w:space="0"/>
              <w:bottom w:val="single" w:color="auto" w:sz="4" w:space="0"/>
              <w:right w:val="single" w:color="auto" w:sz="4" w:space="0"/>
            </w:tcBorders>
            <w:noWrap w:val="0"/>
            <w:vAlign w:val="center"/>
          </w:tcPr>
          <w:p w14:paraId="07F4A12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排放量/（t/a）</w:t>
            </w:r>
          </w:p>
        </w:tc>
        <w:tc>
          <w:tcPr>
            <w:tcW w:w="864" w:type="pct"/>
            <w:gridSpan w:val="2"/>
            <w:tcBorders>
              <w:top w:val="single" w:color="auto" w:sz="4" w:space="0"/>
              <w:left w:val="single" w:color="auto" w:sz="4" w:space="0"/>
              <w:bottom w:val="single" w:color="auto" w:sz="4" w:space="0"/>
              <w:right w:val="single" w:color="auto" w:sz="4" w:space="0"/>
            </w:tcBorders>
            <w:noWrap w:val="0"/>
            <w:vAlign w:val="center"/>
          </w:tcPr>
          <w:p w14:paraId="681CA13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排放浓度/mg/L）</w:t>
            </w:r>
          </w:p>
        </w:tc>
      </w:tr>
      <w:tr w14:paraId="44C7AE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continue"/>
            <w:tcBorders>
              <w:top w:val="single" w:color="auto" w:sz="4" w:space="0"/>
              <w:left w:val="single" w:color="auto" w:sz="4" w:space="0"/>
              <w:bottom w:val="single" w:color="auto" w:sz="4" w:space="0"/>
              <w:right w:val="single" w:color="auto" w:sz="4" w:space="0"/>
            </w:tcBorders>
            <w:noWrap w:val="0"/>
            <w:vAlign w:val="center"/>
          </w:tcPr>
          <w:p w14:paraId="75501723">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3" w:type="pct"/>
            <w:vMerge w:val="continue"/>
            <w:tcBorders>
              <w:top w:val="single" w:color="auto" w:sz="4" w:space="0"/>
              <w:left w:val="single" w:color="auto" w:sz="4" w:space="0"/>
              <w:bottom w:val="single" w:color="auto" w:sz="4" w:space="0"/>
              <w:right w:val="single" w:color="auto" w:sz="4" w:space="0"/>
            </w:tcBorders>
            <w:noWrap w:val="0"/>
            <w:vAlign w:val="center"/>
          </w:tcPr>
          <w:p w14:paraId="01D37637">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853" w:type="pct"/>
            <w:tcBorders>
              <w:top w:val="single" w:color="auto" w:sz="4" w:space="0"/>
              <w:left w:val="single" w:color="auto" w:sz="4" w:space="0"/>
              <w:bottom w:val="single" w:color="auto" w:sz="4" w:space="0"/>
              <w:right w:val="single" w:color="auto" w:sz="4" w:space="0"/>
            </w:tcBorders>
            <w:noWrap w:val="0"/>
            <w:vAlign w:val="top"/>
          </w:tcPr>
          <w:p w14:paraId="36E6C68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765" w:type="pct"/>
            <w:gridSpan w:val="2"/>
            <w:tcBorders>
              <w:top w:val="single" w:color="auto" w:sz="4" w:space="0"/>
              <w:left w:val="single" w:color="auto" w:sz="4" w:space="0"/>
              <w:bottom w:val="single" w:color="auto" w:sz="4" w:space="0"/>
              <w:right w:val="single" w:color="auto" w:sz="4" w:space="0"/>
            </w:tcBorders>
            <w:noWrap w:val="0"/>
            <w:vAlign w:val="top"/>
          </w:tcPr>
          <w:p w14:paraId="0E84754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705" w:type="pct"/>
            <w:gridSpan w:val="2"/>
            <w:tcBorders>
              <w:top w:val="single" w:color="auto" w:sz="4" w:space="0"/>
              <w:left w:val="single" w:color="auto" w:sz="4" w:space="0"/>
              <w:bottom w:val="single" w:color="auto" w:sz="4" w:space="0"/>
              <w:right w:val="single" w:color="auto" w:sz="4" w:space="0"/>
            </w:tcBorders>
            <w:noWrap w:val="0"/>
            <w:vAlign w:val="top"/>
          </w:tcPr>
          <w:p w14:paraId="461F4CE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636" w:type="pct"/>
            <w:tcBorders>
              <w:top w:val="single" w:color="auto" w:sz="4" w:space="0"/>
              <w:left w:val="single" w:color="auto" w:sz="4" w:space="0"/>
              <w:bottom w:val="single" w:color="auto" w:sz="4" w:space="0"/>
              <w:right w:val="single" w:color="auto" w:sz="4" w:space="0"/>
            </w:tcBorders>
            <w:noWrap w:val="0"/>
            <w:vAlign w:val="top"/>
          </w:tcPr>
          <w:p w14:paraId="3C76E90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864" w:type="pct"/>
            <w:gridSpan w:val="2"/>
            <w:tcBorders>
              <w:top w:val="single" w:color="auto" w:sz="4" w:space="0"/>
              <w:left w:val="single" w:color="auto" w:sz="4" w:space="0"/>
              <w:bottom w:val="single" w:color="auto" w:sz="4" w:space="0"/>
              <w:right w:val="single" w:color="auto" w:sz="4" w:space="0"/>
            </w:tcBorders>
            <w:noWrap w:val="0"/>
            <w:vAlign w:val="top"/>
          </w:tcPr>
          <w:p w14:paraId="646006C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r>
      <w:tr w14:paraId="40D080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continue"/>
            <w:tcBorders>
              <w:top w:val="single" w:color="auto" w:sz="4" w:space="0"/>
              <w:left w:val="single" w:color="auto" w:sz="4" w:space="0"/>
              <w:bottom w:val="single" w:color="auto" w:sz="4" w:space="0"/>
              <w:right w:val="single" w:color="auto" w:sz="4" w:space="0"/>
            </w:tcBorders>
            <w:noWrap w:val="0"/>
            <w:vAlign w:val="center"/>
          </w:tcPr>
          <w:p w14:paraId="20F9C69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3" w:type="pct"/>
            <w:tcBorders>
              <w:top w:val="single" w:color="auto" w:sz="4" w:space="0"/>
              <w:left w:val="single" w:color="auto" w:sz="4" w:space="0"/>
              <w:bottom w:val="single" w:color="auto" w:sz="4" w:space="0"/>
              <w:right w:val="single" w:color="auto" w:sz="4" w:space="0"/>
            </w:tcBorders>
            <w:noWrap w:val="0"/>
            <w:vAlign w:val="center"/>
          </w:tcPr>
          <w:p w14:paraId="24BDF37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生态流量确定</w:t>
            </w:r>
          </w:p>
        </w:tc>
        <w:tc>
          <w:tcPr>
            <w:tcW w:w="3826" w:type="pct"/>
            <w:gridSpan w:val="8"/>
            <w:tcBorders>
              <w:top w:val="single" w:color="auto" w:sz="4" w:space="0"/>
              <w:left w:val="single" w:color="auto" w:sz="4" w:space="0"/>
              <w:bottom w:val="single" w:color="auto" w:sz="4" w:space="0"/>
              <w:right w:val="single" w:color="auto" w:sz="4" w:space="0"/>
            </w:tcBorders>
            <w:noWrap w:val="0"/>
            <w:vAlign w:val="center"/>
          </w:tcPr>
          <w:p w14:paraId="600DB8F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生态流量：一般水期（）m</w:t>
            </w:r>
            <w:r>
              <w:rPr>
                <w:rFonts w:hint="default" w:ascii="Times New Roman" w:hAnsi="Times New Roman" w:cs="Times New Roman" w:eastAsiaTheme="minorEastAsia"/>
                <w:szCs w:val="21"/>
                <w:vertAlign w:val="superscript"/>
                <w:lang w:val="en-US" w:eastAsia="zh-CN"/>
              </w:rPr>
              <w:t>3</w:t>
            </w:r>
            <w:r>
              <w:rPr>
                <w:rFonts w:hint="default" w:ascii="Times New Roman" w:hAnsi="Times New Roman" w:cs="Times New Roman" w:eastAsiaTheme="minorEastAsia"/>
                <w:szCs w:val="21"/>
                <w:lang w:val="en-US" w:eastAsia="zh-CN"/>
              </w:rPr>
              <w:t>/s；鱼类繁殖期（）m</w:t>
            </w:r>
            <w:r>
              <w:rPr>
                <w:rFonts w:hint="default" w:ascii="Times New Roman" w:hAnsi="Times New Roman" w:cs="Times New Roman" w:eastAsiaTheme="minorEastAsia"/>
                <w:szCs w:val="21"/>
                <w:vertAlign w:val="superscript"/>
                <w:lang w:val="en-US" w:eastAsia="zh-CN"/>
              </w:rPr>
              <w:t>3</w:t>
            </w:r>
            <w:r>
              <w:rPr>
                <w:rFonts w:hint="default" w:ascii="Times New Roman" w:hAnsi="Times New Roman" w:cs="Times New Roman" w:eastAsiaTheme="minorEastAsia"/>
                <w:szCs w:val="21"/>
                <w:lang w:val="en-US" w:eastAsia="zh-CN"/>
              </w:rPr>
              <w:t>/s；其他（）m</w:t>
            </w:r>
            <w:r>
              <w:rPr>
                <w:rFonts w:hint="default" w:ascii="Times New Roman" w:hAnsi="Times New Roman" w:cs="Times New Roman" w:eastAsiaTheme="minorEastAsia"/>
                <w:szCs w:val="21"/>
                <w:vertAlign w:val="superscript"/>
                <w:lang w:val="en-US" w:eastAsia="zh-CN"/>
              </w:rPr>
              <w:t>3</w:t>
            </w:r>
            <w:r>
              <w:rPr>
                <w:rFonts w:hint="default" w:ascii="Times New Roman" w:hAnsi="Times New Roman" w:cs="Times New Roman" w:eastAsiaTheme="minorEastAsia"/>
                <w:szCs w:val="21"/>
                <w:lang w:val="en-US" w:eastAsia="zh-CN"/>
              </w:rPr>
              <w:t xml:space="preserve">/s </w:t>
            </w:r>
          </w:p>
          <w:p w14:paraId="45588E6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生态水位：一般水期（）m；鱼类繁殖期（）m；其他（）m</w:t>
            </w:r>
          </w:p>
        </w:tc>
      </w:tr>
      <w:tr w14:paraId="06A7A6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restart"/>
            <w:tcBorders>
              <w:top w:val="single" w:color="auto" w:sz="4" w:space="0"/>
              <w:left w:val="single" w:color="auto" w:sz="4" w:space="0"/>
              <w:bottom w:val="single" w:color="auto" w:sz="4" w:space="0"/>
              <w:right w:val="single" w:color="auto" w:sz="4" w:space="0"/>
            </w:tcBorders>
            <w:noWrap w:val="0"/>
            <w:vAlign w:val="center"/>
          </w:tcPr>
          <w:p w14:paraId="6648BC3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防</w:t>
            </w:r>
          </w:p>
          <w:p w14:paraId="1596968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治</w:t>
            </w:r>
          </w:p>
          <w:p w14:paraId="609B9D0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措</w:t>
            </w:r>
          </w:p>
          <w:p w14:paraId="11FDB24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施</w:t>
            </w:r>
          </w:p>
        </w:tc>
        <w:tc>
          <w:tcPr>
            <w:tcW w:w="913" w:type="pct"/>
            <w:tcBorders>
              <w:top w:val="single" w:color="auto" w:sz="4" w:space="0"/>
              <w:left w:val="single" w:color="auto" w:sz="4" w:space="0"/>
              <w:bottom w:val="single" w:color="auto" w:sz="4" w:space="0"/>
              <w:right w:val="single" w:color="auto" w:sz="4" w:space="0"/>
            </w:tcBorders>
            <w:noWrap w:val="0"/>
            <w:vAlign w:val="center"/>
          </w:tcPr>
          <w:p w14:paraId="6D7E5D4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环保措施</w:t>
            </w:r>
          </w:p>
        </w:tc>
        <w:tc>
          <w:tcPr>
            <w:tcW w:w="3826" w:type="pct"/>
            <w:gridSpan w:val="8"/>
            <w:tcBorders>
              <w:top w:val="single" w:color="auto" w:sz="4" w:space="0"/>
              <w:left w:val="single" w:color="auto" w:sz="4" w:space="0"/>
              <w:bottom w:val="single" w:color="auto" w:sz="4" w:space="0"/>
              <w:right w:val="single" w:color="auto" w:sz="4" w:space="0"/>
            </w:tcBorders>
            <w:noWrap w:val="0"/>
            <w:vAlign w:val="center"/>
          </w:tcPr>
          <w:p w14:paraId="42961DE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污水处理设施 </w:t>
            </w:r>
            <w:r>
              <w:rPr>
                <w:rFonts w:hint="default" w:ascii="Times New Roman" w:hAnsi="Times New Roman" w:cs="Times New Roman" w:eastAsiaTheme="minorEastAsia"/>
                <w:szCs w:val="21"/>
                <w:lang w:val="en-US" w:eastAsia="zh-CN"/>
              </w:rPr>
              <w:sym w:font="Wingdings 2" w:char="F052"/>
            </w:r>
            <w:r>
              <w:rPr>
                <w:rFonts w:hint="default" w:ascii="Times New Roman" w:hAnsi="Times New Roman" w:cs="Times New Roman" w:eastAsiaTheme="minorEastAsia"/>
                <w:szCs w:val="21"/>
                <w:lang w:val="en-US" w:eastAsia="zh-CN"/>
              </w:rPr>
              <w:t>；水文减缓设施 □；生态流量保障设施 □；</w:t>
            </w:r>
          </w:p>
          <w:p w14:paraId="654F732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区域削减 □；依托其他工程措施 </w:t>
            </w:r>
            <w:r>
              <w:rPr>
                <w:rFonts w:hint="default" w:ascii="Times New Roman" w:hAnsi="Times New Roman" w:cs="Times New Roman" w:eastAsiaTheme="minorEastAsia"/>
                <w:szCs w:val="21"/>
                <w:lang w:val="en-US" w:eastAsia="zh-CN"/>
              </w:rPr>
              <w:sym w:font="Wingdings 2" w:char="0052"/>
            </w:r>
            <w:r>
              <w:rPr>
                <w:rFonts w:hint="default" w:ascii="Times New Roman" w:hAnsi="Times New Roman" w:cs="Times New Roman" w:eastAsiaTheme="minorEastAsia"/>
                <w:szCs w:val="21"/>
                <w:lang w:val="en-US" w:eastAsia="zh-CN"/>
              </w:rPr>
              <w:t xml:space="preserve">；其他 □ </w:t>
            </w:r>
          </w:p>
        </w:tc>
      </w:tr>
      <w:tr w14:paraId="6EB50E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4" w:hRule="atLeast"/>
          <w:jc w:val="center"/>
        </w:trPr>
        <w:tc>
          <w:tcPr>
            <w:tcW w:w="260" w:type="pct"/>
            <w:vMerge w:val="continue"/>
            <w:tcBorders>
              <w:top w:val="single" w:color="auto" w:sz="4" w:space="0"/>
              <w:left w:val="single" w:color="auto" w:sz="4" w:space="0"/>
              <w:bottom w:val="single" w:color="auto" w:sz="4" w:space="0"/>
              <w:right w:val="single" w:color="auto" w:sz="4" w:space="0"/>
            </w:tcBorders>
            <w:noWrap w:val="0"/>
            <w:vAlign w:val="center"/>
          </w:tcPr>
          <w:p w14:paraId="55A2A23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3" w:type="pct"/>
            <w:vMerge w:val="restart"/>
            <w:tcBorders>
              <w:top w:val="single" w:color="auto" w:sz="4" w:space="0"/>
              <w:left w:val="single" w:color="auto" w:sz="4" w:space="0"/>
              <w:bottom w:val="single" w:color="auto" w:sz="4" w:space="0"/>
              <w:right w:val="single" w:color="auto" w:sz="4" w:space="0"/>
            </w:tcBorders>
            <w:noWrap w:val="0"/>
            <w:vAlign w:val="center"/>
          </w:tcPr>
          <w:p w14:paraId="251A561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监测计划</w:t>
            </w:r>
          </w:p>
        </w:tc>
        <w:tc>
          <w:tcPr>
            <w:tcW w:w="853" w:type="pct"/>
            <w:tcBorders>
              <w:top w:val="single" w:color="auto" w:sz="4" w:space="0"/>
              <w:left w:val="single" w:color="auto" w:sz="4" w:space="0"/>
              <w:bottom w:val="single" w:color="auto" w:sz="4" w:space="0"/>
              <w:right w:val="single" w:color="auto" w:sz="4" w:space="0"/>
            </w:tcBorders>
            <w:noWrap w:val="0"/>
            <w:vAlign w:val="center"/>
          </w:tcPr>
          <w:p w14:paraId="70FC60D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471" w:type="pct"/>
            <w:gridSpan w:val="4"/>
            <w:tcBorders>
              <w:top w:val="single" w:color="auto" w:sz="4" w:space="0"/>
              <w:left w:val="single" w:color="auto" w:sz="4" w:space="0"/>
              <w:bottom w:val="single" w:color="auto" w:sz="4" w:space="0"/>
              <w:right w:val="single" w:color="auto" w:sz="4" w:space="0"/>
            </w:tcBorders>
            <w:noWrap w:val="0"/>
            <w:vAlign w:val="center"/>
          </w:tcPr>
          <w:p w14:paraId="0FCADD0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环境质量</w:t>
            </w:r>
          </w:p>
        </w:tc>
        <w:tc>
          <w:tcPr>
            <w:tcW w:w="1501" w:type="pct"/>
            <w:gridSpan w:val="3"/>
            <w:tcBorders>
              <w:top w:val="single" w:color="auto" w:sz="4" w:space="0"/>
              <w:left w:val="single" w:color="auto" w:sz="4" w:space="0"/>
              <w:bottom w:val="single" w:color="auto" w:sz="4" w:space="0"/>
              <w:right w:val="single" w:color="auto" w:sz="4" w:space="0"/>
            </w:tcBorders>
            <w:noWrap w:val="0"/>
            <w:vAlign w:val="center"/>
          </w:tcPr>
          <w:p w14:paraId="635B8C1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污染源</w:t>
            </w:r>
          </w:p>
        </w:tc>
      </w:tr>
      <w:tr w14:paraId="2FCEC1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continue"/>
            <w:tcBorders>
              <w:top w:val="single" w:color="auto" w:sz="4" w:space="0"/>
              <w:left w:val="single" w:color="auto" w:sz="4" w:space="0"/>
              <w:bottom w:val="single" w:color="auto" w:sz="4" w:space="0"/>
              <w:right w:val="single" w:color="auto" w:sz="4" w:space="0"/>
            </w:tcBorders>
            <w:noWrap w:val="0"/>
            <w:vAlign w:val="center"/>
          </w:tcPr>
          <w:p w14:paraId="400740C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3" w:type="pct"/>
            <w:vMerge w:val="continue"/>
            <w:tcBorders>
              <w:top w:val="single" w:color="auto" w:sz="4" w:space="0"/>
              <w:left w:val="single" w:color="auto" w:sz="4" w:space="0"/>
              <w:bottom w:val="single" w:color="auto" w:sz="4" w:space="0"/>
              <w:right w:val="single" w:color="auto" w:sz="4" w:space="0"/>
            </w:tcBorders>
            <w:noWrap w:val="0"/>
            <w:vAlign w:val="center"/>
          </w:tcPr>
          <w:p w14:paraId="0445D12A">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853" w:type="pct"/>
            <w:tcBorders>
              <w:top w:val="single" w:color="auto" w:sz="4" w:space="0"/>
              <w:left w:val="single" w:color="auto" w:sz="4" w:space="0"/>
              <w:bottom w:val="single" w:color="auto" w:sz="4" w:space="0"/>
              <w:right w:val="single" w:color="auto" w:sz="4" w:space="0"/>
            </w:tcBorders>
            <w:noWrap w:val="0"/>
            <w:vAlign w:val="center"/>
          </w:tcPr>
          <w:p w14:paraId="5369FDF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监测方式</w:t>
            </w:r>
          </w:p>
        </w:tc>
        <w:tc>
          <w:tcPr>
            <w:tcW w:w="1471" w:type="pct"/>
            <w:gridSpan w:val="4"/>
            <w:tcBorders>
              <w:top w:val="single" w:color="auto" w:sz="4" w:space="0"/>
              <w:left w:val="single" w:color="auto" w:sz="4" w:space="0"/>
              <w:bottom w:val="single" w:color="auto" w:sz="4" w:space="0"/>
              <w:right w:val="single" w:color="auto" w:sz="4" w:space="0"/>
            </w:tcBorders>
            <w:noWrap w:val="0"/>
            <w:vAlign w:val="center"/>
          </w:tcPr>
          <w:p w14:paraId="132A7A1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手动□；自动 □；无监测 □</w:t>
            </w:r>
          </w:p>
        </w:tc>
        <w:tc>
          <w:tcPr>
            <w:tcW w:w="1501" w:type="pct"/>
            <w:gridSpan w:val="3"/>
            <w:tcBorders>
              <w:top w:val="single" w:color="auto" w:sz="4" w:space="0"/>
              <w:left w:val="single" w:color="auto" w:sz="4" w:space="0"/>
              <w:bottom w:val="single" w:color="auto" w:sz="4" w:space="0"/>
              <w:right w:val="single" w:color="auto" w:sz="4" w:space="0"/>
            </w:tcBorders>
            <w:noWrap w:val="0"/>
            <w:vAlign w:val="center"/>
          </w:tcPr>
          <w:p w14:paraId="4A57A4B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手动□；自动□；无监测□</w:t>
            </w:r>
          </w:p>
        </w:tc>
      </w:tr>
      <w:tr w14:paraId="20D082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7" w:hRule="atLeast"/>
          <w:jc w:val="center"/>
        </w:trPr>
        <w:tc>
          <w:tcPr>
            <w:tcW w:w="260" w:type="pct"/>
            <w:vMerge w:val="continue"/>
            <w:tcBorders>
              <w:top w:val="single" w:color="auto" w:sz="4" w:space="0"/>
              <w:left w:val="single" w:color="auto" w:sz="4" w:space="0"/>
              <w:bottom w:val="single" w:color="auto" w:sz="4" w:space="0"/>
              <w:right w:val="single" w:color="auto" w:sz="4" w:space="0"/>
            </w:tcBorders>
            <w:noWrap w:val="0"/>
            <w:vAlign w:val="center"/>
          </w:tcPr>
          <w:p w14:paraId="635D672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3" w:type="pct"/>
            <w:vMerge w:val="continue"/>
            <w:tcBorders>
              <w:top w:val="single" w:color="auto" w:sz="4" w:space="0"/>
              <w:left w:val="single" w:color="auto" w:sz="4" w:space="0"/>
              <w:bottom w:val="single" w:color="auto" w:sz="4" w:space="0"/>
              <w:right w:val="single" w:color="auto" w:sz="4" w:space="0"/>
            </w:tcBorders>
            <w:noWrap w:val="0"/>
            <w:vAlign w:val="center"/>
          </w:tcPr>
          <w:p w14:paraId="6EE54D55">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853" w:type="pct"/>
            <w:tcBorders>
              <w:top w:val="single" w:color="auto" w:sz="4" w:space="0"/>
              <w:left w:val="single" w:color="auto" w:sz="4" w:space="0"/>
              <w:bottom w:val="single" w:color="auto" w:sz="4" w:space="0"/>
              <w:right w:val="single" w:color="auto" w:sz="4" w:space="0"/>
            </w:tcBorders>
            <w:noWrap w:val="0"/>
            <w:vAlign w:val="center"/>
          </w:tcPr>
          <w:p w14:paraId="3C1EF01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监测点位</w:t>
            </w:r>
          </w:p>
        </w:tc>
        <w:tc>
          <w:tcPr>
            <w:tcW w:w="1471" w:type="pct"/>
            <w:gridSpan w:val="4"/>
            <w:tcBorders>
              <w:top w:val="single" w:color="auto" w:sz="4" w:space="0"/>
              <w:left w:val="single" w:color="auto" w:sz="4" w:space="0"/>
              <w:bottom w:val="single" w:color="auto" w:sz="4" w:space="0"/>
              <w:right w:val="single" w:color="auto" w:sz="4" w:space="0"/>
            </w:tcBorders>
            <w:noWrap w:val="0"/>
            <w:vAlign w:val="center"/>
          </w:tcPr>
          <w:p w14:paraId="61A0FFA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1501" w:type="pct"/>
            <w:gridSpan w:val="3"/>
            <w:tcBorders>
              <w:top w:val="single" w:color="auto" w:sz="4" w:space="0"/>
              <w:left w:val="single" w:color="auto" w:sz="4" w:space="0"/>
              <w:bottom w:val="single" w:color="auto" w:sz="4" w:space="0"/>
              <w:right w:val="single" w:color="auto" w:sz="4" w:space="0"/>
            </w:tcBorders>
            <w:noWrap w:val="0"/>
            <w:vAlign w:val="center"/>
          </w:tcPr>
          <w:p w14:paraId="29EA874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r>
      <w:tr w14:paraId="52346B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continue"/>
            <w:tcBorders>
              <w:top w:val="single" w:color="auto" w:sz="4" w:space="0"/>
              <w:left w:val="single" w:color="auto" w:sz="4" w:space="0"/>
              <w:bottom w:val="single" w:color="auto" w:sz="4" w:space="0"/>
              <w:right w:val="single" w:color="auto" w:sz="4" w:space="0"/>
            </w:tcBorders>
            <w:noWrap w:val="0"/>
            <w:vAlign w:val="center"/>
          </w:tcPr>
          <w:p w14:paraId="20374C1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3" w:type="pct"/>
            <w:vMerge w:val="continue"/>
            <w:tcBorders>
              <w:top w:val="single" w:color="auto" w:sz="4" w:space="0"/>
              <w:left w:val="single" w:color="auto" w:sz="4" w:space="0"/>
              <w:bottom w:val="single" w:color="auto" w:sz="4" w:space="0"/>
              <w:right w:val="single" w:color="auto" w:sz="4" w:space="0"/>
            </w:tcBorders>
            <w:noWrap w:val="0"/>
            <w:vAlign w:val="center"/>
          </w:tcPr>
          <w:p w14:paraId="26A0F56A">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853" w:type="pct"/>
            <w:tcBorders>
              <w:top w:val="single" w:color="auto" w:sz="4" w:space="0"/>
              <w:left w:val="single" w:color="auto" w:sz="4" w:space="0"/>
              <w:bottom w:val="single" w:color="auto" w:sz="4" w:space="0"/>
              <w:right w:val="single" w:color="auto" w:sz="4" w:space="0"/>
            </w:tcBorders>
            <w:noWrap w:val="0"/>
            <w:vAlign w:val="center"/>
          </w:tcPr>
          <w:p w14:paraId="7A1A835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监测因子</w:t>
            </w:r>
          </w:p>
        </w:tc>
        <w:tc>
          <w:tcPr>
            <w:tcW w:w="1471" w:type="pct"/>
            <w:gridSpan w:val="4"/>
            <w:tcBorders>
              <w:top w:val="single" w:color="auto" w:sz="4" w:space="0"/>
              <w:left w:val="single" w:color="auto" w:sz="4" w:space="0"/>
              <w:bottom w:val="single" w:color="auto" w:sz="4" w:space="0"/>
              <w:right w:val="single" w:color="auto" w:sz="4" w:space="0"/>
            </w:tcBorders>
            <w:noWrap w:val="0"/>
            <w:vAlign w:val="center"/>
          </w:tcPr>
          <w:p w14:paraId="334DDA1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1501" w:type="pct"/>
            <w:gridSpan w:val="3"/>
            <w:tcBorders>
              <w:top w:val="single" w:color="auto" w:sz="4" w:space="0"/>
              <w:left w:val="single" w:color="auto" w:sz="4" w:space="0"/>
              <w:bottom w:val="single" w:color="auto" w:sz="4" w:space="0"/>
              <w:right w:val="single" w:color="auto" w:sz="4" w:space="0"/>
            </w:tcBorders>
            <w:noWrap w:val="0"/>
            <w:vAlign w:val="center"/>
          </w:tcPr>
          <w:p w14:paraId="1E90361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r>
      <w:tr w14:paraId="7EFA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0" w:type="pct"/>
            <w:vMerge w:val="continue"/>
            <w:tcBorders>
              <w:top w:val="single" w:color="auto" w:sz="4" w:space="0"/>
              <w:left w:val="single" w:color="auto" w:sz="4" w:space="0"/>
              <w:bottom w:val="single" w:color="auto" w:sz="4" w:space="0"/>
              <w:right w:val="single" w:color="auto" w:sz="4" w:space="0"/>
            </w:tcBorders>
            <w:noWrap w:val="0"/>
            <w:vAlign w:val="center"/>
          </w:tcPr>
          <w:p w14:paraId="48D6E59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3" w:type="pct"/>
            <w:tcBorders>
              <w:top w:val="single" w:color="auto" w:sz="4" w:space="0"/>
              <w:left w:val="single" w:color="auto" w:sz="4" w:space="0"/>
              <w:bottom w:val="single" w:color="auto" w:sz="4" w:space="0"/>
              <w:right w:val="single" w:color="auto" w:sz="4" w:space="0"/>
            </w:tcBorders>
            <w:noWrap w:val="0"/>
            <w:vAlign w:val="center"/>
          </w:tcPr>
          <w:p w14:paraId="2E9F086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污染物排放清单</w:t>
            </w:r>
          </w:p>
        </w:tc>
        <w:tc>
          <w:tcPr>
            <w:tcW w:w="3826" w:type="pct"/>
            <w:gridSpan w:val="8"/>
            <w:tcBorders>
              <w:top w:val="single" w:color="auto" w:sz="4" w:space="0"/>
              <w:left w:val="single" w:color="auto" w:sz="4" w:space="0"/>
              <w:bottom w:val="single" w:color="auto" w:sz="4" w:space="0"/>
              <w:right w:val="single" w:color="auto" w:sz="4" w:space="0"/>
            </w:tcBorders>
            <w:noWrap w:val="0"/>
            <w:vAlign w:val="center"/>
          </w:tcPr>
          <w:p w14:paraId="1AE7F8A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sym w:font="Wingdings 2" w:char="F0A3"/>
            </w:r>
          </w:p>
        </w:tc>
      </w:tr>
      <w:tr w14:paraId="2EF3D3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73" w:type="pct"/>
            <w:gridSpan w:val="2"/>
            <w:tcBorders>
              <w:top w:val="single" w:color="auto" w:sz="4" w:space="0"/>
              <w:left w:val="single" w:color="auto" w:sz="4" w:space="0"/>
              <w:bottom w:val="single" w:color="auto" w:sz="4" w:space="0"/>
              <w:right w:val="single" w:color="auto" w:sz="4" w:space="0"/>
            </w:tcBorders>
            <w:noWrap w:val="0"/>
            <w:vAlign w:val="center"/>
          </w:tcPr>
          <w:p w14:paraId="75914AA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评价结论</w:t>
            </w:r>
          </w:p>
        </w:tc>
        <w:tc>
          <w:tcPr>
            <w:tcW w:w="3826" w:type="pct"/>
            <w:gridSpan w:val="8"/>
            <w:tcBorders>
              <w:top w:val="single" w:color="auto" w:sz="4" w:space="0"/>
              <w:left w:val="single" w:color="auto" w:sz="4" w:space="0"/>
              <w:bottom w:val="single" w:color="auto" w:sz="4" w:space="0"/>
              <w:right w:val="single" w:color="auto" w:sz="4" w:space="0"/>
            </w:tcBorders>
            <w:noWrap w:val="0"/>
            <w:vAlign w:val="center"/>
          </w:tcPr>
          <w:p w14:paraId="3732B45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可以接受 </w:t>
            </w:r>
            <w:r>
              <w:rPr>
                <w:rFonts w:hint="default" w:ascii="Times New Roman" w:hAnsi="Times New Roman" w:cs="Times New Roman" w:eastAsiaTheme="minorEastAsia"/>
                <w:szCs w:val="21"/>
                <w:lang w:val="en-US" w:eastAsia="zh-CN"/>
              </w:rPr>
              <w:sym w:font="Wingdings 2" w:char="F052"/>
            </w:r>
            <w:r>
              <w:rPr>
                <w:rFonts w:hint="default" w:ascii="Times New Roman" w:hAnsi="Times New Roman" w:cs="Times New Roman" w:eastAsiaTheme="minorEastAsia"/>
                <w:szCs w:val="21"/>
                <w:lang w:val="en-US" w:eastAsia="zh-CN"/>
              </w:rPr>
              <w:t>；不可以接受 □</w:t>
            </w:r>
          </w:p>
        </w:tc>
      </w:tr>
      <w:tr w14:paraId="60B022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 w:hRule="atLeast"/>
          <w:jc w:val="center"/>
        </w:trPr>
        <w:tc>
          <w:tcPr>
            <w:tcW w:w="5000" w:type="pct"/>
            <w:gridSpan w:val="10"/>
            <w:tcBorders>
              <w:top w:val="single" w:color="auto" w:sz="4" w:space="0"/>
              <w:left w:val="single" w:color="auto" w:sz="4" w:space="0"/>
              <w:bottom w:val="single" w:color="auto" w:sz="4" w:space="0"/>
              <w:right w:val="single" w:color="auto" w:sz="4" w:space="0"/>
            </w:tcBorders>
            <w:noWrap w:val="0"/>
            <w:vAlign w:val="center"/>
          </w:tcPr>
          <w:p w14:paraId="28FCA38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注：“□”为勾选项，可√；“（ ）”为内容填写项；“备注”为其他补充内容。 </w:t>
            </w:r>
          </w:p>
        </w:tc>
      </w:tr>
    </w:tbl>
    <w:p w14:paraId="7D7D5CA0">
      <w:pPr>
        <w:pStyle w:val="3"/>
        <w:spacing w:before="120" w:after="120" w:line="500" w:lineRule="exact"/>
        <w:ind w:left="375" w:hanging="375" w:firstLineChars="0"/>
        <w:contextualSpacing/>
        <w:rPr>
          <w:rFonts w:hint="eastAsia" w:ascii="Times New Roman" w:hAnsi="Times New Roman" w:cs="Times New Roman" w:eastAsiaTheme="minorEastAsia"/>
          <w:snapToGrid w:val="0"/>
          <w:kern w:val="0"/>
          <w:sz w:val="28"/>
          <w:szCs w:val="28"/>
          <w:lang w:val="en-US" w:eastAsia="zh-CN"/>
        </w:rPr>
      </w:pPr>
      <w:bookmarkStart w:id="224" w:name="_Toc18228"/>
      <w:r>
        <w:rPr>
          <w:rFonts w:hint="eastAsia" w:ascii="Times New Roman" w:hAnsi="Times New Roman" w:cs="Times New Roman" w:eastAsiaTheme="minorEastAsia"/>
          <w:snapToGrid w:val="0"/>
          <w:kern w:val="0"/>
          <w:sz w:val="28"/>
          <w:szCs w:val="28"/>
          <w:lang w:val="en-US" w:eastAsia="zh-CN"/>
        </w:rPr>
        <w:t>5.4运营期声环境影响分析</w:t>
      </w:r>
      <w:bookmarkEnd w:id="224"/>
    </w:p>
    <w:p w14:paraId="10B22564">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225" w:name="_Toc15915"/>
      <w:r>
        <w:rPr>
          <w:rFonts w:hint="eastAsia" w:ascii="Times New Roman" w:hAnsi="Times New Roman" w:cs="Times New Roman" w:eastAsiaTheme="minorEastAsia"/>
          <w:kern w:val="0"/>
          <w:sz w:val="24"/>
          <w:szCs w:val="24"/>
          <w:lang w:val="en-US" w:eastAsia="zh-CN"/>
        </w:rPr>
        <w:t>5.4.1预测范围及预测点</w:t>
      </w:r>
      <w:bookmarkEnd w:id="225"/>
    </w:p>
    <w:p w14:paraId="2F29E571">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项目预测范围为厂界周边200m范围内，根据实地调查和收集的资料，周边200m范围内没有敏感目标，因此本次评价的预测点为厂界外1m、可能受噪声影响最大点。</w:t>
      </w:r>
    </w:p>
    <w:p w14:paraId="609FF3AD">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226" w:name="_Toc5921"/>
      <w:r>
        <w:rPr>
          <w:rFonts w:hint="eastAsia" w:ascii="Times New Roman" w:hAnsi="Times New Roman" w:cs="Times New Roman" w:eastAsiaTheme="minorEastAsia"/>
          <w:kern w:val="0"/>
          <w:sz w:val="24"/>
          <w:szCs w:val="24"/>
          <w:lang w:val="en-US" w:eastAsia="zh-CN"/>
        </w:rPr>
        <w:t>5.4.2预测方法及执行标准</w:t>
      </w:r>
      <w:bookmarkEnd w:id="226"/>
    </w:p>
    <w:p w14:paraId="26EA6A41">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（1）预测方法</w:t>
      </w:r>
    </w:p>
    <w:p w14:paraId="53CA0089">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预测模式采用《环境影响评价技术 导则声环境》（HJ2.4-2021）中推荐的工业噪声预测和声压级叠加模式，预测噪声源对厂界噪声的贡献值。</w:t>
      </w:r>
    </w:p>
    <w:p w14:paraId="40C553BD">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（2）评价标准</w:t>
      </w:r>
    </w:p>
    <w:p w14:paraId="656E6F30">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厂界噪声采用《工业企业厂界环境噪声排放标准》（GB12348-2008）的</w:t>
      </w:r>
      <w:r>
        <w:rPr>
          <w:rFonts w:hint="eastAsia" w:ascii="Times New Roman" w:hAnsi="Times New Roman" w:cs="Times New Roman" w:eastAsiaTheme="minorEastAsia"/>
          <w:sz w:val="24"/>
          <w:lang w:val="en-US" w:eastAsia="zh-CN"/>
        </w:rPr>
        <w:t>3</w:t>
      </w:r>
      <w:r>
        <w:rPr>
          <w:rFonts w:hint="default" w:ascii="Times New Roman" w:hAnsi="Times New Roman" w:cs="Times New Roman" w:eastAsiaTheme="minorEastAsia"/>
          <w:sz w:val="24"/>
          <w:lang w:val="en-US" w:eastAsia="zh-CN"/>
        </w:rPr>
        <w:t>类标准。</w:t>
      </w:r>
    </w:p>
    <w:p w14:paraId="250E5302">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227" w:name="_Toc17697"/>
      <w:r>
        <w:rPr>
          <w:rFonts w:hint="eastAsia" w:ascii="Times New Roman" w:hAnsi="Times New Roman" w:cs="Times New Roman" w:eastAsiaTheme="minorEastAsia"/>
          <w:kern w:val="0"/>
          <w:sz w:val="24"/>
          <w:szCs w:val="24"/>
          <w:lang w:val="en-US" w:eastAsia="zh-CN"/>
        </w:rPr>
        <w:t>5.4.3预测模式及参数</w:t>
      </w:r>
      <w:bookmarkEnd w:id="227"/>
    </w:p>
    <w:p w14:paraId="5A1F50B3">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（1）基准预测点噪声级叠加公式：</w:t>
      </w:r>
    </w:p>
    <w:p w14:paraId="06B1AA92">
      <w:pPr>
        <w:spacing w:line="360" w:lineRule="auto"/>
        <w:ind w:firstLine="480"/>
        <w:jc w:val="center"/>
        <w:rPr>
          <w:rFonts w:hint="default" w:ascii="Times New Roman" w:hAnsi="Times New Roman" w:cs="Times New Roman" w:eastAsiaTheme="minorEastAsia"/>
        </w:rPr>
      </w:pPr>
      <w:r>
        <w:rPr>
          <w:rFonts w:hint="default" w:ascii="Times New Roman" w:hAnsi="Times New Roman" w:cs="Times New Roman" w:eastAsiaTheme="minorEastAsia"/>
        </w:rPr>
        <w:t>Lpe =10</w:t>
      </w:r>
      <w:r>
        <w:rPr>
          <w:rFonts w:hint="default" w:ascii="Times New Roman" w:hAnsi="Times New Roman" w:cs="Times New Roman" w:eastAsiaTheme="minorEastAsia"/>
          <w:lang w:val="en-GB"/>
        </w:rPr>
        <w:t>×</w:t>
      </w:r>
      <w:r>
        <w:rPr>
          <w:rFonts w:hint="default" w:ascii="Times New Roman" w:hAnsi="Times New Roman" w:cs="Times New Roman" w:eastAsiaTheme="minorEastAsia"/>
        </w:rPr>
        <w:t>lg[</w:t>
      </w:r>
      <w:r>
        <w:rPr>
          <w:rFonts w:hint="default" w:ascii="Times New Roman" w:hAnsi="Times New Roman" w:cs="Times New Roman" w:eastAsiaTheme="minorEastAsia"/>
        </w:rPr>
        <w:drawing>
          <wp:inline distT="0" distB="0" distL="114300" distR="114300">
            <wp:extent cx="276225" cy="466725"/>
            <wp:effectExtent l="0" t="0" r="0" b="8890"/>
            <wp:docPr id="9" name="图片 9" descr="1744606983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744606983603"/>
                    <pic:cNvPicPr>
                      <a:picLocks noChangeAspect="1"/>
                    </pic:cNvPicPr>
                  </pic:nvPicPr>
                  <pic:blipFill>
                    <a:blip r:embed="rId15"/>
                    <a:stretch>
                      <a:fillRect/>
                    </a:stretch>
                  </pic:blipFill>
                  <pic:spPr>
                    <a:xfrm>
                      <a:off x="0" y="0"/>
                      <a:ext cx="276225" cy="466725"/>
                    </a:xfrm>
                    <a:prstGeom prst="rect">
                      <a:avLst/>
                    </a:prstGeom>
                  </pic:spPr>
                </pic:pic>
              </a:graphicData>
            </a:graphic>
          </wp:inline>
        </w:drawing>
      </w:r>
      <w:r>
        <w:rPr>
          <w:rFonts w:hint="default" w:ascii="Times New Roman" w:hAnsi="Times New Roman" w:cs="Times New Roman" w:eastAsiaTheme="minorEastAsia"/>
        </w:rPr>
        <w:drawing>
          <wp:inline distT="0" distB="0" distL="114300" distR="114300">
            <wp:extent cx="371475" cy="276225"/>
            <wp:effectExtent l="0" t="0" r="0" b="8890"/>
            <wp:docPr id="10" name="图片 10" descr="1744607034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744607034655"/>
                    <pic:cNvPicPr>
                      <a:picLocks noChangeAspect="1"/>
                    </pic:cNvPicPr>
                  </pic:nvPicPr>
                  <pic:blipFill>
                    <a:blip r:embed="rId16"/>
                    <a:stretch>
                      <a:fillRect/>
                    </a:stretch>
                  </pic:blipFill>
                  <pic:spPr>
                    <a:xfrm>
                      <a:off x="0" y="0"/>
                      <a:ext cx="371475" cy="276225"/>
                    </a:xfrm>
                    <a:prstGeom prst="rect">
                      <a:avLst/>
                    </a:prstGeom>
                  </pic:spPr>
                </pic:pic>
              </a:graphicData>
            </a:graphic>
          </wp:inline>
        </w:drawing>
      </w:r>
      <w:r>
        <w:rPr>
          <w:rFonts w:hint="default" w:ascii="Times New Roman" w:hAnsi="Times New Roman" w:cs="Times New Roman" w:eastAsiaTheme="minorEastAsia"/>
        </w:rPr>
        <w:t>]</w:t>
      </w:r>
    </w:p>
    <w:p w14:paraId="2B93C43B">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式中：Lpe—叠加后总声级，dB（A）；</w:t>
      </w:r>
    </w:p>
    <w:p w14:paraId="0E7F476D">
      <w:pPr>
        <w:adjustRightInd w:val="0"/>
        <w:snapToGrid w:val="0"/>
        <w:spacing w:line="500" w:lineRule="exact"/>
        <w:ind w:firstLine="1200" w:firstLineChars="5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Lpi—i声源至基准预测点的声级，dB（A）；</w:t>
      </w:r>
    </w:p>
    <w:p w14:paraId="02A28869">
      <w:pPr>
        <w:adjustRightInd w:val="0"/>
        <w:snapToGrid w:val="0"/>
        <w:spacing w:line="500" w:lineRule="exact"/>
        <w:ind w:firstLine="1200" w:firstLineChars="5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n—噪声源数目。</w:t>
      </w:r>
    </w:p>
    <w:p w14:paraId="45576469">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 xml:space="preserve">用上述公式计算出各噪声源点至基准预测点的总声压级，然后以基准预测点的噪声强度为工程噪声源强。 </w:t>
      </w:r>
    </w:p>
    <w:p w14:paraId="24341D74">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（2）噪声源至某一预测点的计算公式</w:t>
      </w:r>
    </w:p>
    <w:p w14:paraId="32B1DB40">
      <w:pPr>
        <w:adjustRightInd w:val="0"/>
        <w:snapToGrid w:val="0"/>
        <w:spacing w:line="500" w:lineRule="exact"/>
        <w:ind w:firstLine="1200" w:firstLineChars="5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drawing>
          <wp:anchor distT="0" distB="0" distL="114300" distR="114300" simplePos="0" relativeHeight="251665408" behindDoc="0" locked="0" layoutInCell="1" allowOverlap="1">
            <wp:simplePos x="0" y="0"/>
            <wp:positionH relativeFrom="column">
              <wp:posOffset>1575435</wp:posOffset>
            </wp:positionH>
            <wp:positionV relativeFrom="paragraph">
              <wp:posOffset>128270</wp:posOffset>
            </wp:positionV>
            <wp:extent cx="1552575" cy="466725"/>
            <wp:effectExtent l="0" t="0" r="9525" b="8255"/>
            <wp:wrapTopAndBottom/>
            <wp:docPr id="15" name="图片 15" descr="1744607077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744607077754"/>
                    <pic:cNvPicPr>
                      <a:picLocks noChangeAspect="1"/>
                    </pic:cNvPicPr>
                  </pic:nvPicPr>
                  <pic:blipFill>
                    <a:blip r:embed="rId17"/>
                    <a:stretch>
                      <a:fillRect/>
                    </a:stretch>
                  </pic:blipFill>
                  <pic:spPr>
                    <a:xfrm>
                      <a:off x="0" y="0"/>
                      <a:ext cx="1552575" cy="466725"/>
                    </a:xfrm>
                    <a:prstGeom prst="rect">
                      <a:avLst/>
                    </a:prstGeom>
                  </pic:spPr>
                </pic:pic>
              </a:graphicData>
            </a:graphic>
          </wp:anchor>
        </w:drawing>
      </w:r>
      <w:r>
        <w:rPr>
          <w:rFonts w:hint="default" w:ascii="Times New Roman" w:hAnsi="Times New Roman" w:cs="Times New Roman" w:eastAsiaTheme="minorEastAsia"/>
          <w:sz w:val="24"/>
          <w:lang w:val="en-US" w:eastAsia="zh-CN"/>
        </w:rPr>
        <w:t>式中：Lpr</w:t>
      </w:r>
      <w:r>
        <w:rPr>
          <w:rFonts w:hint="default" w:ascii="Times New Roman" w:hAnsi="Times New Roman" w:cs="Times New Roman" w:eastAsiaTheme="minorEastAsia"/>
          <w:sz w:val="24"/>
          <w:vertAlign w:val="subscript"/>
          <w:lang w:val="en-US" w:eastAsia="zh-CN"/>
        </w:rPr>
        <w:t>2</w:t>
      </w:r>
      <w:r>
        <w:rPr>
          <w:rFonts w:hint="default" w:ascii="Times New Roman" w:hAnsi="Times New Roman" w:cs="Times New Roman" w:eastAsiaTheme="minorEastAsia"/>
          <w:sz w:val="24"/>
          <w:lang w:val="en-US" w:eastAsia="zh-CN"/>
        </w:rPr>
        <w:t>—受声点r</w:t>
      </w:r>
      <w:r>
        <w:rPr>
          <w:rFonts w:hint="default" w:ascii="Times New Roman" w:hAnsi="Times New Roman" w:cs="Times New Roman" w:eastAsiaTheme="minorEastAsia"/>
          <w:sz w:val="24"/>
          <w:vertAlign w:val="subscript"/>
          <w:lang w:val="en-US" w:eastAsia="zh-CN"/>
        </w:rPr>
        <w:t>2</w:t>
      </w:r>
      <w:r>
        <w:rPr>
          <w:rFonts w:hint="default" w:ascii="Times New Roman" w:hAnsi="Times New Roman" w:cs="Times New Roman" w:eastAsiaTheme="minorEastAsia"/>
          <w:sz w:val="24"/>
          <w:lang w:val="en-US" w:eastAsia="zh-CN"/>
        </w:rPr>
        <w:t xml:space="preserve"> m处的声压级，dB（A）；</w:t>
      </w:r>
    </w:p>
    <w:p w14:paraId="44757767">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cs="Times New Roman" w:eastAsiaTheme="minorEastAsia"/>
          <w:sz w:val="24"/>
          <w:lang w:val="en-US" w:eastAsia="zh-CN"/>
        </w:rPr>
        <w:t>Lpr1—声源的声压级，dB（A）。</w:t>
      </w:r>
    </w:p>
    <w:p w14:paraId="348462FD">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228" w:name="_Toc31017"/>
      <w:r>
        <w:rPr>
          <w:rFonts w:hint="eastAsia" w:ascii="Times New Roman" w:hAnsi="Times New Roman" w:cs="Times New Roman" w:eastAsiaTheme="minorEastAsia"/>
          <w:kern w:val="0"/>
          <w:sz w:val="24"/>
          <w:szCs w:val="24"/>
          <w:lang w:val="en-US" w:eastAsia="zh-CN"/>
        </w:rPr>
        <w:t>5.4.4噪声源强</w:t>
      </w:r>
      <w:bookmarkEnd w:id="228"/>
    </w:p>
    <w:p w14:paraId="211CACC9">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本项目产噪声设备主要为室内声源，根据项目设备参数，项目噪声值在75~95dB（A）之间。具体噪声源参数详见表5.4-1。</w:t>
      </w:r>
    </w:p>
    <w:p w14:paraId="7A557403">
      <w:pPr>
        <w:adjustRightInd w:val="0"/>
        <w:snapToGrid w:val="0"/>
        <w:spacing w:before="250"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表5.4-1  项目主要噪声声源及产生源强一览表</w:t>
      </w:r>
    </w:p>
    <w:tbl>
      <w:tblPr>
        <w:tblStyle w:val="12"/>
        <w:tblpPr w:leftFromText="180" w:rightFromText="180" w:vertAnchor="text" w:horzAnchor="page" w:tblpXSpec="center" w:tblpY="323"/>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
        <w:gridCol w:w="639"/>
        <w:gridCol w:w="607"/>
        <w:gridCol w:w="735"/>
        <w:gridCol w:w="624"/>
        <w:gridCol w:w="690"/>
        <w:gridCol w:w="690"/>
        <w:gridCol w:w="695"/>
        <w:gridCol w:w="570"/>
        <w:gridCol w:w="570"/>
        <w:gridCol w:w="570"/>
        <w:gridCol w:w="585"/>
        <w:gridCol w:w="565"/>
        <w:gridCol w:w="565"/>
        <w:gridCol w:w="565"/>
        <w:gridCol w:w="573"/>
        <w:gridCol w:w="488"/>
        <w:gridCol w:w="753"/>
        <w:gridCol w:w="616"/>
        <w:gridCol w:w="738"/>
        <w:gridCol w:w="658"/>
        <w:gridCol w:w="658"/>
        <w:gridCol w:w="580"/>
      </w:tblGrid>
      <w:tr w14:paraId="09AC9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53" w:type="pct"/>
            <w:vMerge w:val="restart"/>
            <w:vAlign w:val="center"/>
          </w:tcPr>
          <w:p w14:paraId="62FB0AA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序号</w:t>
            </w:r>
          </w:p>
        </w:tc>
        <w:tc>
          <w:tcPr>
            <w:tcW w:w="225" w:type="pct"/>
            <w:vMerge w:val="restart"/>
            <w:vAlign w:val="center"/>
          </w:tcPr>
          <w:p w14:paraId="58C1281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建筑物名称</w:t>
            </w:r>
          </w:p>
        </w:tc>
        <w:tc>
          <w:tcPr>
            <w:tcW w:w="214" w:type="pct"/>
            <w:vMerge w:val="restart"/>
            <w:vAlign w:val="center"/>
          </w:tcPr>
          <w:p w14:paraId="5C2567E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声源名称</w:t>
            </w:r>
          </w:p>
        </w:tc>
        <w:tc>
          <w:tcPr>
            <w:tcW w:w="259" w:type="pct"/>
            <w:vAlign w:val="center"/>
          </w:tcPr>
          <w:p w14:paraId="7877F44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声源源强</w:t>
            </w:r>
          </w:p>
        </w:tc>
        <w:tc>
          <w:tcPr>
            <w:tcW w:w="220" w:type="pct"/>
            <w:vMerge w:val="restart"/>
            <w:vAlign w:val="center"/>
          </w:tcPr>
          <w:p w14:paraId="64555BC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声源控制措施</w:t>
            </w:r>
          </w:p>
        </w:tc>
        <w:tc>
          <w:tcPr>
            <w:tcW w:w="731" w:type="pct"/>
            <w:gridSpan w:val="3"/>
            <w:vAlign w:val="center"/>
          </w:tcPr>
          <w:p w14:paraId="592DEBF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空间相对位置/m</w:t>
            </w:r>
          </w:p>
        </w:tc>
        <w:tc>
          <w:tcPr>
            <w:tcW w:w="809" w:type="pct"/>
            <w:gridSpan w:val="4"/>
            <w:vAlign w:val="center"/>
          </w:tcPr>
          <w:p w14:paraId="02F66EA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距室内边界距离/m</w:t>
            </w:r>
          </w:p>
        </w:tc>
        <w:tc>
          <w:tcPr>
            <w:tcW w:w="799" w:type="pct"/>
            <w:gridSpan w:val="4"/>
            <w:vAlign w:val="center"/>
          </w:tcPr>
          <w:p w14:paraId="131FE67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室内边界声级/dB(A)</w:t>
            </w:r>
          </w:p>
        </w:tc>
        <w:tc>
          <w:tcPr>
            <w:tcW w:w="172" w:type="pct"/>
            <w:vMerge w:val="restart"/>
            <w:vAlign w:val="center"/>
          </w:tcPr>
          <w:p w14:paraId="27FF1B7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运行时段</w:t>
            </w:r>
          </w:p>
        </w:tc>
        <w:tc>
          <w:tcPr>
            <w:tcW w:w="265" w:type="pct"/>
            <w:vMerge w:val="restart"/>
            <w:vAlign w:val="center"/>
          </w:tcPr>
          <w:p w14:paraId="62A00E7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建筑物插入损失 / dB(A)</w:t>
            </w:r>
            <w:bookmarkStart w:id="229" w:name="PT_10"/>
            <w:bookmarkEnd w:id="229"/>
          </w:p>
        </w:tc>
        <w:tc>
          <w:tcPr>
            <w:tcW w:w="1145" w:type="pct"/>
            <w:gridSpan w:val="5"/>
            <w:vAlign w:val="center"/>
          </w:tcPr>
          <w:p w14:paraId="4249DDA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建筑物外噪声声压级/dB(A)</w:t>
            </w:r>
          </w:p>
        </w:tc>
      </w:tr>
      <w:tr w14:paraId="1A359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53" w:type="pct"/>
            <w:vMerge w:val="continue"/>
            <w:shd w:val="clear" w:color="auto" w:fill="FFFFFF"/>
            <w:tcMar>
              <w:top w:w="0" w:type="dxa"/>
              <w:left w:w="0" w:type="dxa"/>
              <w:bottom w:w="0" w:type="dxa"/>
              <w:right w:w="0" w:type="dxa"/>
            </w:tcMar>
            <w:vAlign w:val="center"/>
          </w:tcPr>
          <w:p w14:paraId="11FADD13">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25" w:type="pct"/>
            <w:vMerge w:val="continue"/>
            <w:shd w:val="clear" w:color="auto" w:fill="FFFFFF"/>
            <w:tcMar>
              <w:top w:w="0" w:type="dxa"/>
              <w:left w:w="0" w:type="dxa"/>
              <w:bottom w:w="0" w:type="dxa"/>
              <w:right w:w="0" w:type="dxa"/>
            </w:tcMar>
            <w:vAlign w:val="center"/>
          </w:tcPr>
          <w:p w14:paraId="22B563B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14" w:type="pct"/>
            <w:vMerge w:val="continue"/>
            <w:shd w:val="clear" w:color="auto" w:fill="FFFFFF"/>
            <w:tcMar>
              <w:top w:w="0" w:type="dxa"/>
              <w:left w:w="0" w:type="dxa"/>
              <w:bottom w:w="0" w:type="dxa"/>
              <w:right w:w="0" w:type="dxa"/>
            </w:tcMar>
            <w:vAlign w:val="center"/>
          </w:tcPr>
          <w:p w14:paraId="17B2D08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59" w:type="pct"/>
            <w:shd w:val="clear" w:color="auto" w:fill="FFFFFF"/>
            <w:tcMar>
              <w:top w:w="0" w:type="dxa"/>
              <w:left w:w="0" w:type="dxa"/>
              <w:bottom w:w="0" w:type="dxa"/>
              <w:right w:w="0" w:type="dxa"/>
            </w:tcMar>
            <w:vAlign w:val="center"/>
          </w:tcPr>
          <w:p w14:paraId="4271DD0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声功率级/dB(A)</w:t>
            </w:r>
          </w:p>
        </w:tc>
        <w:tc>
          <w:tcPr>
            <w:tcW w:w="220" w:type="pct"/>
            <w:vMerge w:val="continue"/>
            <w:shd w:val="clear" w:color="auto" w:fill="FFFFFF"/>
            <w:tcMar>
              <w:top w:w="0" w:type="dxa"/>
              <w:left w:w="0" w:type="dxa"/>
              <w:bottom w:w="0" w:type="dxa"/>
              <w:right w:w="0" w:type="dxa"/>
            </w:tcMar>
            <w:vAlign w:val="center"/>
          </w:tcPr>
          <w:p w14:paraId="1A5238C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43" w:type="pct"/>
            <w:shd w:val="clear" w:color="auto" w:fill="FFFFFF"/>
            <w:tcMar>
              <w:top w:w="0" w:type="dxa"/>
              <w:left w:w="0" w:type="dxa"/>
              <w:bottom w:w="0" w:type="dxa"/>
              <w:right w:w="0" w:type="dxa"/>
            </w:tcMar>
            <w:vAlign w:val="center"/>
          </w:tcPr>
          <w:p w14:paraId="2A7B6DE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X</w:t>
            </w:r>
          </w:p>
        </w:tc>
        <w:tc>
          <w:tcPr>
            <w:tcW w:w="243" w:type="pct"/>
            <w:shd w:val="clear" w:color="auto" w:fill="FFFFFF"/>
            <w:tcMar>
              <w:top w:w="0" w:type="dxa"/>
              <w:left w:w="0" w:type="dxa"/>
              <w:bottom w:w="0" w:type="dxa"/>
              <w:right w:w="0" w:type="dxa"/>
            </w:tcMar>
            <w:vAlign w:val="center"/>
          </w:tcPr>
          <w:p w14:paraId="0383192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Y</w:t>
            </w:r>
          </w:p>
        </w:tc>
        <w:tc>
          <w:tcPr>
            <w:tcW w:w="243" w:type="pct"/>
            <w:shd w:val="clear" w:color="auto" w:fill="FFFFFF"/>
            <w:tcMar>
              <w:top w:w="0" w:type="dxa"/>
              <w:left w:w="0" w:type="dxa"/>
              <w:bottom w:w="0" w:type="dxa"/>
              <w:right w:w="0" w:type="dxa"/>
            </w:tcMar>
            <w:vAlign w:val="center"/>
          </w:tcPr>
          <w:p w14:paraId="7B9D1DF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Z</w:t>
            </w:r>
          </w:p>
        </w:tc>
        <w:tc>
          <w:tcPr>
            <w:tcW w:w="201" w:type="pct"/>
            <w:shd w:val="clear" w:color="auto" w:fill="FFFFFF"/>
            <w:tcMar>
              <w:top w:w="0" w:type="dxa"/>
              <w:left w:w="0" w:type="dxa"/>
              <w:bottom w:w="0" w:type="dxa"/>
              <w:right w:w="0" w:type="dxa"/>
            </w:tcMar>
            <w:vAlign w:val="center"/>
          </w:tcPr>
          <w:p w14:paraId="69CDD96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东</w:t>
            </w:r>
          </w:p>
        </w:tc>
        <w:tc>
          <w:tcPr>
            <w:tcW w:w="201" w:type="pct"/>
            <w:shd w:val="clear" w:color="auto" w:fill="FFFFFF"/>
            <w:tcMar>
              <w:top w:w="0" w:type="dxa"/>
              <w:left w:w="0" w:type="dxa"/>
              <w:bottom w:w="0" w:type="dxa"/>
              <w:right w:w="0" w:type="dxa"/>
            </w:tcMar>
            <w:vAlign w:val="center"/>
          </w:tcPr>
          <w:p w14:paraId="0756FAA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南</w:t>
            </w:r>
          </w:p>
        </w:tc>
        <w:tc>
          <w:tcPr>
            <w:tcW w:w="201" w:type="pct"/>
            <w:shd w:val="clear" w:color="auto" w:fill="FFFFFF"/>
            <w:tcMar>
              <w:top w:w="0" w:type="dxa"/>
              <w:left w:w="0" w:type="dxa"/>
              <w:bottom w:w="0" w:type="dxa"/>
              <w:right w:w="0" w:type="dxa"/>
            </w:tcMar>
            <w:vAlign w:val="center"/>
          </w:tcPr>
          <w:p w14:paraId="7AF85DD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西</w:t>
            </w:r>
          </w:p>
        </w:tc>
        <w:tc>
          <w:tcPr>
            <w:tcW w:w="203" w:type="pct"/>
            <w:shd w:val="clear" w:color="auto" w:fill="FFFFFF"/>
            <w:tcMar>
              <w:top w:w="0" w:type="dxa"/>
              <w:left w:w="0" w:type="dxa"/>
              <w:bottom w:w="0" w:type="dxa"/>
              <w:right w:w="0" w:type="dxa"/>
            </w:tcMar>
            <w:vAlign w:val="center"/>
          </w:tcPr>
          <w:p w14:paraId="1A3A43A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北</w:t>
            </w:r>
          </w:p>
        </w:tc>
        <w:tc>
          <w:tcPr>
            <w:tcW w:w="199" w:type="pct"/>
            <w:shd w:val="clear" w:color="auto" w:fill="FFFFFF"/>
            <w:tcMar>
              <w:top w:w="0" w:type="dxa"/>
              <w:left w:w="0" w:type="dxa"/>
              <w:bottom w:w="0" w:type="dxa"/>
              <w:right w:w="0" w:type="dxa"/>
            </w:tcMar>
            <w:vAlign w:val="center"/>
          </w:tcPr>
          <w:p w14:paraId="2F2B3B7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东</w:t>
            </w:r>
          </w:p>
        </w:tc>
        <w:tc>
          <w:tcPr>
            <w:tcW w:w="199" w:type="pct"/>
            <w:shd w:val="clear" w:color="auto" w:fill="FFFFFF"/>
            <w:tcMar>
              <w:top w:w="0" w:type="dxa"/>
              <w:left w:w="0" w:type="dxa"/>
              <w:bottom w:w="0" w:type="dxa"/>
              <w:right w:w="0" w:type="dxa"/>
            </w:tcMar>
            <w:vAlign w:val="center"/>
          </w:tcPr>
          <w:p w14:paraId="155C5FE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南</w:t>
            </w:r>
          </w:p>
        </w:tc>
        <w:tc>
          <w:tcPr>
            <w:tcW w:w="199" w:type="pct"/>
            <w:shd w:val="clear" w:color="auto" w:fill="FFFFFF"/>
            <w:tcMar>
              <w:top w:w="0" w:type="dxa"/>
              <w:left w:w="0" w:type="dxa"/>
              <w:bottom w:w="0" w:type="dxa"/>
              <w:right w:w="0" w:type="dxa"/>
            </w:tcMar>
            <w:vAlign w:val="center"/>
          </w:tcPr>
          <w:p w14:paraId="14FE6DD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西</w:t>
            </w:r>
          </w:p>
        </w:tc>
        <w:tc>
          <w:tcPr>
            <w:tcW w:w="202" w:type="pct"/>
            <w:shd w:val="clear" w:color="auto" w:fill="FFFFFF"/>
            <w:tcMar>
              <w:top w:w="0" w:type="dxa"/>
              <w:left w:w="0" w:type="dxa"/>
              <w:bottom w:w="0" w:type="dxa"/>
              <w:right w:w="0" w:type="dxa"/>
            </w:tcMar>
            <w:vAlign w:val="center"/>
          </w:tcPr>
          <w:p w14:paraId="299C619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北</w:t>
            </w:r>
          </w:p>
        </w:tc>
        <w:tc>
          <w:tcPr>
            <w:tcW w:w="172" w:type="pct"/>
            <w:vMerge w:val="continue"/>
            <w:shd w:val="clear" w:color="auto" w:fill="FFFFFF"/>
            <w:tcMar>
              <w:top w:w="0" w:type="dxa"/>
              <w:left w:w="0" w:type="dxa"/>
              <w:bottom w:w="0" w:type="dxa"/>
              <w:right w:w="0" w:type="dxa"/>
            </w:tcMar>
            <w:vAlign w:val="center"/>
          </w:tcPr>
          <w:p w14:paraId="1380054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65" w:type="pct"/>
            <w:vMerge w:val="continue"/>
            <w:shd w:val="clear" w:color="auto" w:fill="FFFFFF"/>
            <w:tcMar>
              <w:top w:w="0" w:type="dxa"/>
              <w:left w:w="0" w:type="dxa"/>
              <w:bottom w:w="0" w:type="dxa"/>
              <w:right w:w="0" w:type="dxa"/>
            </w:tcMar>
            <w:vAlign w:val="center"/>
          </w:tcPr>
          <w:p w14:paraId="534E8ED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17" w:type="pct"/>
            <w:shd w:val="clear" w:color="auto" w:fill="FFFFFF"/>
            <w:tcMar>
              <w:top w:w="0" w:type="dxa"/>
              <w:left w:w="0" w:type="dxa"/>
              <w:bottom w:w="0" w:type="dxa"/>
              <w:right w:w="0" w:type="dxa"/>
            </w:tcMar>
            <w:vAlign w:val="center"/>
          </w:tcPr>
          <w:p w14:paraId="0BFB08C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东</w:t>
            </w:r>
          </w:p>
        </w:tc>
        <w:tc>
          <w:tcPr>
            <w:tcW w:w="260" w:type="pct"/>
            <w:shd w:val="clear" w:color="auto" w:fill="FFFFFF"/>
            <w:tcMar>
              <w:top w:w="0" w:type="dxa"/>
              <w:left w:w="0" w:type="dxa"/>
              <w:bottom w:w="0" w:type="dxa"/>
              <w:right w:w="0" w:type="dxa"/>
            </w:tcMar>
            <w:vAlign w:val="center"/>
          </w:tcPr>
          <w:p w14:paraId="75AAC35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南</w:t>
            </w:r>
          </w:p>
        </w:tc>
        <w:tc>
          <w:tcPr>
            <w:tcW w:w="232" w:type="pct"/>
            <w:shd w:val="clear" w:color="auto" w:fill="FFFFFF"/>
            <w:tcMar>
              <w:top w:w="0" w:type="dxa"/>
              <w:left w:w="0" w:type="dxa"/>
              <w:bottom w:w="0" w:type="dxa"/>
              <w:right w:w="0" w:type="dxa"/>
            </w:tcMar>
            <w:vAlign w:val="center"/>
          </w:tcPr>
          <w:p w14:paraId="3943CAA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西</w:t>
            </w:r>
          </w:p>
        </w:tc>
        <w:tc>
          <w:tcPr>
            <w:tcW w:w="232" w:type="pct"/>
            <w:shd w:val="clear" w:color="auto" w:fill="FFFFFF"/>
            <w:tcMar>
              <w:top w:w="0" w:type="dxa"/>
              <w:left w:w="0" w:type="dxa"/>
              <w:bottom w:w="0" w:type="dxa"/>
              <w:right w:w="0" w:type="dxa"/>
            </w:tcMar>
            <w:vAlign w:val="center"/>
          </w:tcPr>
          <w:p w14:paraId="24A959A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北</w:t>
            </w:r>
          </w:p>
        </w:tc>
        <w:tc>
          <w:tcPr>
            <w:tcW w:w="201" w:type="pct"/>
            <w:shd w:val="clear" w:color="auto" w:fill="FFFFFF"/>
            <w:tcMar>
              <w:top w:w="0" w:type="dxa"/>
              <w:left w:w="0" w:type="dxa"/>
              <w:bottom w:w="0" w:type="dxa"/>
              <w:right w:w="0" w:type="dxa"/>
            </w:tcMar>
            <w:vAlign w:val="center"/>
          </w:tcPr>
          <w:p w14:paraId="2FB06E6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建筑物外距离</w:t>
            </w:r>
          </w:p>
        </w:tc>
      </w:tr>
      <w:tr w14:paraId="3EFCE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53" w:type="pct"/>
            <w:shd w:val="clear" w:color="auto" w:fill="FFFFFF"/>
            <w:tcMar>
              <w:top w:w="0" w:type="dxa"/>
              <w:left w:w="0" w:type="dxa"/>
              <w:bottom w:w="0" w:type="dxa"/>
              <w:right w:w="0" w:type="dxa"/>
            </w:tcMar>
            <w:vAlign w:val="center"/>
          </w:tcPr>
          <w:p w14:paraId="175ADDF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p>
        </w:tc>
        <w:tc>
          <w:tcPr>
            <w:tcW w:w="225" w:type="pct"/>
            <w:vMerge w:val="restart"/>
            <w:shd w:val="clear" w:color="auto" w:fill="FFFFFF"/>
            <w:tcMar>
              <w:top w:w="0" w:type="dxa"/>
              <w:left w:w="0" w:type="dxa"/>
              <w:bottom w:w="0" w:type="dxa"/>
              <w:right w:w="0" w:type="dxa"/>
            </w:tcMar>
            <w:vAlign w:val="center"/>
          </w:tcPr>
          <w:p w14:paraId="24572F9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医疗废物焚烧车间</w:t>
            </w:r>
          </w:p>
        </w:tc>
        <w:tc>
          <w:tcPr>
            <w:tcW w:w="214" w:type="pct"/>
            <w:shd w:val="clear" w:color="auto" w:fill="FFFFFF"/>
            <w:tcMar>
              <w:top w:w="0" w:type="dxa"/>
              <w:left w:w="0" w:type="dxa"/>
              <w:bottom w:w="0" w:type="dxa"/>
              <w:right w:w="0" w:type="dxa"/>
            </w:tcMar>
            <w:vAlign w:val="center"/>
          </w:tcPr>
          <w:p w14:paraId="2271981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废液泵组</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2台（按点声源组预测）</w:t>
            </w:r>
          </w:p>
        </w:tc>
        <w:tc>
          <w:tcPr>
            <w:tcW w:w="259" w:type="pct"/>
            <w:shd w:val="clear" w:color="auto" w:fill="FFFFFF"/>
            <w:tcMar>
              <w:top w:w="0" w:type="dxa"/>
              <w:left w:w="0" w:type="dxa"/>
              <w:bottom w:w="0" w:type="dxa"/>
              <w:right w:w="0" w:type="dxa"/>
            </w:tcMar>
            <w:vAlign w:val="center"/>
          </w:tcPr>
          <w:p w14:paraId="72489EF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80（等效后：83.0</w:t>
            </w:r>
            <w:r>
              <w:rPr>
                <w:rFonts w:hint="eastAsia" w:ascii="Times New Roman" w:hAnsi="Times New Roman" w:cs="Times New Roman"/>
                <w:szCs w:val="21"/>
                <w:lang w:val="en-US" w:eastAsia="zh-CN"/>
              </w:rPr>
              <w:t>）</w:t>
            </w:r>
          </w:p>
        </w:tc>
        <w:tc>
          <w:tcPr>
            <w:tcW w:w="220" w:type="pct"/>
            <w:vMerge w:val="restart"/>
            <w:shd w:val="clear" w:color="auto" w:fill="FFFFFF"/>
            <w:tcMar>
              <w:top w:w="0" w:type="dxa"/>
              <w:left w:w="0" w:type="dxa"/>
              <w:bottom w:w="0" w:type="dxa"/>
              <w:right w:w="0" w:type="dxa"/>
            </w:tcMar>
            <w:vAlign w:val="center"/>
          </w:tcPr>
          <w:p w14:paraId="401881D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密闭厂房隔声</w:t>
            </w:r>
          </w:p>
        </w:tc>
        <w:tc>
          <w:tcPr>
            <w:tcW w:w="243" w:type="pct"/>
            <w:shd w:val="clear" w:color="auto" w:fill="FFFFFF"/>
            <w:tcMar>
              <w:top w:w="0" w:type="dxa"/>
              <w:left w:w="0" w:type="dxa"/>
              <w:bottom w:w="0" w:type="dxa"/>
              <w:right w:w="0" w:type="dxa"/>
            </w:tcMar>
            <w:vAlign w:val="center"/>
          </w:tcPr>
          <w:p w14:paraId="6A8F0AD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-35.3</w:t>
            </w:r>
          </w:p>
        </w:tc>
        <w:tc>
          <w:tcPr>
            <w:tcW w:w="243" w:type="pct"/>
            <w:shd w:val="clear" w:color="auto" w:fill="FFFFFF"/>
            <w:tcMar>
              <w:top w:w="0" w:type="dxa"/>
              <w:left w:w="0" w:type="dxa"/>
              <w:bottom w:w="0" w:type="dxa"/>
              <w:right w:w="0" w:type="dxa"/>
            </w:tcMar>
            <w:vAlign w:val="center"/>
          </w:tcPr>
          <w:p w14:paraId="3CF9F47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39.6</w:t>
            </w:r>
          </w:p>
        </w:tc>
        <w:tc>
          <w:tcPr>
            <w:tcW w:w="243" w:type="pct"/>
            <w:shd w:val="clear" w:color="auto" w:fill="FFFFFF"/>
            <w:tcMar>
              <w:top w:w="0" w:type="dxa"/>
              <w:left w:w="0" w:type="dxa"/>
              <w:bottom w:w="0" w:type="dxa"/>
              <w:right w:w="0" w:type="dxa"/>
            </w:tcMar>
            <w:vAlign w:val="center"/>
          </w:tcPr>
          <w:p w14:paraId="3F515C1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1.2</w:t>
            </w:r>
          </w:p>
        </w:tc>
        <w:tc>
          <w:tcPr>
            <w:tcW w:w="201" w:type="pct"/>
            <w:shd w:val="clear" w:color="auto" w:fill="FFFFFF"/>
            <w:tcMar>
              <w:top w:w="0" w:type="dxa"/>
              <w:left w:w="0" w:type="dxa"/>
              <w:bottom w:w="0" w:type="dxa"/>
              <w:right w:w="0" w:type="dxa"/>
            </w:tcMar>
            <w:vAlign w:val="center"/>
          </w:tcPr>
          <w:p w14:paraId="05C7F17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6.7</w:t>
            </w:r>
          </w:p>
        </w:tc>
        <w:tc>
          <w:tcPr>
            <w:tcW w:w="201" w:type="pct"/>
            <w:shd w:val="clear" w:color="auto" w:fill="FFFFFF"/>
            <w:tcMar>
              <w:top w:w="0" w:type="dxa"/>
              <w:left w:w="0" w:type="dxa"/>
              <w:bottom w:w="0" w:type="dxa"/>
              <w:right w:w="0" w:type="dxa"/>
            </w:tcMar>
            <w:vAlign w:val="center"/>
          </w:tcPr>
          <w:p w14:paraId="787AECA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71.9</w:t>
            </w:r>
          </w:p>
        </w:tc>
        <w:tc>
          <w:tcPr>
            <w:tcW w:w="201" w:type="pct"/>
            <w:shd w:val="clear" w:color="auto" w:fill="FFFFFF"/>
            <w:tcMar>
              <w:top w:w="0" w:type="dxa"/>
              <w:left w:w="0" w:type="dxa"/>
              <w:bottom w:w="0" w:type="dxa"/>
              <w:right w:w="0" w:type="dxa"/>
            </w:tcMar>
            <w:vAlign w:val="center"/>
          </w:tcPr>
          <w:p w14:paraId="52FF71C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6.5</w:t>
            </w:r>
          </w:p>
        </w:tc>
        <w:tc>
          <w:tcPr>
            <w:tcW w:w="203" w:type="pct"/>
            <w:shd w:val="clear" w:color="auto" w:fill="FFFFFF"/>
            <w:tcMar>
              <w:top w:w="0" w:type="dxa"/>
              <w:left w:w="0" w:type="dxa"/>
              <w:bottom w:w="0" w:type="dxa"/>
              <w:right w:w="0" w:type="dxa"/>
            </w:tcMar>
            <w:vAlign w:val="center"/>
          </w:tcPr>
          <w:p w14:paraId="148E4A4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13.8</w:t>
            </w:r>
          </w:p>
        </w:tc>
        <w:tc>
          <w:tcPr>
            <w:tcW w:w="199" w:type="pct"/>
            <w:shd w:val="clear" w:color="auto" w:fill="FFFFFF"/>
            <w:tcMar>
              <w:top w:w="0" w:type="dxa"/>
              <w:left w:w="0" w:type="dxa"/>
              <w:bottom w:w="0" w:type="dxa"/>
              <w:right w:w="0" w:type="dxa"/>
            </w:tcMar>
            <w:vAlign w:val="center"/>
          </w:tcPr>
          <w:p w14:paraId="4E98D28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66.9</w:t>
            </w:r>
          </w:p>
        </w:tc>
        <w:tc>
          <w:tcPr>
            <w:tcW w:w="199" w:type="pct"/>
            <w:shd w:val="clear" w:color="auto" w:fill="FFFFFF"/>
            <w:tcMar>
              <w:top w:w="0" w:type="dxa"/>
              <w:left w:w="0" w:type="dxa"/>
              <w:bottom w:w="0" w:type="dxa"/>
              <w:right w:w="0" w:type="dxa"/>
            </w:tcMar>
            <w:vAlign w:val="center"/>
          </w:tcPr>
          <w:p w14:paraId="0782299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66.5</w:t>
            </w:r>
          </w:p>
        </w:tc>
        <w:tc>
          <w:tcPr>
            <w:tcW w:w="199" w:type="pct"/>
            <w:shd w:val="clear" w:color="auto" w:fill="FFFFFF"/>
            <w:tcMar>
              <w:top w:w="0" w:type="dxa"/>
              <w:left w:w="0" w:type="dxa"/>
              <w:bottom w:w="0" w:type="dxa"/>
              <w:right w:w="0" w:type="dxa"/>
            </w:tcMar>
            <w:vAlign w:val="center"/>
          </w:tcPr>
          <w:p w14:paraId="6FFFA15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66.9</w:t>
            </w:r>
          </w:p>
        </w:tc>
        <w:tc>
          <w:tcPr>
            <w:tcW w:w="202" w:type="pct"/>
            <w:shd w:val="clear" w:color="auto" w:fill="FFFFFF"/>
            <w:tcMar>
              <w:top w:w="0" w:type="dxa"/>
              <w:left w:w="0" w:type="dxa"/>
              <w:bottom w:w="0" w:type="dxa"/>
              <w:right w:w="0" w:type="dxa"/>
            </w:tcMar>
            <w:vAlign w:val="center"/>
          </w:tcPr>
          <w:p w14:paraId="11D3F06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66.6</w:t>
            </w:r>
          </w:p>
        </w:tc>
        <w:tc>
          <w:tcPr>
            <w:tcW w:w="172" w:type="pct"/>
            <w:shd w:val="clear" w:color="auto" w:fill="FFFFFF"/>
            <w:tcMar>
              <w:top w:w="0" w:type="dxa"/>
              <w:left w:w="0" w:type="dxa"/>
              <w:bottom w:w="0" w:type="dxa"/>
              <w:right w:w="0" w:type="dxa"/>
            </w:tcMar>
            <w:vAlign w:val="center"/>
          </w:tcPr>
          <w:p w14:paraId="2292DEB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24.0</w:t>
            </w:r>
          </w:p>
        </w:tc>
        <w:tc>
          <w:tcPr>
            <w:tcW w:w="265" w:type="pct"/>
            <w:vMerge w:val="restart"/>
            <w:shd w:val="clear" w:color="auto" w:fill="FFFFFF"/>
            <w:tcMar>
              <w:top w:w="0" w:type="dxa"/>
              <w:left w:w="0" w:type="dxa"/>
              <w:bottom w:w="0" w:type="dxa"/>
              <w:right w:w="0" w:type="dxa"/>
            </w:tcMar>
            <w:vAlign w:val="center"/>
          </w:tcPr>
          <w:p w14:paraId="0448242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26</w:t>
            </w:r>
          </w:p>
        </w:tc>
        <w:tc>
          <w:tcPr>
            <w:tcW w:w="217" w:type="pct"/>
            <w:shd w:val="clear" w:color="auto" w:fill="FFFFFF"/>
            <w:tcMar>
              <w:top w:w="0" w:type="dxa"/>
              <w:left w:w="0" w:type="dxa"/>
              <w:bottom w:w="0" w:type="dxa"/>
              <w:right w:w="0" w:type="dxa"/>
            </w:tcMar>
            <w:vAlign w:val="center"/>
          </w:tcPr>
          <w:p w14:paraId="782C561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40.9</w:t>
            </w:r>
          </w:p>
        </w:tc>
        <w:tc>
          <w:tcPr>
            <w:tcW w:w="260" w:type="pct"/>
            <w:shd w:val="clear" w:color="auto" w:fill="FFFFFF"/>
            <w:tcMar>
              <w:top w:w="0" w:type="dxa"/>
              <w:left w:w="0" w:type="dxa"/>
              <w:bottom w:w="0" w:type="dxa"/>
              <w:right w:w="0" w:type="dxa"/>
            </w:tcMar>
            <w:vAlign w:val="center"/>
          </w:tcPr>
          <w:p w14:paraId="63EE5BF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40.5</w:t>
            </w:r>
          </w:p>
        </w:tc>
        <w:tc>
          <w:tcPr>
            <w:tcW w:w="232" w:type="pct"/>
            <w:shd w:val="clear" w:color="auto" w:fill="FFFFFF"/>
            <w:tcMar>
              <w:top w:w="0" w:type="dxa"/>
              <w:left w:w="0" w:type="dxa"/>
              <w:bottom w:w="0" w:type="dxa"/>
              <w:right w:w="0" w:type="dxa"/>
            </w:tcMar>
            <w:vAlign w:val="center"/>
          </w:tcPr>
          <w:p w14:paraId="2158144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40.9</w:t>
            </w:r>
          </w:p>
        </w:tc>
        <w:tc>
          <w:tcPr>
            <w:tcW w:w="232" w:type="pct"/>
            <w:shd w:val="clear" w:color="auto" w:fill="FFFFFF"/>
            <w:tcMar>
              <w:top w:w="0" w:type="dxa"/>
              <w:left w:w="0" w:type="dxa"/>
              <w:bottom w:w="0" w:type="dxa"/>
              <w:right w:w="0" w:type="dxa"/>
            </w:tcMar>
            <w:vAlign w:val="center"/>
          </w:tcPr>
          <w:p w14:paraId="29513FE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40.6</w:t>
            </w:r>
          </w:p>
        </w:tc>
        <w:tc>
          <w:tcPr>
            <w:tcW w:w="201" w:type="pct"/>
            <w:shd w:val="clear" w:color="auto" w:fill="FFFFFF"/>
            <w:tcMar>
              <w:top w:w="0" w:type="dxa"/>
              <w:left w:w="0" w:type="dxa"/>
              <w:bottom w:w="0" w:type="dxa"/>
              <w:right w:w="0" w:type="dxa"/>
            </w:tcMar>
            <w:vAlign w:val="center"/>
          </w:tcPr>
          <w:p w14:paraId="1B3C6B5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p>
        </w:tc>
      </w:tr>
      <w:tr w14:paraId="57DB0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53" w:type="pct"/>
            <w:shd w:val="clear" w:color="auto" w:fill="FFFFFF"/>
            <w:tcMar>
              <w:top w:w="0" w:type="dxa"/>
              <w:left w:w="0" w:type="dxa"/>
              <w:bottom w:w="0" w:type="dxa"/>
              <w:right w:w="0" w:type="dxa"/>
            </w:tcMar>
            <w:vAlign w:val="center"/>
          </w:tcPr>
          <w:p w14:paraId="0E97309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w:t>
            </w:r>
          </w:p>
        </w:tc>
        <w:tc>
          <w:tcPr>
            <w:tcW w:w="225" w:type="pct"/>
            <w:vMerge w:val="continue"/>
            <w:shd w:val="clear" w:color="auto" w:fill="FFFFFF"/>
            <w:tcMar>
              <w:top w:w="0" w:type="dxa"/>
              <w:left w:w="0" w:type="dxa"/>
              <w:bottom w:w="0" w:type="dxa"/>
              <w:right w:w="0" w:type="dxa"/>
            </w:tcMar>
            <w:vAlign w:val="center"/>
          </w:tcPr>
          <w:p w14:paraId="0D18B65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14" w:type="pct"/>
            <w:shd w:val="clear" w:color="auto" w:fill="FFFFFF"/>
            <w:tcMar>
              <w:top w:w="0" w:type="dxa"/>
              <w:left w:w="0" w:type="dxa"/>
              <w:bottom w:w="0" w:type="dxa"/>
              <w:right w:w="0" w:type="dxa"/>
            </w:tcMar>
            <w:vAlign w:val="center"/>
          </w:tcPr>
          <w:p w14:paraId="1526602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废液雾化喷枪</w:t>
            </w:r>
          </w:p>
        </w:tc>
        <w:tc>
          <w:tcPr>
            <w:tcW w:w="259" w:type="pct"/>
            <w:shd w:val="clear" w:color="auto" w:fill="FFFFFF"/>
            <w:tcMar>
              <w:top w:w="0" w:type="dxa"/>
              <w:left w:w="0" w:type="dxa"/>
              <w:bottom w:w="0" w:type="dxa"/>
              <w:right w:w="0" w:type="dxa"/>
            </w:tcMar>
            <w:vAlign w:val="center"/>
          </w:tcPr>
          <w:p w14:paraId="1EF5648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70</w:t>
            </w:r>
          </w:p>
        </w:tc>
        <w:tc>
          <w:tcPr>
            <w:tcW w:w="220" w:type="pct"/>
            <w:vMerge w:val="continue"/>
            <w:shd w:val="clear" w:color="auto" w:fill="FFFFFF"/>
            <w:tcMar>
              <w:top w:w="0" w:type="dxa"/>
              <w:left w:w="0" w:type="dxa"/>
              <w:bottom w:w="0" w:type="dxa"/>
              <w:right w:w="0" w:type="dxa"/>
            </w:tcMar>
            <w:vAlign w:val="center"/>
          </w:tcPr>
          <w:p w14:paraId="76BA370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43" w:type="pct"/>
            <w:shd w:val="clear" w:color="auto" w:fill="FFFFFF"/>
            <w:tcMar>
              <w:top w:w="0" w:type="dxa"/>
              <w:left w:w="0" w:type="dxa"/>
              <w:bottom w:w="0" w:type="dxa"/>
              <w:right w:w="0" w:type="dxa"/>
            </w:tcMar>
            <w:vAlign w:val="center"/>
          </w:tcPr>
          <w:p w14:paraId="4E66259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-30.2</w:t>
            </w:r>
          </w:p>
        </w:tc>
        <w:tc>
          <w:tcPr>
            <w:tcW w:w="243" w:type="pct"/>
            <w:shd w:val="clear" w:color="auto" w:fill="FFFFFF"/>
            <w:tcMar>
              <w:top w:w="0" w:type="dxa"/>
              <w:left w:w="0" w:type="dxa"/>
              <w:bottom w:w="0" w:type="dxa"/>
              <w:right w:w="0" w:type="dxa"/>
            </w:tcMar>
            <w:vAlign w:val="center"/>
          </w:tcPr>
          <w:p w14:paraId="3899837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34.5</w:t>
            </w:r>
          </w:p>
        </w:tc>
        <w:tc>
          <w:tcPr>
            <w:tcW w:w="243" w:type="pct"/>
            <w:shd w:val="clear" w:color="auto" w:fill="FFFFFF"/>
            <w:tcMar>
              <w:top w:w="0" w:type="dxa"/>
              <w:left w:w="0" w:type="dxa"/>
              <w:bottom w:w="0" w:type="dxa"/>
              <w:right w:w="0" w:type="dxa"/>
            </w:tcMar>
            <w:vAlign w:val="center"/>
          </w:tcPr>
          <w:p w14:paraId="42C5465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1.2</w:t>
            </w:r>
          </w:p>
        </w:tc>
        <w:tc>
          <w:tcPr>
            <w:tcW w:w="201" w:type="pct"/>
            <w:shd w:val="clear" w:color="auto" w:fill="FFFFFF"/>
            <w:tcMar>
              <w:top w:w="0" w:type="dxa"/>
              <w:left w:w="0" w:type="dxa"/>
              <w:bottom w:w="0" w:type="dxa"/>
              <w:right w:w="0" w:type="dxa"/>
            </w:tcMar>
            <w:vAlign w:val="center"/>
          </w:tcPr>
          <w:p w14:paraId="5BB177B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5.3</w:t>
            </w:r>
          </w:p>
        </w:tc>
        <w:tc>
          <w:tcPr>
            <w:tcW w:w="201" w:type="pct"/>
            <w:shd w:val="clear" w:color="auto" w:fill="FFFFFF"/>
            <w:tcMar>
              <w:top w:w="0" w:type="dxa"/>
              <w:left w:w="0" w:type="dxa"/>
              <w:bottom w:w="0" w:type="dxa"/>
              <w:right w:w="0" w:type="dxa"/>
            </w:tcMar>
            <w:vAlign w:val="center"/>
          </w:tcPr>
          <w:p w14:paraId="3E5D651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64.9</w:t>
            </w:r>
          </w:p>
        </w:tc>
        <w:tc>
          <w:tcPr>
            <w:tcW w:w="201" w:type="pct"/>
            <w:shd w:val="clear" w:color="auto" w:fill="FFFFFF"/>
            <w:tcMar>
              <w:top w:w="0" w:type="dxa"/>
              <w:left w:w="0" w:type="dxa"/>
              <w:bottom w:w="0" w:type="dxa"/>
              <w:right w:w="0" w:type="dxa"/>
            </w:tcMar>
            <w:vAlign w:val="center"/>
          </w:tcPr>
          <w:p w14:paraId="178CE27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7.9</w:t>
            </w:r>
          </w:p>
        </w:tc>
        <w:tc>
          <w:tcPr>
            <w:tcW w:w="203" w:type="pct"/>
            <w:shd w:val="clear" w:color="auto" w:fill="FFFFFF"/>
            <w:tcMar>
              <w:top w:w="0" w:type="dxa"/>
              <w:left w:w="0" w:type="dxa"/>
              <w:bottom w:w="0" w:type="dxa"/>
              <w:right w:w="0" w:type="dxa"/>
            </w:tcMar>
            <w:vAlign w:val="center"/>
          </w:tcPr>
          <w:p w14:paraId="097898B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20.9</w:t>
            </w:r>
          </w:p>
        </w:tc>
        <w:tc>
          <w:tcPr>
            <w:tcW w:w="199" w:type="pct"/>
            <w:shd w:val="clear" w:color="auto" w:fill="FFFFFF"/>
            <w:tcMar>
              <w:top w:w="0" w:type="dxa"/>
              <w:left w:w="0" w:type="dxa"/>
              <w:bottom w:w="0" w:type="dxa"/>
              <w:right w:w="0" w:type="dxa"/>
            </w:tcMar>
            <w:vAlign w:val="center"/>
          </w:tcPr>
          <w:p w14:paraId="30B0ADA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54.1</w:t>
            </w:r>
          </w:p>
        </w:tc>
        <w:tc>
          <w:tcPr>
            <w:tcW w:w="199" w:type="pct"/>
            <w:shd w:val="clear" w:color="auto" w:fill="FFFFFF"/>
            <w:tcMar>
              <w:top w:w="0" w:type="dxa"/>
              <w:left w:w="0" w:type="dxa"/>
              <w:bottom w:w="0" w:type="dxa"/>
              <w:right w:w="0" w:type="dxa"/>
            </w:tcMar>
            <w:vAlign w:val="center"/>
          </w:tcPr>
          <w:p w14:paraId="736031A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53.5</w:t>
            </w:r>
          </w:p>
        </w:tc>
        <w:tc>
          <w:tcPr>
            <w:tcW w:w="199" w:type="pct"/>
            <w:shd w:val="clear" w:color="auto" w:fill="FFFFFF"/>
            <w:tcMar>
              <w:top w:w="0" w:type="dxa"/>
              <w:left w:w="0" w:type="dxa"/>
              <w:bottom w:w="0" w:type="dxa"/>
              <w:right w:w="0" w:type="dxa"/>
            </w:tcMar>
            <w:vAlign w:val="center"/>
          </w:tcPr>
          <w:p w14:paraId="37B7DDF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53.8</w:t>
            </w:r>
          </w:p>
        </w:tc>
        <w:tc>
          <w:tcPr>
            <w:tcW w:w="202" w:type="pct"/>
            <w:shd w:val="clear" w:color="auto" w:fill="FFFFFF"/>
            <w:tcMar>
              <w:top w:w="0" w:type="dxa"/>
              <w:left w:w="0" w:type="dxa"/>
              <w:bottom w:w="0" w:type="dxa"/>
              <w:right w:w="0" w:type="dxa"/>
            </w:tcMar>
            <w:vAlign w:val="center"/>
          </w:tcPr>
          <w:p w14:paraId="58832B6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53.6</w:t>
            </w:r>
          </w:p>
        </w:tc>
        <w:tc>
          <w:tcPr>
            <w:tcW w:w="172" w:type="pct"/>
            <w:shd w:val="clear" w:color="auto" w:fill="FFFFFF"/>
            <w:tcMar>
              <w:top w:w="0" w:type="dxa"/>
              <w:left w:w="0" w:type="dxa"/>
              <w:bottom w:w="0" w:type="dxa"/>
              <w:right w:w="0" w:type="dxa"/>
            </w:tcMar>
            <w:vAlign w:val="center"/>
          </w:tcPr>
          <w:p w14:paraId="7DC36E5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24.0</w:t>
            </w:r>
          </w:p>
        </w:tc>
        <w:tc>
          <w:tcPr>
            <w:tcW w:w="265" w:type="pct"/>
            <w:vMerge w:val="continue"/>
            <w:shd w:val="clear" w:color="auto" w:fill="FFFFFF"/>
            <w:tcMar>
              <w:top w:w="0" w:type="dxa"/>
              <w:left w:w="0" w:type="dxa"/>
              <w:bottom w:w="0" w:type="dxa"/>
              <w:right w:w="0" w:type="dxa"/>
            </w:tcMar>
            <w:vAlign w:val="center"/>
          </w:tcPr>
          <w:p w14:paraId="568E163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17" w:type="pct"/>
            <w:shd w:val="clear" w:color="auto" w:fill="FFFFFF"/>
            <w:tcMar>
              <w:top w:w="0" w:type="dxa"/>
              <w:left w:w="0" w:type="dxa"/>
              <w:bottom w:w="0" w:type="dxa"/>
              <w:right w:w="0" w:type="dxa"/>
            </w:tcMar>
            <w:vAlign w:val="center"/>
          </w:tcPr>
          <w:p w14:paraId="647C235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28.1</w:t>
            </w:r>
          </w:p>
        </w:tc>
        <w:tc>
          <w:tcPr>
            <w:tcW w:w="260" w:type="pct"/>
            <w:shd w:val="clear" w:color="auto" w:fill="FFFFFF"/>
            <w:tcMar>
              <w:top w:w="0" w:type="dxa"/>
              <w:left w:w="0" w:type="dxa"/>
              <w:bottom w:w="0" w:type="dxa"/>
              <w:right w:w="0" w:type="dxa"/>
            </w:tcMar>
            <w:vAlign w:val="center"/>
          </w:tcPr>
          <w:p w14:paraId="17D547B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27.5</w:t>
            </w:r>
          </w:p>
        </w:tc>
        <w:tc>
          <w:tcPr>
            <w:tcW w:w="232" w:type="pct"/>
            <w:shd w:val="clear" w:color="auto" w:fill="FFFFFF"/>
            <w:tcMar>
              <w:top w:w="0" w:type="dxa"/>
              <w:left w:w="0" w:type="dxa"/>
              <w:bottom w:w="0" w:type="dxa"/>
              <w:right w:w="0" w:type="dxa"/>
            </w:tcMar>
            <w:vAlign w:val="center"/>
          </w:tcPr>
          <w:p w14:paraId="45A24C0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27.8</w:t>
            </w:r>
          </w:p>
        </w:tc>
        <w:tc>
          <w:tcPr>
            <w:tcW w:w="232" w:type="pct"/>
            <w:shd w:val="clear" w:color="auto" w:fill="FFFFFF"/>
            <w:tcMar>
              <w:top w:w="0" w:type="dxa"/>
              <w:left w:w="0" w:type="dxa"/>
              <w:bottom w:w="0" w:type="dxa"/>
              <w:right w:w="0" w:type="dxa"/>
            </w:tcMar>
            <w:vAlign w:val="center"/>
          </w:tcPr>
          <w:p w14:paraId="2A03D8A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27.6</w:t>
            </w:r>
          </w:p>
        </w:tc>
        <w:tc>
          <w:tcPr>
            <w:tcW w:w="201" w:type="pct"/>
            <w:shd w:val="clear" w:color="auto" w:fill="FFFFFF"/>
            <w:tcMar>
              <w:top w:w="0" w:type="dxa"/>
              <w:left w:w="0" w:type="dxa"/>
              <w:bottom w:w="0" w:type="dxa"/>
              <w:right w:w="0" w:type="dxa"/>
            </w:tcMar>
            <w:vAlign w:val="center"/>
          </w:tcPr>
          <w:p w14:paraId="3CAEAD6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p>
        </w:tc>
      </w:tr>
      <w:tr w14:paraId="6B821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53" w:type="pct"/>
            <w:shd w:val="clear" w:color="auto" w:fill="FFFFFF"/>
            <w:tcMar>
              <w:top w:w="0" w:type="dxa"/>
              <w:left w:w="0" w:type="dxa"/>
              <w:bottom w:w="0" w:type="dxa"/>
              <w:right w:w="0" w:type="dxa"/>
            </w:tcMar>
            <w:vAlign w:val="center"/>
          </w:tcPr>
          <w:p w14:paraId="4C54E76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w:t>
            </w:r>
          </w:p>
        </w:tc>
        <w:tc>
          <w:tcPr>
            <w:tcW w:w="225" w:type="pct"/>
            <w:vMerge w:val="continue"/>
            <w:shd w:val="clear" w:color="auto" w:fill="FFFFFF"/>
            <w:tcMar>
              <w:top w:w="0" w:type="dxa"/>
              <w:left w:w="0" w:type="dxa"/>
              <w:bottom w:w="0" w:type="dxa"/>
              <w:right w:w="0" w:type="dxa"/>
            </w:tcMar>
            <w:vAlign w:val="center"/>
          </w:tcPr>
          <w:p w14:paraId="4EEC43F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14" w:type="pct"/>
            <w:shd w:val="clear" w:color="auto" w:fill="FFFFFF"/>
            <w:tcMar>
              <w:top w:w="0" w:type="dxa"/>
              <w:left w:w="0" w:type="dxa"/>
              <w:bottom w:w="0" w:type="dxa"/>
              <w:right w:w="0" w:type="dxa"/>
            </w:tcMar>
            <w:vAlign w:val="center"/>
          </w:tcPr>
          <w:p w14:paraId="0AB51DD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补氧风机</w:t>
            </w:r>
          </w:p>
        </w:tc>
        <w:tc>
          <w:tcPr>
            <w:tcW w:w="259" w:type="pct"/>
            <w:shd w:val="clear" w:color="auto" w:fill="FFFFFF"/>
            <w:tcMar>
              <w:top w:w="0" w:type="dxa"/>
              <w:left w:w="0" w:type="dxa"/>
              <w:bottom w:w="0" w:type="dxa"/>
              <w:right w:w="0" w:type="dxa"/>
            </w:tcMar>
            <w:vAlign w:val="center"/>
          </w:tcPr>
          <w:p w14:paraId="1219A6E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75</w:t>
            </w:r>
          </w:p>
        </w:tc>
        <w:tc>
          <w:tcPr>
            <w:tcW w:w="220" w:type="pct"/>
            <w:vMerge w:val="continue"/>
            <w:shd w:val="clear" w:color="auto" w:fill="FFFFFF"/>
            <w:tcMar>
              <w:top w:w="0" w:type="dxa"/>
              <w:left w:w="0" w:type="dxa"/>
              <w:bottom w:w="0" w:type="dxa"/>
              <w:right w:w="0" w:type="dxa"/>
            </w:tcMar>
            <w:vAlign w:val="center"/>
          </w:tcPr>
          <w:p w14:paraId="434789A5">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43" w:type="pct"/>
            <w:shd w:val="clear" w:color="auto" w:fill="FFFFFF"/>
            <w:tcMar>
              <w:top w:w="0" w:type="dxa"/>
              <w:left w:w="0" w:type="dxa"/>
              <w:bottom w:w="0" w:type="dxa"/>
              <w:right w:w="0" w:type="dxa"/>
            </w:tcMar>
            <w:vAlign w:val="center"/>
          </w:tcPr>
          <w:p w14:paraId="3C77654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-27.4</w:t>
            </w:r>
          </w:p>
        </w:tc>
        <w:tc>
          <w:tcPr>
            <w:tcW w:w="243" w:type="pct"/>
            <w:shd w:val="clear" w:color="auto" w:fill="FFFFFF"/>
            <w:tcMar>
              <w:top w:w="0" w:type="dxa"/>
              <w:left w:w="0" w:type="dxa"/>
              <w:bottom w:w="0" w:type="dxa"/>
              <w:right w:w="0" w:type="dxa"/>
            </w:tcMar>
            <w:vAlign w:val="center"/>
          </w:tcPr>
          <w:p w14:paraId="4403353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26.5</w:t>
            </w:r>
          </w:p>
        </w:tc>
        <w:tc>
          <w:tcPr>
            <w:tcW w:w="243" w:type="pct"/>
            <w:shd w:val="clear" w:color="auto" w:fill="FFFFFF"/>
            <w:tcMar>
              <w:top w:w="0" w:type="dxa"/>
              <w:left w:w="0" w:type="dxa"/>
              <w:bottom w:w="0" w:type="dxa"/>
              <w:right w:w="0" w:type="dxa"/>
            </w:tcMar>
            <w:vAlign w:val="center"/>
          </w:tcPr>
          <w:p w14:paraId="3E477A4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1.2</w:t>
            </w:r>
          </w:p>
        </w:tc>
        <w:tc>
          <w:tcPr>
            <w:tcW w:w="201" w:type="pct"/>
            <w:shd w:val="clear" w:color="auto" w:fill="FFFFFF"/>
            <w:tcMar>
              <w:top w:w="0" w:type="dxa"/>
              <w:left w:w="0" w:type="dxa"/>
              <w:bottom w:w="0" w:type="dxa"/>
              <w:right w:w="0" w:type="dxa"/>
            </w:tcMar>
            <w:vAlign w:val="center"/>
          </w:tcPr>
          <w:p w14:paraId="7506118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7.4</w:t>
            </w:r>
          </w:p>
        </w:tc>
        <w:tc>
          <w:tcPr>
            <w:tcW w:w="201" w:type="pct"/>
            <w:shd w:val="clear" w:color="auto" w:fill="FFFFFF"/>
            <w:tcMar>
              <w:top w:w="0" w:type="dxa"/>
              <w:left w:w="0" w:type="dxa"/>
              <w:bottom w:w="0" w:type="dxa"/>
              <w:right w:w="0" w:type="dxa"/>
            </w:tcMar>
            <w:vAlign w:val="center"/>
          </w:tcPr>
          <w:p w14:paraId="575BF2E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56.6</w:t>
            </w:r>
          </w:p>
        </w:tc>
        <w:tc>
          <w:tcPr>
            <w:tcW w:w="201" w:type="pct"/>
            <w:shd w:val="clear" w:color="auto" w:fill="FFFFFF"/>
            <w:tcMar>
              <w:top w:w="0" w:type="dxa"/>
              <w:left w:w="0" w:type="dxa"/>
              <w:bottom w:w="0" w:type="dxa"/>
              <w:right w:w="0" w:type="dxa"/>
            </w:tcMar>
            <w:vAlign w:val="center"/>
          </w:tcPr>
          <w:p w14:paraId="2701099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5.7</w:t>
            </w:r>
          </w:p>
        </w:tc>
        <w:tc>
          <w:tcPr>
            <w:tcW w:w="203" w:type="pct"/>
            <w:shd w:val="clear" w:color="auto" w:fill="FFFFFF"/>
            <w:tcMar>
              <w:top w:w="0" w:type="dxa"/>
              <w:left w:w="0" w:type="dxa"/>
              <w:bottom w:w="0" w:type="dxa"/>
              <w:right w:w="0" w:type="dxa"/>
            </w:tcMar>
            <w:vAlign w:val="center"/>
          </w:tcPr>
          <w:p w14:paraId="5CD046E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29.2</w:t>
            </w:r>
          </w:p>
        </w:tc>
        <w:tc>
          <w:tcPr>
            <w:tcW w:w="199" w:type="pct"/>
            <w:shd w:val="clear" w:color="auto" w:fill="FFFFFF"/>
            <w:tcMar>
              <w:top w:w="0" w:type="dxa"/>
              <w:left w:w="0" w:type="dxa"/>
              <w:bottom w:w="0" w:type="dxa"/>
              <w:right w:w="0" w:type="dxa"/>
            </w:tcMar>
            <w:vAlign w:val="center"/>
          </w:tcPr>
          <w:p w14:paraId="0431356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58.8</w:t>
            </w:r>
          </w:p>
        </w:tc>
        <w:tc>
          <w:tcPr>
            <w:tcW w:w="199" w:type="pct"/>
            <w:shd w:val="clear" w:color="auto" w:fill="FFFFFF"/>
            <w:tcMar>
              <w:top w:w="0" w:type="dxa"/>
              <w:left w:w="0" w:type="dxa"/>
              <w:bottom w:w="0" w:type="dxa"/>
              <w:right w:w="0" w:type="dxa"/>
            </w:tcMar>
            <w:vAlign w:val="center"/>
          </w:tcPr>
          <w:p w14:paraId="2C436BC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58.5</w:t>
            </w:r>
          </w:p>
        </w:tc>
        <w:tc>
          <w:tcPr>
            <w:tcW w:w="199" w:type="pct"/>
            <w:shd w:val="clear" w:color="auto" w:fill="FFFFFF"/>
            <w:tcMar>
              <w:top w:w="0" w:type="dxa"/>
              <w:left w:w="0" w:type="dxa"/>
              <w:bottom w:w="0" w:type="dxa"/>
              <w:right w:w="0" w:type="dxa"/>
            </w:tcMar>
            <w:vAlign w:val="center"/>
          </w:tcPr>
          <w:p w14:paraId="53D4BA7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59.0</w:t>
            </w:r>
          </w:p>
        </w:tc>
        <w:tc>
          <w:tcPr>
            <w:tcW w:w="202" w:type="pct"/>
            <w:shd w:val="clear" w:color="auto" w:fill="FFFFFF"/>
            <w:tcMar>
              <w:top w:w="0" w:type="dxa"/>
              <w:left w:w="0" w:type="dxa"/>
              <w:bottom w:w="0" w:type="dxa"/>
              <w:right w:w="0" w:type="dxa"/>
            </w:tcMar>
            <w:vAlign w:val="center"/>
          </w:tcPr>
          <w:p w14:paraId="5775814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58.6</w:t>
            </w:r>
          </w:p>
        </w:tc>
        <w:tc>
          <w:tcPr>
            <w:tcW w:w="172" w:type="pct"/>
            <w:shd w:val="clear" w:color="auto" w:fill="FFFFFF"/>
            <w:tcMar>
              <w:top w:w="0" w:type="dxa"/>
              <w:left w:w="0" w:type="dxa"/>
              <w:bottom w:w="0" w:type="dxa"/>
              <w:right w:w="0" w:type="dxa"/>
            </w:tcMar>
            <w:vAlign w:val="center"/>
          </w:tcPr>
          <w:p w14:paraId="45213F4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24.0</w:t>
            </w:r>
          </w:p>
        </w:tc>
        <w:tc>
          <w:tcPr>
            <w:tcW w:w="265" w:type="pct"/>
            <w:vMerge w:val="continue"/>
            <w:shd w:val="clear" w:color="auto" w:fill="FFFFFF"/>
            <w:tcMar>
              <w:top w:w="0" w:type="dxa"/>
              <w:left w:w="0" w:type="dxa"/>
              <w:bottom w:w="0" w:type="dxa"/>
              <w:right w:w="0" w:type="dxa"/>
            </w:tcMar>
            <w:vAlign w:val="center"/>
          </w:tcPr>
          <w:p w14:paraId="50473F8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17" w:type="pct"/>
            <w:shd w:val="clear" w:color="auto" w:fill="FFFFFF"/>
            <w:tcMar>
              <w:top w:w="0" w:type="dxa"/>
              <w:left w:w="0" w:type="dxa"/>
              <w:bottom w:w="0" w:type="dxa"/>
              <w:right w:w="0" w:type="dxa"/>
            </w:tcMar>
            <w:vAlign w:val="center"/>
          </w:tcPr>
          <w:p w14:paraId="18E6502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32.8</w:t>
            </w:r>
          </w:p>
        </w:tc>
        <w:tc>
          <w:tcPr>
            <w:tcW w:w="260" w:type="pct"/>
            <w:shd w:val="clear" w:color="auto" w:fill="FFFFFF"/>
            <w:tcMar>
              <w:top w:w="0" w:type="dxa"/>
              <w:left w:w="0" w:type="dxa"/>
              <w:bottom w:w="0" w:type="dxa"/>
              <w:right w:w="0" w:type="dxa"/>
            </w:tcMar>
            <w:vAlign w:val="center"/>
          </w:tcPr>
          <w:p w14:paraId="5A8E514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32.5</w:t>
            </w:r>
          </w:p>
        </w:tc>
        <w:tc>
          <w:tcPr>
            <w:tcW w:w="232" w:type="pct"/>
            <w:shd w:val="clear" w:color="auto" w:fill="FFFFFF"/>
            <w:tcMar>
              <w:top w:w="0" w:type="dxa"/>
              <w:left w:w="0" w:type="dxa"/>
              <w:bottom w:w="0" w:type="dxa"/>
              <w:right w:w="0" w:type="dxa"/>
            </w:tcMar>
            <w:vAlign w:val="center"/>
          </w:tcPr>
          <w:p w14:paraId="0F79EFD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33.0</w:t>
            </w:r>
          </w:p>
        </w:tc>
        <w:tc>
          <w:tcPr>
            <w:tcW w:w="232" w:type="pct"/>
            <w:shd w:val="clear" w:color="auto" w:fill="FFFFFF"/>
            <w:tcMar>
              <w:top w:w="0" w:type="dxa"/>
              <w:left w:w="0" w:type="dxa"/>
              <w:bottom w:w="0" w:type="dxa"/>
              <w:right w:w="0" w:type="dxa"/>
            </w:tcMar>
            <w:vAlign w:val="center"/>
          </w:tcPr>
          <w:p w14:paraId="32BFC46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32.6</w:t>
            </w:r>
          </w:p>
        </w:tc>
        <w:tc>
          <w:tcPr>
            <w:tcW w:w="201" w:type="pct"/>
            <w:shd w:val="clear" w:color="auto" w:fill="FFFFFF"/>
            <w:tcMar>
              <w:top w:w="0" w:type="dxa"/>
              <w:left w:w="0" w:type="dxa"/>
              <w:bottom w:w="0" w:type="dxa"/>
              <w:right w:w="0" w:type="dxa"/>
            </w:tcMar>
            <w:vAlign w:val="center"/>
          </w:tcPr>
          <w:p w14:paraId="39A9016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p>
        </w:tc>
      </w:tr>
      <w:tr w14:paraId="73539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53" w:type="pct"/>
            <w:shd w:val="clear" w:color="auto" w:fill="FFFFFF"/>
            <w:tcMar>
              <w:top w:w="0" w:type="dxa"/>
              <w:left w:w="0" w:type="dxa"/>
              <w:bottom w:w="0" w:type="dxa"/>
              <w:right w:w="0" w:type="dxa"/>
            </w:tcMar>
            <w:vAlign w:val="center"/>
          </w:tcPr>
          <w:p w14:paraId="47A73D8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w:t>
            </w:r>
          </w:p>
        </w:tc>
        <w:tc>
          <w:tcPr>
            <w:tcW w:w="225" w:type="pct"/>
            <w:vMerge w:val="continue"/>
            <w:shd w:val="clear" w:color="auto" w:fill="FFFFFF"/>
            <w:tcMar>
              <w:top w:w="0" w:type="dxa"/>
              <w:left w:w="0" w:type="dxa"/>
              <w:bottom w:w="0" w:type="dxa"/>
              <w:right w:w="0" w:type="dxa"/>
            </w:tcMar>
            <w:vAlign w:val="center"/>
          </w:tcPr>
          <w:p w14:paraId="74525D6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14" w:type="pct"/>
            <w:shd w:val="clear" w:color="auto" w:fill="FFFFFF"/>
            <w:tcMar>
              <w:top w:w="0" w:type="dxa"/>
              <w:left w:w="0" w:type="dxa"/>
              <w:bottom w:w="0" w:type="dxa"/>
              <w:right w:w="0" w:type="dxa"/>
            </w:tcMar>
            <w:vAlign w:val="center"/>
          </w:tcPr>
          <w:p w14:paraId="39ECC61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尿素泵</w:t>
            </w:r>
          </w:p>
        </w:tc>
        <w:tc>
          <w:tcPr>
            <w:tcW w:w="259" w:type="pct"/>
            <w:shd w:val="clear" w:color="auto" w:fill="FFFFFF"/>
            <w:tcMar>
              <w:top w:w="0" w:type="dxa"/>
              <w:left w:w="0" w:type="dxa"/>
              <w:bottom w:w="0" w:type="dxa"/>
              <w:right w:w="0" w:type="dxa"/>
            </w:tcMar>
            <w:vAlign w:val="center"/>
          </w:tcPr>
          <w:p w14:paraId="21C2D0D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80</w:t>
            </w:r>
          </w:p>
        </w:tc>
        <w:tc>
          <w:tcPr>
            <w:tcW w:w="220" w:type="pct"/>
            <w:vMerge w:val="continue"/>
            <w:shd w:val="clear" w:color="auto" w:fill="FFFFFF"/>
            <w:tcMar>
              <w:top w:w="0" w:type="dxa"/>
              <w:left w:w="0" w:type="dxa"/>
              <w:bottom w:w="0" w:type="dxa"/>
              <w:right w:w="0" w:type="dxa"/>
            </w:tcMar>
            <w:vAlign w:val="center"/>
          </w:tcPr>
          <w:p w14:paraId="14CC1B93">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43" w:type="pct"/>
            <w:shd w:val="clear" w:color="auto" w:fill="FFFFFF"/>
            <w:tcMar>
              <w:top w:w="0" w:type="dxa"/>
              <w:left w:w="0" w:type="dxa"/>
              <w:bottom w:w="0" w:type="dxa"/>
              <w:right w:w="0" w:type="dxa"/>
            </w:tcMar>
            <w:vAlign w:val="center"/>
          </w:tcPr>
          <w:p w14:paraId="6A6885D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-31.1</w:t>
            </w:r>
          </w:p>
        </w:tc>
        <w:tc>
          <w:tcPr>
            <w:tcW w:w="243" w:type="pct"/>
            <w:shd w:val="clear" w:color="auto" w:fill="FFFFFF"/>
            <w:tcMar>
              <w:top w:w="0" w:type="dxa"/>
              <w:left w:w="0" w:type="dxa"/>
              <w:bottom w:w="0" w:type="dxa"/>
              <w:right w:w="0" w:type="dxa"/>
            </w:tcMar>
            <w:vAlign w:val="center"/>
          </w:tcPr>
          <w:p w14:paraId="4342D2F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29.8</w:t>
            </w:r>
          </w:p>
        </w:tc>
        <w:tc>
          <w:tcPr>
            <w:tcW w:w="243" w:type="pct"/>
            <w:shd w:val="clear" w:color="auto" w:fill="FFFFFF"/>
            <w:tcMar>
              <w:top w:w="0" w:type="dxa"/>
              <w:left w:w="0" w:type="dxa"/>
              <w:bottom w:w="0" w:type="dxa"/>
              <w:right w:w="0" w:type="dxa"/>
            </w:tcMar>
            <w:vAlign w:val="center"/>
          </w:tcPr>
          <w:p w14:paraId="79F4FE3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1.2</w:t>
            </w:r>
          </w:p>
        </w:tc>
        <w:tc>
          <w:tcPr>
            <w:tcW w:w="201" w:type="pct"/>
            <w:shd w:val="clear" w:color="auto" w:fill="FFFFFF"/>
            <w:tcMar>
              <w:top w:w="0" w:type="dxa"/>
              <w:left w:w="0" w:type="dxa"/>
              <w:bottom w:w="0" w:type="dxa"/>
              <w:right w:w="0" w:type="dxa"/>
            </w:tcMar>
            <w:vAlign w:val="center"/>
          </w:tcPr>
          <w:p w14:paraId="00C1732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8.6</w:t>
            </w:r>
          </w:p>
        </w:tc>
        <w:tc>
          <w:tcPr>
            <w:tcW w:w="201" w:type="pct"/>
            <w:shd w:val="clear" w:color="auto" w:fill="FFFFFF"/>
            <w:tcMar>
              <w:top w:w="0" w:type="dxa"/>
              <w:left w:w="0" w:type="dxa"/>
              <w:bottom w:w="0" w:type="dxa"/>
              <w:right w:w="0" w:type="dxa"/>
            </w:tcMar>
            <w:vAlign w:val="center"/>
          </w:tcPr>
          <w:p w14:paraId="0C6C466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61.3</w:t>
            </w:r>
          </w:p>
        </w:tc>
        <w:tc>
          <w:tcPr>
            <w:tcW w:w="201" w:type="pct"/>
            <w:shd w:val="clear" w:color="auto" w:fill="FFFFFF"/>
            <w:tcMar>
              <w:top w:w="0" w:type="dxa"/>
              <w:left w:w="0" w:type="dxa"/>
              <w:bottom w:w="0" w:type="dxa"/>
              <w:right w:w="0" w:type="dxa"/>
            </w:tcMar>
            <w:vAlign w:val="center"/>
          </w:tcPr>
          <w:p w14:paraId="6EC3D30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4.5</w:t>
            </w:r>
          </w:p>
        </w:tc>
        <w:tc>
          <w:tcPr>
            <w:tcW w:w="203" w:type="pct"/>
            <w:shd w:val="clear" w:color="auto" w:fill="FFFFFF"/>
            <w:tcMar>
              <w:top w:w="0" w:type="dxa"/>
              <w:left w:w="0" w:type="dxa"/>
              <w:bottom w:w="0" w:type="dxa"/>
              <w:right w:w="0" w:type="dxa"/>
            </w:tcMar>
            <w:vAlign w:val="center"/>
          </w:tcPr>
          <w:p w14:paraId="2059B20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24.4</w:t>
            </w:r>
          </w:p>
        </w:tc>
        <w:tc>
          <w:tcPr>
            <w:tcW w:w="199" w:type="pct"/>
            <w:shd w:val="clear" w:color="auto" w:fill="FFFFFF"/>
            <w:tcMar>
              <w:top w:w="0" w:type="dxa"/>
              <w:left w:w="0" w:type="dxa"/>
              <w:bottom w:w="0" w:type="dxa"/>
              <w:right w:w="0" w:type="dxa"/>
            </w:tcMar>
            <w:vAlign w:val="center"/>
          </w:tcPr>
          <w:p w14:paraId="31D6530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63.7</w:t>
            </w:r>
          </w:p>
        </w:tc>
        <w:tc>
          <w:tcPr>
            <w:tcW w:w="199" w:type="pct"/>
            <w:shd w:val="clear" w:color="auto" w:fill="FFFFFF"/>
            <w:tcMar>
              <w:top w:w="0" w:type="dxa"/>
              <w:left w:w="0" w:type="dxa"/>
              <w:bottom w:w="0" w:type="dxa"/>
              <w:right w:w="0" w:type="dxa"/>
            </w:tcMar>
            <w:vAlign w:val="center"/>
          </w:tcPr>
          <w:p w14:paraId="47F3C4B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63.5</w:t>
            </w:r>
          </w:p>
        </w:tc>
        <w:tc>
          <w:tcPr>
            <w:tcW w:w="199" w:type="pct"/>
            <w:shd w:val="clear" w:color="auto" w:fill="FFFFFF"/>
            <w:tcMar>
              <w:top w:w="0" w:type="dxa"/>
              <w:left w:w="0" w:type="dxa"/>
              <w:bottom w:w="0" w:type="dxa"/>
              <w:right w:w="0" w:type="dxa"/>
            </w:tcMar>
            <w:vAlign w:val="center"/>
          </w:tcPr>
          <w:p w14:paraId="7525895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64.2</w:t>
            </w:r>
          </w:p>
        </w:tc>
        <w:tc>
          <w:tcPr>
            <w:tcW w:w="202" w:type="pct"/>
            <w:shd w:val="clear" w:color="auto" w:fill="FFFFFF"/>
            <w:tcMar>
              <w:top w:w="0" w:type="dxa"/>
              <w:left w:w="0" w:type="dxa"/>
              <w:bottom w:w="0" w:type="dxa"/>
              <w:right w:w="0" w:type="dxa"/>
            </w:tcMar>
            <w:vAlign w:val="center"/>
          </w:tcPr>
          <w:p w14:paraId="63F0F00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63.6</w:t>
            </w:r>
          </w:p>
        </w:tc>
        <w:tc>
          <w:tcPr>
            <w:tcW w:w="172" w:type="pct"/>
            <w:shd w:val="clear" w:color="auto" w:fill="FFFFFF"/>
            <w:tcMar>
              <w:top w:w="0" w:type="dxa"/>
              <w:left w:w="0" w:type="dxa"/>
              <w:bottom w:w="0" w:type="dxa"/>
              <w:right w:w="0" w:type="dxa"/>
            </w:tcMar>
            <w:vAlign w:val="center"/>
          </w:tcPr>
          <w:p w14:paraId="04CDF46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24.0</w:t>
            </w:r>
          </w:p>
        </w:tc>
        <w:tc>
          <w:tcPr>
            <w:tcW w:w="265" w:type="pct"/>
            <w:vMerge w:val="continue"/>
            <w:shd w:val="clear" w:color="auto" w:fill="FFFFFF"/>
            <w:tcMar>
              <w:top w:w="0" w:type="dxa"/>
              <w:left w:w="0" w:type="dxa"/>
              <w:bottom w:w="0" w:type="dxa"/>
              <w:right w:w="0" w:type="dxa"/>
            </w:tcMar>
            <w:vAlign w:val="center"/>
          </w:tcPr>
          <w:p w14:paraId="0E70E12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17" w:type="pct"/>
            <w:shd w:val="clear" w:color="auto" w:fill="FFFFFF"/>
            <w:tcMar>
              <w:top w:w="0" w:type="dxa"/>
              <w:left w:w="0" w:type="dxa"/>
              <w:bottom w:w="0" w:type="dxa"/>
              <w:right w:w="0" w:type="dxa"/>
            </w:tcMar>
            <w:vAlign w:val="center"/>
          </w:tcPr>
          <w:p w14:paraId="200AA01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37.7</w:t>
            </w:r>
          </w:p>
        </w:tc>
        <w:tc>
          <w:tcPr>
            <w:tcW w:w="260" w:type="pct"/>
            <w:shd w:val="clear" w:color="auto" w:fill="FFFFFF"/>
            <w:tcMar>
              <w:top w:w="0" w:type="dxa"/>
              <w:left w:w="0" w:type="dxa"/>
              <w:bottom w:w="0" w:type="dxa"/>
              <w:right w:w="0" w:type="dxa"/>
            </w:tcMar>
            <w:vAlign w:val="center"/>
          </w:tcPr>
          <w:p w14:paraId="68834C9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37.5</w:t>
            </w:r>
          </w:p>
        </w:tc>
        <w:tc>
          <w:tcPr>
            <w:tcW w:w="232" w:type="pct"/>
            <w:shd w:val="clear" w:color="auto" w:fill="FFFFFF"/>
            <w:tcMar>
              <w:top w:w="0" w:type="dxa"/>
              <w:left w:w="0" w:type="dxa"/>
              <w:bottom w:w="0" w:type="dxa"/>
              <w:right w:w="0" w:type="dxa"/>
            </w:tcMar>
            <w:vAlign w:val="center"/>
          </w:tcPr>
          <w:p w14:paraId="10D89D8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38.2</w:t>
            </w:r>
          </w:p>
        </w:tc>
        <w:tc>
          <w:tcPr>
            <w:tcW w:w="232" w:type="pct"/>
            <w:shd w:val="clear" w:color="auto" w:fill="FFFFFF"/>
            <w:tcMar>
              <w:top w:w="0" w:type="dxa"/>
              <w:left w:w="0" w:type="dxa"/>
              <w:bottom w:w="0" w:type="dxa"/>
              <w:right w:w="0" w:type="dxa"/>
            </w:tcMar>
            <w:vAlign w:val="center"/>
          </w:tcPr>
          <w:p w14:paraId="4410D23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37.6</w:t>
            </w:r>
          </w:p>
        </w:tc>
        <w:tc>
          <w:tcPr>
            <w:tcW w:w="201" w:type="pct"/>
            <w:shd w:val="clear" w:color="auto" w:fill="FFFFFF"/>
            <w:tcMar>
              <w:top w:w="0" w:type="dxa"/>
              <w:left w:w="0" w:type="dxa"/>
              <w:bottom w:w="0" w:type="dxa"/>
              <w:right w:w="0" w:type="dxa"/>
            </w:tcMar>
            <w:vAlign w:val="center"/>
          </w:tcPr>
          <w:p w14:paraId="4B35899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p>
        </w:tc>
      </w:tr>
      <w:tr w14:paraId="108CE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53" w:type="pct"/>
            <w:shd w:val="clear" w:color="auto" w:fill="FFFFFF"/>
            <w:tcMar>
              <w:top w:w="0" w:type="dxa"/>
              <w:left w:w="0" w:type="dxa"/>
              <w:bottom w:w="0" w:type="dxa"/>
              <w:right w:w="0" w:type="dxa"/>
            </w:tcMar>
            <w:vAlign w:val="center"/>
          </w:tcPr>
          <w:p w14:paraId="51CCE4C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w:t>
            </w:r>
          </w:p>
        </w:tc>
        <w:tc>
          <w:tcPr>
            <w:tcW w:w="225" w:type="pct"/>
            <w:vMerge w:val="continue"/>
            <w:shd w:val="clear" w:color="auto" w:fill="FFFFFF"/>
            <w:tcMar>
              <w:top w:w="0" w:type="dxa"/>
              <w:left w:w="0" w:type="dxa"/>
              <w:bottom w:w="0" w:type="dxa"/>
              <w:right w:w="0" w:type="dxa"/>
            </w:tcMar>
            <w:vAlign w:val="center"/>
          </w:tcPr>
          <w:p w14:paraId="629D4BB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14" w:type="pct"/>
            <w:shd w:val="clear" w:color="auto" w:fill="FFFFFF"/>
            <w:tcMar>
              <w:top w:w="0" w:type="dxa"/>
              <w:left w:w="0" w:type="dxa"/>
              <w:bottom w:w="0" w:type="dxa"/>
              <w:right w:w="0" w:type="dxa"/>
            </w:tcMar>
            <w:vAlign w:val="center"/>
          </w:tcPr>
          <w:p w14:paraId="219A4DD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SNCR喷枪</w:t>
            </w:r>
          </w:p>
        </w:tc>
        <w:tc>
          <w:tcPr>
            <w:tcW w:w="259" w:type="pct"/>
            <w:shd w:val="clear" w:color="auto" w:fill="FFFFFF"/>
            <w:tcMar>
              <w:top w:w="0" w:type="dxa"/>
              <w:left w:w="0" w:type="dxa"/>
              <w:bottom w:w="0" w:type="dxa"/>
              <w:right w:w="0" w:type="dxa"/>
            </w:tcMar>
            <w:vAlign w:val="center"/>
          </w:tcPr>
          <w:p w14:paraId="3861BA9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70</w:t>
            </w:r>
          </w:p>
        </w:tc>
        <w:tc>
          <w:tcPr>
            <w:tcW w:w="220" w:type="pct"/>
            <w:vMerge w:val="continue"/>
            <w:shd w:val="clear" w:color="auto" w:fill="FFFFFF"/>
            <w:tcMar>
              <w:top w:w="0" w:type="dxa"/>
              <w:left w:w="0" w:type="dxa"/>
              <w:bottom w:w="0" w:type="dxa"/>
              <w:right w:w="0" w:type="dxa"/>
            </w:tcMar>
            <w:vAlign w:val="center"/>
          </w:tcPr>
          <w:p w14:paraId="1C777F95">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43" w:type="pct"/>
            <w:shd w:val="clear" w:color="auto" w:fill="FFFFFF"/>
            <w:tcMar>
              <w:top w:w="0" w:type="dxa"/>
              <w:left w:w="0" w:type="dxa"/>
              <w:bottom w:w="0" w:type="dxa"/>
              <w:right w:w="0" w:type="dxa"/>
            </w:tcMar>
            <w:vAlign w:val="center"/>
          </w:tcPr>
          <w:p w14:paraId="1471C88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-21.3</w:t>
            </w:r>
          </w:p>
        </w:tc>
        <w:tc>
          <w:tcPr>
            <w:tcW w:w="243" w:type="pct"/>
            <w:shd w:val="clear" w:color="auto" w:fill="FFFFFF"/>
            <w:tcMar>
              <w:top w:w="0" w:type="dxa"/>
              <w:left w:w="0" w:type="dxa"/>
              <w:bottom w:w="0" w:type="dxa"/>
              <w:right w:w="0" w:type="dxa"/>
            </w:tcMar>
            <w:vAlign w:val="center"/>
          </w:tcPr>
          <w:p w14:paraId="489E303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21.8</w:t>
            </w:r>
          </w:p>
        </w:tc>
        <w:tc>
          <w:tcPr>
            <w:tcW w:w="243" w:type="pct"/>
            <w:shd w:val="clear" w:color="auto" w:fill="FFFFFF"/>
            <w:tcMar>
              <w:top w:w="0" w:type="dxa"/>
              <w:left w:w="0" w:type="dxa"/>
              <w:bottom w:w="0" w:type="dxa"/>
              <w:right w:w="0" w:type="dxa"/>
            </w:tcMar>
            <w:vAlign w:val="center"/>
          </w:tcPr>
          <w:p w14:paraId="6459585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1.2</w:t>
            </w:r>
          </w:p>
        </w:tc>
        <w:tc>
          <w:tcPr>
            <w:tcW w:w="201" w:type="pct"/>
            <w:shd w:val="clear" w:color="auto" w:fill="FFFFFF"/>
            <w:tcMar>
              <w:top w:w="0" w:type="dxa"/>
              <w:left w:w="0" w:type="dxa"/>
              <w:bottom w:w="0" w:type="dxa"/>
              <w:right w:w="0" w:type="dxa"/>
            </w:tcMar>
            <w:vAlign w:val="center"/>
          </w:tcPr>
          <w:p w14:paraId="6A79EDF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4.9</w:t>
            </w:r>
          </w:p>
        </w:tc>
        <w:tc>
          <w:tcPr>
            <w:tcW w:w="201" w:type="pct"/>
            <w:shd w:val="clear" w:color="auto" w:fill="FFFFFF"/>
            <w:tcMar>
              <w:top w:w="0" w:type="dxa"/>
              <w:left w:w="0" w:type="dxa"/>
              <w:bottom w:w="0" w:type="dxa"/>
              <w:right w:w="0" w:type="dxa"/>
            </w:tcMar>
            <w:vAlign w:val="center"/>
          </w:tcPr>
          <w:p w14:paraId="59EC133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49.5</w:t>
            </w:r>
          </w:p>
        </w:tc>
        <w:tc>
          <w:tcPr>
            <w:tcW w:w="201" w:type="pct"/>
            <w:shd w:val="clear" w:color="auto" w:fill="FFFFFF"/>
            <w:tcMar>
              <w:top w:w="0" w:type="dxa"/>
              <w:left w:w="0" w:type="dxa"/>
              <w:bottom w:w="0" w:type="dxa"/>
              <w:right w:w="0" w:type="dxa"/>
            </w:tcMar>
            <w:vAlign w:val="center"/>
          </w:tcPr>
          <w:p w14:paraId="17DD191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8.2</w:t>
            </w:r>
          </w:p>
        </w:tc>
        <w:tc>
          <w:tcPr>
            <w:tcW w:w="203" w:type="pct"/>
            <w:shd w:val="clear" w:color="auto" w:fill="FFFFFF"/>
            <w:tcMar>
              <w:top w:w="0" w:type="dxa"/>
              <w:left w:w="0" w:type="dxa"/>
              <w:bottom w:w="0" w:type="dxa"/>
              <w:right w:w="0" w:type="dxa"/>
            </w:tcMar>
            <w:vAlign w:val="center"/>
          </w:tcPr>
          <w:p w14:paraId="61FA3F1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36.4</w:t>
            </w:r>
          </w:p>
        </w:tc>
        <w:tc>
          <w:tcPr>
            <w:tcW w:w="199" w:type="pct"/>
            <w:shd w:val="clear" w:color="auto" w:fill="FFFFFF"/>
            <w:tcMar>
              <w:top w:w="0" w:type="dxa"/>
              <w:left w:w="0" w:type="dxa"/>
              <w:bottom w:w="0" w:type="dxa"/>
              <w:right w:w="0" w:type="dxa"/>
            </w:tcMar>
            <w:vAlign w:val="center"/>
          </w:tcPr>
          <w:p w14:paraId="55C20E0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54.1</w:t>
            </w:r>
          </w:p>
        </w:tc>
        <w:tc>
          <w:tcPr>
            <w:tcW w:w="199" w:type="pct"/>
            <w:shd w:val="clear" w:color="auto" w:fill="FFFFFF"/>
            <w:tcMar>
              <w:top w:w="0" w:type="dxa"/>
              <w:left w:w="0" w:type="dxa"/>
              <w:bottom w:w="0" w:type="dxa"/>
              <w:right w:w="0" w:type="dxa"/>
            </w:tcMar>
            <w:vAlign w:val="center"/>
          </w:tcPr>
          <w:p w14:paraId="6FF61D5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53.6</w:t>
            </w:r>
          </w:p>
        </w:tc>
        <w:tc>
          <w:tcPr>
            <w:tcW w:w="199" w:type="pct"/>
            <w:shd w:val="clear" w:color="auto" w:fill="FFFFFF"/>
            <w:tcMar>
              <w:top w:w="0" w:type="dxa"/>
              <w:left w:w="0" w:type="dxa"/>
              <w:bottom w:w="0" w:type="dxa"/>
              <w:right w:w="0" w:type="dxa"/>
            </w:tcMar>
            <w:vAlign w:val="center"/>
          </w:tcPr>
          <w:p w14:paraId="54292E8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53.8</w:t>
            </w:r>
          </w:p>
        </w:tc>
        <w:tc>
          <w:tcPr>
            <w:tcW w:w="202" w:type="pct"/>
            <w:shd w:val="clear" w:color="auto" w:fill="FFFFFF"/>
            <w:tcMar>
              <w:top w:w="0" w:type="dxa"/>
              <w:left w:w="0" w:type="dxa"/>
              <w:bottom w:w="0" w:type="dxa"/>
              <w:right w:w="0" w:type="dxa"/>
            </w:tcMar>
            <w:vAlign w:val="center"/>
          </w:tcPr>
          <w:p w14:paraId="065C621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53.6</w:t>
            </w:r>
          </w:p>
        </w:tc>
        <w:tc>
          <w:tcPr>
            <w:tcW w:w="172" w:type="pct"/>
            <w:shd w:val="clear" w:color="auto" w:fill="FFFFFF"/>
            <w:tcMar>
              <w:top w:w="0" w:type="dxa"/>
              <w:left w:w="0" w:type="dxa"/>
              <w:bottom w:w="0" w:type="dxa"/>
              <w:right w:w="0" w:type="dxa"/>
            </w:tcMar>
            <w:vAlign w:val="center"/>
          </w:tcPr>
          <w:p w14:paraId="2B0E678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24.0</w:t>
            </w:r>
          </w:p>
        </w:tc>
        <w:tc>
          <w:tcPr>
            <w:tcW w:w="265" w:type="pct"/>
            <w:vMerge w:val="continue"/>
            <w:shd w:val="clear" w:color="auto" w:fill="FFFFFF"/>
            <w:tcMar>
              <w:top w:w="0" w:type="dxa"/>
              <w:left w:w="0" w:type="dxa"/>
              <w:bottom w:w="0" w:type="dxa"/>
              <w:right w:w="0" w:type="dxa"/>
            </w:tcMar>
            <w:vAlign w:val="center"/>
          </w:tcPr>
          <w:p w14:paraId="3C2E48A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17" w:type="pct"/>
            <w:shd w:val="clear" w:color="auto" w:fill="FFFFFF"/>
            <w:tcMar>
              <w:top w:w="0" w:type="dxa"/>
              <w:left w:w="0" w:type="dxa"/>
              <w:bottom w:w="0" w:type="dxa"/>
              <w:right w:w="0" w:type="dxa"/>
            </w:tcMar>
            <w:vAlign w:val="center"/>
          </w:tcPr>
          <w:p w14:paraId="0F4DF84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28.1</w:t>
            </w:r>
          </w:p>
        </w:tc>
        <w:tc>
          <w:tcPr>
            <w:tcW w:w="260" w:type="pct"/>
            <w:shd w:val="clear" w:color="auto" w:fill="FFFFFF"/>
            <w:tcMar>
              <w:top w:w="0" w:type="dxa"/>
              <w:left w:w="0" w:type="dxa"/>
              <w:bottom w:w="0" w:type="dxa"/>
              <w:right w:w="0" w:type="dxa"/>
            </w:tcMar>
            <w:vAlign w:val="center"/>
          </w:tcPr>
          <w:p w14:paraId="3E0481C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27.6</w:t>
            </w:r>
          </w:p>
        </w:tc>
        <w:tc>
          <w:tcPr>
            <w:tcW w:w="232" w:type="pct"/>
            <w:shd w:val="clear" w:color="auto" w:fill="FFFFFF"/>
            <w:tcMar>
              <w:top w:w="0" w:type="dxa"/>
              <w:left w:w="0" w:type="dxa"/>
              <w:bottom w:w="0" w:type="dxa"/>
              <w:right w:w="0" w:type="dxa"/>
            </w:tcMar>
            <w:vAlign w:val="center"/>
          </w:tcPr>
          <w:p w14:paraId="7E9A80C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27.8</w:t>
            </w:r>
          </w:p>
        </w:tc>
        <w:tc>
          <w:tcPr>
            <w:tcW w:w="232" w:type="pct"/>
            <w:shd w:val="clear" w:color="auto" w:fill="FFFFFF"/>
            <w:tcMar>
              <w:top w:w="0" w:type="dxa"/>
              <w:left w:w="0" w:type="dxa"/>
              <w:bottom w:w="0" w:type="dxa"/>
              <w:right w:w="0" w:type="dxa"/>
            </w:tcMar>
            <w:vAlign w:val="center"/>
          </w:tcPr>
          <w:p w14:paraId="7838117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27.6</w:t>
            </w:r>
          </w:p>
        </w:tc>
        <w:tc>
          <w:tcPr>
            <w:tcW w:w="201" w:type="pct"/>
            <w:shd w:val="clear" w:color="auto" w:fill="FFFFFF"/>
            <w:tcMar>
              <w:top w:w="0" w:type="dxa"/>
              <w:left w:w="0" w:type="dxa"/>
              <w:bottom w:w="0" w:type="dxa"/>
              <w:right w:w="0" w:type="dxa"/>
            </w:tcMar>
            <w:vAlign w:val="center"/>
          </w:tcPr>
          <w:p w14:paraId="16E7BCD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p>
        </w:tc>
      </w:tr>
      <w:tr w14:paraId="3E813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53" w:type="pct"/>
            <w:shd w:val="clear" w:color="auto" w:fill="FFFFFF"/>
            <w:tcMar>
              <w:top w:w="0" w:type="dxa"/>
              <w:left w:w="0" w:type="dxa"/>
              <w:bottom w:w="0" w:type="dxa"/>
              <w:right w:w="0" w:type="dxa"/>
            </w:tcMar>
            <w:vAlign w:val="center"/>
          </w:tcPr>
          <w:p w14:paraId="02EF77A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w:t>
            </w:r>
          </w:p>
        </w:tc>
        <w:tc>
          <w:tcPr>
            <w:tcW w:w="225" w:type="pct"/>
            <w:vMerge w:val="continue"/>
            <w:shd w:val="clear" w:color="auto" w:fill="FFFFFF"/>
            <w:tcMar>
              <w:top w:w="0" w:type="dxa"/>
              <w:left w:w="0" w:type="dxa"/>
              <w:bottom w:w="0" w:type="dxa"/>
              <w:right w:w="0" w:type="dxa"/>
            </w:tcMar>
            <w:vAlign w:val="center"/>
          </w:tcPr>
          <w:p w14:paraId="4FC7DD7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14" w:type="pct"/>
            <w:shd w:val="clear" w:color="auto" w:fill="FFFFFF"/>
            <w:tcMar>
              <w:top w:w="0" w:type="dxa"/>
              <w:left w:w="0" w:type="dxa"/>
              <w:bottom w:w="0" w:type="dxa"/>
              <w:right w:w="0" w:type="dxa"/>
            </w:tcMar>
            <w:vAlign w:val="center"/>
          </w:tcPr>
          <w:p w14:paraId="2B0B475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急冷泵组</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2台（按点声源组预测）</w:t>
            </w:r>
          </w:p>
        </w:tc>
        <w:tc>
          <w:tcPr>
            <w:tcW w:w="259" w:type="pct"/>
            <w:shd w:val="clear" w:color="auto" w:fill="FFFFFF"/>
            <w:tcMar>
              <w:top w:w="0" w:type="dxa"/>
              <w:left w:w="0" w:type="dxa"/>
              <w:bottom w:w="0" w:type="dxa"/>
              <w:right w:w="0" w:type="dxa"/>
            </w:tcMar>
            <w:vAlign w:val="center"/>
          </w:tcPr>
          <w:p w14:paraId="1D816BF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80（等效后：83.0</w:t>
            </w:r>
            <w:r>
              <w:rPr>
                <w:rFonts w:hint="eastAsia" w:ascii="Times New Roman" w:hAnsi="Times New Roman" w:cs="Times New Roman"/>
                <w:szCs w:val="21"/>
                <w:lang w:val="en-US" w:eastAsia="zh-CN"/>
              </w:rPr>
              <w:t>）</w:t>
            </w:r>
          </w:p>
        </w:tc>
        <w:tc>
          <w:tcPr>
            <w:tcW w:w="220" w:type="pct"/>
            <w:vMerge w:val="continue"/>
            <w:shd w:val="clear" w:color="auto" w:fill="FFFFFF"/>
            <w:tcMar>
              <w:top w:w="0" w:type="dxa"/>
              <w:left w:w="0" w:type="dxa"/>
              <w:bottom w:w="0" w:type="dxa"/>
              <w:right w:w="0" w:type="dxa"/>
            </w:tcMar>
            <w:vAlign w:val="center"/>
          </w:tcPr>
          <w:p w14:paraId="44F04C3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43" w:type="pct"/>
            <w:shd w:val="clear" w:color="auto" w:fill="FFFFFF"/>
            <w:tcMar>
              <w:top w:w="0" w:type="dxa"/>
              <w:left w:w="0" w:type="dxa"/>
              <w:bottom w:w="0" w:type="dxa"/>
              <w:right w:w="0" w:type="dxa"/>
            </w:tcMar>
            <w:vAlign w:val="center"/>
          </w:tcPr>
          <w:p w14:paraId="5B55E5B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-18.7</w:t>
            </w:r>
          </w:p>
        </w:tc>
        <w:tc>
          <w:tcPr>
            <w:tcW w:w="243" w:type="pct"/>
            <w:shd w:val="clear" w:color="auto" w:fill="FFFFFF"/>
            <w:tcMar>
              <w:top w:w="0" w:type="dxa"/>
              <w:left w:w="0" w:type="dxa"/>
              <w:bottom w:w="0" w:type="dxa"/>
              <w:right w:w="0" w:type="dxa"/>
            </w:tcMar>
            <w:vAlign w:val="center"/>
          </w:tcPr>
          <w:p w14:paraId="41EE067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13.8</w:t>
            </w:r>
          </w:p>
        </w:tc>
        <w:tc>
          <w:tcPr>
            <w:tcW w:w="243" w:type="pct"/>
            <w:shd w:val="clear" w:color="auto" w:fill="FFFFFF"/>
            <w:tcMar>
              <w:top w:w="0" w:type="dxa"/>
              <w:left w:w="0" w:type="dxa"/>
              <w:bottom w:w="0" w:type="dxa"/>
              <w:right w:w="0" w:type="dxa"/>
            </w:tcMar>
            <w:vAlign w:val="center"/>
          </w:tcPr>
          <w:p w14:paraId="669B6FA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1.2</w:t>
            </w:r>
          </w:p>
        </w:tc>
        <w:tc>
          <w:tcPr>
            <w:tcW w:w="201" w:type="pct"/>
            <w:shd w:val="clear" w:color="auto" w:fill="FFFFFF"/>
            <w:tcMar>
              <w:top w:w="0" w:type="dxa"/>
              <w:left w:w="0" w:type="dxa"/>
              <w:bottom w:w="0" w:type="dxa"/>
              <w:right w:w="0" w:type="dxa"/>
            </w:tcMar>
            <w:vAlign w:val="center"/>
          </w:tcPr>
          <w:p w14:paraId="2EBF7B1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7.1</w:t>
            </w:r>
          </w:p>
        </w:tc>
        <w:tc>
          <w:tcPr>
            <w:tcW w:w="201" w:type="pct"/>
            <w:shd w:val="clear" w:color="auto" w:fill="FFFFFF"/>
            <w:tcMar>
              <w:top w:w="0" w:type="dxa"/>
              <w:left w:w="0" w:type="dxa"/>
              <w:bottom w:w="0" w:type="dxa"/>
              <w:right w:w="0" w:type="dxa"/>
            </w:tcMar>
            <w:vAlign w:val="center"/>
          </w:tcPr>
          <w:p w14:paraId="151D7E0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41.3</w:t>
            </w:r>
          </w:p>
        </w:tc>
        <w:tc>
          <w:tcPr>
            <w:tcW w:w="201" w:type="pct"/>
            <w:shd w:val="clear" w:color="auto" w:fill="FFFFFF"/>
            <w:tcMar>
              <w:top w:w="0" w:type="dxa"/>
              <w:left w:w="0" w:type="dxa"/>
              <w:bottom w:w="0" w:type="dxa"/>
              <w:right w:w="0" w:type="dxa"/>
            </w:tcMar>
            <w:vAlign w:val="center"/>
          </w:tcPr>
          <w:p w14:paraId="471F809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5.9</w:t>
            </w:r>
          </w:p>
        </w:tc>
        <w:tc>
          <w:tcPr>
            <w:tcW w:w="203" w:type="pct"/>
            <w:shd w:val="clear" w:color="auto" w:fill="FFFFFF"/>
            <w:tcMar>
              <w:top w:w="0" w:type="dxa"/>
              <w:left w:w="0" w:type="dxa"/>
              <w:bottom w:w="0" w:type="dxa"/>
              <w:right w:w="0" w:type="dxa"/>
            </w:tcMar>
            <w:vAlign w:val="center"/>
          </w:tcPr>
          <w:p w14:paraId="54A2F25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44.6</w:t>
            </w:r>
          </w:p>
        </w:tc>
        <w:tc>
          <w:tcPr>
            <w:tcW w:w="199" w:type="pct"/>
            <w:shd w:val="clear" w:color="auto" w:fill="FFFFFF"/>
            <w:tcMar>
              <w:top w:w="0" w:type="dxa"/>
              <w:left w:w="0" w:type="dxa"/>
              <w:bottom w:w="0" w:type="dxa"/>
              <w:right w:w="0" w:type="dxa"/>
            </w:tcMar>
            <w:vAlign w:val="center"/>
          </w:tcPr>
          <w:p w14:paraId="72CB498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66.8</w:t>
            </w:r>
          </w:p>
        </w:tc>
        <w:tc>
          <w:tcPr>
            <w:tcW w:w="199" w:type="pct"/>
            <w:shd w:val="clear" w:color="auto" w:fill="FFFFFF"/>
            <w:tcMar>
              <w:top w:w="0" w:type="dxa"/>
              <w:left w:w="0" w:type="dxa"/>
              <w:bottom w:w="0" w:type="dxa"/>
              <w:right w:w="0" w:type="dxa"/>
            </w:tcMar>
            <w:vAlign w:val="center"/>
          </w:tcPr>
          <w:p w14:paraId="763DE8B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66.6</w:t>
            </w:r>
          </w:p>
        </w:tc>
        <w:tc>
          <w:tcPr>
            <w:tcW w:w="199" w:type="pct"/>
            <w:shd w:val="clear" w:color="auto" w:fill="FFFFFF"/>
            <w:tcMar>
              <w:top w:w="0" w:type="dxa"/>
              <w:left w:w="0" w:type="dxa"/>
              <w:bottom w:w="0" w:type="dxa"/>
              <w:right w:w="0" w:type="dxa"/>
            </w:tcMar>
            <w:vAlign w:val="center"/>
          </w:tcPr>
          <w:p w14:paraId="29FD83E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67.0</w:t>
            </w:r>
          </w:p>
        </w:tc>
        <w:tc>
          <w:tcPr>
            <w:tcW w:w="202" w:type="pct"/>
            <w:shd w:val="clear" w:color="auto" w:fill="FFFFFF"/>
            <w:tcMar>
              <w:top w:w="0" w:type="dxa"/>
              <w:left w:w="0" w:type="dxa"/>
              <w:bottom w:w="0" w:type="dxa"/>
              <w:right w:w="0" w:type="dxa"/>
            </w:tcMar>
            <w:vAlign w:val="center"/>
          </w:tcPr>
          <w:p w14:paraId="7B5B3E8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66.6</w:t>
            </w:r>
          </w:p>
        </w:tc>
        <w:tc>
          <w:tcPr>
            <w:tcW w:w="172" w:type="pct"/>
            <w:shd w:val="clear" w:color="auto" w:fill="FFFFFF"/>
            <w:tcMar>
              <w:top w:w="0" w:type="dxa"/>
              <w:left w:w="0" w:type="dxa"/>
              <w:bottom w:w="0" w:type="dxa"/>
              <w:right w:w="0" w:type="dxa"/>
            </w:tcMar>
            <w:vAlign w:val="center"/>
          </w:tcPr>
          <w:p w14:paraId="6DF9C67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24.0</w:t>
            </w:r>
          </w:p>
        </w:tc>
        <w:tc>
          <w:tcPr>
            <w:tcW w:w="265" w:type="pct"/>
            <w:vMerge w:val="continue"/>
            <w:shd w:val="clear" w:color="auto" w:fill="FFFFFF"/>
            <w:tcMar>
              <w:top w:w="0" w:type="dxa"/>
              <w:left w:w="0" w:type="dxa"/>
              <w:bottom w:w="0" w:type="dxa"/>
              <w:right w:w="0" w:type="dxa"/>
            </w:tcMar>
            <w:vAlign w:val="center"/>
          </w:tcPr>
          <w:p w14:paraId="321CE83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17" w:type="pct"/>
            <w:shd w:val="clear" w:color="auto" w:fill="FFFFFF"/>
            <w:tcMar>
              <w:top w:w="0" w:type="dxa"/>
              <w:left w:w="0" w:type="dxa"/>
              <w:bottom w:w="0" w:type="dxa"/>
              <w:right w:w="0" w:type="dxa"/>
            </w:tcMar>
            <w:vAlign w:val="center"/>
          </w:tcPr>
          <w:p w14:paraId="112EC94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40.8</w:t>
            </w:r>
          </w:p>
        </w:tc>
        <w:tc>
          <w:tcPr>
            <w:tcW w:w="260" w:type="pct"/>
            <w:shd w:val="clear" w:color="auto" w:fill="FFFFFF"/>
            <w:tcMar>
              <w:top w:w="0" w:type="dxa"/>
              <w:left w:w="0" w:type="dxa"/>
              <w:bottom w:w="0" w:type="dxa"/>
              <w:right w:w="0" w:type="dxa"/>
            </w:tcMar>
            <w:vAlign w:val="center"/>
          </w:tcPr>
          <w:p w14:paraId="1ED0DF1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40.6</w:t>
            </w:r>
          </w:p>
        </w:tc>
        <w:tc>
          <w:tcPr>
            <w:tcW w:w="232" w:type="pct"/>
            <w:shd w:val="clear" w:color="auto" w:fill="FFFFFF"/>
            <w:tcMar>
              <w:top w:w="0" w:type="dxa"/>
              <w:left w:w="0" w:type="dxa"/>
              <w:bottom w:w="0" w:type="dxa"/>
              <w:right w:w="0" w:type="dxa"/>
            </w:tcMar>
            <w:vAlign w:val="center"/>
          </w:tcPr>
          <w:p w14:paraId="617575D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41.0</w:t>
            </w:r>
          </w:p>
        </w:tc>
        <w:tc>
          <w:tcPr>
            <w:tcW w:w="232" w:type="pct"/>
            <w:shd w:val="clear" w:color="auto" w:fill="FFFFFF"/>
            <w:tcMar>
              <w:top w:w="0" w:type="dxa"/>
              <w:left w:w="0" w:type="dxa"/>
              <w:bottom w:w="0" w:type="dxa"/>
              <w:right w:w="0" w:type="dxa"/>
            </w:tcMar>
            <w:vAlign w:val="center"/>
          </w:tcPr>
          <w:p w14:paraId="3D33ADC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40.6</w:t>
            </w:r>
          </w:p>
        </w:tc>
        <w:tc>
          <w:tcPr>
            <w:tcW w:w="201" w:type="pct"/>
            <w:shd w:val="clear" w:color="auto" w:fill="FFFFFF"/>
            <w:tcMar>
              <w:top w:w="0" w:type="dxa"/>
              <w:left w:w="0" w:type="dxa"/>
              <w:bottom w:w="0" w:type="dxa"/>
              <w:right w:w="0" w:type="dxa"/>
            </w:tcMar>
            <w:vAlign w:val="center"/>
          </w:tcPr>
          <w:p w14:paraId="11DC292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p>
        </w:tc>
      </w:tr>
      <w:tr w14:paraId="6D680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53" w:type="pct"/>
            <w:shd w:val="clear" w:color="auto" w:fill="FFFFFF"/>
            <w:tcMar>
              <w:top w:w="0" w:type="dxa"/>
              <w:left w:w="0" w:type="dxa"/>
              <w:bottom w:w="0" w:type="dxa"/>
              <w:right w:w="0" w:type="dxa"/>
            </w:tcMar>
            <w:vAlign w:val="center"/>
          </w:tcPr>
          <w:p w14:paraId="76C030B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7</w:t>
            </w:r>
          </w:p>
        </w:tc>
        <w:tc>
          <w:tcPr>
            <w:tcW w:w="225" w:type="pct"/>
            <w:vMerge w:val="continue"/>
            <w:shd w:val="clear" w:color="auto" w:fill="FFFFFF"/>
            <w:tcMar>
              <w:top w:w="0" w:type="dxa"/>
              <w:left w:w="0" w:type="dxa"/>
              <w:bottom w:w="0" w:type="dxa"/>
              <w:right w:w="0" w:type="dxa"/>
            </w:tcMar>
            <w:vAlign w:val="center"/>
          </w:tcPr>
          <w:p w14:paraId="15B8853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14" w:type="pct"/>
            <w:shd w:val="clear" w:color="auto" w:fill="FFFFFF"/>
            <w:tcMar>
              <w:top w:w="0" w:type="dxa"/>
              <w:left w:w="0" w:type="dxa"/>
              <w:bottom w:w="0" w:type="dxa"/>
              <w:right w:w="0" w:type="dxa"/>
            </w:tcMar>
            <w:vAlign w:val="center"/>
          </w:tcPr>
          <w:p w14:paraId="035D7EF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急冷喷枪</w:t>
            </w:r>
          </w:p>
        </w:tc>
        <w:tc>
          <w:tcPr>
            <w:tcW w:w="259" w:type="pct"/>
            <w:shd w:val="clear" w:color="auto" w:fill="FFFFFF"/>
            <w:tcMar>
              <w:top w:w="0" w:type="dxa"/>
              <w:left w:w="0" w:type="dxa"/>
              <w:bottom w:w="0" w:type="dxa"/>
              <w:right w:w="0" w:type="dxa"/>
            </w:tcMar>
            <w:vAlign w:val="center"/>
          </w:tcPr>
          <w:p w14:paraId="0EEBEC0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70</w:t>
            </w:r>
          </w:p>
        </w:tc>
        <w:tc>
          <w:tcPr>
            <w:tcW w:w="220" w:type="pct"/>
            <w:vMerge w:val="continue"/>
            <w:shd w:val="clear" w:color="auto" w:fill="FFFFFF"/>
            <w:tcMar>
              <w:top w:w="0" w:type="dxa"/>
              <w:left w:w="0" w:type="dxa"/>
              <w:bottom w:w="0" w:type="dxa"/>
              <w:right w:w="0" w:type="dxa"/>
            </w:tcMar>
            <w:vAlign w:val="center"/>
          </w:tcPr>
          <w:p w14:paraId="5A26695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43" w:type="pct"/>
            <w:shd w:val="clear" w:color="auto" w:fill="FFFFFF"/>
            <w:tcMar>
              <w:top w:w="0" w:type="dxa"/>
              <w:left w:w="0" w:type="dxa"/>
              <w:bottom w:w="0" w:type="dxa"/>
              <w:right w:w="0" w:type="dxa"/>
            </w:tcMar>
            <w:vAlign w:val="center"/>
          </w:tcPr>
          <w:p w14:paraId="58D88BA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-24.6</w:t>
            </w:r>
          </w:p>
        </w:tc>
        <w:tc>
          <w:tcPr>
            <w:tcW w:w="243" w:type="pct"/>
            <w:shd w:val="clear" w:color="auto" w:fill="FFFFFF"/>
            <w:tcMar>
              <w:top w:w="0" w:type="dxa"/>
              <w:left w:w="0" w:type="dxa"/>
              <w:bottom w:w="0" w:type="dxa"/>
              <w:right w:w="0" w:type="dxa"/>
            </w:tcMar>
            <w:vAlign w:val="center"/>
          </w:tcPr>
          <w:p w14:paraId="5B61AC6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19</w:t>
            </w:r>
          </w:p>
        </w:tc>
        <w:tc>
          <w:tcPr>
            <w:tcW w:w="243" w:type="pct"/>
            <w:shd w:val="clear" w:color="auto" w:fill="FFFFFF"/>
            <w:tcMar>
              <w:top w:w="0" w:type="dxa"/>
              <w:left w:w="0" w:type="dxa"/>
              <w:bottom w:w="0" w:type="dxa"/>
              <w:right w:w="0" w:type="dxa"/>
            </w:tcMar>
            <w:vAlign w:val="center"/>
          </w:tcPr>
          <w:p w14:paraId="22D48EF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1.2</w:t>
            </w:r>
          </w:p>
        </w:tc>
        <w:tc>
          <w:tcPr>
            <w:tcW w:w="201" w:type="pct"/>
            <w:shd w:val="clear" w:color="auto" w:fill="FFFFFF"/>
            <w:tcMar>
              <w:top w:w="0" w:type="dxa"/>
              <w:left w:w="0" w:type="dxa"/>
              <w:bottom w:w="0" w:type="dxa"/>
              <w:right w:w="0" w:type="dxa"/>
            </w:tcMar>
            <w:vAlign w:val="center"/>
          </w:tcPr>
          <w:p w14:paraId="115F30F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9.2</w:t>
            </w:r>
          </w:p>
        </w:tc>
        <w:tc>
          <w:tcPr>
            <w:tcW w:w="201" w:type="pct"/>
            <w:shd w:val="clear" w:color="auto" w:fill="FFFFFF"/>
            <w:tcMar>
              <w:top w:w="0" w:type="dxa"/>
              <w:left w:w="0" w:type="dxa"/>
              <w:bottom w:w="0" w:type="dxa"/>
              <w:right w:w="0" w:type="dxa"/>
            </w:tcMar>
            <w:vAlign w:val="center"/>
          </w:tcPr>
          <w:p w14:paraId="5CB72E8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48.8</w:t>
            </w:r>
          </w:p>
        </w:tc>
        <w:tc>
          <w:tcPr>
            <w:tcW w:w="201" w:type="pct"/>
            <w:shd w:val="clear" w:color="auto" w:fill="FFFFFF"/>
            <w:tcMar>
              <w:top w:w="0" w:type="dxa"/>
              <w:left w:w="0" w:type="dxa"/>
              <w:bottom w:w="0" w:type="dxa"/>
              <w:right w:w="0" w:type="dxa"/>
            </w:tcMar>
            <w:vAlign w:val="center"/>
          </w:tcPr>
          <w:p w14:paraId="4092101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3.9</w:t>
            </w:r>
          </w:p>
        </w:tc>
        <w:tc>
          <w:tcPr>
            <w:tcW w:w="203" w:type="pct"/>
            <w:shd w:val="clear" w:color="auto" w:fill="FFFFFF"/>
            <w:tcMar>
              <w:top w:w="0" w:type="dxa"/>
              <w:left w:w="0" w:type="dxa"/>
              <w:bottom w:w="0" w:type="dxa"/>
              <w:right w:w="0" w:type="dxa"/>
            </w:tcMar>
            <w:vAlign w:val="center"/>
          </w:tcPr>
          <w:p w14:paraId="2BA22B0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37.1</w:t>
            </w:r>
          </w:p>
        </w:tc>
        <w:tc>
          <w:tcPr>
            <w:tcW w:w="199" w:type="pct"/>
            <w:shd w:val="clear" w:color="auto" w:fill="FFFFFF"/>
            <w:tcMar>
              <w:top w:w="0" w:type="dxa"/>
              <w:left w:w="0" w:type="dxa"/>
              <w:bottom w:w="0" w:type="dxa"/>
              <w:right w:w="0" w:type="dxa"/>
            </w:tcMar>
            <w:vAlign w:val="center"/>
          </w:tcPr>
          <w:p w14:paraId="1B120FE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53.7</w:t>
            </w:r>
          </w:p>
        </w:tc>
        <w:tc>
          <w:tcPr>
            <w:tcW w:w="199" w:type="pct"/>
            <w:shd w:val="clear" w:color="auto" w:fill="FFFFFF"/>
            <w:tcMar>
              <w:top w:w="0" w:type="dxa"/>
              <w:left w:w="0" w:type="dxa"/>
              <w:bottom w:w="0" w:type="dxa"/>
              <w:right w:w="0" w:type="dxa"/>
            </w:tcMar>
            <w:vAlign w:val="center"/>
          </w:tcPr>
          <w:p w14:paraId="7FF1A98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53.6</w:t>
            </w:r>
          </w:p>
        </w:tc>
        <w:tc>
          <w:tcPr>
            <w:tcW w:w="199" w:type="pct"/>
            <w:shd w:val="clear" w:color="auto" w:fill="FFFFFF"/>
            <w:tcMar>
              <w:top w:w="0" w:type="dxa"/>
              <w:left w:w="0" w:type="dxa"/>
              <w:bottom w:w="0" w:type="dxa"/>
              <w:right w:w="0" w:type="dxa"/>
            </w:tcMar>
            <w:vAlign w:val="center"/>
          </w:tcPr>
          <w:p w14:paraId="4008240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54.4</w:t>
            </w:r>
          </w:p>
        </w:tc>
        <w:tc>
          <w:tcPr>
            <w:tcW w:w="202" w:type="pct"/>
            <w:shd w:val="clear" w:color="auto" w:fill="FFFFFF"/>
            <w:tcMar>
              <w:top w:w="0" w:type="dxa"/>
              <w:left w:w="0" w:type="dxa"/>
              <w:bottom w:w="0" w:type="dxa"/>
              <w:right w:w="0" w:type="dxa"/>
            </w:tcMar>
            <w:vAlign w:val="center"/>
          </w:tcPr>
          <w:p w14:paraId="62ABCC4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53.6</w:t>
            </w:r>
          </w:p>
        </w:tc>
        <w:tc>
          <w:tcPr>
            <w:tcW w:w="172" w:type="pct"/>
            <w:shd w:val="clear" w:color="auto" w:fill="FFFFFF"/>
            <w:tcMar>
              <w:top w:w="0" w:type="dxa"/>
              <w:left w:w="0" w:type="dxa"/>
              <w:bottom w:w="0" w:type="dxa"/>
              <w:right w:w="0" w:type="dxa"/>
            </w:tcMar>
            <w:vAlign w:val="center"/>
          </w:tcPr>
          <w:p w14:paraId="4FCC7EF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24.0</w:t>
            </w:r>
          </w:p>
        </w:tc>
        <w:tc>
          <w:tcPr>
            <w:tcW w:w="265" w:type="pct"/>
            <w:vMerge w:val="continue"/>
            <w:shd w:val="clear" w:color="auto" w:fill="FFFFFF"/>
            <w:tcMar>
              <w:top w:w="0" w:type="dxa"/>
              <w:left w:w="0" w:type="dxa"/>
              <w:bottom w:w="0" w:type="dxa"/>
              <w:right w:w="0" w:type="dxa"/>
            </w:tcMar>
            <w:vAlign w:val="center"/>
          </w:tcPr>
          <w:p w14:paraId="395896E5">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17" w:type="pct"/>
            <w:shd w:val="clear" w:color="auto" w:fill="FFFFFF"/>
            <w:tcMar>
              <w:top w:w="0" w:type="dxa"/>
              <w:left w:w="0" w:type="dxa"/>
              <w:bottom w:w="0" w:type="dxa"/>
              <w:right w:w="0" w:type="dxa"/>
            </w:tcMar>
            <w:vAlign w:val="center"/>
          </w:tcPr>
          <w:p w14:paraId="3284468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27.7</w:t>
            </w:r>
          </w:p>
        </w:tc>
        <w:tc>
          <w:tcPr>
            <w:tcW w:w="260" w:type="pct"/>
            <w:shd w:val="clear" w:color="auto" w:fill="FFFFFF"/>
            <w:tcMar>
              <w:top w:w="0" w:type="dxa"/>
              <w:left w:w="0" w:type="dxa"/>
              <w:bottom w:w="0" w:type="dxa"/>
              <w:right w:w="0" w:type="dxa"/>
            </w:tcMar>
            <w:vAlign w:val="center"/>
          </w:tcPr>
          <w:p w14:paraId="7565011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27.6</w:t>
            </w:r>
          </w:p>
        </w:tc>
        <w:tc>
          <w:tcPr>
            <w:tcW w:w="232" w:type="pct"/>
            <w:shd w:val="clear" w:color="auto" w:fill="FFFFFF"/>
            <w:tcMar>
              <w:top w:w="0" w:type="dxa"/>
              <w:left w:w="0" w:type="dxa"/>
              <w:bottom w:w="0" w:type="dxa"/>
              <w:right w:w="0" w:type="dxa"/>
            </w:tcMar>
            <w:vAlign w:val="center"/>
          </w:tcPr>
          <w:p w14:paraId="6DC4E54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28.4</w:t>
            </w:r>
          </w:p>
        </w:tc>
        <w:tc>
          <w:tcPr>
            <w:tcW w:w="232" w:type="pct"/>
            <w:shd w:val="clear" w:color="auto" w:fill="FFFFFF"/>
            <w:tcMar>
              <w:top w:w="0" w:type="dxa"/>
              <w:left w:w="0" w:type="dxa"/>
              <w:bottom w:w="0" w:type="dxa"/>
              <w:right w:w="0" w:type="dxa"/>
            </w:tcMar>
            <w:vAlign w:val="center"/>
          </w:tcPr>
          <w:p w14:paraId="011A3B6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27.6</w:t>
            </w:r>
          </w:p>
        </w:tc>
        <w:tc>
          <w:tcPr>
            <w:tcW w:w="201" w:type="pct"/>
            <w:shd w:val="clear" w:color="auto" w:fill="FFFFFF"/>
            <w:tcMar>
              <w:top w:w="0" w:type="dxa"/>
              <w:left w:w="0" w:type="dxa"/>
              <w:bottom w:w="0" w:type="dxa"/>
              <w:right w:w="0" w:type="dxa"/>
            </w:tcMar>
            <w:vAlign w:val="center"/>
          </w:tcPr>
          <w:p w14:paraId="42F03D3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p>
        </w:tc>
      </w:tr>
      <w:tr w14:paraId="0C932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53" w:type="pct"/>
            <w:shd w:val="clear" w:color="auto" w:fill="FFFFFF"/>
            <w:tcMar>
              <w:top w:w="0" w:type="dxa"/>
              <w:left w:w="0" w:type="dxa"/>
              <w:bottom w:w="0" w:type="dxa"/>
              <w:right w:w="0" w:type="dxa"/>
            </w:tcMar>
            <w:vAlign w:val="center"/>
          </w:tcPr>
          <w:p w14:paraId="11E245C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8</w:t>
            </w:r>
          </w:p>
        </w:tc>
        <w:tc>
          <w:tcPr>
            <w:tcW w:w="225" w:type="pct"/>
            <w:vMerge w:val="continue"/>
            <w:shd w:val="clear" w:color="auto" w:fill="FFFFFF"/>
            <w:tcMar>
              <w:top w:w="0" w:type="dxa"/>
              <w:left w:w="0" w:type="dxa"/>
              <w:bottom w:w="0" w:type="dxa"/>
              <w:right w:w="0" w:type="dxa"/>
            </w:tcMar>
            <w:vAlign w:val="center"/>
          </w:tcPr>
          <w:p w14:paraId="50C307B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14" w:type="pct"/>
            <w:shd w:val="clear" w:color="auto" w:fill="FFFFFF"/>
            <w:tcMar>
              <w:top w:w="0" w:type="dxa"/>
              <w:left w:w="0" w:type="dxa"/>
              <w:bottom w:w="0" w:type="dxa"/>
              <w:right w:w="0" w:type="dxa"/>
            </w:tcMar>
            <w:vAlign w:val="center"/>
          </w:tcPr>
          <w:p w14:paraId="1799AEC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布袋除尘器</w:t>
            </w:r>
          </w:p>
        </w:tc>
        <w:tc>
          <w:tcPr>
            <w:tcW w:w="259" w:type="pct"/>
            <w:shd w:val="clear" w:color="auto" w:fill="FFFFFF"/>
            <w:tcMar>
              <w:top w:w="0" w:type="dxa"/>
              <w:left w:w="0" w:type="dxa"/>
              <w:bottom w:w="0" w:type="dxa"/>
              <w:right w:w="0" w:type="dxa"/>
            </w:tcMar>
            <w:vAlign w:val="center"/>
          </w:tcPr>
          <w:p w14:paraId="2C14916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75</w:t>
            </w:r>
          </w:p>
        </w:tc>
        <w:tc>
          <w:tcPr>
            <w:tcW w:w="220" w:type="pct"/>
            <w:vMerge w:val="continue"/>
            <w:shd w:val="clear" w:color="auto" w:fill="FFFFFF"/>
            <w:tcMar>
              <w:top w:w="0" w:type="dxa"/>
              <w:left w:w="0" w:type="dxa"/>
              <w:bottom w:w="0" w:type="dxa"/>
              <w:right w:w="0" w:type="dxa"/>
            </w:tcMar>
            <w:vAlign w:val="center"/>
          </w:tcPr>
          <w:p w14:paraId="3652613A">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43" w:type="pct"/>
            <w:shd w:val="clear" w:color="auto" w:fill="FFFFFF"/>
            <w:tcMar>
              <w:top w:w="0" w:type="dxa"/>
              <w:left w:w="0" w:type="dxa"/>
              <w:bottom w:w="0" w:type="dxa"/>
              <w:right w:w="0" w:type="dxa"/>
            </w:tcMar>
            <w:vAlign w:val="center"/>
          </w:tcPr>
          <w:p w14:paraId="0F03084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-11.9</w:t>
            </w:r>
          </w:p>
        </w:tc>
        <w:tc>
          <w:tcPr>
            <w:tcW w:w="243" w:type="pct"/>
            <w:shd w:val="clear" w:color="auto" w:fill="FFFFFF"/>
            <w:tcMar>
              <w:top w:w="0" w:type="dxa"/>
              <w:left w:w="0" w:type="dxa"/>
              <w:bottom w:w="0" w:type="dxa"/>
              <w:right w:w="0" w:type="dxa"/>
            </w:tcMar>
            <w:vAlign w:val="center"/>
          </w:tcPr>
          <w:p w14:paraId="233B5CA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7.3</w:t>
            </w:r>
          </w:p>
        </w:tc>
        <w:tc>
          <w:tcPr>
            <w:tcW w:w="243" w:type="pct"/>
            <w:shd w:val="clear" w:color="auto" w:fill="FFFFFF"/>
            <w:tcMar>
              <w:top w:w="0" w:type="dxa"/>
              <w:left w:w="0" w:type="dxa"/>
              <w:bottom w:w="0" w:type="dxa"/>
              <w:right w:w="0" w:type="dxa"/>
            </w:tcMar>
            <w:vAlign w:val="center"/>
          </w:tcPr>
          <w:p w14:paraId="30C923B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1.2</w:t>
            </w:r>
          </w:p>
        </w:tc>
        <w:tc>
          <w:tcPr>
            <w:tcW w:w="201" w:type="pct"/>
            <w:shd w:val="clear" w:color="auto" w:fill="FFFFFF"/>
            <w:tcMar>
              <w:top w:w="0" w:type="dxa"/>
              <w:left w:w="0" w:type="dxa"/>
              <w:bottom w:w="0" w:type="dxa"/>
              <w:right w:w="0" w:type="dxa"/>
            </w:tcMar>
            <w:vAlign w:val="center"/>
          </w:tcPr>
          <w:p w14:paraId="0995527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5.0</w:t>
            </w:r>
          </w:p>
        </w:tc>
        <w:tc>
          <w:tcPr>
            <w:tcW w:w="201" w:type="pct"/>
            <w:shd w:val="clear" w:color="auto" w:fill="FFFFFF"/>
            <w:tcMar>
              <w:top w:w="0" w:type="dxa"/>
              <w:left w:w="0" w:type="dxa"/>
              <w:bottom w:w="0" w:type="dxa"/>
              <w:right w:w="0" w:type="dxa"/>
            </w:tcMar>
            <w:vAlign w:val="center"/>
          </w:tcPr>
          <w:p w14:paraId="6291189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32.2</w:t>
            </w:r>
          </w:p>
        </w:tc>
        <w:tc>
          <w:tcPr>
            <w:tcW w:w="201" w:type="pct"/>
            <w:shd w:val="clear" w:color="auto" w:fill="FFFFFF"/>
            <w:tcMar>
              <w:top w:w="0" w:type="dxa"/>
              <w:left w:w="0" w:type="dxa"/>
              <w:bottom w:w="0" w:type="dxa"/>
              <w:right w:w="0" w:type="dxa"/>
            </w:tcMar>
            <w:vAlign w:val="center"/>
          </w:tcPr>
          <w:p w14:paraId="378ADA6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7.9</w:t>
            </w:r>
          </w:p>
        </w:tc>
        <w:tc>
          <w:tcPr>
            <w:tcW w:w="203" w:type="pct"/>
            <w:shd w:val="clear" w:color="auto" w:fill="FFFFFF"/>
            <w:tcMar>
              <w:top w:w="0" w:type="dxa"/>
              <w:left w:w="0" w:type="dxa"/>
              <w:bottom w:w="0" w:type="dxa"/>
              <w:right w:w="0" w:type="dxa"/>
            </w:tcMar>
            <w:vAlign w:val="center"/>
          </w:tcPr>
          <w:p w14:paraId="43B9FA9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53.8</w:t>
            </w:r>
          </w:p>
        </w:tc>
        <w:tc>
          <w:tcPr>
            <w:tcW w:w="199" w:type="pct"/>
            <w:shd w:val="clear" w:color="auto" w:fill="FFFFFF"/>
            <w:tcMar>
              <w:top w:w="0" w:type="dxa"/>
              <w:left w:w="0" w:type="dxa"/>
              <w:bottom w:w="0" w:type="dxa"/>
              <w:right w:w="0" w:type="dxa"/>
            </w:tcMar>
            <w:vAlign w:val="center"/>
          </w:tcPr>
          <w:p w14:paraId="4755D15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59.1</w:t>
            </w:r>
          </w:p>
        </w:tc>
        <w:tc>
          <w:tcPr>
            <w:tcW w:w="199" w:type="pct"/>
            <w:shd w:val="clear" w:color="auto" w:fill="FFFFFF"/>
            <w:tcMar>
              <w:top w:w="0" w:type="dxa"/>
              <w:left w:w="0" w:type="dxa"/>
              <w:bottom w:w="0" w:type="dxa"/>
              <w:right w:w="0" w:type="dxa"/>
            </w:tcMar>
            <w:vAlign w:val="center"/>
          </w:tcPr>
          <w:p w14:paraId="1609B1C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58.6</w:t>
            </w:r>
          </w:p>
        </w:tc>
        <w:tc>
          <w:tcPr>
            <w:tcW w:w="199" w:type="pct"/>
            <w:shd w:val="clear" w:color="auto" w:fill="FFFFFF"/>
            <w:tcMar>
              <w:top w:w="0" w:type="dxa"/>
              <w:left w:w="0" w:type="dxa"/>
              <w:bottom w:w="0" w:type="dxa"/>
              <w:right w:w="0" w:type="dxa"/>
            </w:tcMar>
            <w:vAlign w:val="center"/>
          </w:tcPr>
          <w:p w14:paraId="0325CF4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58.8</w:t>
            </w:r>
          </w:p>
        </w:tc>
        <w:tc>
          <w:tcPr>
            <w:tcW w:w="202" w:type="pct"/>
            <w:shd w:val="clear" w:color="auto" w:fill="FFFFFF"/>
            <w:tcMar>
              <w:top w:w="0" w:type="dxa"/>
              <w:left w:w="0" w:type="dxa"/>
              <w:bottom w:w="0" w:type="dxa"/>
              <w:right w:w="0" w:type="dxa"/>
            </w:tcMar>
            <w:vAlign w:val="center"/>
          </w:tcPr>
          <w:p w14:paraId="339AB3B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58.5</w:t>
            </w:r>
          </w:p>
        </w:tc>
        <w:tc>
          <w:tcPr>
            <w:tcW w:w="172" w:type="pct"/>
            <w:shd w:val="clear" w:color="auto" w:fill="FFFFFF"/>
            <w:tcMar>
              <w:top w:w="0" w:type="dxa"/>
              <w:left w:w="0" w:type="dxa"/>
              <w:bottom w:w="0" w:type="dxa"/>
              <w:right w:w="0" w:type="dxa"/>
            </w:tcMar>
            <w:vAlign w:val="center"/>
          </w:tcPr>
          <w:p w14:paraId="1A80468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24.0</w:t>
            </w:r>
          </w:p>
        </w:tc>
        <w:tc>
          <w:tcPr>
            <w:tcW w:w="265" w:type="pct"/>
            <w:vMerge w:val="continue"/>
            <w:shd w:val="clear" w:color="auto" w:fill="FFFFFF"/>
            <w:tcMar>
              <w:top w:w="0" w:type="dxa"/>
              <w:left w:w="0" w:type="dxa"/>
              <w:bottom w:w="0" w:type="dxa"/>
              <w:right w:w="0" w:type="dxa"/>
            </w:tcMar>
            <w:vAlign w:val="center"/>
          </w:tcPr>
          <w:p w14:paraId="7C4AFFC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17" w:type="pct"/>
            <w:shd w:val="clear" w:color="auto" w:fill="FFFFFF"/>
            <w:tcMar>
              <w:top w:w="0" w:type="dxa"/>
              <w:left w:w="0" w:type="dxa"/>
              <w:bottom w:w="0" w:type="dxa"/>
              <w:right w:w="0" w:type="dxa"/>
            </w:tcMar>
            <w:vAlign w:val="center"/>
          </w:tcPr>
          <w:p w14:paraId="47599F5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33.1</w:t>
            </w:r>
          </w:p>
        </w:tc>
        <w:tc>
          <w:tcPr>
            <w:tcW w:w="260" w:type="pct"/>
            <w:shd w:val="clear" w:color="auto" w:fill="FFFFFF"/>
            <w:tcMar>
              <w:top w:w="0" w:type="dxa"/>
              <w:left w:w="0" w:type="dxa"/>
              <w:bottom w:w="0" w:type="dxa"/>
              <w:right w:w="0" w:type="dxa"/>
            </w:tcMar>
            <w:vAlign w:val="center"/>
          </w:tcPr>
          <w:p w14:paraId="14178DC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32.6</w:t>
            </w:r>
          </w:p>
        </w:tc>
        <w:tc>
          <w:tcPr>
            <w:tcW w:w="232" w:type="pct"/>
            <w:shd w:val="clear" w:color="auto" w:fill="FFFFFF"/>
            <w:tcMar>
              <w:top w:w="0" w:type="dxa"/>
              <w:left w:w="0" w:type="dxa"/>
              <w:bottom w:w="0" w:type="dxa"/>
              <w:right w:w="0" w:type="dxa"/>
            </w:tcMar>
            <w:vAlign w:val="center"/>
          </w:tcPr>
          <w:p w14:paraId="7EFAFBC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32.8</w:t>
            </w:r>
          </w:p>
        </w:tc>
        <w:tc>
          <w:tcPr>
            <w:tcW w:w="232" w:type="pct"/>
            <w:shd w:val="clear" w:color="auto" w:fill="FFFFFF"/>
            <w:tcMar>
              <w:top w:w="0" w:type="dxa"/>
              <w:left w:w="0" w:type="dxa"/>
              <w:bottom w:w="0" w:type="dxa"/>
              <w:right w:w="0" w:type="dxa"/>
            </w:tcMar>
            <w:vAlign w:val="center"/>
          </w:tcPr>
          <w:p w14:paraId="2E78F83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32.5</w:t>
            </w:r>
          </w:p>
        </w:tc>
        <w:tc>
          <w:tcPr>
            <w:tcW w:w="201" w:type="pct"/>
            <w:shd w:val="clear" w:color="auto" w:fill="FFFFFF"/>
            <w:tcMar>
              <w:top w:w="0" w:type="dxa"/>
              <w:left w:w="0" w:type="dxa"/>
              <w:bottom w:w="0" w:type="dxa"/>
              <w:right w:w="0" w:type="dxa"/>
            </w:tcMar>
            <w:vAlign w:val="center"/>
          </w:tcPr>
          <w:p w14:paraId="4DA89AE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p>
        </w:tc>
      </w:tr>
      <w:tr w14:paraId="2C01F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53" w:type="pct"/>
            <w:shd w:val="clear" w:color="auto" w:fill="FFFFFF"/>
            <w:tcMar>
              <w:top w:w="0" w:type="dxa"/>
              <w:left w:w="0" w:type="dxa"/>
              <w:bottom w:w="0" w:type="dxa"/>
              <w:right w:w="0" w:type="dxa"/>
            </w:tcMar>
            <w:vAlign w:val="center"/>
          </w:tcPr>
          <w:p w14:paraId="2491F6B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9</w:t>
            </w:r>
          </w:p>
        </w:tc>
        <w:tc>
          <w:tcPr>
            <w:tcW w:w="225" w:type="pct"/>
            <w:vMerge w:val="continue"/>
            <w:shd w:val="clear" w:color="auto" w:fill="FFFFFF"/>
            <w:tcMar>
              <w:top w:w="0" w:type="dxa"/>
              <w:left w:w="0" w:type="dxa"/>
              <w:bottom w:w="0" w:type="dxa"/>
              <w:right w:w="0" w:type="dxa"/>
            </w:tcMar>
            <w:vAlign w:val="center"/>
          </w:tcPr>
          <w:p w14:paraId="3A72315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14" w:type="pct"/>
            <w:shd w:val="clear" w:color="auto" w:fill="FFFFFF"/>
            <w:tcMar>
              <w:top w:w="0" w:type="dxa"/>
              <w:left w:w="0" w:type="dxa"/>
              <w:bottom w:w="0" w:type="dxa"/>
              <w:right w:w="0" w:type="dxa"/>
            </w:tcMar>
            <w:vAlign w:val="center"/>
          </w:tcPr>
          <w:p w14:paraId="39199F8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旋风除尘器</w:t>
            </w:r>
          </w:p>
        </w:tc>
        <w:tc>
          <w:tcPr>
            <w:tcW w:w="259" w:type="pct"/>
            <w:shd w:val="clear" w:color="auto" w:fill="FFFFFF"/>
            <w:tcMar>
              <w:top w:w="0" w:type="dxa"/>
              <w:left w:w="0" w:type="dxa"/>
              <w:bottom w:w="0" w:type="dxa"/>
              <w:right w:w="0" w:type="dxa"/>
            </w:tcMar>
            <w:vAlign w:val="center"/>
          </w:tcPr>
          <w:p w14:paraId="4A3BBC4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80</w:t>
            </w:r>
          </w:p>
        </w:tc>
        <w:tc>
          <w:tcPr>
            <w:tcW w:w="220" w:type="pct"/>
            <w:vMerge w:val="continue"/>
            <w:shd w:val="clear" w:color="auto" w:fill="FFFFFF"/>
            <w:tcMar>
              <w:top w:w="0" w:type="dxa"/>
              <w:left w:w="0" w:type="dxa"/>
              <w:bottom w:w="0" w:type="dxa"/>
              <w:right w:w="0" w:type="dxa"/>
            </w:tcMar>
            <w:vAlign w:val="center"/>
          </w:tcPr>
          <w:p w14:paraId="3177002C">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43" w:type="pct"/>
            <w:shd w:val="clear" w:color="auto" w:fill="FFFFFF"/>
            <w:tcMar>
              <w:top w:w="0" w:type="dxa"/>
              <w:left w:w="0" w:type="dxa"/>
              <w:bottom w:w="0" w:type="dxa"/>
              <w:right w:w="0" w:type="dxa"/>
            </w:tcMar>
            <w:vAlign w:val="center"/>
          </w:tcPr>
          <w:p w14:paraId="79AF471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-10.5</w:t>
            </w:r>
          </w:p>
        </w:tc>
        <w:tc>
          <w:tcPr>
            <w:tcW w:w="243" w:type="pct"/>
            <w:shd w:val="clear" w:color="auto" w:fill="FFFFFF"/>
            <w:tcMar>
              <w:top w:w="0" w:type="dxa"/>
              <w:left w:w="0" w:type="dxa"/>
              <w:bottom w:w="0" w:type="dxa"/>
              <w:right w:w="0" w:type="dxa"/>
            </w:tcMar>
            <w:vAlign w:val="center"/>
          </w:tcPr>
          <w:p w14:paraId="422C158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0.7</w:t>
            </w:r>
          </w:p>
        </w:tc>
        <w:tc>
          <w:tcPr>
            <w:tcW w:w="243" w:type="pct"/>
            <w:shd w:val="clear" w:color="auto" w:fill="FFFFFF"/>
            <w:tcMar>
              <w:top w:w="0" w:type="dxa"/>
              <w:left w:w="0" w:type="dxa"/>
              <w:bottom w:w="0" w:type="dxa"/>
              <w:right w:w="0" w:type="dxa"/>
            </w:tcMar>
            <w:vAlign w:val="center"/>
          </w:tcPr>
          <w:p w14:paraId="4E38599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1.2</w:t>
            </w:r>
          </w:p>
        </w:tc>
        <w:tc>
          <w:tcPr>
            <w:tcW w:w="201" w:type="pct"/>
            <w:shd w:val="clear" w:color="auto" w:fill="FFFFFF"/>
            <w:tcMar>
              <w:top w:w="0" w:type="dxa"/>
              <w:left w:w="0" w:type="dxa"/>
              <w:bottom w:w="0" w:type="dxa"/>
              <w:right w:w="0" w:type="dxa"/>
            </w:tcMar>
            <w:vAlign w:val="center"/>
          </w:tcPr>
          <w:p w14:paraId="53CF6DC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7.5</w:t>
            </w:r>
          </w:p>
        </w:tc>
        <w:tc>
          <w:tcPr>
            <w:tcW w:w="201" w:type="pct"/>
            <w:shd w:val="clear" w:color="auto" w:fill="FFFFFF"/>
            <w:tcMar>
              <w:top w:w="0" w:type="dxa"/>
              <w:left w:w="0" w:type="dxa"/>
              <w:bottom w:w="0" w:type="dxa"/>
              <w:right w:w="0" w:type="dxa"/>
            </w:tcMar>
            <w:vAlign w:val="center"/>
          </w:tcPr>
          <w:p w14:paraId="5DBDCCC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25.9</w:t>
            </w:r>
          </w:p>
        </w:tc>
        <w:tc>
          <w:tcPr>
            <w:tcW w:w="201" w:type="pct"/>
            <w:shd w:val="clear" w:color="auto" w:fill="FFFFFF"/>
            <w:tcMar>
              <w:top w:w="0" w:type="dxa"/>
              <w:left w:w="0" w:type="dxa"/>
              <w:bottom w:w="0" w:type="dxa"/>
              <w:right w:w="0" w:type="dxa"/>
            </w:tcMar>
            <w:vAlign w:val="center"/>
          </w:tcPr>
          <w:p w14:paraId="5A910E7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5.4</w:t>
            </w:r>
          </w:p>
        </w:tc>
        <w:tc>
          <w:tcPr>
            <w:tcW w:w="203" w:type="pct"/>
            <w:shd w:val="clear" w:color="auto" w:fill="FFFFFF"/>
            <w:tcMar>
              <w:top w:w="0" w:type="dxa"/>
              <w:left w:w="0" w:type="dxa"/>
              <w:bottom w:w="0" w:type="dxa"/>
              <w:right w:w="0" w:type="dxa"/>
            </w:tcMar>
            <w:vAlign w:val="center"/>
          </w:tcPr>
          <w:p w14:paraId="61DDC64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60.1</w:t>
            </w:r>
          </w:p>
        </w:tc>
        <w:tc>
          <w:tcPr>
            <w:tcW w:w="199" w:type="pct"/>
            <w:shd w:val="clear" w:color="auto" w:fill="FFFFFF"/>
            <w:tcMar>
              <w:top w:w="0" w:type="dxa"/>
              <w:left w:w="0" w:type="dxa"/>
              <w:bottom w:w="0" w:type="dxa"/>
              <w:right w:w="0" w:type="dxa"/>
            </w:tcMar>
            <w:vAlign w:val="center"/>
          </w:tcPr>
          <w:p w14:paraId="7F41857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63.8</w:t>
            </w:r>
          </w:p>
        </w:tc>
        <w:tc>
          <w:tcPr>
            <w:tcW w:w="199" w:type="pct"/>
            <w:shd w:val="clear" w:color="auto" w:fill="FFFFFF"/>
            <w:tcMar>
              <w:top w:w="0" w:type="dxa"/>
              <w:left w:w="0" w:type="dxa"/>
              <w:bottom w:w="0" w:type="dxa"/>
              <w:right w:w="0" w:type="dxa"/>
            </w:tcMar>
            <w:vAlign w:val="center"/>
          </w:tcPr>
          <w:p w14:paraId="42A7E20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63.6</w:t>
            </w:r>
          </w:p>
        </w:tc>
        <w:tc>
          <w:tcPr>
            <w:tcW w:w="199" w:type="pct"/>
            <w:shd w:val="clear" w:color="auto" w:fill="FFFFFF"/>
            <w:tcMar>
              <w:top w:w="0" w:type="dxa"/>
              <w:left w:w="0" w:type="dxa"/>
              <w:bottom w:w="0" w:type="dxa"/>
              <w:right w:w="0" w:type="dxa"/>
            </w:tcMar>
            <w:vAlign w:val="center"/>
          </w:tcPr>
          <w:p w14:paraId="4186D20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64.0</w:t>
            </w:r>
          </w:p>
        </w:tc>
        <w:tc>
          <w:tcPr>
            <w:tcW w:w="202" w:type="pct"/>
            <w:shd w:val="clear" w:color="auto" w:fill="FFFFFF"/>
            <w:tcMar>
              <w:top w:w="0" w:type="dxa"/>
              <w:left w:w="0" w:type="dxa"/>
              <w:bottom w:w="0" w:type="dxa"/>
              <w:right w:w="0" w:type="dxa"/>
            </w:tcMar>
            <w:vAlign w:val="center"/>
          </w:tcPr>
          <w:p w14:paraId="180AD87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63.5</w:t>
            </w:r>
          </w:p>
        </w:tc>
        <w:tc>
          <w:tcPr>
            <w:tcW w:w="172" w:type="pct"/>
            <w:shd w:val="clear" w:color="auto" w:fill="FFFFFF"/>
            <w:tcMar>
              <w:top w:w="0" w:type="dxa"/>
              <w:left w:w="0" w:type="dxa"/>
              <w:bottom w:w="0" w:type="dxa"/>
              <w:right w:w="0" w:type="dxa"/>
            </w:tcMar>
            <w:vAlign w:val="center"/>
          </w:tcPr>
          <w:p w14:paraId="13F6110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24.0</w:t>
            </w:r>
          </w:p>
        </w:tc>
        <w:tc>
          <w:tcPr>
            <w:tcW w:w="265" w:type="pct"/>
            <w:vMerge w:val="continue"/>
            <w:shd w:val="clear" w:color="auto" w:fill="FFFFFF"/>
            <w:tcMar>
              <w:top w:w="0" w:type="dxa"/>
              <w:left w:w="0" w:type="dxa"/>
              <w:bottom w:w="0" w:type="dxa"/>
              <w:right w:w="0" w:type="dxa"/>
            </w:tcMar>
            <w:vAlign w:val="center"/>
          </w:tcPr>
          <w:p w14:paraId="77EDD2B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17" w:type="pct"/>
            <w:shd w:val="clear" w:color="auto" w:fill="FFFFFF"/>
            <w:tcMar>
              <w:top w:w="0" w:type="dxa"/>
              <w:left w:w="0" w:type="dxa"/>
              <w:bottom w:w="0" w:type="dxa"/>
              <w:right w:w="0" w:type="dxa"/>
            </w:tcMar>
            <w:vAlign w:val="center"/>
          </w:tcPr>
          <w:p w14:paraId="0F2479A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37.8</w:t>
            </w:r>
          </w:p>
        </w:tc>
        <w:tc>
          <w:tcPr>
            <w:tcW w:w="260" w:type="pct"/>
            <w:shd w:val="clear" w:color="auto" w:fill="FFFFFF"/>
            <w:tcMar>
              <w:top w:w="0" w:type="dxa"/>
              <w:left w:w="0" w:type="dxa"/>
              <w:bottom w:w="0" w:type="dxa"/>
              <w:right w:w="0" w:type="dxa"/>
            </w:tcMar>
            <w:vAlign w:val="center"/>
          </w:tcPr>
          <w:p w14:paraId="213F07F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37.6</w:t>
            </w:r>
          </w:p>
        </w:tc>
        <w:tc>
          <w:tcPr>
            <w:tcW w:w="232" w:type="pct"/>
            <w:shd w:val="clear" w:color="auto" w:fill="FFFFFF"/>
            <w:tcMar>
              <w:top w:w="0" w:type="dxa"/>
              <w:left w:w="0" w:type="dxa"/>
              <w:bottom w:w="0" w:type="dxa"/>
              <w:right w:w="0" w:type="dxa"/>
            </w:tcMar>
            <w:vAlign w:val="center"/>
          </w:tcPr>
          <w:p w14:paraId="7F7828F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38.0</w:t>
            </w:r>
          </w:p>
        </w:tc>
        <w:tc>
          <w:tcPr>
            <w:tcW w:w="232" w:type="pct"/>
            <w:shd w:val="clear" w:color="auto" w:fill="FFFFFF"/>
            <w:tcMar>
              <w:top w:w="0" w:type="dxa"/>
              <w:left w:w="0" w:type="dxa"/>
              <w:bottom w:w="0" w:type="dxa"/>
              <w:right w:w="0" w:type="dxa"/>
            </w:tcMar>
            <w:vAlign w:val="center"/>
          </w:tcPr>
          <w:p w14:paraId="1E942DF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37.5</w:t>
            </w:r>
          </w:p>
        </w:tc>
        <w:tc>
          <w:tcPr>
            <w:tcW w:w="201" w:type="pct"/>
            <w:shd w:val="clear" w:color="auto" w:fill="FFFFFF"/>
            <w:tcMar>
              <w:top w:w="0" w:type="dxa"/>
              <w:left w:w="0" w:type="dxa"/>
              <w:bottom w:w="0" w:type="dxa"/>
              <w:right w:w="0" w:type="dxa"/>
            </w:tcMar>
            <w:vAlign w:val="center"/>
          </w:tcPr>
          <w:p w14:paraId="75240A4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p>
        </w:tc>
      </w:tr>
      <w:tr w14:paraId="05799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53" w:type="pct"/>
            <w:shd w:val="clear" w:color="auto" w:fill="FFFFFF"/>
            <w:tcMar>
              <w:top w:w="0" w:type="dxa"/>
              <w:left w:w="0" w:type="dxa"/>
              <w:bottom w:w="0" w:type="dxa"/>
              <w:right w:w="0" w:type="dxa"/>
            </w:tcMar>
            <w:vAlign w:val="center"/>
          </w:tcPr>
          <w:p w14:paraId="5F5E0BD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10</w:t>
            </w:r>
          </w:p>
        </w:tc>
        <w:tc>
          <w:tcPr>
            <w:tcW w:w="225" w:type="pct"/>
            <w:vMerge w:val="continue"/>
            <w:shd w:val="clear" w:color="auto" w:fill="FFFFFF"/>
            <w:tcMar>
              <w:top w:w="0" w:type="dxa"/>
              <w:left w:w="0" w:type="dxa"/>
              <w:bottom w:w="0" w:type="dxa"/>
              <w:right w:w="0" w:type="dxa"/>
            </w:tcMar>
            <w:vAlign w:val="center"/>
          </w:tcPr>
          <w:p w14:paraId="3003C2F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14" w:type="pct"/>
            <w:shd w:val="clear" w:color="auto" w:fill="FFFFFF"/>
            <w:tcMar>
              <w:top w:w="0" w:type="dxa"/>
              <w:left w:w="0" w:type="dxa"/>
              <w:bottom w:w="0" w:type="dxa"/>
              <w:right w:w="0" w:type="dxa"/>
            </w:tcMar>
            <w:vAlign w:val="center"/>
          </w:tcPr>
          <w:p w14:paraId="12A2A5E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喷淋泵</w:t>
            </w:r>
          </w:p>
        </w:tc>
        <w:tc>
          <w:tcPr>
            <w:tcW w:w="259" w:type="pct"/>
            <w:shd w:val="clear" w:color="auto" w:fill="FFFFFF"/>
            <w:tcMar>
              <w:top w:w="0" w:type="dxa"/>
              <w:left w:w="0" w:type="dxa"/>
              <w:bottom w:w="0" w:type="dxa"/>
              <w:right w:w="0" w:type="dxa"/>
            </w:tcMar>
            <w:vAlign w:val="center"/>
          </w:tcPr>
          <w:p w14:paraId="2E047DF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80</w:t>
            </w:r>
          </w:p>
        </w:tc>
        <w:tc>
          <w:tcPr>
            <w:tcW w:w="220" w:type="pct"/>
            <w:vMerge w:val="continue"/>
            <w:shd w:val="clear" w:color="auto" w:fill="FFFFFF"/>
            <w:tcMar>
              <w:top w:w="0" w:type="dxa"/>
              <w:left w:w="0" w:type="dxa"/>
              <w:bottom w:w="0" w:type="dxa"/>
              <w:right w:w="0" w:type="dxa"/>
            </w:tcMar>
            <w:vAlign w:val="center"/>
          </w:tcPr>
          <w:p w14:paraId="2E34EA3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43" w:type="pct"/>
            <w:shd w:val="clear" w:color="auto" w:fill="FFFFFF"/>
            <w:tcMar>
              <w:top w:w="0" w:type="dxa"/>
              <w:left w:w="0" w:type="dxa"/>
              <w:bottom w:w="0" w:type="dxa"/>
              <w:right w:w="0" w:type="dxa"/>
            </w:tcMar>
            <w:vAlign w:val="center"/>
          </w:tcPr>
          <w:p w14:paraId="2036AE8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-16.1</w:t>
            </w:r>
          </w:p>
        </w:tc>
        <w:tc>
          <w:tcPr>
            <w:tcW w:w="243" w:type="pct"/>
            <w:shd w:val="clear" w:color="auto" w:fill="FFFFFF"/>
            <w:tcMar>
              <w:top w:w="0" w:type="dxa"/>
              <w:left w:w="0" w:type="dxa"/>
              <w:bottom w:w="0" w:type="dxa"/>
              <w:right w:w="0" w:type="dxa"/>
            </w:tcMar>
            <w:vAlign w:val="center"/>
          </w:tcPr>
          <w:p w14:paraId="58833E6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7.7</w:t>
            </w:r>
          </w:p>
        </w:tc>
        <w:tc>
          <w:tcPr>
            <w:tcW w:w="243" w:type="pct"/>
            <w:shd w:val="clear" w:color="auto" w:fill="FFFFFF"/>
            <w:tcMar>
              <w:top w:w="0" w:type="dxa"/>
              <w:left w:w="0" w:type="dxa"/>
              <w:bottom w:w="0" w:type="dxa"/>
              <w:right w:w="0" w:type="dxa"/>
            </w:tcMar>
            <w:vAlign w:val="center"/>
          </w:tcPr>
          <w:p w14:paraId="0642851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1.2</w:t>
            </w:r>
          </w:p>
        </w:tc>
        <w:tc>
          <w:tcPr>
            <w:tcW w:w="201" w:type="pct"/>
            <w:shd w:val="clear" w:color="auto" w:fill="FFFFFF"/>
            <w:tcMar>
              <w:top w:w="0" w:type="dxa"/>
              <w:left w:w="0" w:type="dxa"/>
              <w:bottom w:w="0" w:type="dxa"/>
              <w:right w:w="0" w:type="dxa"/>
            </w:tcMar>
            <w:vAlign w:val="center"/>
          </w:tcPr>
          <w:p w14:paraId="4B3DE5A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8.3</w:t>
            </w:r>
          </w:p>
        </w:tc>
        <w:tc>
          <w:tcPr>
            <w:tcW w:w="201" w:type="pct"/>
            <w:shd w:val="clear" w:color="auto" w:fill="FFFFFF"/>
            <w:tcMar>
              <w:top w:w="0" w:type="dxa"/>
              <w:left w:w="0" w:type="dxa"/>
              <w:bottom w:w="0" w:type="dxa"/>
              <w:right w:w="0" w:type="dxa"/>
            </w:tcMar>
            <w:vAlign w:val="center"/>
          </w:tcPr>
          <w:p w14:paraId="70F386C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34.8</w:t>
            </w:r>
          </w:p>
        </w:tc>
        <w:tc>
          <w:tcPr>
            <w:tcW w:w="201" w:type="pct"/>
            <w:shd w:val="clear" w:color="auto" w:fill="FFFFFF"/>
            <w:tcMar>
              <w:top w:w="0" w:type="dxa"/>
              <w:left w:w="0" w:type="dxa"/>
              <w:bottom w:w="0" w:type="dxa"/>
              <w:right w:w="0" w:type="dxa"/>
            </w:tcMar>
            <w:vAlign w:val="center"/>
          </w:tcPr>
          <w:p w14:paraId="04D5D8D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4.6</w:t>
            </w:r>
          </w:p>
        </w:tc>
        <w:tc>
          <w:tcPr>
            <w:tcW w:w="203" w:type="pct"/>
            <w:shd w:val="clear" w:color="auto" w:fill="FFFFFF"/>
            <w:tcMar>
              <w:top w:w="0" w:type="dxa"/>
              <w:left w:w="0" w:type="dxa"/>
              <w:bottom w:w="0" w:type="dxa"/>
              <w:right w:w="0" w:type="dxa"/>
            </w:tcMar>
            <w:vAlign w:val="center"/>
          </w:tcPr>
          <w:p w14:paraId="106509F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51.2</w:t>
            </w:r>
          </w:p>
        </w:tc>
        <w:tc>
          <w:tcPr>
            <w:tcW w:w="199" w:type="pct"/>
            <w:shd w:val="clear" w:color="auto" w:fill="FFFFFF"/>
            <w:tcMar>
              <w:top w:w="0" w:type="dxa"/>
              <w:left w:w="0" w:type="dxa"/>
              <w:bottom w:w="0" w:type="dxa"/>
              <w:right w:w="0" w:type="dxa"/>
            </w:tcMar>
            <w:vAlign w:val="center"/>
          </w:tcPr>
          <w:p w14:paraId="0D0CD12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63.8</w:t>
            </w:r>
          </w:p>
        </w:tc>
        <w:tc>
          <w:tcPr>
            <w:tcW w:w="199" w:type="pct"/>
            <w:shd w:val="clear" w:color="auto" w:fill="FFFFFF"/>
            <w:tcMar>
              <w:top w:w="0" w:type="dxa"/>
              <w:left w:w="0" w:type="dxa"/>
              <w:bottom w:w="0" w:type="dxa"/>
              <w:right w:w="0" w:type="dxa"/>
            </w:tcMar>
            <w:vAlign w:val="center"/>
          </w:tcPr>
          <w:p w14:paraId="5BB8C68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63.6</w:t>
            </w:r>
          </w:p>
        </w:tc>
        <w:tc>
          <w:tcPr>
            <w:tcW w:w="199" w:type="pct"/>
            <w:shd w:val="clear" w:color="auto" w:fill="FFFFFF"/>
            <w:tcMar>
              <w:top w:w="0" w:type="dxa"/>
              <w:left w:w="0" w:type="dxa"/>
              <w:bottom w:w="0" w:type="dxa"/>
              <w:right w:w="0" w:type="dxa"/>
            </w:tcMar>
            <w:vAlign w:val="center"/>
          </w:tcPr>
          <w:p w14:paraId="7C5A59D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64.2</w:t>
            </w:r>
          </w:p>
        </w:tc>
        <w:tc>
          <w:tcPr>
            <w:tcW w:w="202" w:type="pct"/>
            <w:shd w:val="clear" w:color="auto" w:fill="FFFFFF"/>
            <w:tcMar>
              <w:top w:w="0" w:type="dxa"/>
              <w:left w:w="0" w:type="dxa"/>
              <w:bottom w:w="0" w:type="dxa"/>
              <w:right w:w="0" w:type="dxa"/>
            </w:tcMar>
            <w:vAlign w:val="center"/>
          </w:tcPr>
          <w:p w14:paraId="0DD7AC3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63.6</w:t>
            </w:r>
          </w:p>
        </w:tc>
        <w:tc>
          <w:tcPr>
            <w:tcW w:w="172" w:type="pct"/>
            <w:shd w:val="clear" w:color="auto" w:fill="FFFFFF"/>
            <w:tcMar>
              <w:top w:w="0" w:type="dxa"/>
              <w:left w:w="0" w:type="dxa"/>
              <w:bottom w:w="0" w:type="dxa"/>
              <w:right w:w="0" w:type="dxa"/>
            </w:tcMar>
            <w:vAlign w:val="center"/>
          </w:tcPr>
          <w:p w14:paraId="62069DE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24.0</w:t>
            </w:r>
          </w:p>
        </w:tc>
        <w:tc>
          <w:tcPr>
            <w:tcW w:w="265" w:type="pct"/>
            <w:vMerge w:val="continue"/>
            <w:shd w:val="clear" w:color="auto" w:fill="FFFFFF"/>
            <w:tcMar>
              <w:top w:w="0" w:type="dxa"/>
              <w:left w:w="0" w:type="dxa"/>
              <w:bottom w:w="0" w:type="dxa"/>
              <w:right w:w="0" w:type="dxa"/>
            </w:tcMar>
            <w:vAlign w:val="center"/>
          </w:tcPr>
          <w:p w14:paraId="67656AF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17" w:type="pct"/>
            <w:shd w:val="clear" w:color="auto" w:fill="FFFFFF"/>
            <w:tcMar>
              <w:top w:w="0" w:type="dxa"/>
              <w:left w:w="0" w:type="dxa"/>
              <w:bottom w:w="0" w:type="dxa"/>
              <w:right w:w="0" w:type="dxa"/>
            </w:tcMar>
            <w:vAlign w:val="center"/>
          </w:tcPr>
          <w:p w14:paraId="426677C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37.8</w:t>
            </w:r>
          </w:p>
        </w:tc>
        <w:tc>
          <w:tcPr>
            <w:tcW w:w="260" w:type="pct"/>
            <w:shd w:val="clear" w:color="auto" w:fill="FFFFFF"/>
            <w:tcMar>
              <w:top w:w="0" w:type="dxa"/>
              <w:left w:w="0" w:type="dxa"/>
              <w:bottom w:w="0" w:type="dxa"/>
              <w:right w:w="0" w:type="dxa"/>
            </w:tcMar>
            <w:vAlign w:val="center"/>
          </w:tcPr>
          <w:p w14:paraId="5E50666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37.6</w:t>
            </w:r>
          </w:p>
        </w:tc>
        <w:tc>
          <w:tcPr>
            <w:tcW w:w="232" w:type="pct"/>
            <w:shd w:val="clear" w:color="auto" w:fill="FFFFFF"/>
            <w:tcMar>
              <w:top w:w="0" w:type="dxa"/>
              <w:left w:w="0" w:type="dxa"/>
              <w:bottom w:w="0" w:type="dxa"/>
              <w:right w:w="0" w:type="dxa"/>
            </w:tcMar>
            <w:vAlign w:val="center"/>
          </w:tcPr>
          <w:p w14:paraId="6CA7803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38.2</w:t>
            </w:r>
          </w:p>
        </w:tc>
        <w:tc>
          <w:tcPr>
            <w:tcW w:w="232" w:type="pct"/>
            <w:shd w:val="clear" w:color="auto" w:fill="FFFFFF"/>
            <w:tcMar>
              <w:top w:w="0" w:type="dxa"/>
              <w:left w:w="0" w:type="dxa"/>
              <w:bottom w:w="0" w:type="dxa"/>
              <w:right w:w="0" w:type="dxa"/>
            </w:tcMar>
            <w:vAlign w:val="center"/>
          </w:tcPr>
          <w:p w14:paraId="639F40A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37.6</w:t>
            </w:r>
          </w:p>
        </w:tc>
        <w:tc>
          <w:tcPr>
            <w:tcW w:w="201" w:type="pct"/>
            <w:shd w:val="clear" w:color="auto" w:fill="FFFFFF"/>
            <w:tcMar>
              <w:top w:w="0" w:type="dxa"/>
              <w:left w:w="0" w:type="dxa"/>
              <w:bottom w:w="0" w:type="dxa"/>
              <w:right w:w="0" w:type="dxa"/>
            </w:tcMar>
            <w:vAlign w:val="center"/>
          </w:tcPr>
          <w:p w14:paraId="22F5A99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p>
        </w:tc>
      </w:tr>
      <w:tr w14:paraId="2F294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53" w:type="pct"/>
            <w:shd w:val="clear" w:color="auto" w:fill="FFFFFF"/>
            <w:tcMar>
              <w:top w:w="0" w:type="dxa"/>
              <w:left w:w="0" w:type="dxa"/>
              <w:bottom w:w="0" w:type="dxa"/>
              <w:right w:w="0" w:type="dxa"/>
            </w:tcMar>
            <w:vAlign w:val="center"/>
          </w:tcPr>
          <w:p w14:paraId="0DC75A6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11</w:t>
            </w:r>
          </w:p>
        </w:tc>
        <w:tc>
          <w:tcPr>
            <w:tcW w:w="225" w:type="pct"/>
            <w:vMerge w:val="continue"/>
            <w:shd w:val="clear" w:color="auto" w:fill="FFFFFF"/>
            <w:tcMar>
              <w:top w:w="0" w:type="dxa"/>
              <w:left w:w="0" w:type="dxa"/>
              <w:bottom w:w="0" w:type="dxa"/>
              <w:right w:w="0" w:type="dxa"/>
            </w:tcMar>
            <w:vAlign w:val="center"/>
          </w:tcPr>
          <w:p w14:paraId="00B9354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14" w:type="pct"/>
            <w:shd w:val="clear" w:color="auto" w:fill="FFFFFF"/>
            <w:tcMar>
              <w:top w:w="0" w:type="dxa"/>
              <w:left w:w="0" w:type="dxa"/>
              <w:bottom w:w="0" w:type="dxa"/>
              <w:right w:w="0" w:type="dxa"/>
            </w:tcMar>
            <w:vAlign w:val="center"/>
          </w:tcPr>
          <w:p w14:paraId="0C8620D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引风机</w:t>
            </w:r>
          </w:p>
        </w:tc>
        <w:tc>
          <w:tcPr>
            <w:tcW w:w="259" w:type="pct"/>
            <w:shd w:val="clear" w:color="auto" w:fill="FFFFFF"/>
            <w:tcMar>
              <w:top w:w="0" w:type="dxa"/>
              <w:left w:w="0" w:type="dxa"/>
              <w:bottom w:w="0" w:type="dxa"/>
              <w:right w:w="0" w:type="dxa"/>
            </w:tcMar>
            <w:vAlign w:val="center"/>
          </w:tcPr>
          <w:p w14:paraId="6ADA0B1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80</w:t>
            </w:r>
          </w:p>
        </w:tc>
        <w:tc>
          <w:tcPr>
            <w:tcW w:w="220" w:type="pct"/>
            <w:vMerge w:val="continue"/>
            <w:shd w:val="clear" w:color="auto" w:fill="FFFFFF"/>
            <w:tcMar>
              <w:top w:w="0" w:type="dxa"/>
              <w:left w:w="0" w:type="dxa"/>
              <w:bottom w:w="0" w:type="dxa"/>
              <w:right w:w="0" w:type="dxa"/>
            </w:tcMar>
            <w:vAlign w:val="center"/>
          </w:tcPr>
          <w:p w14:paraId="7859138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43" w:type="pct"/>
            <w:shd w:val="clear" w:color="auto" w:fill="FFFFFF"/>
            <w:tcMar>
              <w:top w:w="0" w:type="dxa"/>
              <w:left w:w="0" w:type="dxa"/>
              <w:bottom w:w="0" w:type="dxa"/>
              <w:right w:w="0" w:type="dxa"/>
            </w:tcMar>
            <w:vAlign w:val="center"/>
          </w:tcPr>
          <w:p w14:paraId="4BB48ED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-4.8</w:t>
            </w:r>
          </w:p>
        </w:tc>
        <w:tc>
          <w:tcPr>
            <w:tcW w:w="243" w:type="pct"/>
            <w:shd w:val="clear" w:color="auto" w:fill="FFFFFF"/>
            <w:tcMar>
              <w:top w:w="0" w:type="dxa"/>
              <w:left w:w="0" w:type="dxa"/>
              <w:bottom w:w="0" w:type="dxa"/>
              <w:right w:w="0" w:type="dxa"/>
            </w:tcMar>
            <w:vAlign w:val="center"/>
          </w:tcPr>
          <w:p w14:paraId="032519D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-3.5</w:t>
            </w:r>
          </w:p>
        </w:tc>
        <w:tc>
          <w:tcPr>
            <w:tcW w:w="243" w:type="pct"/>
            <w:shd w:val="clear" w:color="auto" w:fill="FFFFFF"/>
            <w:tcMar>
              <w:top w:w="0" w:type="dxa"/>
              <w:left w:w="0" w:type="dxa"/>
              <w:bottom w:w="0" w:type="dxa"/>
              <w:right w:w="0" w:type="dxa"/>
            </w:tcMar>
            <w:vAlign w:val="center"/>
          </w:tcPr>
          <w:p w14:paraId="3418CCC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1.2</w:t>
            </w:r>
          </w:p>
        </w:tc>
        <w:tc>
          <w:tcPr>
            <w:tcW w:w="201" w:type="pct"/>
            <w:shd w:val="clear" w:color="auto" w:fill="FFFFFF"/>
            <w:tcMar>
              <w:top w:w="0" w:type="dxa"/>
              <w:left w:w="0" w:type="dxa"/>
              <w:bottom w:w="0" w:type="dxa"/>
              <w:right w:w="0" w:type="dxa"/>
            </w:tcMar>
            <w:vAlign w:val="center"/>
          </w:tcPr>
          <w:p w14:paraId="37E7F42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5.0</w:t>
            </w:r>
          </w:p>
        </w:tc>
        <w:tc>
          <w:tcPr>
            <w:tcW w:w="201" w:type="pct"/>
            <w:shd w:val="clear" w:color="auto" w:fill="FFFFFF"/>
            <w:tcMar>
              <w:top w:w="0" w:type="dxa"/>
              <w:left w:w="0" w:type="dxa"/>
              <w:bottom w:w="0" w:type="dxa"/>
              <w:right w:w="0" w:type="dxa"/>
            </w:tcMar>
            <w:vAlign w:val="center"/>
          </w:tcPr>
          <w:p w14:paraId="65B7F73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19.4</w:t>
            </w:r>
          </w:p>
        </w:tc>
        <w:tc>
          <w:tcPr>
            <w:tcW w:w="201" w:type="pct"/>
            <w:shd w:val="clear" w:color="auto" w:fill="FFFFFF"/>
            <w:tcMar>
              <w:top w:w="0" w:type="dxa"/>
              <w:left w:w="0" w:type="dxa"/>
              <w:bottom w:w="0" w:type="dxa"/>
              <w:right w:w="0" w:type="dxa"/>
            </w:tcMar>
            <w:vAlign w:val="center"/>
          </w:tcPr>
          <w:p w14:paraId="4A024F9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7.8</w:t>
            </w:r>
          </w:p>
        </w:tc>
        <w:tc>
          <w:tcPr>
            <w:tcW w:w="203" w:type="pct"/>
            <w:shd w:val="clear" w:color="auto" w:fill="FFFFFF"/>
            <w:tcMar>
              <w:top w:w="0" w:type="dxa"/>
              <w:left w:w="0" w:type="dxa"/>
              <w:bottom w:w="0" w:type="dxa"/>
              <w:right w:w="0" w:type="dxa"/>
            </w:tcMar>
            <w:vAlign w:val="center"/>
          </w:tcPr>
          <w:p w14:paraId="403CC9E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66.7</w:t>
            </w:r>
          </w:p>
        </w:tc>
        <w:tc>
          <w:tcPr>
            <w:tcW w:w="199" w:type="pct"/>
            <w:shd w:val="clear" w:color="auto" w:fill="FFFFFF"/>
            <w:tcMar>
              <w:top w:w="0" w:type="dxa"/>
              <w:left w:w="0" w:type="dxa"/>
              <w:bottom w:w="0" w:type="dxa"/>
              <w:right w:w="0" w:type="dxa"/>
            </w:tcMar>
            <w:vAlign w:val="center"/>
          </w:tcPr>
          <w:p w14:paraId="79C9B8C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64.1</w:t>
            </w:r>
          </w:p>
        </w:tc>
        <w:tc>
          <w:tcPr>
            <w:tcW w:w="199" w:type="pct"/>
            <w:shd w:val="clear" w:color="auto" w:fill="FFFFFF"/>
            <w:tcMar>
              <w:top w:w="0" w:type="dxa"/>
              <w:left w:w="0" w:type="dxa"/>
              <w:bottom w:w="0" w:type="dxa"/>
              <w:right w:w="0" w:type="dxa"/>
            </w:tcMar>
            <w:vAlign w:val="center"/>
          </w:tcPr>
          <w:p w14:paraId="16515D7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63.6</w:t>
            </w:r>
          </w:p>
        </w:tc>
        <w:tc>
          <w:tcPr>
            <w:tcW w:w="199" w:type="pct"/>
            <w:shd w:val="clear" w:color="auto" w:fill="FFFFFF"/>
            <w:tcMar>
              <w:top w:w="0" w:type="dxa"/>
              <w:left w:w="0" w:type="dxa"/>
              <w:bottom w:w="0" w:type="dxa"/>
              <w:right w:w="0" w:type="dxa"/>
            </w:tcMar>
            <w:vAlign w:val="center"/>
          </w:tcPr>
          <w:p w14:paraId="7B659BE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63.8</w:t>
            </w:r>
          </w:p>
        </w:tc>
        <w:tc>
          <w:tcPr>
            <w:tcW w:w="202" w:type="pct"/>
            <w:shd w:val="clear" w:color="auto" w:fill="FFFFFF"/>
            <w:tcMar>
              <w:top w:w="0" w:type="dxa"/>
              <w:left w:w="0" w:type="dxa"/>
              <w:bottom w:w="0" w:type="dxa"/>
              <w:right w:w="0" w:type="dxa"/>
            </w:tcMar>
            <w:vAlign w:val="center"/>
          </w:tcPr>
          <w:p w14:paraId="0C32914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63.5</w:t>
            </w:r>
          </w:p>
        </w:tc>
        <w:tc>
          <w:tcPr>
            <w:tcW w:w="172" w:type="pct"/>
            <w:shd w:val="clear" w:color="auto" w:fill="FFFFFF"/>
            <w:tcMar>
              <w:top w:w="0" w:type="dxa"/>
              <w:left w:w="0" w:type="dxa"/>
              <w:bottom w:w="0" w:type="dxa"/>
              <w:right w:w="0" w:type="dxa"/>
            </w:tcMar>
            <w:vAlign w:val="center"/>
          </w:tcPr>
          <w:p w14:paraId="4540F16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24.0</w:t>
            </w:r>
          </w:p>
        </w:tc>
        <w:tc>
          <w:tcPr>
            <w:tcW w:w="265" w:type="pct"/>
            <w:vMerge w:val="continue"/>
            <w:shd w:val="clear" w:color="auto" w:fill="FFFFFF"/>
            <w:tcMar>
              <w:top w:w="0" w:type="dxa"/>
              <w:left w:w="0" w:type="dxa"/>
              <w:bottom w:w="0" w:type="dxa"/>
              <w:right w:w="0" w:type="dxa"/>
            </w:tcMar>
            <w:vAlign w:val="center"/>
          </w:tcPr>
          <w:p w14:paraId="13470AB5">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17" w:type="pct"/>
            <w:shd w:val="clear" w:color="auto" w:fill="FFFFFF"/>
            <w:tcMar>
              <w:top w:w="0" w:type="dxa"/>
              <w:left w:w="0" w:type="dxa"/>
              <w:bottom w:w="0" w:type="dxa"/>
              <w:right w:w="0" w:type="dxa"/>
            </w:tcMar>
            <w:vAlign w:val="center"/>
          </w:tcPr>
          <w:p w14:paraId="65A40C3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38.1</w:t>
            </w:r>
          </w:p>
        </w:tc>
        <w:tc>
          <w:tcPr>
            <w:tcW w:w="260" w:type="pct"/>
            <w:shd w:val="clear" w:color="auto" w:fill="FFFFFF"/>
            <w:tcMar>
              <w:top w:w="0" w:type="dxa"/>
              <w:left w:w="0" w:type="dxa"/>
              <w:bottom w:w="0" w:type="dxa"/>
              <w:right w:w="0" w:type="dxa"/>
            </w:tcMar>
            <w:vAlign w:val="center"/>
          </w:tcPr>
          <w:p w14:paraId="2505AEC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37.6</w:t>
            </w:r>
          </w:p>
        </w:tc>
        <w:tc>
          <w:tcPr>
            <w:tcW w:w="232" w:type="pct"/>
            <w:shd w:val="clear" w:color="auto" w:fill="FFFFFF"/>
            <w:tcMar>
              <w:top w:w="0" w:type="dxa"/>
              <w:left w:w="0" w:type="dxa"/>
              <w:bottom w:w="0" w:type="dxa"/>
              <w:right w:w="0" w:type="dxa"/>
            </w:tcMar>
            <w:vAlign w:val="center"/>
          </w:tcPr>
          <w:p w14:paraId="5C3065D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37.8</w:t>
            </w:r>
          </w:p>
        </w:tc>
        <w:tc>
          <w:tcPr>
            <w:tcW w:w="232" w:type="pct"/>
            <w:shd w:val="clear" w:color="auto" w:fill="FFFFFF"/>
            <w:tcMar>
              <w:top w:w="0" w:type="dxa"/>
              <w:left w:w="0" w:type="dxa"/>
              <w:bottom w:w="0" w:type="dxa"/>
              <w:right w:w="0" w:type="dxa"/>
            </w:tcMar>
            <w:vAlign w:val="center"/>
          </w:tcPr>
          <w:p w14:paraId="0120DAC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37.5</w:t>
            </w:r>
          </w:p>
        </w:tc>
        <w:tc>
          <w:tcPr>
            <w:tcW w:w="201" w:type="pct"/>
            <w:shd w:val="clear" w:color="auto" w:fill="FFFFFF"/>
            <w:tcMar>
              <w:top w:w="0" w:type="dxa"/>
              <w:left w:w="0" w:type="dxa"/>
              <w:bottom w:w="0" w:type="dxa"/>
              <w:right w:w="0" w:type="dxa"/>
            </w:tcMar>
            <w:vAlign w:val="center"/>
          </w:tcPr>
          <w:p w14:paraId="114638E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p>
        </w:tc>
      </w:tr>
    </w:tbl>
    <w:p w14:paraId="402D3E0F">
      <w:pPr>
        <w:snapToGrid w:val="0"/>
        <w:spacing w:before="241" w:beforeLines="50"/>
        <w:jc w:val="center"/>
        <w:rPr>
          <w:rFonts w:hint="eastAsia" w:ascii="Times New Roman" w:hAnsi="Times New Roman" w:cs="Times New Roman" w:eastAsiaTheme="minorEastAsia"/>
          <w:color w:val="auto"/>
          <w:lang w:val="en-US" w:eastAsia="zh-CN"/>
        </w:rPr>
      </w:pPr>
    </w:p>
    <w:p w14:paraId="344A1AE8">
      <w:pPr>
        <w:pStyle w:val="20"/>
        <w:snapToGrid w:val="0"/>
        <w:ind w:firstLine="1200" w:firstLineChars="500"/>
        <w:jc w:val="left"/>
        <w:rPr>
          <w:rFonts w:hint="eastAsia" w:ascii="Times New Roman" w:hAnsi="Times New Roman" w:cs="Times New Roman" w:eastAsiaTheme="minorEastAsia"/>
          <w:color w:val="auto"/>
          <w:lang w:val="en-US" w:eastAsia="zh-CN"/>
        </w:rPr>
        <w:sectPr>
          <w:pgSz w:w="16838" w:h="11906" w:orient="landscape"/>
          <w:pgMar w:top="1800" w:right="1440" w:bottom="1800" w:left="1440" w:header="851" w:footer="992" w:gutter="0"/>
          <w:pgNumType w:fmt="decimal"/>
          <w:cols w:space="425" w:num="1"/>
          <w:docGrid w:type="lines" w:linePitch="312" w:charSpace="0"/>
        </w:sectPr>
      </w:pPr>
    </w:p>
    <w:p w14:paraId="130392D8">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230" w:name="_Toc10470"/>
      <w:r>
        <w:rPr>
          <w:rFonts w:hint="eastAsia" w:ascii="Times New Roman" w:hAnsi="Times New Roman" w:cs="Times New Roman" w:eastAsiaTheme="minorEastAsia"/>
          <w:kern w:val="0"/>
          <w:sz w:val="24"/>
          <w:szCs w:val="24"/>
          <w:lang w:val="en-US" w:eastAsia="zh-CN"/>
        </w:rPr>
        <w:t>5.4.5预测结果</w:t>
      </w:r>
      <w:bookmarkEnd w:id="230"/>
    </w:p>
    <w:p w14:paraId="06290740">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本项目为扩建项目，噪声预测结果需叠加背景值。</w:t>
      </w:r>
      <w:r>
        <w:rPr>
          <w:rFonts w:hint="default" w:ascii="Times New Roman" w:hAnsi="Times New Roman" w:cs="Times New Roman" w:eastAsiaTheme="minorEastAsia"/>
          <w:sz w:val="24"/>
          <w:lang w:val="en-US" w:eastAsia="zh-CN"/>
        </w:rPr>
        <w:t>通过预测模型计算，</w:t>
      </w:r>
      <w:r>
        <w:rPr>
          <w:rFonts w:hint="eastAsia" w:ascii="Times New Roman" w:hAnsi="Times New Roman" w:cs="Times New Roman" w:eastAsiaTheme="minorEastAsia"/>
          <w:sz w:val="24"/>
          <w:lang w:val="en-US" w:eastAsia="zh-CN"/>
        </w:rPr>
        <w:t>本</w:t>
      </w:r>
      <w:r>
        <w:rPr>
          <w:rFonts w:hint="default" w:ascii="Times New Roman" w:hAnsi="Times New Roman" w:cs="Times New Roman" w:eastAsiaTheme="minorEastAsia"/>
          <w:sz w:val="24"/>
          <w:lang w:val="en-US" w:eastAsia="zh-CN"/>
        </w:rPr>
        <w:t>项目厂界噪声预测结果与达标分析见表</w:t>
      </w:r>
      <w:r>
        <w:rPr>
          <w:rFonts w:hint="eastAsia" w:ascii="Times New Roman" w:hAnsi="Times New Roman" w:cs="Times New Roman" w:eastAsiaTheme="minorEastAsia"/>
          <w:sz w:val="24"/>
          <w:lang w:val="en-US" w:eastAsia="zh-CN"/>
        </w:rPr>
        <w:t>5.4-2。</w:t>
      </w:r>
    </w:p>
    <w:p w14:paraId="07AFA30B">
      <w:pPr>
        <w:adjustRightInd w:val="0"/>
        <w:snapToGrid w:val="0"/>
        <w:spacing w:before="250" w:beforeLines="50"/>
        <w:jc w:val="center"/>
        <w:rPr>
          <w:rFonts w:ascii="Times New Roman" w:hAnsi="Times New Roman" w:cs="Times New Roman"/>
          <w:b/>
          <w:lang w:eastAsia="zh-CN"/>
        </w:rPr>
      </w:pPr>
      <w:r>
        <w:rPr>
          <w:rFonts w:hint="default" w:ascii="Times New Roman" w:hAnsi="Times New Roman" w:cs="Times New Roman" w:eastAsiaTheme="minorEastAsia"/>
          <w:b/>
          <w:szCs w:val="21"/>
          <w:lang w:val="en-US" w:eastAsia="zh-CN"/>
        </w:rPr>
        <w:t>表</w:t>
      </w:r>
      <w:r>
        <w:rPr>
          <w:rFonts w:hint="eastAsia" w:ascii="Times New Roman" w:hAnsi="Times New Roman" w:cs="Times New Roman" w:eastAsiaTheme="minorEastAsia"/>
          <w:b/>
          <w:szCs w:val="21"/>
          <w:lang w:val="en-US" w:eastAsia="zh-CN"/>
        </w:rPr>
        <w:t>5.4-2</w:t>
      </w:r>
      <w:r>
        <w:rPr>
          <w:rFonts w:hint="default" w:ascii="Times New Roman" w:hAnsi="Times New Roman" w:cs="Times New Roman" w:eastAsiaTheme="minorEastAsia"/>
          <w:b/>
          <w:szCs w:val="21"/>
          <w:lang w:val="en-US" w:eastAsia="zh-CN"/>
        </w:rPr>
        <w:t xml:space="preserve">  厂界噪声预测结果与达标分析表</w:t>
      </w:r>
      <w:bookmarkStart w:id="231" w:name="PT_7"/>
    </w:p>
    <w:tbl>
      <w:tblPr>
        <w:tblStyle w:val="1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672"/>
        <w:gridCol w:w="605"/>
        <w:gridCol w:w="552"/>
        <w:gridCol w:w="689"/>
        <w:gridCol w:w="1187"/>
        <w:gridCol w:w="1009"/>
        <w:gridCol w:w="1009"/>
        <w:gridCol w:w="1187"/>
        <w:gridCol w:w="837"/>
      </w:tblGrid>
      <w:tr w14:paraId="4BE81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452" w:type="pct"/>
            <w:vMerge w:val="restart"/>
            <w:vAlign w:val="center"/>
          </w:tcPr>
          <w:p w14:paraId="2021233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预测方位</w:t>
            </w:r>
          </w:p>
        </w:tc>
        <w:tc>
          <w:tcPr>
            <w:tcW w:w="1073" w:type="pct"/>
            <w:gridSpan w:val="3"/>
            <w:vAlign w:val="center"/>
          </w:tcPr>
          <w:p w14:paraId="50D3664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最大值点</w:t>
            </w:r>
            <w:r>
              <w:rPr>
                <w:rFonts w:hint="default" w:ascii="Times New Roman" w:hAnsi="Times New Roman" w:cs="Times New Roman" w:eastAsiaTheme="minorEastAsia"/>
                <w:szCs w:val="21"/>
                <w:lang w:val="en-US" w:eastAsia="zh-CN"/>
              </w:rPr>
              <w:t>空间相对位置/m</w:t>
            </w:r>
          </w:p>
        </w:tc>
        <w:tc>
          <w:tcPr>
            <w:tcW w:w="404" w:type="pct"/>
            <w:vMerge w:val="restart"/>
            <w:vAlign w:val="center"/>
          </w:tcPr>
          <w:p w14:paraId="79ADE1A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时段</w:t>
            </w:r>
          </w:p>
        </w:tc>
        <w:tc>
          <w:tcPr>
            <w:tcW w:w="696" w:type="pct"/>
            <w:vMerge w:val="restart"/>
            <w:vAlign w:val="center"/>
          </w:tcPr>
          <w:p w14:paraId="298F241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本项目贡献值</w:t>
            </w:r>
            <w:r>
              <w:rPr>
                <w:rFonts w:hint="default" w:ascii="Times New Roman" w:hAnsi="Times New Roman" w:cs="Times New Roman" w:eastAsiaTheme="minorEastAsia"/>
                <w:szCs w:val="21"/>
                <w:lang w:val="en-US" w:eastAsia="zh-CN"/>
              </w:rPr>
              <w:t>（dB</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A</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w:t>
            </w:r>
          </w:p>
        </w:tc>
        <w:tc>
          <w:tcPr>
            <w:tcW w:w="592" w:type="pct"/>
            <w:vMerge w:val="restart"/>
            <w:vAlign w:val="center"/>
          </w:tcPr>
          <w:p w14:paraId="13E1AC6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背景值</w:t>
            </w:r>
            <w:r>
              <w:rPr>
                <w:rFonts w:hint="default" w:ascii="Times New Roman" w:hAnsi="Times New Roman" w:cs="Times New Roman" w:eastAsiaTheme="minorEastAsia"/>
                <w:szCs w:val="21"/>
                <w:lang w:val="en-US" w:eastAsia="zh-CN"/>
              </w:rPr>
              <w:t>（dB</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A</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w:t>
            </w:r>
          </w:p>
        </w:tc>
        <w:tc>
          <w:tcPr>
            <w:tcW w:w="592" w:type="pct"/>
            <w:vMerge w:val="restart"/>
            <w:vAlign w:val="center"/>
          </w:tcPr>
          <w:p w14:paraId="0120F68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预测值</w:t>
            </w:r>
            <w:r>
              <w:rPr>
                <w:rFonts w:hint="default" w:ascii="Times New Roman" w:hAnsi="Times New Roman" w:cs="Times New Roman" w:eastAsiaTheme="minorEastAsia"/>
                <w:szCs w:val="21"/>
                <w:lang w:val="en-US" w:eastAsia="zh-CN"/>
              </w:rPr>
              <w:t>（dB</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A</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w:t>
            </w:r>
          </w:p>
        </w:tc>
        <w:tc>
          <w:tcPr>
            <w:tcW w:w="696" w:type="pct"/>
            <w:vMerge w:val="restart"/>
            <w:vAlign w:val="center"/>
          </w:tcPr>
          <w:p w14:paraId="371C896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标准限值（dB</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A</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w:t>
            </w:r>
          </w:p>
        </w:tc>
        <w:tc>
          <w:tcPr>
            <w:tcW w:w="491" w:type="pct"/>
            <w:vMerge w:val="restart"/>
            <w:vAlign w:val="center"/>
          </w:tcPr>
          <w:p w14:paraId="3A4BB16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达标情况</w:t>
            </w:r>
          </w:p>
        </w:tc>
      </w:tr>
      <w:tr w14:paraId="0E17B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52" w:type="pct"/>
            <w:vMerge w:val="continue"/>
            <w:shd w:val="clear" w:color="auto" w:fill="FFFFFF"/>
            <w:vAlign w:val="center"/>
          </w:tcPr>
          <w:p w14:paraId="0F9AD9C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94" w:type="pct"/>
            <w:shd w:val="clear" w:color="auto" w:fill="FFFFFF"/>
            <w:vAlign w:val="center"/>
          </w:tcPr>
          <w:p w14:paraId="497DD51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X</w:t>
            </w:r>
          </w:p>
        </w:tc>
        <w:tc>
          <w:tcPr>
            <w:tcW w:w="355" w:type="pct"/>
            <w:shd w:val="clear" w:color="auto" w:fill="FFFFFF"/>
            <w:vAlign w:val="center"/>
          </w:tcPr>
          <w:p w14:paraId="7C78E0F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Y</w:t>
            </w:r>
          </w:p>
        </w:tc>
        <w:tc>
          <w:tcPr>
            <w:tcW w:w="323" w:type="pct"/>
            <w:shd w:val="clear" w:color="auto" w:fill="FFFFFF"/>
            <w:vAlign w:val="center"/>
          </w:tcPr>
          <w:p w14:paraId="6FAF852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Z</w:t>
            </w:r>
          </w:p>
        </w:tc>
        <w:tc>
          <w:tcPr>
            <w:tcW w:w="404" w:type="pct"/>
            <w:vMerge w:val="continue"/>
            <w:shd w:val="clear" w:color="auto" w:fill="FFFFFF"/>
            <w:vAlign w:val="center"/>
          </w:tcPr>
          <w:p w14:paraId="2E62105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6" w:type="pct"/>
            <w:vMerge w:val="continue"/>
            <w:shd w:val="clear" w:color="auto" w:fill="FFFFFF"/>
            <w:vAlign w:val="center"/>
          </w:tcPr>
          <w:p w14:paraId="33722F5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92" w:type="pct"/>
            <w:vMerge w:val="continue"/>
            <w:shd w:val="clear" w:color="auto" w:fill="FFFFFF"/>
            <w:vAlign w:val="center"/>
          </w:tcPr>
          <w:p w14:paraId="5274DD5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92" w:type="pct"/>
            <w:vMerge w:val="continue"/>
            <w:shd w:val="clear" w:color="auto" w:fill="FFFFFF"/>
            <w:vAlign w:val="center"/>
          </w:tcPr>
          <w:p w14:paraId="406F31BC">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6" w:type="pct"/>
            <w:vMerge w:val="continue"/>
            <w:shd w:val="clear" w:color="auto" w:fill="FFFFFF"/>
            <w:vAlign w:val="center"/>
          </w:tcPr>
          <w:p w14:paraId="1698B46E">
            <w:pPr>
              <w:autoSpaceDE w:val="0"/>
              <w:autoSpaceDN w:val="0"/>
              <w:spacing w:line="300" w:lineRule="exact"/>
              <w:jc w:val="center"/>
              <w:rPr>
                <w:rFonts w:hint="default" w:ascii="Times New Roman" w:hAnsi="Times New Roman" w:cs="Times New Roman" w:eastAsiaTheme="minorEastAsia"/>
                <w:szCs w:val="21"/>
                <w:lang w:val="en-US" w:eastAsia="zh-CN"/>
              </w:rPr>
            </w:pPr>
          </w:p>
          <w:bookmarkEnd w:id="231"/>
        </w:tc>
        <w:tc>
          <w:tcPr>
            <w:tcW w:w="491" w:type="pct"/>
            <w:vMerge w:val="continue"/>
            <w:shd w:val="clear" w:color="auto" w:fill="FFFFFF"/>
            <w:vAlign w:val="center"/>
          </w:tcPr>
          <w:p w14:paraId="3DAD442B">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0F5D8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452" w:type="pct"/>
            <w:vMerge w:val="restart"/>
            <w:shd w:val="clear" w:color="auto" w:fill="FFFFFF"/>
            <w:vAlign w:val="center"/>
          </w:tcPr>
          <w:p w14:paraId="0C6BECC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东侧</w:t>
            </w:r>
          </w:p>
        </w:tc>
        <w:tc>
          <w:tcPr>
            <w:tcW w:w="394" w:type="pct"/>
            <w:shd w:val="clear" w:color="auto" w:fill="FFFFFF"/>
            <w:vAlign w:val="center"/>
          </w:tcPr>
          <w:p w14:paraId="4DB9E7A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21.8</w:t>
            </w:r>
          </w:p>
        </w:tc>
        <w:tc>
          <w:tcPr>
            <w:tcW w:w="355" w:type="pct"/>
            <w:shd w:val="clear" w:color="auto" w:fill="FFFFFF"/>
            <w:vAlign w:val="center"/>
          </w:tcPr>
          <w:p w14:paraId="1FB5547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37.3</w:t>
            </w:r>
          </w:p>
        </w:tc>
        <w:tc>
          <w:tcPr>
            <w:tcW w:w="323" w:type="pct"/>
            <w:shd w:val="clear" w:color="auto" w:fill="FFFFFF"/>
            <w:vAlign w:val="center"/>
          </w:tcPr>
          <w:p w14:paraId="264E998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1.2</w:t>
            </w:r>
          </w:p>
        </w:tc>
        <w:tc>
          <w:tcPr>
            <w:tcW w:w="404" w:type="pct"/>
            <w:shd w:val="clear" w:color="auto" w:fill="FFFFFF"/>
            <w:vAlign w:val="center"/>
          </w:tcPr>
          <w:p w14:paraId="4BB8643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昼间</w:t>
            </w:r>
          </w:p>
        </w:tc>
        <w:tc>
          <w:tcPr>
            <w:tcW w:w="696" w:type="pct"/>
            <w:shd w:val="clear" w:color="auto" w:fill="FFFFFF"/>
            <w:vAlign w:val="center"/>
          </w:tcPr>
          <w:p w14:paraId="038F9B4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48.7</w:t>
            </w:r>
          </w:p>
        </w:tc>
        <w:tc>
          <w:tcPr>
            <w:tcW w:w="592" w:type="pct"/>
            <w:shd w:val="clear" w:color="auto" w:fill="FFFFFF"/>
            <w:vAlign w:val="center"/>
          </w:tcPr>
          <w:p w14:paraId="27C9E2A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53.6</w:t>
            </w:r>
          </w:p>
        </w:tc>
        <w:tc>
          <w:tcPr>
            <w:tcW w:w="592" w:type="pct"/>
            <w:shd w:val="clear" w:color="auto" w:fill="FFFFFF"/>
            <w:vAlign w:val="center"/>
          </w:tcPr>
          <w:p w14:paraId="117610E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54.82</w:t>
            </w:r>
          </w:p>
        </w:tc>
        <w:tc>
          <w:tcPr>
            <w:tcW w:w="696" w:type="pct"/>
            <w:shd w:val="clear" w:color="auto" w:fill="FFFFFF"/>
            <w:vAlign w:val="center"/>
          </w:tcPr>
          <w:p w14:paraId="5D5C9FA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65</w:t>
            </w:r>
          </w:p>
        </w:tc>
        <w:tc>
          <w:tcPr>
            <w:tcW w:w="491" w:type="pct"/>
            <w:shd w:val="clear" w:color="auto" w:fill="FFFFFF"/>
            <w:vAlign w:val="center"/>
          </w:tcPr>
          <w:p w14:paraId="5C5A0C2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达标</w:t>
            </w:r>
          </w:p>
        </w:tc>
      </w:tr>
      <w:tr w14:paraId="0E282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452" w:type="pct"/>
            <w:vMerge w:val="continue"/>
            <w:shd w:val="clear" w:color="auto" w:fill="FFFFFF"/>
            <w:vAlign w:val="center"/>
          </w:tcPr>
          <w:p w14:paraId="34F5D9A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94" w:type="pct"/>
            <w:shd w:val="clear" w:color="auto" w:fill="FFFFFF"/>
            <w:vAlign w:val="center"/>
          </w:tcPr>
          <w:p w14:paraId="1055E9E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21.8</w:t>
            </w:r>
          </w:p>
        </w:tc>
        <w:tc>
          <w:tcPr>
            <w:tcW w:w="355" w:type="pct"/>
            <w:shd w:val="clear" w:color="auto" w:fill="FFFFFF"/>
            <w:vAlign w:val="center"/>
          </w:tcPr>
          <w:p w14:paraId="48300FC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37.3</w:t>
            </w:r>
          </w:p>
        </w:tc>
        <w:tc>
          <w:tcPr>
            <w:tcW w:w="323" w:type="pct"/>
            <w:shd w:val="clear" w:color="auto" w:fill="FFFFFF"/>
            <w:vAlign w:val="center"/>
          </w:tcPr>
          <w:p w14:paraId="2016377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1.2</w:t>
            </w:r>
          </w:p>
        </w:tc>
        <w:tc>
          <w:tcPr>
            <w:tcW w:w="404" w:type="pct"/>
            <w:shd w:val="clear" w:color="auto" w:fill="FFFFFF"/>
            <w:vAlign w:val="center"/>
          </w:tcPr>
          <w:p w14:paraId="6F30CE3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夜间</w:t>
            </w:r>
          </w:p>
        </w:tc>
        <w:tc>
          <w:tcPr>
            <w:tcW w:w="696" w:type="pct"/>
            <w:shd w:val="clear" w:color="auto" w:fill="FFFFFF"/>
            <w:vAlign w:val="center"/>
          </w:tcPr>
          <w:p w14:paraId="2FEDCDB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48.7</w:t>
            </w:r>
          </w:p>
        </w:tc>
        <w:tc>
          <w:tcPr>
            <w:tcW w:w="592" w:type="pct"/>
            <w:shd w:val="clear" w:color="auto" w:fill="FFFFFF"/>
            <w:vAlign w:val="center"/>
          </w:tcPr>
          <w:p w14:paraId="0AA9B3D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44.2</w:t>
            </w:r>
          </w:p>
        </w:tc>
        <w:tc>
          <w:tcPr>
            <w:tcW w:w="592" w:type="pct"/>
            <w:shd w:val="clear" w:color="auto" w:fill="FFFFFF"/>
            <w:vAlign w:val="center"/>
          </w:tcPr>
          <w:p w14:paraId="5A65C14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50.02</w:t>
            </w:r>
          </w:p>
        </w:tc>
        <w:tc>
          <w:tcPr>
            <w:tcW w:w="696" w:type="pct"/>
            <w:shd w:val="clear" w:color="auto" w:fill="FFFFFF"/>
            <w:vAlign w:val="center"/>
          </w:tcPr>
          <w:p w14:paraId="53B999E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55</w:t>
            </w:r>
          </w:p>
        </w:tc>
        <w:tc>
          <w:tcPr>
            <w:tcW w:w="491" w:type="pct"/>
            <w:shd w:val="clear" w:color="auto" w:fill="FFFFFF"/>
            <w:vAlign w:val="center"/>
          </w:tcPr>
          <w:p w14:paraId="1711CA4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达标</w:t>
            </w:r>
          </w:p>
        </w:tc>
      </w:tr>
      <w:tr w14:paraId="20E1F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452" w:type="pct"/>
            <w:vMerge w:val="restart"/>
            <w:shd w:val="clear" w:color="auto" w:fill="FFFFFF"/>
            <w:vAlign w:val="center"/>
          </w:tcPr>
          <w:p w14:paraId="17146B1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南侧</w:t>
            </w:r>
          </w:p>
        </w:tc>
        <w:tc>
          <w:tcPr>
            <w:tcW w:w="394" w:type="pct"/>
            <w:shd w:val="clear" w:color="auto" w:fill="FFFFFF"/>
            <w:vAlign w:val="center"/>
          </w:tcPr>
          <w:p w14:paraId="636D1AA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93</w:t>
            </w:r>
          </w:p>
        </w:tc>
        <w:tc>
          <w:tcPr>
            <w:tcW w:w="355" w:type="pct"/>
            <w:shd w:val="clear" w:color="auto" w:fill="FFFFFF"/>
            <w:vAlign w:val="center"/>
          </w:tcPr>
          <w:p w14:paraId="035C0B2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-67</w:t>
            </w:r>
          </w:p>
        </w:tc>
        <w:tc>
          <w:tcPr>
            <w:tcW w:w="323" w:type="pct"/>
            <w:shd w:val="clear" w:color="auto" w:fill="FFFFFF"/>
            <w:vAlign w:val="center"/>
          </w:tcPr>
          <w:p w14:paraId="641079B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1.2</w:t>
            </w:r>
          </w:p>
        </w:tc>
        <w:tc>
          <w:tcPr>
            <w:tcW w:w="404" w:type="pct"/>
            <w:shd w:val="clear" w:color="auto" w:fill="FFFFFF"/>
            <w:vAlign w:val="center"/>
          </w:tcPr>
          <w:p w14:paraId="27961CD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昼间</w:t>
            </w:r>
          </w:p>
        </w:tc>
        <w:tc>
          <w:tcPr>
            <w:tcW w:w="696" w:type="pct"/>
            <w:shd w:val="clear" w:color="auto" w:fill="FFFFFF"/>
            <w:vAlign w:val="center"/>
          </w:tcPr>
          <w:p w14:paraId="2AC9C0E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30.7</w:t>
            </w:r>
          </w:p>
        </w:tc>
        <w:tc>
          <w:tcPr>
            <w:tcW w:w="592" w:type="pct"/>
            <w:shd w:val="clear" w:color="auto" w:fill="FFFFFF"/>
            <w:vAlign w:val="center"/>
          </w:tcPr>
          <w:p w14:paraId="5DC382A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48.4</w:t>
            </w:r>
          </w:p>
        </w:tc>
        <w:tc>
          <w:tcPr>
            <w:tcW w:w="592" w:type="pct"/>
            <w:shd w:val="clear" w:color="auto" w:fill="FFFFFF"/>
            <w:vAlign w:val="center"/>
          </w:tcPr>
          <w:p w14:paraId="00BCDBB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48.47</w:t>
            </w:r>
          </w:p>
        </w:tc>
        <w:tc>
          <w:tcPr>
            <w:tcW w:w="696" w:type="pct"/>
            <w:shd w:val="clear" w:color="auto" w:fill="FFFFFF"/>
            <w:vAlign w:val="center"/>
          </w:tcPr>
          <w:p w14:paraId="3390110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65</w:t>
            </w:r>
          </w:p>
        </w:tc>
        <w:tc>
          <w:tcPr>
            <w:tcW w:w="491" w:type="pct"/>
            <w:shd w:val="clear" w:color="auto" w:fill="FFFFFF"/>
            <w:vAlign w:val="center"/>
          </w:tcPr>
          <w:p w14:paraId="30F70F3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达标</w:t>
            </w:r>
          </w:p>
        </w:tc>
      </w:tr>
      <w:tr w14:paraId="359B0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452" w:type="pct"/>
            <w:vMerge w:val="continue"/>
            <w:shd w:val="clear" w:color="auto" w:fill="FFFFFF"/>
            <w:vAlign w:val="center"/>
          </w:tcPr>
          <w:p w14:paraId="46BE4F0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94" w:type="pct"/>
            <w:shd w:val="clear" w:color="auto" w:fill="FFFFFF"/>
            <w:vAlign w:val="center"/>
          </w:tcPr>
          <w:p w14:paraId="63C7D37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93</w:t>
            </w:r>
          </w:p>
        </w:tc>
        <w:tc>
          <w:tcPr>
            <w:tcW w:w="355" w:type="pct"/>
            <w:shd w:val="clear" w:color="auto" w:fill="FFFFFF"/>
            <w:vAlign w:val="center"/>
          </w:tcPr>
          <w:p w14:paraId="34DA9B3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-67</w:t>
            </w:r>
          </w:p>
        </w:tc>
        <w:tc>
          <w:tcPr>
            <w:tcW w:w="323" w:type="pct"/>
            <w:shd w:val="clear" w:color="auto" w:fill="FFFFFF"/>
            <w:vAlign w:val="center"/>
          </w:tcPr>
          <w:p w14:paraId="5BB9E9E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1.2</w:t>
            </w:r>
          </w:p>
        </w:tc>
        <w:tc>
          <w:tcPr>
            <w:tcW w:w="404" w:type="pct"/>
            <w:shd w:val="clear" w:color="auto" w:fill="FFFFFF"/>
            <w:vAlign w:val="center"/>
          </w:tcPr>
          <w:p w14:paraId="5061E13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夜间</w:t>
            </w:r>
          </w:p>
        </w:tc>
        <w:tc>
          <w:tcPr>
            <w:tcW w:w="696" w:type="pct"/>
            <w:shd w:val="clear" w:color="auto" w:fill="FFFFFF"/>
            <w:vAlign w:val="center"/>
          </w:tcPr>
          <w:p w14:paraId="2314A19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30.7</w:t>
            </w:r>
          </w:p>
        </w:tc>
        <w:tc>
          <w:tcPr>
            <w:tcW w:w="592" w:type="pct"/>
            <w:shd w:val="clear" w:color="auto" w:fill="FFFFFF"/>
            <w:vAlign w:val="center"/>
          </w:tcPr>
          <w:p w14:paraId="785AE92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43.1</w:t>
            </w:r>
          </w:p>
        </w:tc>
        <w:tc>
          <w:tcPr>
            <w:tcW w:w="592" w:type="pct"/>
            <w:shd w:val="clear" w:color="auto" w:fill="FFFFFF"/>
            <w:vAlign w:val="center"/>
          </w:tcPr>
          <w:p w14:paraId="334AFE3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43.34</w:t>
            </w:r>
          </w:p>
        </w:tc>
        <w:tc>
          <w:tcPr>
            <w:tcW w:w="696" w:type="pct"/>
            <w:shd w:val="clear" w:color="auto" w:fill="FFFFFF"/>
            <w:vAlign w:val="center"/>
          </w:tcPr>
          <w:p w14:paraId="08BB4C9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55</w:t>
            </w:r>
          </w:p>
        </w:tc>
        <w:tc>
          <w:tcPr>
            <w:tcW w:w="491" w:type="pct"/>
            <w:shd w:val="clear" w:color="auto" w:fill="FFFFFF"/>
            <w:vAlign w:val="center"/>
          </w:tcPr>
          <w:p w14:paraId="4F56061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达标</w:t>
            </w:r>
          </w:p>
        </w:tc>
      </w:tr>
      <w:tr w14:paraId="6C3FA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452" w:type="pct"/>
            <w:vMerge w:val="restart"/>
            <w:shd w:val="clear" w:color="auto" w:fill="FFFFFF"/>
            <w:vAlign w:val="center"/>
          </w:tcPr>
          <w:p w14:paraId="758D4DF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西侧</w:t>
            </w:r>
          </w:p>
        </w:tc>
        <w:tc>
          <w:tcPr>
            <w:tcW w:w="394" w:type="pct"/>
            <w:shd w:val="clear" w:color="auto" w:fill="FFFFFF"/>
            <w:vAlign w:val="center"/>
          </w:tcPr>
          <w:p w14:paraId="768A8BA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-42.3</w:t>
            </w:r>
          </w:p>
        </w:tc>
        <w:tc>
          <w:tcPr>
            <w:tcW w:w="355" w:type="pct"/>
            <w:shd w:val="clear" w:color="auto" w:fill="FFFFFF"/>
            <w:vAlign w:val="center"/>
          </w:tcPr>
          <w:p w14:paraId="5509E56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-7.9</w:t>
            </w:r>
          </w:p>
        </w:tc>
        <w:tc>
          <w:tcPr>
            <w:tcW w:w="323" w:type="pct"/>
            <w:shd w:val="clear" w:color="auto" w:fill="FFFFFF"/>
            <w:vAlign w:val="center"/>
          </w:tcPr>
          <w:p w14:paraId="31CEA36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1.2</w:t>
            </w:r>
          </w:p>
        </w:tc>
        <w:tc>
          <w:tcPr>
            <w:tcW w:w="404" w:type="pct"/>
            <w:shd w:val="clear" w:color="auto" w:fill="FFFFFF"/>
            <w:vAlign w:val="center"/>
          </w:tcPr>
          <w:p w14:paraId="4E8AECF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昼间</w:t>
            </w:r>
          </w:p>
        </w:tc>
        <w:tc>
          <w:tcPr>
            <w:tcW w:w="696" w:type="pct"/>
            <w:shd w:val="clear" w:color="auto" w:fill="FFFFFF"/>
            <w:vAlign w:val="center"/>
          </w:tcPr>
          <w:p w14:paraId="244E61F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51.7</w:t>
            </w:r>
          </w:p>
        </w:tc>
        <w:tc>
          <w:tcPr>
            <w:tcW w:w="592" w:type="pct"/>
            <w:shd w:val="clear" w:color="auto" w:fill="FFFFFF"/>
            <w:vAlign w:val="center"/>
          </w:tcPr>
          <w:p w14:paraId="234B31C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48.6</w:t>
            </w:r>
          </w:p>
        </w:tc>
        <w:tc>
          <w:tcPr>
            <w:tcW w:w="592" w:type="pct"/>
            <w:shd w:val="clear" w:color="auto" w:fill="FFFFFF"/>
            <w:vAlign w:val="center"/>
          </w:tcPr>
          <w:p w14:paraId="7F23E3D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53.43</w:t>
            </w:r>
          </w:p>
        </w:tc>
        <w:tc>
          <w:tcPr>
            <w:tcW w:w="696" w:type="pct"/>
            <w:shd w:val="clear" w:color="auto" w:fill="FFFFFF"/>
            <w:vAlign w:val="center"/>
          </w:tcPr>
          <w:p w14:paraId="404466F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65</w:t>
            </w:r>
          </w:p>
        </w:tc>
        <w:tc>
          <w:tcPr>
            <w:tcW w:w="491" w:type="pct"/>
            <w:shd w:val="clear" w:color="auto" w:fill="FFFFFF"/>
            <w:vAlign w:val="center"/>
          </w:tcPr>
          <w:p w14:paraId="6132B88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达标</w:t>
            </w:r>
          </w:p>
        </w:tc>
      </w:tr>
      <w:tr w14:paraId="73ED4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452" w:type="pct"/>
            <w:vMerge w:val="continue"/>
            <w:shd w:val="clear" w:color="auto" w:fill="FFFFFF"/>
            <w:vAlign w:val="center"/>
          </w:tcPr>
          <w:p w14:paraId="2B9A747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94" w:type="pct"/>
            <w:shd w:val="clear" w:color="auto" w:fill="FFFFFF"/>
            <w:vAlign w:val="center"/>
          </w:tcPr>
          <w:p w14:paraId="08A26EF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-42.3</w:t>
            </w:r>
          </w:p>
        </w:tc>
        <w:tc>
          <w:tcPr>
            <w:tcW w:w="355" w:type="pct"/>
            <w:shd w:val="clear" w:color="auto" w:fill="FFFFFF"/>
            <w:vAlign w:val="center"/>
          </w:tcPr>
          <w:p w14:paraId="5A9AE90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-7.9</w:t>
            </w:r>
          </w:p>
        </w:tc>
        <w:tc>
          <w:tcPr>
            <w:tcW w:w="323" w:type="pct"/>
            <w:shd w:val="clear" w:color="auto" w:fill="FFFFFF"/>
            <w:vAlign w:val="center"/>
          </w:tcPr>
          <w:p w14:paraId="53E5E59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1.2</w:t>
            </w:r>
          </w:p>
        </w:tc>
        <w:tc>
          <w:tcPr>
            <w:tcW w:w="404" w:type="pct"/>
            <w:shd w:val="clear" w:color="auto" w:fill="FFFFFF"/>
            <w:vAlign w:val="center"/>
          </w:tcPr>
          <w:p w14:paraId="465238B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夜间</w:t>
            </w:r>
          </w:p>
        </w:tc>
        <w:tc>
          <w:tcPr>
            <w:tcW w:w="696" w:type="pct"/>
            <w:shd w:val="clear" w:color="auto" w:fill="FFFFFF"/>
            <w:vAlign w:val="center"/>
          </w:tcPr>
          <w:p w14:paraId="6CBED91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51.7</w:t>
            </w:r>
          </w:p>
        </w:tc>
        <w:tc>
          <w:tcPr>
            <w:tcW w:w="592" w:type="pct"/>
            <w:shd w:val="clear" w:color="auto" w:fill="FFFFFF"/>
            <w:vAlign w:val="center"/>
          </w:tcPr>
          <w:p w14:paraId="721DDCA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42.2</w:t>
            </w:r>
          </w:p>
        </w:tc>
        <w:tc>
          <w:tcPr>
            <w:tcW w:w="592" w:type="pct"/>
            <w:shd w:val="clear" w:color="auto" w:fill="FFFFFF"/>
            <w:vAlign w:val="center"/>
          </w:tcPr>
          <w:p w14:paraId="3D91D98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52.16</w:t>
            </w:r>
          </w:p>
        </w:tc>
        <w:tc>
          <w:tcPr>
            <w:tcW w:w="696" w:type="pct"/>
            <w:shd w:val="clear" w:color="auto" w:fill="FFFFFF"/>
            <w:vAlign w:val="center"/>
          </w:tcPr>
          <w:p w14:paraId="4056222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55</w:t>
            </w:r>
          </w:p>
        </w:tc>
        <w:tc>
          <w:tcPr>
            <w:tcW w:w="491" w:type="pct"/>
            <w:shd w:val="clear" w:color="auto" w:fill="FFFFFF"/>
            <w:vAlign w:val="center"/>
          </w:tcPr>
          <w:p w14:paraId="7A5F3A8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达标</w:t>
            </w:r>
          </w:p>
        </w:tc>
      </w:tr>
      <w:tr w14:paraId="7B8EF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452" w:type="pct"/>
            <w:vMerge w:val="restart"/>
            <w:shd w:val="clear" w:color="auto" w:fill="FFFFFF"/>
            <w:vAlign w:val="center"/>
          </w:tcPr>
          <w:p w14:paraId="5061545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北侧</w:t>
            </w:r>
          </w:p>
        </w:tc>
        <w:tc>
          <w:tcPr>
            <w:tcW w:w="394" w:type="pct"/>
            <w:shd w:val="clear" w:color="auto" w:fill="FFFFFF"/>
            <w:vAlign w:val="center"/>
          </w:tcPr>
          <w:p w14:paraId="64B3456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-92.8</w:t>
            </w:r>
          </w:p>
        </w:tc>
        <w:tc>
          <w:tcPr>
            <w:tcW w:w="355" w:type="pct"/>
            <w:shd w:val="clear" w:color="auto" w:fill="FFFFFF"/>
            <w:vAlign w:val="center"/>
          </w:tcPr>
          <w:p w14:paraId="073221F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63.9</w:t>
            </w:r>
          </w:p>
        </w:tc>
        <w:tc>
          <w:tcPr>
            <w:tcW w:w="323" w:type="pct"/>
            <w:shd w:val="clear" w:color="auto" w:fill="FFFFFF"/>
            <w:vAlign w:val="center"/>
          </w:tcPr>
          <w:p w14:paraId="0EE066E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1.2</w:t>
            </w:r>
          </w:p>
        </w:tc>
        <w:tc>
          <w:tcPr>
            <w:tcW w:w="404" w:type="pct"/>
            <w:shd w:val="clear" w:color="auto" w:fill="FFFFFF"/>
            <w:vAlign w:val="center"/>
          </w:tcPr>
          <w:p w14:paraId="3906DBF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昼间</w:t>
            </w:r>
          </w:p>
        </w:tc>
        <w:tc>
          <w:tcPr>
            <w:tcW w:w="696" w:type="pct"/>
            <w:shd w:val="clear" w:color="auto" w:fill="FFFFFF"/>
            <w:vAlign w:val="center"/>
          </w:tcPr>
          <w:p w14:paraId="6936641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40.1</w:t>
            </w:r>
          </w:p>
        </w:tc>
        <w:tc>
          <w:tcPr>
            <w:tcW w:w="592" w:type="pct"/>
            <w:shd w:val="clear" w:color="auto" w:fill="FFFFFF"/>
            <w:vAlign w:val="center"/>
          </w:tcPr>
          <w:p w14:paraId="7097B14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51.1</w:t>
            </w:r>
          </w:p>
        </w:tc>
        <w:tc>
          <w:tcPr>
            <w:tcW w:w="592" w:type="pct"/>
            <w:shd w:val="clear" w:color="auto" w:fill="FFFFFF"/>
            <w:vAlign w:val="center"/>
          </w:tcPr>
          <w:p w14:paraId="499865A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54.42</w:t>
            </w:r>
          </w:p>
        </w:tc>
        <w:tc>
          <w:tcPr>
            <w:tcW w:w="696" w:type="pct"/>
            <w:shd w:val="clear" w:color="auto" w:fill="FFFFFF"/>
            <w:vAlign w:val="center"/>
          </w:tcPr>
          <w:p w14:paraId="4902869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65</w:t>
            </w:r>
          </w:p>
        </w:tc>
        <w:tc>
          <w:tcPr>
            <w:tcW w:w="491" w:type="pct"/>
            <w:shd w:val="clear" w:color="auto" w:fill="FFFFFF"/>
            <w:vAlign w:val="center"/>
          </w:tcPr>
          <w:p w14:paraId="514019D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达标</w:t>
            </w:r>
          </w:p>
        </w:tc>
      </w:tr>
      <w:tr w14:paraId="58271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89" w:hRule="exact"/>
          <w:jc w:val="center"/>
        </w:trPr>
        <w:tc>
          <w:tcPr>
            <w:tcW w:w="452" w:type="pct"/>
            <w:vMerge w:val="continue"/>
            <w:shd w:val="clear" w:color="auto" w:fill="FFFFFF"/>
            <w:vAlign w:val="center"/>
          </w:tcPr>
          <w:p w14:paraId="6B230B9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94" w:type="pct"/>
            <w:shd w:val="clear" w:color="auto" w:fill="FFFFFF"/>
            <w:vAlign w:val="center"/>
          </w:tcPr>
          <w:p w14:paraId="4968AF3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-92.8</w:t>
            </w:r>
          </w:p>
        </w:tc>
        <w:tc>
          <w:tcPr>
            <w:tcW w:w="355" w:type="pct"/>
            <w:shd w:val="clear" w:color="auto" w:fill="FFFFFF"/>
            <w:vAlign w:val="center"/>
          </w:tcPr>
          <w:p w14:paraId="799094E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63.9</w:t>
            </w:r>
          </w:p>
        </w:tc>
        <w:tc>
          <w:tcPr>
            <w:tcW w:w="323" w:type="pct"/>
            <w:shd w:val="clear" w:color="auto" w:fill="FFFFFF"/>
            <w:vAlign w:val="center"/>
          </w:tcPr>
          <w:p w14:paraId="2574DB6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1.2</w:t>
            </w:r>
          </w:p>
        </w:tc>
        <w:tc>
          <w:tcPr>
            <w:tcW w:w="404" w:type="pct"/>
            <w:shd w:val="clear" w:color="auto" w:fill="FFFFFF"/>
            <w:vAlign w:val="center"/>
          </w:tcPr>
          <w:p w14:paraId="6A4A435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夜间</w:t>
            </w:r>
          </w:p>
        </w:tc>
        <w:tc>
          <w:tcPr>
            <w:tcW w:w="696" w:type="pct"/>
            <w:shd w:val="clear" w:color="auto" w:fill="FFFFFF"/>
            <w:vAlign w:val="center"/>
          </w:tcPr>
          <w:p w14:paraId="1B79333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40.1</w:t>
            </w:r>
          </w:p>
        </w:tc>
        <w:tc>
          <w:tcPr>
            <w:tcW w:w="592" w:type="pct"/>
            <w:shd w:val="clear" w:color="auto" w:fill="FFFFFF"/>
            <w:vAlign w:val="center"/>
          </w:tcPr>
          <w:p w14:paraId="25530D1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42.2</w:t>
            </w:r>
          </w:p>
        </w:tc>
        <w:tc>
          <w:tcPr>
            <w:tcW w:w="592" w:type="pct"/>
            <w:shd w:val="clear" w:color="auto" w:fill="FFFFFF"/>
            <w:vAlign w:val="center"/>
          </w:tcPr>
          <w:p w14:paraId="36ED68D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42.16</w:t>
            </w:r>
          </w:p>
        </w:tc>
        <w:tc>
          <w:tcPr>
            <w:tcW w:w="696" w:type="pct"/>
            <w:shd w:val="clear" w:color="auto" w:fill="FFFFFF"/>
            <w:vAlign w:val="center"/>
          </w:tcPr>
          <w:p w14:paraId="3F6AEFB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55</w:t>
            </w:r>
          </w:p>
        </w:tc>
        <w:tc>
          <w:tcPr>
            <w:tcW w:w="491" w:type="pct"/>
            <w:shd w:val="clear" w:color="auto" w:fill="FFFFFF"/>
            <w:vAlign w:val="center"/>
          </w:tcPr>
          <w:p w14:paraId="436FC65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达标</w:t>
            </w:r>
          </w:p>
        </w:tc>
      </w:tr>
    </w:tbl>
    <w:p w14:paraId="3D6C3897">
      <w:pPr>
        <w:adjustRightInd w:val="0"/>
        <w:snapToGrid w:val="0"/>
        <w:spacing w:line="500" w:lineRule="exact"/>
        <w:jc w:val="left"/>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表中坐标以厂界中心为坐标原点，正东向为X轴正方向，正北向为Y轴正方向</w:t>
      </w:r>
    </w:p>
    <w:p w14:paraId="0FBC8CFD">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由上表可知，正常工况下，项目厂界噪声满足《工业企业厂界环境噪声排放标准》</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GB12348.2008</w:t>
      </w:r>
      <w:r>
        <w:rPr>
          <w:rFonts w:hint="eastAsia" w:ascii="Times New Roman" w:hAnsi="Times New Roman" w:cs="Times New Roman" w:eastAsiaTheme="minorEastAsia"/>
          <w:sz w:val="24"/>
          <w:lang w:val="en-US" w:eastAsia="zh-CN"/>
        </w:rPr>
        <w:t>）</w:t>
      </w:r>
      <w:bookmarkStart w:id="232" w:name="PO_3"/>
      <w:r>
        <w:rPr>
          <w:rFonts w:hint="default" w:ascii="Times New Roman" w:hAnsi="Times New Roman" w:cs="Times New Roman" w:eastAsiaTheme="minorEastAsia"/>
          <w:sz w:val="24"/>
          <w:lang w:val="en-US" w:eastAsia="zh-CN"/>
        </w:rPr>
        <w:t>3</w:t>
      </w:r>
      <w:bookmarkEnd w:id="232"/>
      <w:r>
        <w:rPr>
          <w:rFonts w:hint="default" w:ascii="Times New Roman" w:hAnsi="Times New Roman" w:cs="Times New Roman" w:eastAsiaTheme="minorEastAsia"/>
          <w:sz w:val="24"/>
          <w:lang w:val="en-US" w:eastAsia="zh-CN"/>
        </w:rPr>
        <w:t>类标准。</w:t>
      </w:r>
    </w:p>
    <w:p w14:paraId="09F16F38">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233" w:name="_Toc25696"/>
      <w:r>
        <w:rPr>
          <w:rFonts w:hint="eastAsia" w:ascii="Times New Roman" w:hAnsi="Times New Roman" w:cs="Times New Roman" w:eastAsiaTheme="minorEastAsia"/>
          <w:kern w:val="0"/>
          <w:sz w:val="24"/>
          <w:szCs w:val="24"/>
          <w:lang w:val="en-US" w:eastAsia="zh-CN"/>
        </w:rPr>
        <w:t>5.4.6声环境影响评价自查表</w:t>
      </w:r>
      <w:bookmarkEnd w:id="233"/>
    </w:p>
    <w:p w14:paraId="389FAD86">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表5.</w:t>
      </w:r>
      <w:r>
        <w:rPr>
          <w:rFonts w:hint="eastAsia" w:ascii="Times New Roman" w:hAnsi="Times New Roman" w:cs="Times New Roman" w:eastAsiaTheme="minorEastAsia"/>
          <w:b/>
          <w:szCs w:val="21"/>
          <w:lang w:val="en-US" w:eastAsia="zh-CN"/>
        </w:rPr>
        <w:t>4-3</w:t>
      </w:r>
      <w:r>
        <w:rPr>
          <w:rFonts w:hint="default" w:ascii="Times New Roman" w:hAnsi="Times New Roman" w:cs="Times New Roman" w:eastAsiaTheme="minorEastAsia"/>
          <w:b/>
          <w:szCs w:val="21"/>
          <w:lang w:val="en-US" w:eastAsia="zh-CN"/>
        </w:rPr>
        <w:t xml:space="preserve">  声环境影响自查表</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7"/>
        <w:gridCol w:w="1362"/>
        <w:gridCol w:w="6013"/>
      </w:tblGrid>
      <w:tr w14:paraId="5447D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472" w:type="pct"/>
            <w:gridSpan w:val="2"/>
            <w:tcBorders>
              <w:tl2br w:val="nil"/>
              <w:tr2bl w:val="nil"/>
            </w:tcBorders>
            <w:noWrap w:val="0"/>
            <w:vAlign w:val="center"/>
          </w:tcPr>
          <w:p w14:paraId="7C0A3F0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工作内容</w:t>
            </w:r>
          </w:p>
        </w:tc>
        <w:tc>
          <w:tcPr>
            <w:tcW w:w="3527" w:type="pct"/>
            <w:tcBorders>
              <w:tl2br w:val="nil"/>
              <w:tr2bl w:val="nil"/>
            </w:tcBorders>
            <w:noWrap w:val="0"/>
            <w:vAlign w:val="center"/>
          </w:tcPr>
          <w:p w14:paraId="64A84DA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自查项目</w:t>
            </w:r>
          </w:p>
        </w:tc>
      </w:tr>
      <w:tr w14:paraId="6789D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673" w:type="pct"/>
            <w:vMerge w:val="restart"/>
            <w:tcBorders>
              <w:tl2br w:val="nil"/>
              <w:tr2bl w:val="nil"/>
            </w:tcBorders>
            <w:noWrap w:val="0"/>
            <w:vAlign w:val="center"/>
          </w:tcPr>
          <w:p w14:paraId="1229E39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评价等级与评价范围</w:t>
            </w:r>
          </w:p>
        </w:tc>
        <w:tc>
          <w:tcPr>
            <w:tcW w:w="799" w:type="pct"/>
            <w:tcBorders>
              <w:tl2br w:val="nil"/>
              <w:tr2bl w:val="nil"/>
            </w:tcBorders>
            <w:noWrap w:val="0"/>
            <w:vAlign w:val="center"/>
          </w:tcPr>
          <w:p w14:paraId="0DFB037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评价等级</w:t>
            </w:r>
          </w:p>
        </w:tc>
        <w:tc>
          <w:tcPr>
            <w:tcW w:w="3527" w:type="pct"/>
            <w:tcBorders>
              <w:tl2br w:val="nil"/>
              <w:tr2bl w:val="nil"/>
            </w:tcBorders>
            <w:noWrap w:val="0"/>
            <w:vAlign w:val="center"/>
          </w:tcPr>
          <w:p w14:paraId="4683731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一级□                  二级</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 xml:space="preserve">                  三级</w:t>
            </w:r>
            <w:r>
              <w:rPr>
                <w:rFonts w:hint="eastAsia" w:ascii="Times New Roman" w:hAnsi="Times New Roman" w:cs="Times New Roman"/>
                <w:szCs w:val="21"/>
                <w:lang w:val="en-US" w:eastAsia="zh-CN"/>
              </w:rPr>
              <w:t>☑</w:t>
            </w:r>
          </w:p>
        </w:tc>
      </w:tr>
      <w:tr w14:paraId="6C494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673" w:type="pct"/>
            <w:vMerge w:val="continue"/>
            <w:tcBorders>
              <w:tl2br w:val="nil"/>
              <w:tr2bl w:val="nil"/>
            </w:tcBorders>
            <w:noWrap w:val="0"/>
            <w:vAlign w:val="center"/>
          </w:tcPr>
          <w:p w14:paraId="2AE9501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99" w:type="pct"/>
            <w:tcBorders>
              <w:tl2br w:val="nil"/>
              <w:tr2bl w:val="nil"/>
            </w:tcBorders>
            <w:noWrap w:val="0"/>
            <w:vAlign w:val="center"/>
          </w:tcPr>
          <w:p w14:paraId="65EE977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评价范围</w:t>
            </w:r>
          </w:p>
        </w:tc>
        <w:tc>
          <w:tcPr>
            <w:tcW w:w="3527" w:type="pct"/>
            <w:tcBorders>
              <w:tl2br w:val="nil"/>
              <w:tr2bl w:val="nil"/>
            </w:tcBorders>
            <w:noWrap w:val="0"/>
            <w:vAlign w:val="center"/>
          </w:tcPr>
          <w:p w14:paraId="1430F42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200m ☑             大于200m□          小于200m□</w:t>
            </w:r>
          </w:p>
        </w:tc>
      </w:tr>
      <w:tr w14:paraId="1763B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pct"/>
            <w:tcBorders>
              <w:tl2br w:val="nil"/>
              <w:tr2bl w:val="nil"/>
            </w:tcBorders>
            <w:noWrap w:val="0"/>
            <w:vAlign w:val="center"/>
          </w:tcPr>
          <w:p w14:paraId="4710C61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评价因子</w:t>
            </w:r>
          </w:p>
        </w:tc>
        <w:tc>
          <w:tcPr>
            <w:tcW w:w="799" w:type="pct"/>
            <w:tcBorders>
              <w:tl2br w:val="nil"/>
              <w:tr2bl w:val="nil"/>
            </w:tcBorders>
            <w:noWrap w:val="0"/>
            <w:vAlign w:val="center"/>
          </w:tcPr>
          <w:p w14:paraId="1580E7D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评价因子</w:t>
            </w:r>
          </w:p>
        </w:tc>
        <w:tc>
          <w:tcPr>
            <w:tcW w:w="3527" w:type="pct"/>
            <w:tcBorders>
              <w:tl2br w:val="nil"/>
              <w:tr2bl w:val="nil"/>
            </w:tcBorders>
            <w:noWrap w:val="0"/>
            <w:vAlign w:val="center"/>
          </w:tcPr>
          <w:p w14:paraId="0FACEA5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等效连续A声级☑  最大A声级□  计权等效连续感觉噪声级□</w:t>
            </w:r>
          </w:p>
        </w:tc>
      </w:tr>
      <w:tr w14:paraId="4800B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pct"/>
            <w:tcBorders>
              <w:tl2br w:val="nil"/>
              <w:tr2bl w:val="nil"/>
            </w:tcBorders>
            <w:noWrap w:val="0"/>
            <w:vAlign w:val="center"/>
          </w:tcPr>
          <w:p w14:paraId="1215620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评价标准</w:t>
            </w:r>
          </w:p>
        </w:tc>
        <w:tc>
          <w:tcPr>
            <w:tcW w:w="799" w:type="pct"/>
            <w:tcBorders>
              <w:tl2br w:val="nil"/>
              <w:tr2bl w:val="nil"/>
            </w:tcBorders>
            <w:noWrap w:val="0"/>
            <w:vAlign w:val="center"/>
          </w:tcPr>
          <w:p w14:paraId="5D291B7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评价标准</w:t>
            </w:r>
          </w:p>
        </w:tc>
        <w:tc>
          <w:tcPr>
            <w:tcW w:w="3527" w:type="pct"/>
            <w:tcBorders>
              <w:tl2br w:val="nil"/>
              <w:tr2bl w:val="nil"/>
            </w:tcBorders>
            <w:noWrap w:val="0"/>
            <w:vAlign w:val="center"/>
          </w:tcPr>
          <w:p w14:paraId="2F2ADC9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国家标准☑              地方标准□           国外标准□</w:t>
            </w:r>
          </w:p>
        </w:tc>
      </w:tr>
      <w:tr w14:paraId="49C98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673" w:type="pct"/>
            <w:vMerge w:val="restart"/>
            <w:tcBorders>
              <w:tl2br w:val="nil"/>
              <w:tr2bl w:val="nil"/>
            </w:tcBorders>
            <w:noWrap w:val="0"/>
            <w:vAlign w:val="center"/>
          </w:tcPr>
          <w:p w14:paraId="4AA2855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现状评价</w:t>
            </w:r>
          </w:p>
        </w:tc>
        <w:tc>
          <w:tcPr>
            <w:tcW w:w="799" w:type="pct"/>
            <w:tcBorders>
              <w:tl2br w:val="nil"/>
              <w:tr2bl w:val="nil"/>
            </w:tcBorders>
            <w:noWrap w:val="0"/>
            <w:vAlign w:val="center"/>
          </w:tcPr>
          <w:p w14:paraId="1E982BA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环境功能区</w:t>
            </w:r>
          </w:p>
        </w:tc>
        <w:tc>
          <w:tcPr>
            <w:tcW w:w="3527" w:type="pct"/>
            <w:tcBorders>
              <w:tl2br w:val="nil"/>
              <w:tr2bl w:val="nil"/>
            </w:tcBorders>
            <w:noWrap w:val="0"/>
            <w:vAlign w:val="center"/>
          </w:tcPr>
          <w:p w14:paraId="6DD8FE2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0类区□  1类区□  2类区</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 xml:space="preserve">  3类区</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 xml:space="preserve">   4a类区□  4b类区□</w:t>
            </w:r>
          </w:p>
        </w:tc>
      </w:tr>
      <w:tr w14:paraId="605EE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73" w:type="pct"/>
            <w:vMerge w:val="continue"/>
            <w:tcBorders>
              <w:tl2br w:val="nil"/>
              <w:tr2bl w:val="nil"/>
            </w:tcBorders>
            <w:noWrap w:val="0"/>
            <w:vAlign w:val="center"/>
          </w:tcPr>
          <w:p w14:paraId="3042D27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99" w:type="pct"/>
            <w:tcBorders>
              <w:tl2br w:val="nil"/>
              <w:tr2bl w:val="nil"/>
            </w:tcBorders>
            <w:noWrap w:val="0"/>
            <w:vAlign w:val="center"/>
          </w:tcPr>
          <w:p w14:paraId="3CEF4DF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评价年度</w:t>
            </w:r>
          </w:p>
        </w:tc>
        <w:tc>
          <w:tcPr>
            <w:tcW w:w="3527" w:type="pct"/>
            <w:tcBorders>
              <w:tl2br w:val="nil"/>
              <w:tr2bl w:val="nil"/>
            </w:tcBorders>
            <w:noWrap w:val="0"/>
            <w:vAlign w:val="center"/>
          </w:tcPr>
          <w:p w14:paraId="3C78E47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初期☑        近期□       中期□         远期□</w:t>
            </w:r>
          </w:p>
        </w:tc>
      </w:tr>
      <w:tr w14:paraId="3042E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pct"/>
            <w:vMerge w:val="continue"/>
            <w:tcBorders>
              <w:tl2br w:val="nil"/>
              <w:tr2bl w:val="nil"/>
            </w:tcBorders>
            <w:noWrap w:val="0"/>
            <w:vAlign w:val="center"/>
          </w:tcPr>
          <w:p w14:paraId="638D64A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99" w:type="pct"/>
            <w:tcBorders>
              <w:tl2br w:val="nil"/>
              <w:tr2bl w:val="nil"/>
            </w:tcBorders>
            <w:noWrap w:val="0"/>
            <w:vAlign w:val="center"/>
          </w:tcPr>
          <w:p w14:paraId="2B3D8A9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现状调查</w:t>
            </w:r>
          </w:p>
          <w:p w14:paraId="7E9908E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方法</w:t>
            </w:r>
          </w:p>
        </w:tc>
        <w:tc>
          <w:tcPr>
            <w:tcW w:w="3527" w:type="pct"/>
            <w:tcBorders>
              <w:tl2br w:val="nil"/>
              <w:tr2bl w:val="nil"/>
            </w:tcBorders>
            <w:noWrap w:val="0"/>
            <w:vAlign w:val="center"/>
          </w:tcPr>
          <w:p w14:paraId="5222B54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现场实测法☑       现场实测加模型计算法□    收集资料□</w:t>
            </w:r>
          </w:p>
        </w:tc>
      </w:tr>
      <w:tr w14:paraId="41DEB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673" w:type="pct"/>
            <w:vMerge w:val="continue"/>
            <w:tcBorders>
              <w:tl2br w:val="nil"/>
              <w:tr2bl w:val="nil"/>
            </w:tcBorders>
            <w:noWrap w:val="0"/>
            <w:vAlign w:val="center"/>
          </w:tcPr>
          <w:p w14:paraId="66873E6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99" w:type="pct"/>
            <w:tcBorders>
              <w:tl2br w:val="nil"/>
              <w:tr2bl w:val="nil"/>
            </w:tcBorders>
            <w:noWrap w:val="0"/>
            <w:vAlign w:val="center"/>
          </w:tcPr>
          <w:p w14:paraId="47D9A1A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现状评价</w:t>
            </w:r>
          </w:p>
        </w:tc>
        <w:tc>
          <w:tcPr>
            <w:tcW w:w="3527" w:type="pct"/>
            <w:tcBorders>
              <w:tl2br w:val="nil"/>
              <w:tr2bl w:val="nil"/>
            </w:tcBorders>
            <w:noWrap w:val="0"/>
            <w:vAlign w:val="center"/>
          </w:tcPr>
          <w:p w14:paraId="0F43241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达标百分比：100%</w:t>
            </w:r>
          </w:p>
        </w:tc>
      </w:tr>
      <w:tr w14:paraId="6ADE8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pct"/>
            <w:tcBorders>
              <w:tl2br w:val="nil"/>
              <w:tr2bl w:val="nil"/>
            </w:tcBorders>
            <w:noWrap w:val="0"/>
            <w:vAlign w:val="center"/>
          </w:tcPr>
          <w:p w14:paraId="6312C8D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噪声源调查</w:t>
            </w:r>
          </w:p>
        </w:tc>
        <w:tc>
          <w:tcPr>
            <w:tcW w:w="799" w:type="pct"/>
            <w:tcBorders>
              <w:tl2br w:val="nil"/>
              <w:tr2bl w:val="nil"/>
            </w:tcBorders>
            <w:noWrap w:val="0"/>
            <w:vAlign w:val="center"/>
          </w:tcPr>
          <w:p w14:paraId="479071F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噪声源调查方案</w:t>
            </w:r>
          </w:p>
        </w:tc>
        <w:tc>
          <w:tcPr>
            <w:tcW w:w="3527" w:type="pct"/>
            <w:tcBorders>
              <w:tl2br w:val="nil"/>
              <w:tr2bl w:val="nil"/>
            </w:tcBorders>
            <w:noWrap w:val="0"/>
            <w:vAlign w:val="center"/>
          </w:tcPr>
          <w:p w14:paraId="0243176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现场实测□          已有资料□               研究成果☑</w:t>
            </w:r>
          </w:p>
        </w:tc>
      </w:tr>
      <w:tr w14:paraId="1F667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673" w:type="pct"/>
            <w:vMerge w:val="restart"/>
            <w:tcBorders>
              <w:tl2br w:val="nil"/>
              <w:tr2bl w:val="nil"/>
            </w:tcBorders>
            <w:noWrap w:val="0"/>
            <w:vAlign w:val="center"/>
          </w:tcPr>
          <w:p w14:paraId="48560F6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声环境影响预测与评价</w:t>
            </w:r>
          </w:p>
        </w:tc>
        <w:tc>
          <w:tcPr>
            <w:tcW w:w="799" w:type="pct"/>
            <w:tcBorders>
              <w:tl2br w:val="nil"/>
              <w:tr2bl w:val="nil"/>
            </w:tcBorders>
            <w:noWrap w:val="0"/>
            <w:vAlign w:val="center"/>
          </w:tcPr>
          <w:p w14:paraId="72C37A6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预测模型</w:t>
            </w:r>
          </w:p>
        </w:tc>
        <w:tc>
          <w:tcPr>
            <w:tcW w:w="3527" w:type="pct"/>
            <w:tcBorders>
              <w:tl2br w:val="nil"/>
              <w:tr2bl w:val="nil"/>
            </w:tcBorders>
            <w:noWrap w:val="0"/>
            <w:vAlign w:val="center"/>
          </w:tcPr>
          <w:p w14:paraId="2D38B7A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导则推荐模型☑                          其他□</w:t>
            </w:r>
          </w:p>
        </w:tc>
      </w:tr>
      <w:tr w14:paraId="4E94D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673" w:type="pct"/>
            <w:vMerge w:val="continue"/>
            <w:tcBorders>
              <w:tl2br w:val="nil"/>
              <w:tr2bl w:val="nil"/>
            </w:tcBorders>
            <w:noWrap w:val="0"/>
            <w:vAlign w:val="center"/>
          </w:tcPr>
          <w:p w14:paraId="5E177093">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99" w:type="pct"/>
            <w:tcBorders>
              <w:tl2br w:val="nil"/>
              <w:tr2bl w:val="nil"/>
            </w:tcBorders>
            <w:noWrap w:val="0"/>
            <w:vAlign w:val="center"/>
          </w:tcPr>
          <w:p w14:paraId="6C0CFBB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预测范围</w:t>
            </w:r>
          </w:p>
        </w:tc>
        <w:tc>
          <w:tcPr>
            <w:tcW w:w="3527" w:type="pct"/>
            <w:tcBorders>
              <w:tl2br w:val="nil"/>
              <w:tr2bl w:val="nil"/>
            </w:tcBorders>
            <w:noWrap w:val="0"/>
            <w:vAlign w:val="center"/>
          </w:tcPr>
          <w:p w14:paraId="41F3FA9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200m☑           大于200m□            小于200m□</w:t>
            </w:r>
          </w:p>
        </w:tc>
      </w:tr>
      <w:tr w14:paraId="4BF4B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pct"/>
            <w:vMerge w:val="continue"/>
            <w:tcBorders>
              <w:tl2br w:val="nil"/>
              <w:tr2bl w:val="nil"/>
            </w:tcBorders>
            <w:noWrap w:val="0"/>
            <w:vAlign w:val="center"/>
          </w:tcPr>
          <w:p w14:paraId="6444FC8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99" w:type="pct"/>
            <w:tcBorders>
              <w:tl2br w:val="nil"/>
              <w:tr2bl w:val="nil"/>
            </w:tcBorders>
            <w:noWrap w:val="0"/>
            <w:vAlign w:val="center"/>
          </w:tcPr>
          <w:p w14:paraId="0C99184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预测因子</w:t>
            </w:r>
          </w:p>
        </w:tc>
        <w:tc>
          <w:tcPr>
            <w:tcW w:w="3527" w:type="pct"/>
            <w:tcBorders>
              <w:tl2br w:val="nil"/>
              <w:tr2bl w:val="nil"/>
            </w:tcBorders>
            <w:noWrap w:val="0"/>
            <w:vAlign w:val="center"/>
          </w:tcPr>
          <w:p w14:paraId="0E471B4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等效连续A声级☑  最大A声级□  计权等效连续感觉噪声级□</w:t>
            </w:r>
          </w:p>
        </w:tc>
      </w:tr>
      <w:tr w14:paraId="67509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pct"/>
            <w:vMerge w:val="continue"/>
            <w:tcBorders>
              <w:tl2br w:val="nil"/>
              <w:tr2bl w:val="nil"/>
            </w:tcBorders>
            <w:noWrap w:val="0"/>
            <w:vAlign w:val="center"/>
          </w:tcPr>
          <w:p w14:paraId="0FC0D9B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99" w:type="pct"/>
            <w:tcBorders>
              <w:tl2br w:val="nil"/>
              <w:tr2bl w:val="nil"/>
            </w:tcBorders>
            <w:noWrap w:val="0"/>
            <w:vAlign w:val="center"/>
          </w:tcPr>
          <w:p w14:paraId="6EA8DA0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厂界噪声贡献值</w:t>
            </w:r>
          </w:p>
        </w:tc>
        <w:tc>
          <w:tcPr>
            <w:tcW w:w="3527" w:type="pct"/>
            <w:tcBorders>
              <w:tl2br w:val="nil"/>
              <w:tr2bl w:val="nil"/>
            </w:tcBorders>
            <w:noWrap w:val="0"/>
            <w:vAlign w:val="center"/>
          </w:tcPr>
          <w:p w14:paraId="4A6510D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达标☑                        不达标□</w:t>
            </w:r>
          </w:p>
        </w:tc>
      </w:tr>
      <w:tr w14:paraId="76F33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pct"/>
            <w:vMerge w:val="continue"/>
            <w:tcBorders>
              <w:tl2br w:val="nil"/>
              <w:tr2bl w:val="nil"/>
            </w:tcBorders>
            <w:noWrap w:val="0"/>
            <w:vAlign w:val="center"/>
          </w:tcPr>
          <w:p w14:paraId="60C8A50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99" w:type="pct"/>
            <w:tcBorders>
              <w:tl2br w:val="nil"/>
              <w:tr2bl w:val="nil"/>
            </w:tcBorders>
            <w:noWrap w:val="0"/>
            <w:vAlign w:val="center"/>
          </w:tcPr>
          <w:p w14:paraId="599609D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声环境保护目标处噪声值</w:t>
            </w:r>
          </w:p>
        </w:tc>
        <w:tc>
          <w:tcPr>
            <w:tcW w:w="3527" w:type="pct"/>
            <w:tcBorders>
              <w:tl2br w:val="nil"/>
              <w:tr2bl w:val="nil"/>
            </w:tcBorders>
            <w:noWrap w:val="0"/>
            <w:vAlign w:val="center"/>
          </w:tcPr>
          <w:p w14:paraId="7D9AEE3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达标□                          不达标□</w:t>
            </w:r>
          </w:p>
          <w:p w14:paraId="29D92A3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（项目周边200m范围内无声环境保护目标）</w:t>
            </w:r>
          </w:p>
        </w:tc>
      </w:tr>
      <w:tr w14:paraId="03365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673" w:type="pct"/>
            <w:vMerge w:val="restart"/>
            <w:tcBorders>
              <w:tl2br w:val="nil"/>
              <w:tr2bl w:val="nil"/>
            </w:tcBorders>
            <w:noWrap w:val="0"/>
            <w:vAlign w:val="center"/>
          </w:tcPr>
          <w:p w14:paraId="64F9BDC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环境监测计划</w:t>
            </w:r>
          </w:p>
        </w:tc>
        <w:tc>
          <w:tcPr>
            <w:tcW w:w="799" w:type="pct"/>
            <w:tcBorders>
              <w:tl2br w:val="nil"/>
              <w:tr2bl w:val="nil"/>
            </w:tcBorders>
            <w:noWrap w:val="0"/>
            <w:vAlign w:val="center"/>
          </w:tcPr>
          <w:p w14:paraId="2AA1CD0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排放监测</w:t>
            </w:r>
          </w:p>
        </w:tc>
        <w:tc>
          <w:tcPr>
            <w:tcW w:w="3527" w:type="pct"/>
            <w:tcBorders>
              <w:tl2br w:val="nil"/>
              <w:tr2bl w:val="nil"/>
            </w:tcBorders>
            <w:noWrap w:val="0"/>
            <w:vAlign w:val="center"/>
          </w:tcPr>
          <w:p w14:paraId="07EDA99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 xml:space="preserve">厂界监测☑ 固定位置监测□  自动监测□ </w:t>
            </w:r>
            <w:r>
              <w:rPr>
                <w:rFonts w:hint="eastAsia" w:ascii="Times New Roman" w:hAnsi="Times New Roman" w:cs="Times New Roman"/>
                <w:szCs w:val="21"/>
                <w:lang w:val="en-US" w:eastAsia="zh-CN"/>
              </w:rPr>
              <w:t>手</w:t>
            </w:r>
            <w:r>
              <w:rPr>
                <w:rFonts w:hint="default" w:ascii="Times New Roman" w:hAnsi="Times New Roman" w:cs="Times New Roman" w:eastAsiaTheme="minorEastAsia"/>
                <w:szCs w:val="21"/>
                <w:lang w:val="en-US" w:eastAsia="zh-CN"/>
              </w:rPr>
              <w:t>工监测</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 xml:space="preserve">  无监测□</w:t>
            </w:r>
          </w:p>
        </w:tc>
      </w:tr>
      <w:tr w14:paraId="081BA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pct"/>
            <w:vMerge w:val="continue"/>
            <w:tcBorders>
              <w:tl2br w:val="nil"/>
              <w:tr2bl w:val="nil"/>
            </w:tcBorders>
            <w:noWrap w:val="0"/>
            <w:vAlign w:val="center"/>
          </w:tcPr>
          <w:p w14:paraId="76651F5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799" w:type="pct"/>
            <w:tcBorders>
              <w:tl2br w:val="nil"/>
              <w:tr2bl w:val="nil"/>
            </w:tcBorders>
            <w:noWrap w:val="0"/>
            <w:vAlign w:val="center"/>
          </w:tcPr>
          <w:p w14:paraId="596B23E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声环境保护目标处噪声监测</w:t>
            </w:r>
          </w:p>
        </w:tc>
        <w:tc>
          <w:tcPr>
            <w:tcW w:w="3527" w:type="pct"/>
            <w:tcBorders>
              <w:tl2br w:val="nil"/>
              <w:tr2bl w:val="nil"/>
            </w:tcBorders>
            <w:noWrap w:val="0"/>
            <w:vAlign w:val="center"/>
          </w:tcPr>
          <w:p w14:paraId="797710D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监测因子：（）    监测点位数（）    无监测（√）</w:t>
            </w:r>
          </w:p>
        </w:tc>
      </w:tr>
      <w:tr w14:paraId="5B7ED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pct"/>
            <w:tcBorders>
              <w:tl2br w:val="nil"/>
              <w:tr2bl w:val="nil"/>
            </w:tcBorders>
            <w:noWrap w:val="0"/>
            <w:vAlign w:val="center"/>
          </w:tcPr>
          <w:p w14:paraId="386C771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评价结论</w:t>
            </w:r>
          </w:p>
        </w:tc>
        <w:tc>
          <w:tcPr>
            <w:tcW w:w="799" w:type="pct"/>
            <w:tcBorders>
              <w:tl2br w:val="nil"/>
              <w:tr2bl w:val="nil"/>
            </w:tcBorders>
            <w:noWrap w:val="0"/>
            <w:vAlign w:val="center"/>
          </w:tcPr>
          <w:p w14:paraId="36B196C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环境影响</w:t>
            </w:r>
          </w:p>
        </w:tc>
        <w:tc>
          <w:tcPr>
            <w:tcW w:w="3527" w:type="pct"/>
            <w:tcBorders>
              <w:tl2br w:val="nil"/>
              <w:tr2bl w:val="nil"/>
            </w:tcBorders>
            <w:noWrap w:val="0"/>
            <w:vAlign w:val="center"/>
          </w:tcPr>
          <w:p w14:paraId="08E30B7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可行☑                   不可行□</w:t>
            </w:r>
          </w:p>
        </w:tc>
      </w:tr>
      <w:tr w14:paraId="4B4C8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5000" w:type="pct"/>
            <w:gridSpan w:val="3"/>
            <w:tcBorders>
              <w:tl2br w:val="nil"/>
              <w:tr2bl w:val="nil"/>
            </w:tcBorders>
            <w:noWrap w:val="0"/>
            <w:vAlign w:val="center"/>
          </w:tcPr>
          <w:p w14:paraId="0E9D1CD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注：“（”为勾选项，可√；“（  ）”为内容填写项</w:t>
            </w:r>
          </w:p>
        </w:tc>
      </w:tr>
    </w:tbl>
    <w:p w14:paraId="4D0A76CF">
      <w:pPr>
        <w:pStyle w:val="3"/>
        <w:spacing w:before="120" w:after="120" w:line="500" w:lineRule="exact"/>
        <w:ind w:left="375" w:hanging="375" w:firstLineChars="0"/>
        <w:contextualSpacing/>
        <w:rPr>
          <w:rFonts w:hint="default" w:ascii="Times New Roman" w:hAnsi="Times New Roman" w:cs="Times New Roman" w:eastAsiaTheme="minorEastAsia"/>
          <w:snapToGrid w:val="0"/>
          <w:kern w:val="0"/>
          <w:sz w:val="28"/>
          <w:szCs w:val="28"/>
          <w:lang w:val="en-US" w:eastAsia="zh-CN"/>
        </w:rPr>
      </w:pPr>
      <w:bookmarkStart w:id="234" w:name="_Toc1878"/>
      <w:r>
        <w:rPr>
          <w:rFonts w:hint="eastAsia" w:ascii="Times New Roman" w:hAnsi="Times New Roman" w:cs="Times New Roman" w:eastAsiaTheme="minorEastAsia"/>
          <w:snapToGrid w:val="0"/>
          <w:kern w:val="0"/>
          <w:sz w:val="28"/>
          <w:szCs w:val="28"/>
          <w:lang w:val="en-US" w:eastAsia="zh-CN"/>
        </w:rPr>
        <w:t>5.5运营期地下水环境影响评价</w:t>
      </w:r>
      <w:bookmarkEnd w:id="234"/>
    </w:p>
    <w:p w14:paraId="27A47D9F">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235" w:name="_Toc15862"/>
      <w:r>
        <w:rPr>
          <w:rFonts w:hint="eastAsia" w:ascii="Times New Roman" w:hAnsi="Times New Roman" w:cs="Times New Roman" w:eastAsiaTheme="minorEastAsia"/>
          <w:kern w:val="0"/>
          <w:sz w:val="24"/>
          <w:szCs w:val="24"/>
          <w:lang w:val="en-US" w:eastAsia="zh-CN"/>
        </w:rPr>
        <w:t>5.5.1评价区水文地质概况</w:t>
      </w:r>
      <w:bookmarkEnd w:id="235"/>
    </w:p>
    <w:p w14:paraId="162694C8">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5.5.1.</w:t>
      </w:r>
      <w:r>
        <w:rPr>
          <w:rFonts w:hint="eastAsia" w:ascii="Times New Roman" w:hAnsi="Times New Roman" w:cs="Times New Roman"/>
          <w:b/>
          <w:bCs/>
          <w:sz w:val="24"/>
          <w:lang w:val="en-US" w:eastAsia="zh-CN"/>
        </w:rPr>
        <w:t>1</w:t>
      </w:r>
      <w:r>
        <w:rPr>
          <w:rFonts w:hint="eastAsia" w:ascii="Times New Roman" w:hAnsi="Times New Roman" w:cs="Times New Roman" w:eastAsiaTheme="minorEastAsia"/>
          <w:b/>
          <w:bCs/>
          <w:sz w:val="24"/>
          <w:lang w:val="en-US" w:eastAsia="zh-CN"/>
        </w:rPr>
        <w:t>区域</w:t>
      </w:r>
      <w:r>
        <w:rPr>
          <w:rFonts w:hint="eastAsia" w:ascii="Times New Roman" w:hAnsi="Times New Roman" w:cs="Times New Roman"/>
          <w:b/>
          <w:bCs/>
          <w:sz w:val="24"/>
          <w:lang w:val="en-US" w:eastAsia="zh-CN"/>
        </w:rPr>
        <w:t>水文</w:t>
      </w:r>
      <w:r>
        <w:rPr>
          <w:rFonts w:hint="eastAsia" w:ascii="Times New Roman" w:hAnsi="Times New Roman" w:cs="Times New Roman" w:eastAsiaTheme="minorEastAsia"/>
          <w:b/>
          <w:bCs/>
          <w:sz w:val="24"/>
          <w:lang w:val="en-US" w:eastAsia="zh-CN"/>
        </w:rPr>
        <w:t>地质</w:t>
      </w:r>
    </w:p>
    <w:p w14:paraId="5DBB6904">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叶尔羌河在出山口后，流速减弱，河道开阔形成叶尔羌河大面积冲洪积扇，而规划区地处叶尔羌河冲洪积扇及冲积平原上，地下水赋存在叶尔羌河流域冲洪积平原第四纪松散沉积物之中。</w:t>
      </w:r>
    </w:p>
    <w:p w14:paraId="2390D37C">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根据地形地貌及地质条件，可将规划区分为</w:t>
      </w:r>
      <w:r>
        <w:rPr>
          <w:rFonts w:hint="eastAsia" w:ascii="Times New Roman" w:hAnsi="Times New Roman" w:cs="Times New Roman"/>
          <w:sz w:val="24"/>
          <w:lang w:val="en-US" w:eastAsia="zh-CN"/>
        </w:rPr>
        <w:t>3</w:t>
      </w:r>
      <w:r>
        <w:rPr>
          <w:rFonts w:hint="eastAsia" w:ascii="Times New Roman" w:hAnsi="Times New Roman" w:cs="Times New Roman" w:eastAsiaTheme="minorEastAsia"/>
          <w:sz w:val="24"/>
          <w:lang w:val="en-US" w:eastAsia="zh-CN"/>
        </w:rPr>
        <w:t>个水文地质单元，即山前冲洪积平原区（冲洪积扇区）（Ⅱ1区）、冲洪积平原区（Ⅱ2区）、荒漠区（Ⅱ3区）。</w:t>
      </w:r>
    </w:p>
    <w:p w14:paraId="05B72543">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①山前冲洪积平原区（冲击洪扇区）（Ⅱ1区）</w:t>
      </w:r>
    </w:p>
    <w:p w14:paraId="29022C10">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区位于依干其水库、县城及东方红水库一线以南，为叶尔羌河左侧冲洪积扇，含水层岩性为卵砾石或砂砾石，结构相对单一，厚度很大，是贮水条件较好的潜水含水层。根据抽水试验资料，渗透系数20～70m/d，极强富水，单位涌水量大于15m</w:t>
      </w:r>
      <w:r>
        <w:rPr>
          <w:rFonts w:hint="eastAsia" w:ascii="Times New Roman" w:hAnsi="Times New Roman" w:cs="Times New Roman" w:eastAsiaTheme="minorEastAsia"/>
          <w:sz w:val="24"/>
          <w:vertAlign w:val="superscript"/>
          <w:lang w:val="en-US" w:eastAsia="zh-CN"/>
        </w:rPr>
        <w:t>3</w:t>
      </w:r>
      <w:r>
        <w:rPr>
          <w:rFonts w:hint="eastAsia" w:ascii="Times New Roman" w:hAnsi="Times New Roman" w:cs="Times New Roman" w:eastAsiaTheme="minorEastAsia"/>
          <w:sz w:val="24"/>
          <w:lang w:val="en-US" w:eastAsia="zh-CN"/>
        </w:rPr>
        <w:t>/h·m。在冲积、洪积扇的前缘，地层出现多元结构，含水层颗粒变细，富水性能减弱，渗透系数20～30m/d，单位涌水量大于10m3/h·m。潜水的埋深，在扇轴部中下缘及扇左缘地带相对较浅，一般3～5m，扇轴部以西的扇缘（恰尔巴格乡、阿热勒乡、莎车镇至古勒巴格镇西界的奥依巴格村地区）由于地下水的过量开采，使得地下水埋深较大，达到10～15m，莎车镇以南，往冲洪积扇的中上部，地下水埋深逐渐增大，到孜热甫夏提乡以南，潜水埋深由10m变至30m以上。</w:t>
      </w:r>
    </w:p>
    <w:p w14:paraId="7A229F8E">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②叶尔羌河冲洪积平原区（Ⅱ2区）</w:t>
      </w:r>
    </w:p>
    <w:p w14:paraId="74F987FB">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由于叶尔羌河和提孜那甫河纵贯全区，受两河地貌和搬运沉积的差异性作用影响，可将叶尔羌河冲积平原区进一步细分为三个亚区，分别为叶尔羌河西岸冲积平原区（Ⅱ21区）、两河河间地块区（II22区）提孜那甫河东岸冲积平原区（Ⅱ23区）。</w:t>
      </w:r>
    </w:p>
    <w:p w14:paraId="2ED8923E">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1）叶尔羌河西岸冲积平原区（Ⅱ21区）</w:t>
      </w:r>
    </w:p>
    <w:p w14:paraId="305D9838">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该区位于县城和东方红水库以北，叶尔羌河以西。第四系地层具有多元性结构，在深度54～73m之间，有一套比较稳定的粘性土层，岩性为粘土、粉质粘土或粉土，厚度3～10m，将含水层分为潜水含水层和局部承压含水层。该套地层在南北方向上比较稳定；在东西方向上，近叶尔羌河地带逐渐尖灭。潜水含水层受冲积平原沉积规律的控制，其岩性由南向北逐渐变细，在塔尕尔其至拍克其乡以南，以卵砾石或砾石、中细砂为主，以北至艾力西湖附近，以中细砂、细砂为主，局部夹少量的砾石及极细砂</w:t>
      </w:r>
      <w:r>
        <w:rPr>
          <w:rFonts w:hint="eastAsia" w:ascii="Times New Roman" w:hAnsi="Times New Roman" w:cs="Times New Roman"/>
          <w:sz w:val="24"/>
          <w:lang w:val="en-US" w:eastAsia="zh-CN"/>
        </w:rPr>
        <w:t>，</w:t>
      </w:r>
      <w:r>
        <w:rPr>
          <w:rFonts w:hint="eastAsia" w:ascii="Times New Roman" w:hAnsi="Times New Roman" w:cs="Times New Roman" w:eastAsiaTheme="minorEastAsia"/>
          <w:sz w:val="24"/>
          <w:lang w:val="en-US" w:eastAsia="zh-CN"/>
        </w:rPr>
        <w:t>艾力西湖以北，以细砂为主，夹薄层中砂。</w:t>
      </w:r>
    </w:p>
    <w:p w14:paraId="3CD39271">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在200m深度范围内，局部承压潜水可分为上下两段，上段埋深区间在60～129m，含水层厚度一般30～65m。岩性以中砂、中细砂及细砂为主。下段微承压含水层埋深一般大于100m，与上段微承压含水层之间有一分布形态与潜水层底板近似的隔水层，厚度小于7m</w:t>
      </w:r>
      <w:r>
        <w:rPr>
          <w:rFonts w:hint="eastAsia" w:ascii="Times New Roman" w:hAnsi="Times New Roman" w:cs="Times New Roman"/>
          <w:sz w:val="24"/>
          <w:lang w:val="en-US" w:eastAsia="zh-CN"/>
        </w:rPr>
        <w:t>，</w:t>
      </w:r>
      <w:r>
        <w:rPr>
          <w:rFonts w:hint="eastAsia" w:ascii="Times New Roman" w:hAnsi="Times New Roman" w:cs="Times New Roman" w:eastAsiaTheme="minorEastAsia"/>
          <w:sz w:val="24"/>
          <w:lang w:val="en-US" w:eastAsia="zh-CN"/>
        </w:rPr>
        <w:t>岩性为粘土和粉土。下段含水层岩性以细砂、极细砂为主，上游局部地带含少量小砾石，渗透性及富水性由南向北逐渐减弱。</w:t>
      </w:r>
    </w:p>
    <w:p w14:paraId="1DA1ADEF">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lang w:val="en-US" w:eastAsia="zh-CN"/>
        </w:rPr>
        <w:t>大致以三莎高速为界，在三莎高速以东，莎车镇以北，荒地镇以南的米夏镇、拍克其乡、塔尕尔其镇、阔什艾日克乡等地区，含水层的渗透性、富水性好，渗透系数6～20m/d，单位涌水量大于10m3/h·m</w:t>
      </w:r>
      <w:r>
        <w:rPr>
          <w:rFonts w:hint="eastAsia" w:ascii="Times New Roman" w:hAnsi="Times New Roman" w:cs="Times New Roman"/>
          <w:sz w:val="24"/>
          <w:lang w:val="en-US" w:eastAsia="zh-CN"/>
        </w:rPr>
        <w:t>，</w:t>
      </w:r>
      <w:r>
        <w:rPr>
          <w:rFonts w:hint="eastAsia" w:ascii="Times New Roman" w:hAnsi="Times New Roman" w:cs="Times New Roman" w:eastAsiaTheme="minorEastAsia"/>
          <w:sz w:val="24"/>
          <w:lang w:val="en-US" w:eastAsia="zh-CN"/>
        </w:rPr>
        <w:t>同时为各乡镇主要的农业作业区，地下水埋深一般10～15m，在沿河地带受河水渗漏补给影响，埋深较浅，在4～10m；在三莎高速以西的恰热克镇、伊什库力乡、拍克其乡、艾力西湖镇、荒地镇、县良种场、喀什监狱等地，潜水含水层的渗透性、富水性较差，渗透系数3～</w:t>
      </w:r>
      <w:r>
        <w:rPr>
          <w:rFonts w:hint="eastAsia" w:ascii="Times New Roman" w:hAnsi="Times New Roman" w:cs="Times New Roman" w:eastAsiaTheme="minorEastAsia"/>
          <w:sz w:val="24"/>
          <w:highlight w:val="none"/>
          <w:lang w:val="en-US" w:eastAsia="zh-CN"/>
        </w:rPr>
        <w:t>10m/d，该区主要为天然植被荒漠区，由于人类活动相对较少，地下水埋深普遍在5</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8m之间。在东方红水库、苏库恰克水库的坝后</w:t>
      </w:r>
      <w:r>
        <w:rPr>
          <w:rFonts w:hint="eastAsia" w:ascii="Times New Roman" w:hAnsi="Times New Roman" w:cs="Times New Roman"/>
          <w:sz w:val="24"/>
          <w:highlight w:val="none"/>
          <w:lang w:val="en-US" w:eastAsia="zh-CN"/>
        </w:rPr>
        <w:t>及</w:t>
      </w:r>
      <w:r>
        <w:rPr>
          <w:rFonts w:hint="eastAsia" w:ascii="Times New Roman" w:hAnsi="Times New Roman" w:cs="Times New Roman" w:eastAsiaTheme="minorEastAsia"/>
          <w:sz w:val="24"/>
          <w:highlight w:val="none"/>
          <w:lang w:val="en-US" w:eastAsia="zh-CN"/>
        </w:rPr>
        <w:t>古河道洼地等局部地带，地下水埋深较浅，为1</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3m，个别处小于1m。</w:t>
      </w:r>
    </w:p>
    <w:p w14:paraId="251DC1BD">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两河河间地块区（II22区）该区位于叶尔羌河与提孜那甫河之间，200m深度内，主要为潜水含水层分布，岩性以中细砂、粉细砂为主，累计厚度达150m，南端依干其一带岩性相对粗一些，透水性和贮水条件稍好，渗透系数6</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15m/d，单位涌水量10~20m</w:t>
      </w:r>
      <w:r>
        <w:rPr>
          <w:rFonts w:hint="eastAsia"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/h·m，4</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6L/s·m，其余大部分地区渗透系数6</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10m/d，单位涌水量10~15m</w:t>
      </w:r>
      <w:r>
        <w:rPr>
          <w:rFonts w:hint="eastAsia"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/h·m。</w:t>
      </w:r>
    </w:p>
    <w:p w14:paraId="09CAC993">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由于处在河间地块，地下水的补给条件较好，故地下水埋深相对较浅，中部地带埋深一般在3</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6m之间（阿瓦提镇库那阿热西村、阿拉买提镇天津邦村一线以北至阿扎特巴格镇喀勒帕克墩村地下水埋深稍大，为6</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8m），在靠近两河的沿线地区，地下水埋深仅2</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3m。</w:t>
      </w:r>
    </w:p>
    <w:p w14:paraId="01C29D0B">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3）提孜那甫河东岸冲积平原区（Ⅱ23区）</w:t>
      </w:r>
    </w:p>
    <w:p w14:paraId="23122178">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该区位于提孜那甫河东岸，地表有一层粉土层，厚度小于5m；在20</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35m深处，有厚约2m的粉质粘土，除此之外均为分选性良好的中细砂或细砂，含水层渗透性及富水性随深度增加而减少，在埋深70</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80m以上段，渗透系数6</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12m/d，单位涌水量10~15m</w:t>
      </w:r>
      <w:r>
        <w:rPr>
          <w:rFonts w:hint="eastAsia"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/h·m；以下地段含水层岩性与上段基本相同，但结构密实，分选性较差，渗透系数5m/d，单位涌水量11m</w:t>
      </w:r>
      <w:r>
        <w:rPr>
          <w:rFonts w:hint="eastAsia"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/h·m，随着深度的增加，上述规律更加明显。地下水埋深一般2</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5m，仅在中部喀拉苏乡的阔什阿瓦提村、仓村一带，埋深稍大，但也小于6m。</w:t>
      </w:r>
    </w:p>
    <w:p w14:paraId="709B81C9">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③荒漠区（Ⅱ3区）</w:t>
      </w:r>
    </w:p>
    <w:p w14:paraId="699E1939">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荒漠区位于规划区东西两侧，因缺少钻孔控制，从收集到的沙漠边缘少数钻孔钻探资料推测，其地层岩性主要为上更新统冲积中细砂及粉细砂，赋存潜水和承压水含水层，含水层富水性中等，矿化度大于3g/</w:t>
      </w:r>
      <w:r>
        <w:rPr>
          <w:rFonts w:hint="eastAsia" w:ascii="Times New Roman" w:hAnsi="Times New Roman" w:cs="Times New Roman"/>
          <w:sz w:val="24"/>
          <w:highlight w:val="none"/>
          <w:lang w:val="en-US" w:eastAsia="zh-CN"/>
        </w:rPr>
        <w:t>L</w:t>
      </w:r>
      <w:r>
        <w:rPr>
          <w:rFonts w:hint="eastAsia" w:ascii="Times New Roman" w:hAnsi="Times New Roman" w:cs="Times New Roman" w:eastAsiaTheme="minorEastAsia"/>
          <w:sz w:val="24"/>
          <w:highlight w:val="none"/>
          <w:lang w:val="en-US" w:eastAsia="zh-CN"/>
        </w:rPr>
        <w:t>，以Cl·SO</w:t>
      </w:r>
      <w:r>
        <w:rPr>
          <w:rFonts w:hint="eastAsia" w:ascii="Times New Roman" w:hAnsi="Times New Roman" w:cs="Times New Roman" w:eastAsiaTheme="minorEastAsia"/>
          <w:sz w:val="24"/>
          <w:highlight w:val="none"/>
          <w:vertAlign w:val="subscript"/>
          <w:lang w:val="en-US" w:eastAsia="zh-CN"/>
        </w:rPr>
        <w:t>4</w:t>
      </w:r>
      <w:r>
        <w:rPr>
          <w:rFonts w:hint="eastAsia" w:ascii="Times New Roman" w:hAnsi="Times New Roman" w:cs="Times New Roman" w:eastAsiaTheme="minorEastAsia"/>
          <w:sz w:val="24"/>
          <w:highlight w:val="none"/>
          <w:lang w:val="en-US" w:eastAsia="zh-CN"/>
        </w:rPr>
        <w:t>-Na·Mg型水为主，短期内无利用价值。</w:t>
      </w:r>
    </w:p>
    <w:p w14:paraId="60D5A07C">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p>
    <w:p w14:paraId="5F487B00">
      <w:pPr>
        <w:adjustRightInd w:val="0"/>
        <w:snapToGrid w:val="0"/>
        <w:spacing w:line="500" w:lineRule="exact"/>
        <w:jc w:val="left"/>
        <w:rPr>
          <w:rFonts w:hint="eastAsia" w:ascii="Times New Roman" w:hAnsi="Times New Roman" w:cs="Times New Roman" w:eastAsiaTheme="minorEastAsia"/>
          <w:sz w:val="24"/>
          <w:highlight w:val="none"/>
          <w:lang w:val="en-US" w:eastAsia="zh-CN"/>
        </w:rPr>
      </w:pPr>
    </w:p>
    <w:p w14:paraId="0E92F178">
      <w:pPr>
        <w:snapToGrid w:val="0"/>
        <w:spacing w:before="241"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b/>
          <w:szCs w:val="21"/>
          <w:lang w:val="en-US" w:eastAsia="zh-CN"/>
        </w:rPr>
        <w:t>图</w:t>
      </w:r>
      <w:r>
        <w:rPr>
          <w:rFonts w:hint="eastAsia" w:ascii="Times New Roman" w:hAnsi="Times New Roman" w:cs="Times New Roman" w:eastAsiaTheme="minorEastAsia"/>
          <w:b/>
          <w:szCs w:val="21"/>
          <w:lang w:val="en-US" w:eastAsia="zh-CN"/>
        </w:rPr>
        <w:t>5.5-1  水文地质剖面图</w:t>
      </w:r>
    </w:p>
    <w:p w14:paraId="5720EF6F">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5.5.1.</w:t>
      </w:r>
      <w:r>
        <w:rPr>
          <w:rFonts w:hint="eastAsia" w:ascii="Times New Roman" w:hAnsi="Times New Roman" w:cs="Times New Roman"/>
          <w:b/>
          <w:bCs/>
          <w:sz w:val="24"/>
          <w:lang w:val="en-US" w:eastAsia="zh-CN"/>
        </w:rPr>
        <w:t>2</w:t>
      </w:r>
      <w:r>
        <w:rPr>
          <w:rFonts w:hint="eastAsia" w:ascii="Times New Roman" w:hAnsi="Times New Roman" w:cs="Times New Roman" w:eastAsiaTheme="minorEastAsia"/>
          <w:b/>
          <w:bCs/>
          <w:sz w:val="24"/>
          <w:lang w:val="en-US" w:eastAsia="zh-CN"/>
        </w:rPr>
        <w:t>地下水动态及补径排条件</w:t>
      </w:r>
    </w:p>
    <w:p w14:paraId="099EE290">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区域内西南山区地层主要为古生界，分布较小</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西部北部山区丘陵地层中含少数古近系等矿物</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其余地层以第四系松散沉积物为主，其沉积物厚度呈现由西南到东北逐渐变薄的趋势。北部流域主要接受西部克孜勒、北部吐曼河、恰克马克河等流域的径流入渗补给、潜流补给等入渗补给，南部流域主要接受西南部山区地下水的侧向径流、山前洪流入渗、河道入渗、大气降水入渗等天然补给方式。该区域地下水径流条件由西向东呈现逐渐变差的趋势，主要受地质构造、地层结构、岩性等条件控制，径流方向主要为山前两侧向盆地中心移动</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水循环过程中，地表水和地下水频繁转化，使地表水成为地下水最重要的补源。总而言之，喀什研究区的地下水的补给排泄条件受到水文、气象、地质岩性、地貌以及人类活动等因素的影响。</w:t>
      </w:r>
    </w:p>
    <w:p w14:paraId="00B7CE73">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区域丰水期为6、7、8、9月份，地下水的补给主要依靠冰川融水，大量冰川融水补充地表水，进而补充地下水。喀什地区降雨亦集中在夏季，但是由于地形原因，降雨多集中于山区，平原地区降雨量少，年平均降雨量30</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63mm，因此降雨对地下水的直接转化补给非常有限。该地区夏季炎热，风力活动强烈，所以蒸发量很大，由于地表水与地下水大量蒸发，同时农业灌溉等地下水人工开采量大大增加，从而导致地下水埋深未见减小，反而较大程度</w:t>
      </w:r>
      <w:r>
        <w:rPr>
          <w:rFonts w:hint="eastAsia" w:ascii="Times New Roman" w:hAnsi="Times New Roman" w:cs="Times New Roman" w:eastAsiaTheme="minorEastAsia"/>
          <w:sz w:val="24"/>
          <w:lang w:val="en-US" w:eastAsia="zh-CN"/>
        </w:rPr>
        <w:t>地</w:t>
      </w:r>
      <w:r>
        <w:rPr>
          <w:rFonts w:hint="default" w:ascii="Times New Roman" w:hAnsi="Times New Roman" w:cs="Times New Roman" w:eastAsiaTheme="minorEastAsia"/>
          <w:sz w:val="24"/>
          <w:lang w:val="en-US" w:eastAsia="zh-CN"/>
        </w:rPr>
        <w:t>升高。</w:t>
      </w:r>
    </w:p>
    <w:p w14:paraId="6EA4884B">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枯水期</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1、2、3月</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平均埋深约7.6m，较7、8月份</w:t>
      </w:r>
      <w:r>
        <w:rPr>
          <w:rFonts w:hint="eastAsia" w:ascii="Times New Roman" w:hAnsi="Times New Roman" w:cs="Times New Roman" w:eastAsiaTheme="minorEastAsia"/>
          <w:sz w:val="24"/>
          <w:lang w:val="en-US" w:eastAsia="zh-CN"/>
        </w:rPr>
        <w:t>减少</w:t>
      </w:r>
      <w:r>
        <w:rPr>
          <w:rFonts w:hint="default" w:ascii="Times New Roman" w:hAnsi="Times New Roman" w:cs="Times New Roman" w:eastAsiaTheme="minorEastAsia"/>
          <w:sz w:val="24"/>
          <w:lang w:val="en-US" w:eastAsia="zh-CN"/>
        </w:rPr>
        <w:t>6%左右，虽然冬季冰川融水较少，但冬季蒸发少，农业灌溉等主要人工开采活动少，所以导致地下水埋深减小，地下水位较丰水期高。</w:t>
      </w:r>
    </w:p>
    <w:p w14:paraId="34FEB069">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本区的地下水分布于盆地内第四纪砂砾、砂及粉砂含水层中，主要由地表径流的渗入所补给及各河流出山口处河床下的潜流所补给。</w:t>
      </w:r>
    </w:p>
    <w:p w14:paraId="56FCC625">
      <w:pPr>
        <w:snapToGrid w:val="0"/>
        <w:spacing w:before="241" w:beforeLines="50"/>
        <w:jc w:val="center"/>
        <w:rPr>
          <w:rFonts w:hint="default" w:ascii="Times New Roman" w:hAnsi="Times New Roman" w:cs="Times New Roman" w:eastAsiaTheme="minorEastAsia"/>
          <w:b/>
          <w:szCs w:val="21"/>
          <w:lang w:val="en-US" w:eastAsia="zh-CN"/>
        </w:rPr>
      </w:pPr>
      <w:r>
        <w:rPr>
          <w:rFonts w:hint="eastAsia" w:ascii="Times New Roman" w:hAnsi="Times New Roman" w:cs="Times New Roman"/>
          <w:b/>
          <w:szCs w:val="21"/>
          <w:lang w:val="en-US" w:eastAsia="zh-CN"/>
        </w:rPr>
        <w:t>图</w:t>
      </w:r>
      <w:r>
        <w:rPr>
          <w:rFonts w:hint="eastAsia" w:ascii="Times New Roman" w:hAnsi="Times New Roman" w:cs="Times New Roman" w:eastAsiaTheme="minorEastAsia"/>
          <w:b/>
          <w:szCs w:val="21"/>
          <w:lang w:val="en-US" w:eastAsia="zh-CN"/>
        </w:rPr>
        <w:t>5.5-2  区域水文地质图</w:t>
      </w:r>
    </w:p>
    <w:p w14:paraId="6043942C">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236" w:name="_Toc7293"/>
      <w:r>
        <w:rPr>
          <w:rFonts w:hint="eastAsia" w:ascii="Times New Roman" w:hAnsi="Times New Roman" w:cs="Times New Roman" w:eastAsiaTheme="minorEastAsia"/>
          <w:kern w:val="0"/>
          <w:sz w:val="24"/>
          <w:szCs w:val="24"/>
          <w:lang w:val="en-US" w:eastAsia="zh-CN"/>
        </w:rPr>
        <w:t>5.5.2地下水环境预测与评价</w:t>
      </w:r>
      <w:bookmarkEnd w:id="236"/>
    </w:p>
    <w:p w14:paraId="34AB2500">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5.5.2.1正常情况下地下水环境影响分析</w:t>
      </w:r>
    </w:p>
    <w:p w14:paraId="2E3D7903">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本项目废水可以分为循环系统、软化水系统和脱酸系统定排水及清洗废水。正常状况下，厂区各类生产废水均排入</w:t>
      </w:r>
      <w:r>
        <w:rPr>
          <w:rFonts w:hint="eastAsia" w:ascii="Times New Roman" w:hAnsi="Times New Roman" w:cs="Times New Roman" w:eastAsiaTheme="minorEastAsia"/>
          <w:sz w:val="24"/>
          <w:lang w:val="en-US" w:eastAsia="zh-CN"/>
        </w:rPr>
        <w:t>厂</w:t>
      </w:r>
      <w:r>
        <w:rPr>
          <w:rFonts w:hint="default" w:ascii="Times New Roman" w:hAnsi="Times New Roman" w:cs="Times New Roman" w:eastAsiaTheme="minorEastAsia"/>
          <w:sz w:val="24"/>
          <w:lang w:val="en-US" w:eastAsia="zh-CN"/>
        </w:rPr>
        <w:t>内污水处理系统处理，废水</w:t>
      </w:r>
      <w:r>
        <w:rPr>
          <w:rFonts w:hint="eastAsia" w:ascii="Times New Roman" w:hAnsi="Times New Roman" w:cs="Times New Roman" w:eastAsiaTheme="minorEastAsia"/>
          <w:sz w:val="24"/>
          <w:lang w:val="en-US" w:eastAsia="zh-CN"/>
        </w:rPr>
        <w:t>依托厂区内现有污水处理站，现有污水处理站</w:t>
      </w:r>
      <w:r>
        <w:rPr>
          <w:rFonts w:hint="default" w:ascii="Times New Roman" w:hAnsi="Times New Roman" w:cs="Times New Roman" w:eastAsiaTheme="minorEastAsia"/>
          <w:sz w:val="24"/>
          <w:lang w:val="en-US" w:eastAsia="zh-CN"/>
        </w:rPr>
        <w:t>采用</w:t>
      </w:r>
      <w:r>
        <w:rPr>
          <w:rFonts w:hint="eastAsia" w:ascii="Times New Roman" w:hAnsi="Times New Roman" w:cs="Times New Roman" w:eastAsiaTheme="minorEastAsia"/>
          <w:sz w:val="24"/>
          <w:lang w:val="en-US" w:eastAsia="zh-CN"/>
        </w:rPr>
        <w:t>“调节池+预处理（沉淀）</w:t>
      </w:r>
      <w:r>
        <w:rPr>
          <w:rFonts w:hint="default" w:ascii="Times New Roman" w:hAnsi="Times New Roman" w:cs="Times New Roman" w:eastAsiaTheme="minorEastAsia"/>
          <w:sz w:val="24"/>
          <w:lang w:val="en-US" w:eastAsia="zh-CN"/>
        </w:rPr>
        <w:t>+MBR+DTRO</w:t>
      </w:r>
      <w:r>
        <w:rPr>
          <w:rFonts w:hint="eastAsia" w:ascii="Times New Roman" w:hAnsi="Times New Roman" w:cs="Times New Roman" w:eastAsiaTheme="minorEastAsia"/>
          <w:sz w:val="24"/>
          <w:lang w:val="en-US" w:eastAsia="zh-CN"/>
        </w:rPr>
        <w:t>+接触池（次氯酸钠消毒）”的</w:t>
      </w:r>
      <w:r>
        <w:rPr>
          <w:rFonts w:hint="default" w:ascii="Times New Roman" w:hAnsi="Times New Roman" w:cs="Times New Roman" w:eastAsiaTheme="minorEastAsia"/>
          <w:sz w:val="24"/>
          <w:lang w:val="en-US" w:eastAsia="zh-CN"/>
        </w:rPr>
        <w:t>处理工艺，处理后出水达到《医疗机构水污染物排放标准》</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GB18466-2005</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《城市污水再生利用工业用水水质》</w:t>
      </w:r>
      <w:r>
        <w:rPr>
          <w:rFonts w:hint="eastAsia" w:ascii="Times New Roman" w:hAnsi="Times New Roman" w:cs="Times New Roman" w:eastAsiaTheme="minorEastAsia"/>
          <w:sz w:val="24"/>
          <w:lang w:val="en-US" w:eastAsia="zh-CN"/>
        </w:rPr>
        <w:t>（GB/T 19923-2024）和《污水综合排放标准》（GB8978-1996）三者</w:t>
      </w:r>
      <w:r>
        <w:rPr>
          <w:rFonts w:hint="default" w:ascii="Times New Roman" w:hAnsi="Times New Roman" w:cs="Times New Roman" w:eastAsiaTheme="minorEastAsia"/>
          <w:sz w:val="24"/>
          <w:lang w:val="en-US" w:eastAsia="zh-CN"/>
        </w:rPr>
        <w:t>较严限值后作为敞开式循环冷却水系统补充水和洗涤用水标准后全部回用，产生的废水不排入外环境。且各生产装置单元在工程设计时均采用防渗或防漏效果良好的装置设备，各单元为泵体和密封的输送管道连接，主要生产设备地面严格按照《环境影响评价技术导则 地下水环境》</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HJ610-2016</w:t>
      </w:r>
      <w:r>
        <w:rPr>
          <w:rFonts w:hint="eastAsia" w:ascii="Times New Roman" w:hAnsi="Times New Roman" w:cs="Times New Roman" w:eastAsiaTheme="minorEastAsia"/>
          <w:sz w:val="24"/>
          <w:lang w:val="en-US" w:eastAsia="zh-CN"/>
        </w:rPr>
        <w:t>）要求进行防渗，基本不会对场地地下水环境造成影响。</w:t>
      </w:r>
    </w:p>
    <w:p w14:paraId="161A5B88">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5.5.2.2非正常情况下地下水环境影响分析</w:t>
      </w:r>
    </w:p>
    <w:p w14:paraId="3689C796">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在非正常状况下，即企业的工艺设备、管道因系统老化、腐蚀等原因不能正常运行或地下水环境保护措施的保护效果达不到设计要求时的运行状况时，若污水池或排水管道发生泄漏现象时可能影响地下水水质，为本次水环境影响分析与评价的主要内容。</w:t>
      </w:r>
    </w:p>
    <w:p w14:paraId="61069691">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污水在地下水中的迁移转化是一个复杂的物理化学和生物作用过程，污染物通过包气带下渗进入含水层时，还包括污染物的自净过程。</w:t>
      </w:r>
    </w:p>
    <w:p w14:paraId="23853194">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污水进入地下后，污染物向地下水系统的迁移途径为：</w:t>
      </w:r>
    </w:p>
    <w:p w14:paraId="76E4A156">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入渗污染物一表土层一包气带一含水层一迁移根据区域水文地质条件，地下水大致流向为由南向北，项目范围内地下水为第四系潜水含水层及承压水。当泄漏量很大并持续长时间泄漏时，可能把污染物带入下游潜水中，影响下游水质。</w:t>
      </w:r>
    </w:p>
    <w:p w14:paraId="648591B1">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（1）预测情景</w:t>
      </w:r>
    </w:p>
    <w:p w14:paraId="07CBC604">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非正常状况是指污水处理构筑物防渗系统因腐蚀、老化导致四壁和底部出现渗漏，污染物渗漏后经包气带</w:t>
      </w:r>
      <w:r>
        <w:rPr>
          <w:rFonts w:hint="eastAsia" w:ascii="Times New Roman" w:hAnsi="Times New Roman" w:cs="Times New Roman"/>
          <w:sz w:val="24"/>
          <w:highlight w:val="none"/>
          <w:lang w:val="en-US" w:eastAsia="zh-CN"/>
        </w:rPr>
        <w:t>渗入</w:t>
      </w:r>
      <w:r>
        <w:rPr>
          <w:rFonts w:hint="eastAsia" w:ascii="Times New Roman" w:hAnsi="Times New Roman" w:cs="Times New Roman" w:eastAsiaTheme="minorEastAsia"/>
          <w:sz w:val="24"/>
          <w:highlight w:val="none"/>
          <w:lang w:val="en-US" w:eastAsia="zh-CN"/>
        </w:rPr>
        <w:t>浅层地下水。本工程对地下水可能造成污染的途径或方式主要有：阀门、管道系统、污水池的跑、冒、滴、漏，污水处理</w:t>
      </w:r>
      <w:r>
        <w:rPr>
          <w:rFonts w:hint="eastAsia" w:ascii="Times New Roman" w:hAnsi="Times New Roman" w:cs="Times New Roman"/>
          <w:sz w:val="24"/>
          <w:highlight w:val="none"/>
          <w:lang w:val="en-US" w:eastAsia="zh-CN"/>
        </w:rPr>
        <w:t>站</w:t>
      </w:r>
      <w:r>
        <w:rPr>
          <w:rFonts w:hint="eastAsia" w:ascii="Times New Roman" w:hAnsi="Times New Roman" w:cs="Times New Roman" w:eastAsiaTheme="minorEastAsia"/>
          <w:sz w:val="24"/>
          <w:highlight w:val="none"/>
          <w:lang w:val="en-US" w:eastAsia="zh-CN"/>
        </w:rPr>
        <w:t>地面的防渗措施不到位可能导致污染物下渗，污染地下水。</w:t>
      </w:r>
    </w:p>
    <w:p w14:paraId="603AC3A5">
      <w:pPr>
        <w:adjustRightInd w:val="0"/>
        <w:snapToGrid w:val="0"/>
        <w:spacing w:line="500" w:lineRule="exact"/>
        <w:ind w:firstLine="480" w:firstLineChars="200"/>
        <w:jc w:val="left"/>
        <w:rPr>
          <w:rFonts w:hint="default" w:ascii="Times New Roman" w:hAnsi="Times New Roman" w:cs="Times New Roman"/>
          <w:sz w:val="24"/>
          <w:highlight w:val="none"/>
          <w:lang w:val="en-US" w:eastAsia="zh-CN"/>
        </w:rPr>
      </w:pPr>
      <w:r>
        <w:rPr>
          <w:rFonts w:hint="eastAsia" w:ascii="Times New Roman" w:hAnsi="Times New Roman" w:cs="Times New Roman" w:eastAsiaTheme="minorEastAsia"/>
          <w:sz w:val="24"/>
          <w:highlight w:val="none"/>
          <w:lang w:val="en-US" w:eastAsia="zh-CN"/>
        </w:rPr>
        <w:t>情景设定：</w:t>
      </w:r>
      <w:r>
        <w:rPr>
          <w:rFonts w:hint="eastAsia" w:ascii="Times New Roman" w:hAnsi="Times New Roman"/>
          <w:color w:val="000000"/>
          <w:kern w:val="0"/>
          <w:sz w:val="24"/>
        </w:rPr>
        <w:t>项目非正常状况主要考虑为</w:t>
      </w:r>
      <w:r>
        <w:rPr>
          <w:rFonts w:hint="eastAsia" w:ascii="Times New Roman" w:hAnsi="Times New Roman" w:cs="Times New Roman"/>
          <w:sz w:val="24"/>
          <w:highlight w:val="none"/>
          <w:lang w:val="en-US" w:eastAsia="zh-CN"/>
        </w:rPr>
        <w:t>污水处理池</w:t>
      </w:r>
      <w:r>
        <w:rPr>
          <w:rFonts w:hint="eastAsia" w:ascii="Times New Roman" w:hAnsi="Times New Roman"/>
          <w:color w:val="000000"/>
          <w:kern w:val="0"/>
          <w:sz w:val="24"/>
        </w:rPr>
        <w:t>防渗层破坏，由于</w:t>
      </w:r>
      <w:r>
        <w:rPr>
          <w:rFonts w:hint="eastAsia" w:ascii="Times New Roman" w:hAnsi="Times New Roman" w:cs="Times New Roman"/>
          <w:sz w:val="24"/>
          <w:highlight w:val="none"/>
          <w:lang w:val="en-US" w:eastAsia="zh-CN"/>
        </w:rPr>
        <w:t>污水处理池</w:t>
      </w:r>
      <w:r>
        <w:rPr>
          <w:rFonts w:hint="eastAsia" w:ascii="Times New Roman" w:hAnsi="Times New Roman"/>
          <w:color w:val="000000"/>
          <w:kern w:val="0"/>
          <w:sz w:val="24"/>
        </w:rPr>
        <w:t>为地下设施，一旦出现破损和泄漏难以发现和处理，有可能以渗坑的</w:t>
      </w:r>
      <w:r>
        <w:rPr>
          <w:rFonts w:hint="eastAsia" w:ascii="Times New Roman" w:hAnsi="Times New Roman"/>
          <w:color w:val="000000"/>
          <w:kern w:val="0"/>
          <w:sz w:val="24"/>
          <w:highlight w:val="none"/>
        </w:rPr>
        <w:t>形式持续</w:t>
      </w:r>
      <w:r>
        <w:rPr>
          <w:rFonts w:hint="eastAsia" w:ascii="Times New Roman" w:hAnsi="Times New Roman"/>
          <w:color w:val="000000"/>
          <w:kern w:val="0"/>
          <w:sz w:val="24"/>
          <w:highlight w:val="none"/>
          <w:lang w:eastAsia="zh-CN"/>
        </w:rPr>
        <w:t>泄漏</w:t>
      </w:r>
      <w:r>
        <w:rPr>
          <w:rFonts w:hint="eastAsia" w:ascii="Times New Roman" w:hAnsi="Times New Roman"/>
          <w:color w:val="000000"/>
          <w:kern w:val="0"/>
          <w:sz w:val="24"/>
          <w:highlight w:val="none"/>
        </w:rPr>
        <w:t>和污染地下水，对地下水环境来说，是最有可能的污染源。</w:t>
      </w:r>
    </w:p>
    <w:p w14:paraId="4E0FA39A">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（2）预测时间和范围</w:t>
      </w:r>
    </w:p>
    <w:p w14:paraId="7FA6E346">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根据导则要求，分别预测100d，1000d对地下水环境的影响。预测范围与评价范围一致。</w:t>
      </w:r>
    </w:p>
    <w:p w14:paraId="29A5D1CD">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（3）预测因子和源强</w:t>
      </w:r>
    </w:p>
    <w:p w14:paraId="70244C4F">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根据地下水导则中9.5中关于预测因子的要求，本次评价根据工程分析中的废水污染源强，按照重金属、持久性有机污染物和其他类别进行分类，并对</w:t>
      </w:r>
      <w:r>
        <w:rPr>
          <w:rFonts w:hint="eastAsia" w:ascii="Times New Roman" w:hAnsi="Times New Roman" w:cs="Times New Roman"/>
          <w:sz w:val="24"/>
          <w:highlight w:val="none"/>
          <w:lang w:val="en-US" w:eastAsia="zh-CN"/>
        </w:rPr>
        <w:t>每个</w:t>
      </w:r>
      <w:r>
        <w:rPr>
          <w:rFonts w:hint="default" w:ascii="Times New Roman" w:hAnsi="Times New Roman" w:cs="Times New Roman" w:eastAsiaTheme="minorEastAsia"/>
          <w:sz w:val="24"/>
          <w:highlight w:val="none"/>
          <w:lang w:val="en-US" w:eastAsia="zh-CN"/>
        </w:rPr>
        <w:t>类别中的各项因子采用标准指数法进行排序，分别取标准指数最大的因子作为预测因子。</w:t>
      </w:r>
    </w:p>
    <w:p w14:paraId="5BB0C403">
      <w:pPr>
        <w:pStyle w:val="20"/>
        <w:snapToGrid w:val="0"/>
        <w:ind w:left="0" w:leftChars="0" w:firstLine="480" w:firstLineChars="200"/>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lang w:val="en-US" w:eastAsia="zh-CN"/>
        </w:rPr>
        <w:t>根据标准指数法计算结果</w:t>
      </w: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表5.</w:t>
      </w:r>
      <w:r>
        <w:rPr>
          <w:rFonts w:hint="eastAsia" w:ascii="Times New Roman" w:hAnsi="Times New Roman" w:cs="Times New Roman" w:eastAsiaTheme="minorEastAsia"/>
          <w:color w:val="auto"/>
          <w:lang w:val="en-US" w:eastAsia="zh-CN"/>
        </w:rPr>
        <w:t>5</w:t>
      </w:r>
      <w:r>
        <w:rPr>
          <w:rFonts w:hint="default" w:ascii="Times New Roman" w:hAnsi="Times New Roman" w:cs="Times New Roman" w:eastAsiaTheme="minorEastAsia"/>
          <w:color w:val="auto"/>
          <w:lang w:val="en-US" w:eastAsia="zh-CN"/>
        </w:rPr>
        <w:t>-1</w:t>
      </w: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highlight w:val="none"/>
          <w:lang w:val="en-US" w:eastAsia="zh-CN"/>
        </w:rPr>
        <w:t>，选取对地下水环境质量影响有代表性且污染负荷较大的重金属污染物</w:t>
      </w:r>
      <w:r>
        <w:rPr>
          <w:rFonts w:hint="eastAsia" w:ascii="Times New Roman" w:hAnsi="Times New Roman" w:cs="Times New Roman" w:eastAsiaTheme="minorEastAsia"/>
          <w:color w:val="auto"/>
          <w:highlight w:val="none"/>
          <w:lang w:val="en-US" w:eastAsia="zh-CN"/>
        </w:rPr>
        <w:t>砷（As）</w:t>
      </w:r>
      <w:r>
        <w:rPr>
          <w:rFonts w:hint="default" w:ascii="Times New Roman" w:hAnsi="Times New Roman" w:cs="Times New Roman" w:eastAsiaTheme="minorEastAsia"/>
          <w:color w:val="auto"/>
          <w:highlight w:val="none"/>
          <w:lang w:val="en-US" w:eastAsia="zh-CN"/>
        </w:rPr>
        <w:t>、其他类污染物石油类作为污染因子进行预测。</w:t>
      </w:r>
      <w:r>
        <w:rPr>
          <w:rFonts w:hint="eastAsia" w:ascii="Times New Roman" w:hAnsi="Times New Roman" w:cs="Times New Roman" w:eastAsiaTheme="minorEastAsia"/>
          <w:color w:val="auto"/>
          <w:highlight w:val="none"/>
          <w:lang w:val="en-US" w:eastAsia="zh-CN"/>
        </w:rPr>
        <w:t>As</w:t>
      </w:r>
      <w:r>
        <w:rPr>
          <w:rFonts w:hint="default" w:ascii="Times New Roman" w:hAnsi="Times New Roman" w:cs="Times New Roman" w:eastAsiaTheme="minorEastAsia"/>
          <w:color w:val="auto"/>
          <w:highlight w:val="none"/>
          <w:lang w:val="en-US" w:eastAsia="zh-CN"/>
        </w:rPr>
        <w:t>执行《地下水质量标准》</w:t>
      </w:r>
      <w:r>
        <w:rPr>
          <w:rFonts w:hint="eastAsia" w:ascii="Times New Roman" w:hAnsi="Times New Roman" w:cs="Times New Roman" w:eastAsiaTheme="minorEastAsia"/>
          <w:color w:val="auto"/>
          <w:highlight w:val="none"/>
          <w:lang w:val="en-US" w:eastAsia="zh-CN"/>
        </w:rPr>
        <w:t>（</w:t>
      </w:r>
      <w:r>
        <w:rPr>
          <w:rFonts w:hint="default" w:ascii="Times New Roman" w:hAnsi="Times New Roman" w:cs="Times New Roman" w:eastAsiaTheme="minorEastAsia"/>
          <w:color w:val="auto"/>
          <w:highlight w:val="none"/>
          <w:lang w:val="en-US" w:eastAsia="zh-CN"/>
        </w:rPr>
        <w:t>GB/T14848-2017</w:t>
      </w:r>
      <w:r>
        <w:rPr>
          <w:rFonts w:hint="eastAsia" w:ascii="Times New Roman" w:hAnsi="Times New Roman" w:cs="Times New Roman" w:eastAsiaTheme="minorEastAsia"/>
          <w:color w:val="auto"/>
          <w:highlight w:val="none"/>
          <w:lang w:val="en-US" w:eastAsia="zh-CN"/>
        </w:rPr>
        <w:t>）</w:t>
      </w:r>
      <w:r>
        <w:rPr>
          <w:rFonts w:hint="default" w:ascii="Times New Roman" w:hAnsi="Times New Roman" w:cs="Times New Roman" w:eastAsiaTheme="minorEastAsia"/>
          <w:color w:val="auto"/>
          <w:highlight w:val="none"/>
          <w:lang w:val="en-US" w:eastAsia="zh-CN"/>
        </w:rPr>
        <w:t>Ⅲ类标准，石油类参照《地表水环境质量标准》</w:t>
      </w:r>
      <w:r>
        <w:rPr>
          <w:rFonts w:hint="eastAsia" w:ascii="Times New Roman" w:hAnsi="Times New Roman" w:cs="Times New Roman" w:eastAsiaTheme="minorEastAsia"/>
          <w:color w:val="auto"/>
          <w:highlight w:val="none"/>
          <w:lang w:val="en-US" w:eastAsia="zh-CN"/>
        </w:rPr>
        <w:t>（</w:t>
      </w:r>
      <w:r>
        <w:rPr>
          <w:rFonts w:hint="default" w:ascii="Times New Roman" w:hAnsi="Times New Roman" w:cs="Times New Roman" w:eastAsiaTheme="minorEastAsia"/>
          <w:color w:val="auto"/>
          <w:highlight w:val="none"/>
          <w:lang w:val="en-US" w:eastAsia="zh-CN"/>
        </w:rPr>
        <w:t>GB3838-2002</w:t>
      </w:r>
      <w:r>
        <w:rPr>
          <w:rFonts w:hint="eastAsia" w:ascii="Times New Roman" w:hAnsi="Times New Roman" w:cs="Times New Roman" w:eastAsiaTheme="minorEastAsia"/>
          <w:color w:val="auto"/>
          <w:highlight w:val="none"/>
          <w:lang w:val="en-US" w:eastAsia="zh-CN"/>
        </w:rPr>
        <w:t>）</w:t>
      </w:r>
      <w:r>
        <w:rPr>
          <w:rFonts w:hint="default" w:ascii="Times New Roman" w:hAnsi="Times New Roman" w:cs="Times New Roman" w:eastAsiaTheme="minorEastAsia"/>
          <w:color w:val="auto"/>
          <w:highlight w:val="none"/>
          <w:lang w:val="en-US" w:eastAsia="zh-CN"/>
        </w:rPr>
        <w:t>Ⅲ类，将</w:t>
      </w:r>
      <w:r>
        <w:rPr>
          <w:rFonts w:hint="eastAsia" w:ascii="Times New Roman" w:hAnsi="Times New Roman" w:cs="Times New Roman" w:eastAsiaTheme="minorEastAsia"/>
          <w:color w:val="auto"/>
          <w:highlight w:val="none"/>
          <w:lang w:val="en-US" w:eastAsia="zh-CN"/>
        </w:rPr>
        <w:t>As</w:t>
      </w:r>
      <w:r>
        <w:rPr>
          <w:rFonts w:hint="default" w:ascii="Times New Roman" w:hAnsi="Times New Roman" w:cs="Times New Roman" w:eastAsiaTheme="minorEastAsia"/>
          <w:color w:val="auto"/>
          <w:highlight w:val="none"/>
          <w:lang w:val="en-US" w:eastAsia="zh-CN"/>
        </w:rPr>
        <w:t>&gt;0.01mg/L、石油类&gt;0.05mg/L的浓度定为超标范围，预测在特定时间内污染因子的运移情况，说明污染物的影响程度。</w:t>
      </w:r>
    </w:p>
    <w:p w14:paraId="3706B9FF">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表5.5-1  主要污染因子标准指数统计表</w:t>
      </w:r>
    </w:p>
    <w:tbl>
      <w:tblPr>
        <w:tblStyle w:val="12"/>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2"/>
        <w:gridCol w:w="1325"/>
        <w:gridCol w:w="1921"/>
        <w:gridCol w:w="2134"/>
        <w:gridCol w:w="1810"/>
      </w:tblGrid>
      <w:tr w14:paraId="6CAA4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1554" w:type="pct"/>
            <w:gridSpan w:val="2"/>
            <w:tcBorders>
              <w:top w:val="single" w:color="auto" w:sz="4" w:space="0"/>
              <w:left w:val="single" w:color="auto" w:sz="4" w:space="0"/>
            </w:tcBorders>
            <w:shd w:val="clear" w:color="auto" w:fill="auto"/>
            <w:noWrap w:val="0"/>
            <w:vAlign w:val="center"/>
          </w:tcPr>
          <w:p w14:paraId="0806075D">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污染物</w:t>
            </w:r>
          </w:p>
        </w:tc>
        <w:tc>
          <w:tcPr>
            <w:tcW w:w="1128" w:type="pct"/>
            <w:tcBorders>
              <w:top w:val="single" w:color="auto" w:sz="4" w:space="0"/>
            </w:tcBorders>
            <w:shd w:val="clear" w:color="auto" w:fill="auto"/>
            <w:noWrap w:val="0"/>
            <w:vAlign w:val="center"/>
          </w:tcPr>
          <w:p w14:paraId="457AF28C">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浓度（mg/L）</w:t>
            </w:r>
          </w:p>
        </w:tc>
        <w:tc>
          <w:tcPr>
            <w:tcW w:w="1253" w:type="pct"/>
            <w:tcBorders>
              <w:top w:val="single" w:color="auto" w:sz="4" w:space="0"/>
            </w:tcBorders>
            <w:shd w:val="clear" w:color="auto" w:fill="auto"/>
            <w:noWrap w:val="0"/>
            <w:vAlign w:val="center"/>
          </w:tcPr>
          <w:p w14:paraId="1E97214B">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标准限值（mg/L）</w:t>
            </w:r>
          </w:p>
        </w:tc>
        <w:tc>
          <w:tcPr>
            <w:tcW w:w="1063" w:type="pct"/>
            <w:tcBorders>
              <w:top w:val="single" w:color="auto" w:sz="4" w:space="0"/>
              <w:right w:val="single" w:color="auto" w:sz="4" w:space="0"/>
            </w:tcBorders>
            <w:shd w:val="clear" w:color="auto" w:fill="auto"/>
            <w:noWrap w:val="0"/>
            <w:vAlign w:val="center"/>
          </w:tcPr>
          <w:p w14:paraId="0550DE73">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标准指数</w:t>
            </w:r>
          </w:p>
        </w:tc>
      </w:tr>
      <w:tr w14:paraId="07696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776" w:type="pct"/>
            <w:vMerge w:val="restart"/>
            <w:tcBorders>
              <w:left w:val="single" w:color="auto" w:sz="4" w:space="0"/>
            </w:tcBorders>
            <w:shd w:val="clear" w:color="auto" w:fill="auto"/>
            <w:noWrap w:val="0"/>
            <w:vAlign w:val="center"/>
          </w:tcPr>
          <w:p w14:paraId="43E572E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其他污染物</w:t>
            </w:r>
          </w:p>
        </w:tc>
        <w:tc>
          <w:tcPr>
            <w:tcW w:w="778" w:type="pct"/>
            <w:tcBorders>
              <w:left w:val="single" w:color="auto" w:sz="4" w:space="0"/>
            </w:tcBorders>
            <w:shd w:val="clear" w:color="auto" w:fill="auto"/>
            <w:noWrap w:val="0"/>
            <w:vAlign w:val="center"/>
          </w:tcPr>
          <w:p w14:paraId="15BC7CA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bookmarkStart w:id="237" w:name="OLE_LINK789"/>
            <w:r>
              <w:rPr>
                <w:rFonts w:hint="eastAsia" w:ascii="Times New Roman" w:hAnsi="Times New Roman" w:cs="Times New Roman" w:eastAsiaTheme="minorEastAsia"/>
                <w:szCs w:val="21"/>
                <w:highlight w:val="none"/>
                <w:lang w:val="en-US" w:eastAsia="zh-CN"/>
              </w:rPr>
              <w:t>COD</w:t>
            </w:r>
            <w:bookmarkEnd w:id="237"/>
          </w:p>
        </w:tc>
        <w:tc>
          <w:tcPr>
            <w:tcW w:w="1128" w:type="pct"/>
            <w:shd w:val="clear" w:color="auto" w:fill="auto"/>
            <w:noWrap w:val="0"/>
            <w:vAlign w:val="center"/>
          </w:tcPr>
          <w:p w14:paraId="01BEFAD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400</w:t>
            </w:r>
          </w:p>
        </w:tc>
        <w:tc>
          <w:tcPr>
            <w:tcW w:w="1253" w:type="pct"/>
            <w:noWrap w:val="0"/>
            <w:vAlign w:val="center"/>
          </w:tcPr>
          <w:p w14:paraId="0BAC15C5">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3</w:t>
            </w:r>
          </w:p>
        </w:tc>
        <w:tc>
          <w:tcPr>
            <w:tcW w:w="1063" w:type="pct"/>
            <w:tcBorders>
              <w:right w:val="single" w:color="auto" w:sz="4" w:space="0"/>
            </w:tcBorders>
            <w:shd w:val="clear" w:color="auto" w:fill="auto"/>
            <w:noWrap w:val="0"/>
            <w:vAlign w:val="top"/>
          </w:tcPr>
          <w:p w14:paraId="7BF7CA4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133.33</w:t>
            </w:r>
          </w:p>
        </w:tc>
      </w:tr>
      <w:tr w14:paraId="5BCA5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776" w:type="pct"/>
            <w:vMerge w:val="continue"/>
            <w:tcBorders>
              <w:left w:val="single" w:color="auto" w:sz="4" w:space="0"/>
            </w:tcBorders>
            <w:shd w:val="clear" w:color="auto" w:fill="auto"/>
            <w:noWrap w:val="0"/>
            <w:vAlign w:val="center"/>
          </w:tcPr>
          <w:p w14:paraId="2911DAC6">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778" w:type="pct"/>
            <w:tcBorders>
              <w:left w:val="single" w:color="auto" w:sz="4" w:space="0"/>
            </w:tcBorders>
            <w:shd w:val="clear" w:color="auto" w:fill="auto"/>
            <w:noWrap w:val="0"/>
            <w:vAlign w:val="center"/>
          </w:tcPr>
          <w:p w14:paraId="750D4907">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氨氮</w:t>
            </w:r>
          </w:p>
        </w:tc>
        <w:tc>
          <w:tcPr>
            <w:tcW w:w="1128" w:type="pct"/>
            <w:shd w:val="clear" w:color="auto" w:fill="auto"/>
            <w:noWrap w:val="0"/>
            <w:vAlign w:val="center"/>
          </w:tcPr>
          <w:p w14:paraId="77E07E1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200</w:t>
            </w:r>
          </w:p>
        </w:tc>
        <w:tc>
          <w:tcPr>
            <w:tcW w:w="1253" w:type="pct"/>
            <w:noWrap w:val="0"/>
            <w:vAlign w:val="center"/>
          </w:tcPr>
          <w:p w14:paraId="00F62C34">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0.5</w:t>
            </w:r>
          </w:p>
        </w:tc>
        <w:tc>
          <w:tcPr>
            <w:tcW w:w="1063" w:type="pct"/>
            <w:tcBorders>
              <w:right w:val="single" w:color="auto" w:sz="4" w:space="0"/>
            </w:tcBorders>
            <w:shd w:val="clear" w:color="auto" w:fill="auto"/>
            <w:noWrap w:val="0"/>
            <w:vAlign w:val="top"/>
          </w:tcPr>
          <w:p w14:paraId="441DD00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400</w:t>
            </w:r>
          </w:p>
        </w:tc>
      </w:tr>
      <w:tr w14:paraId="4B628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776" w:type="pct"/>
            <w:vMerge w:val="continue"/>
            <w:tcBorders>
              <w:left w:val="single" w:color="auto" w:sz="4" w:space="0"/>
            </w:tcBorders>
            <w:shd w:val="clear" w:color="auto" w:fill="auto"/>
            <w:noWrap w:val="0"/>
            <w:vAlign w:val="center"/>
          </w:tcPr>
          <w:p w14:paraId="0B172980">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778" w:type="pct"/>
            <w:tcBorders>
              <w:left w:val="single" w:color="auto" w:sz="4" w:space="0"/>
            </w:tcBorders>
            <w:shd w:val="clear" w:color="auto" w:fill="F1F1F1" w:themeFill="background1" w:themeFillShade="F2"/>
            <w:noWrap w:val="0"/>
            <w:vAlign w:val="center"/>
          </w:tcPr>
          <w:p w14:paraId="094680BE">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石油类</w:t>
            </w:r>
          </w:p>
        </w:tc>
        <w:tc>
          <w:tcPr>
            <w:tcW w:w="1128" w:type="pct"/>
            <w:shd w:val="clear" w:color="auto" w:fill="F1F1F1" w:themeFill="background1" w:themeFillShade="F2"/>
            <w:noWrap w:val="0"/>
            <w:vAlign w:val="center"/>
          </w:tcPr>
          <w:p w14:paraId="0507ACC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49</w:t>
            </w:r>
          </w:p>
        </w:tc>
        <w:tc>
          <w:tcPr>
            <w:tcW w:w="1253" w:type="pct"/>
            <w:shd w:val="clear" w:color="auto" w:fill="F1F1F1" w:themeFill="background1" w:themeFillShade="F2"/>
            <w:noWrap w:val="0"/>
            <w:vAlign w:val="center"/>
          </w:tcPr>
          <w:p w14:paraId="30E008A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0.05</w:t>
            </w:r>
          </w:p>
        </w:tc>
        <w:tc>
          <w:tcPr>
            <w:tcW w:w="1063" w:type="pct"/>
            <w:tcBorders>
              <w:right w:val="single" w:color="auto" w:sz="4" w:space="0"/>
            </w:tcBorders>
            <w:shd w:val="clear" w:color="auto" w:fill="F1F1F1" w:themeFill="background1" w:themeFillShade="F2"/>
            <w:noWrap w:val="0"/>
            <w:vAlign w:val="top"/>
          </w:tcPr>
          <w:p w14:paraId="34F1E0B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980</w:t>
            </w:r>
          </w:p>
        </w:tc>
      </w:tr>
      <w:tr w14:paraId="2EFD6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776" w:type="pct"/>
            <w:vMerge w:val="restart"/>
            <w:tcBorders>
              <w:left w:val="single" w:color="auto" w:sz="4" w:space="0"/>
            </w:tcBorders>
            <w:shd w:val="clear" w:color="auto" w:fill="auto"/>
            <w:noWrap w:val="0"/>
            <w:vAlign w:val="center"/>
          </w:tcPr>
          <w:p w14:paraId="23492A91">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重金属</w:t>
            </w:r>
          </w:p>
        </w:tc>
        <w:tc>
          <w:tcPr>
            <w:tcW w:w="778" w:type="pct"/>
            <w:tcBorders>
              <w:left w:val="single" w:color="auto" w:sz="4" w:space="0"/>
            </w:tcBorders>
            <w:shd w:val="clear" w:color="auto" w:fill="auto"/>
            <w:noWrap w:val="0"/>
            <w:vAlign w:val="center"/>
          </w:tcPr>
          <w:p w14:paraId="66570810">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Hg</w:t>
            </w:r>
          </w:p>
        </w:tc>
        <w:tc>
          <w:tcPr>
            <w:tcW w:w="1128" w:type="pct"/>
            <w:shd w:val="clear" w:color="auto" w:fill="auto"/>
            <w:noWrap w:val="0"/>
            <w:vAlign w:val="center"/>
          </w:tcPr>
          <w:p w14:paraId="5DD8F3C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0.004</w:t>
            </w:r>
          </w:p>
        </w:tc>
        <w:tc>
          <w:tcPr>
            <w:tcW w:w="1253" w:type="pct"/>
            <w:noWrap w:val="0"/>
            <w:vAlign w:val="center"/>
          </w:tcPr>
          <w:p w14:paraId="2F8085B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0.001</w:t>
            </w:r>
          </w:p>
        </w:tc>
        <w:tc>
          <w:tcPr>
            <w:tcW w:w="1063" w:type="pct"/>
            <w:tcBorders>
              <w:right w:val="single" w:color="auto" w:sz="4" w:space="0"/>
            </w:tcBorders>
            <w:shd w:val="clear" w:color="auto" w:fill="auto"/>
            <w:noWrap w:val="0"/>
            <w:vAlign w:val="top"/>
          </w:tcPr>
          <w:p w14:paraId="7BF48A1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4</w:t>
            </w:r>
          </w:p>
        </w:tc>
      </w:tr>
      <w:tr w14:paraId="051F0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776" w:type="pct"/>
            <w:vMerge w:val="continue"/>
            <w:tcBorders>
              <w:left w:val="single" w:color="auto" w:sz="4" w:space="0"/>
            </w:tcBorders>
            <w:shd w:val="clear" w:color="auto" w:fill="auto"/>
            <w:noWrap w:val="0"/>
            <w:vAlign w:val="center"/>
          </w:tcPr>
          <w:p w14:paraId="0711D82F">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778" w:type="pct"/>
            <w:tcBorders>
              <w:left w:val="single" w:color="auto" w:sz="4" w:space="0"/>
            </w:tcBorders>
            <w:shd w:val="clear" w:color="auto" w:fill="auto"/>
            <w:noWrap w:val="0"/>
            <w:vAlign w:val="center"/>
          </w:tcPr>
          <w:p w14:paraId="40C2C2B8">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Cd</w:t>
            </w:r>
          </w:p>
        </w:tc>
        <w:tc>
          <w:tcPr>
            <w:tcW w:w="1128" w:type="pct"/>
            <w:shd w:val="clear" w:color="auto" w:fill="auto"/>
            <w:noWrap w:val="0"/>
            <w:vAlign w:val="center"/>
          </w:tcPr>
          <w:p w14:paraId="238C2D5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lang w:val="en-US" w:eastAsia="zh-CN"/>
              </w:rPr>
              <w:t>0.015</w:t>
            </w:r>
          </w:p>
        </w:tc>
        <w:tc>
          <w:tcPr>
            <w:tcW w:w="1253" w:type="pct"/>
            <w:noWrap w:val="0"/>
            <w:vAlign w:val="center"/>
          </w:tcPr>
          <w:p w14:paraId="4003F76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0.005</w:t>
            </w:r>
          </w:p>
        </w:tc>
        <w:tc>
          <w:tcPr>
            <w:tcW w:w="1063" w:type="pct"/>
            <w:tcBorders>
              <w:right w:val="single" w:color="auto" w:sz="4" w:space="0"/>
            </w:tcBorders>
            <w:shd w:val="clear" w:color="auto" w:fill="auto"/>
            <w:noWrap w:val="0"/>
            <w:vAlign w:val="top"/>
          </w:tcPr>
          <w:p w14:paraId="4D9E84D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3</w:t>
            </w:r>
          </w:p>
        </w:tc>
      </w:tr>
      <w:tr w14:paraId="26E62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776" w:type="pct"/>
            <w:vMerge w:val="continue"/>
            <w:tcBorders>
              <w:left w:val="single" w:color="auto" w:sz="4" w:space="0"/>
            </w:tcBorders>
            <w:shd w:val="clear" w:color="auto" w:fill="auto"/>
            <w:noWrap w:val="0"/>
            <w:vAlign w:val="center"/>
          </w:tcPr>
          <w:p w14:paraId="2655F190">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778" w:type="pct"/>
            <w:tcBorders>
              <w:left w:val="single" w:color="auto" w:sz="4" w:space="0"/>
            </w:tcBorders>
            <w:shd w:val="clear" w:color="auto" w:fill="auto"/>
            <w:noWrap w:val="0"/>
            <w:vAlign w:val="center"/>
          </w:tcPr>
          <w:p w14:paraId="04120027">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Pb</w:t>
            </w:r>
          </w:p>
        </w:tc>
        <w:tc>
          <w:tcPr>
            <w:tcW w:w="1128" w:type="pct"/>
            <w:shd w:val="clear" w:color="auto" w:fill="auto"/>
            <w:noWrap w:val="0"/>
            <w:vAlign w:val="center"/>
          </w:tcPr>
          <w:p w14:paraId="3BE2535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lang w:val="en-US" w:eastAsia="zh-CN"/>
              </w:rPr>
              <w:t>0.061</w:t>
            </w:r>
          </w:p>
        </w:tc>
        <w:tc>
          <w:tcPr>
            <w:tcW w:w="1253" w:type="pct"/>
            <w:shd w:val="clear" w:color="auto" w:fill="auto"/>
            <w:noWrap w:val="0"/>
            <w:vAlign w:val="center"/>
          </w:tcPr>
          <w:p w14:paraId="1F437CD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0.01</w:t>
            </w:r>
          </w:p>
        </w:tc>
        <w:tc>
          <w:tcPr>
            <w:tcW w:w="1063" w:type="pct"/>
            <w:tcBorders>
              <w:right w:val="single" w:color="auto" w:sz="4" w:space="0"/>
            </w:tcBorders>
            <w:shd w:val="clear" w:color="auto" w:fill="auto"/>
            <w:noWrap w:val="0"/>
            <w:vAlign w:val="top"/>
          </w:tcPr>
          <w:p w14:paraId="5EDD9E5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6.1</w:t>
            </w:r>
          </w:p>
        </w:tc>
      </w:tr>
      <w:tr w14:paraId="7B9D1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776" w:type="pct"/>
            <w:vMerge w:val="continue"/>
            <w:tcBorders>
              <w:left w:val="single" w:color="auto" w:sz="4" w:space="0"/>
            </w:tcBorders>
            <w:shd w:val="clear" w:color="auto" w:fill="auto"/>
            <w:noWrap w:val="0"/>
            <w:vAlign w:val="center"/>
          </w:tcPr>
          <w:p w14:paraId="3FD804A2">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778" w:type="pct"/>
            <w:tcBorders>
              <w:left w:val="single" w:color="auto" w:sz="4" w:space="0"/>
            </w:tcBorders>
            <w:shd w:val="clear" w:color="auto" w:fill="E7E6E6" w:themeFill="background2"/>
            <w:noWrap w:val="0"/>
            <w:vAlign w:val="center"/>
          </w:tcPr>
          <w:p w14:paraId="65ABF174">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As</w:t>
            </w:r>
          </w:p>
        </w:tc>
        <w:tc>
          <w:tcPr>
            <w:tcW w:w="1128" w:type="pct"/>
            <w:shd w:val="clear" w:color="auto" w:fill="E7E6E6" w:themeFill="background2"/>
            <w:noWrap w:val="0"/>
            <w:vAlign w:val="center"/>
          </w:tcPr>
          <w:p w14:paraId="3999CA5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lang w:val="en-US" w:eastAsia="zh-CN"/>
              </w:rPr>
              <w:t>0.076</w:t>
            </w:r>
          </w:p>
        </w:tc>
        <w:tc>
          <w:tcPr>
            <w:tcW w:w="1253" w:type="pct"/>
            <w:shd w:val="clear" w:color="auto" w:fill="E7E6E6" w:themeFill="background2"/>
            <w:noWrap w:val="0"/>
            <w:vAlign w:val="center"/>
          </w:tcPr>
          <w:p w14:paraId="6686DE8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0.01</w:t>
            </w:r>
          </w:p>
        </w:tc>
        <w:tc>
          <w:tcPr>
            <w:tcW w:w="1063" w:type="pct"/>
            <w:tcBorders>
              <w:right w:val="single" w:color="auto" w:sz="4" w:space="0"/>
            </w:tcBorders>
            <w:shd w:val="clear" w:color="auto" w:fill="E7E6E6" w:themeFill="background2"/>
            <w:noWrap w:val="0"/>
            <w:vAlign w:val="top"/>
          </w:tcPr>
          <w:p w14:paraId="4BB62F8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7.6</w:t>
            </w:r>
          </w:p>
        </w:tc>
      </w:tr>
      <w:tr w14:paraId="6965A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776" w:type="pct"/>
            <w:vMerge w:val="continue"/>
            <w:tcBorders>
              <w:left w:val="single" w:color="auto" w:sz="4" w:space="0"/>
            </w:tcBorders>
            <w:shd w:val="clear" w:color="auto" w:fill="auto"/>
            <w:noWrap w:val="0"/>
            <w:vAlign w:val="center"/>
          </w:tcPr>
          <w:p w14:paraId="51F4FF7B">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c>
          <w:tcPr>
            <w:tcW w:w="778" w:type="pct"/>
            <w:tcBorders>
              <w:left w:val="single" w:color="auto" w:sz="4" w:space="0"/>
            </w:tcBorders>
            <w:shd w:val="clear" w:color="auto" w:fill="auto"/>
            <w:noWrap w:val="0"/>
            <w:vAlign w:val="center"/>
          </w:tcPr>
          <w:p w14:paraId="7EA0A6F1">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Cr</w:t>
            </w:r>
          </w:p>
        </w:tc>
        <w:tc>
          <w:tcPr>
            <w:tcW w:w="1128" w:type="pct"/>
            <w:shd w:val="clear" w:color="auto" w:fill="auto"/>
            <w:noWrap w:val="0"/>
            <w:vAlign w:val="center"/>
          </w:tcPr>
          <w:p w14:paraId="762A1B1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lang w:val="en-US" w:eastAsia="zh-CN"/>
              </w:rPr>
              <w:t>0.015</w:t>
            </w:r>
          </w:p>
        </w:tc>
        <w:tc>
          <w:tcPr>
            <w:tcW w:w="1253" w:type="pct"/>
            <w:noWrap w:val="0"/>
            <w:vAlign w:val="center"/>
          </w:tcPr>
          <w:p w14:paraId="27565A4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0.05</w:t>
            </w:r>
          </w:p>
        </w:tc>
        <w:tc>
          <w:tcPr>
            <w:tcW w:w="1063" w:type="pct"/>
            <w:tcBorders>
              <w:right w:val="single" w:color="auto" w:sz="4" w:space="0"/>
            </w:tcBorders>
            <w:shd w:val="clear" w:color="auto" w:fill="auto"/>
            <w:noWrap w:val="0"/>
            <w:vAlign w:val="top"/>
          </w:tcPr>
          <w:p w14:paraId="0D6D56A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3</w:t>
            </w:r>
          </w:p>
        </w:tc>
      </w:tr>
    </w:tbl>
    <w:p w14:paraId="3DA9CA95">
      <w:pPr>
        <w:adjustRightInd w:val="0"/>
        <w:snapToGrid w:val="0"/>
        <w:spacing w:line="500" w:lineRule="exact"/>
        <w:ind w:firstLine="360" w:firstLineChars="200"/>
        <w:jc w:val="left"/>
        <w:rPr>
          <w:rFonts w:hint="eastAsia" w:ascii="Times New Roman" w:hAnsi="Times New Roman" w:cs="Times New Roman" w:eastAsiaTheme="minorEastAsia"/>
          <w:sz w:val="18"/>
          <w:szCs w:val="18"/>
          <w:highlight w:val="none"/>
          <w:lang w:val="en-US" w:eastAsia="zh-CN"/>
        </w:rPr>
      </w:pPr>
      <w:r>
        <w:rPr>
          <w:rFonts w:hint="eastAsia" w:ascii="Times New Roman" w:hAnsi="Times New Roman" w:cs="Times New Roman" w:eastAsiaTheme="minorEastAsia"/>
          <w:sz w:val="18"/>
          <w:szCs w:val="18"/>
          <w:highlight w:val="none"/>
          <w:lang w:val="en-US" w:eastAsia="zh-CN"/>
        </w:rPr>
        <w:t>备注：1 刘巍《BOD、COD与高锰酸盐指数的理论内涵及倍率关系研究》一文中指出Ⅲ类水COD为高锰酸钾指数的3.3倍。根据集水池中COD为400mg/L，则CODMn根据COD浓度换算为121mg/L</w:t>
      </w:r>
      <w:r>
        <w:rPr>
          <w:rFonts w:hint="eastAsia" w:ascii="Times New Roman" w:hAnsi="Times New Roman" w:cs="Times New Roman"/>
          <w:sz w:val="18"/>
          <w:szCs w:val="18"/>
          <w:highlight w:val="none"/>
          <w:lang w:val="en-US" w:eastAsia="zh-CN"/>
        </w:rPr>
        <w:t>。</w:t>
      </w:r>
    </w:p>
    <w:p w14:paraId="62F66E94">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（4）预测方法</w:t>
      </w:r>
    </w:p>
    <w:p w14:paraId="7E958A48">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根据评价区水文地质情况和解析解的适用条件，将该模型的水文地质条件概化为：各含水层之间无水力联系或水力联系较弱，各含水层厚度均一，水平方向为均质各向同性，含水层水平均匀展布，向四周无限延伸。</w:t>
      </w:r>
    </w:p>
    <w:p w14:paraId="6384DC84">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（5）源强的确定</w:t>
      </w:r>
    </w:p>
    <w:p w14:paraId="2F553A13">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根据</w:t>
      </w:r>
      <w:r>
        <w:rPr>
          <w:rFonts w:hint="default" w:ascii="Times New Roman" w:hAnsi="Times New Roman" w:cs="Times New Roman" w:eastAsiaTheme="minorEastAsia"/>
          <w:sz w:val="24"/>
          <w:lang w:val="en-US" w:eastAsia="zh-CN"/>
        </w:rPr>
        <w:t>设计，</w:t>
      </w:r>
      <w:r>
        <w:rPr>
          <w:rFonts w:hint="eastAsia" w:ascii="Times New Roman" w:hAnsi="Times New Roman" w:cs="Times New Roman" w:eastAsiaTheme="minorEastAsia"/>
          <w:sz w:val="24"/>
          <w:lang w:val="en-US" w:eastAsia="zh-CN"/>
        </w:rPr>
        <w:t>污水处理池为地下式钢筋混凝土池体，</w:t>
      </w:r>
      <w:r>
        <w:rPr>
          <w:rFonts w:hint="default" w:ascii="Times New Roman" w:hAnsi="Times New Roman" w:cs="Times New Roman" w:eastAsiaTheme="minorEastAsia"/>
          <w:sz w:val="24"/>
          <w:lang w:val="en-US" w:eastAsia="zh-CN"/>
        </w:rPr>
        <w:t>尺寸</w:t>
      </w:r>
      <w:r>
        <w:rPr>
          <w:rFonts w:hint="eastAsia" w:ascii="Times New Roman" w:hAnsi="Times New Roman" w:cs="Times New Roman" w:eastAsiaTheme="minorEastAsia"/>
          <w:sz w:val="24"/>
          <w:lang w:val="en-US" w:eastAsia="zh-CN"/>
        </w:rPr>
        <w:t>3.5</w:t>
      </w:r>
      <w:r>
        <w:rPr>
          <w:rFonts w:hint="default" w:ascii="Times New Roman" w:hAnsi="Times New Roman" w:cs="Times New Roman" w:eastAsiaTheme="minorEastAsia"/>
          <w:sz w:val="24"/>
          <w:lang w:val="en-US" w:eastAsia="zh-CN"/>
        </w:rPr>
        <w:t>m×</w:t>
      </w:r>
      <w:r>
        <w:rPr>
          <w:rFonts w:hint="eastAsia" w:ascii="Times New Roman" w:hAnsi="Times New Roman" w:cs="Times New Roman" w:eastAsiaTheme="minorEastAsia"/>
          <w:sz w:val="24"/>
          <w:lang w:val="en-US" w:eastAsia="zh-CN"/>
        </w:rPr>
        <w:t>2.0</w:t>
      </w:r>
      <w:r>
        <w:rPr>
          <w:rFonts w:hint="default" w:ascii="Times New Roman" w:hAnsi="Times New Roman" w:cs="Times New Roman" w:eastAsiaTheme="minorEastAsia"/>
          <w:sz w:val="24"/>
          <w:lang w:val="en-US" w:eastAsia="zh-CN"/>
        </w:rPr>
        <w:t>m×</w:t>
      </w:r>
      <w:r>
        <w:rPr>
          <w:rFonts w:hint="eastAsia" w:ascii="Times New Roman" w:hAnsi="Times New Roman" w:cs="Times New Roman" w:eastAsiaTheme="minorEastAsia"/>
          <w:sz w:val="24"/>
          <w:lang w:val="en-US" w:eastAsia="zh-CN"/>
        </w:rPr>
        <w:t>2.8</w:t>
      </w:r>
      <w:r>
        <w:rPr>
          <w:rFonts w:hint="default" w:ascii="Times New Roman" w:hAnsi="Times New Roman" w:cs="Times New Roman" w:eastAsiaTheme="minorEastAsia"/>
          <w:sz w:val="24"/>
          <w:lang w:val="en-US" w:eastAsia="zh-CN"/>
        </w:rPr>
        <w:t>m，</w:t>
      </w:r>
      <w:r>
        <w:rPr>
          <w:rFonts w:hint="eastAsia" w:ascii="Times New Roman" w:hAnsi="Times New Roman" w:cs="Times New Roman" w:eastAsiaTheme="minorEastAsia"/>
          <w:sz w:val="24"/>
          <w:lang w:val="en-US" w:eastAsia="zh-CN"/>
        </w:rPr>
        <w:t>按池体最大浸湿面积19.6m</w:t>
      </w:r>
      <w:r>
        <w:rPr>
          <w:rFonts w:hint="eastAsia" w:ascii="Times New Roman" w:hAnsi="Times New Roman" w:cs="Times New Roman" w:eastAsiaTheme="minorEastAsia"/>
          <w:sz w:val="24"/>
          <w:vertAlign w:val="superscript"/>
          <w:lang w:val="en-US" w:eastAsia="zh-CN"/>
        </w:rPr>
        <w:t>2</w:t>
      </w:r>
      <w:r>
        <w:rPr>
          <w:rFonts w:hint="eastAsia" w:ascii="Times New Roman" w:hAnsi="Times New Roman" w:cs="Times New Roman" w:eastAsiaTheme="minorEastAsia"/>
          <w:sz w:val="24"/>
          <w:lang w:val="en-US" w:eastAsia="zh-CN"/>
        </w:rPr>
        <w:t>算。根据《地下工程防水技术规范》中二级防水标准，任意100m</w:t>
      </w:r>
      <w:r>
        <w:rPr>
          <w:rFonts w:hint="eastAsia" w:ascii="Times New Roman" w:hAnsi="Times New Roman" w:cs="Times New Roman" w:eastAsiaTheme="minorEastAsia"/>
          <w:sz w:val="24"/>
          <w:vertAlign w:val="superscript"/>
          <w:lang w:val="en-US" w:eastAsia="zh-CN"/>
        </w:rPr>
        <w:t>2</w:t>
      </w:r>
      <w:r>
        <w:rPr>
          <w:rFonts w:hint="eastAsia" w:ascii="Times New Roman" w:hAnsi="Times New Roman" w:cs="Times New Roman" w:eastAsiaTheme="minorEastAsia"/>
          <w:sz w:val="24"/>
          <w:lang w:val="en-US" w:eastAsia="zh-CN"/>
        </w:rPr>
        <w:t>防水面积上的湿渍不超过2处，单个湿渍的最大面积不大于0.1m</w:t>
      </w:r>
      <w:r>
        <w:rPr>
          <w:rFonts w:hint="eastAsia" w:ascii="Times New Roman" w:hAnsi="Times New Roman" w:cs="Times New Roman" w:eastAsiaTheme="minorEastAsia"/>
          <w:sz w:val="24"/>
          <w:vertAlign w:val="superscript"/>
          <w:lang w:val="en-US" w:eastAsia="zh-CN"/>
        </w:rPr>
        <w:t>2</w:t>
      </w:r>
      <w:r>
        <w:rPr>
          <w:rFonts w:hint="eastAsia" w:ascii="Times New Roman" w:hAnsi="Times New Roman" w:cs="Times New Roman" w:eastAsiaTheme="minorEastAsia"/>
          <w:sz w:val="24"/>
          <w:lang w:val="en-US" w:eastAsia="zh-CN"/>
        </w:rPr>
        <w:t>，单个漏水点最大漏水量按2L/d计，</w:t>
      </w:r>
      <w:r>
        <w:rPr>
          <w:rFonts w:hint="default" w:ascii="Times New Roman" w:hAnsi="Times New Roman" w:cs="Times New Roman" w:eastAsiaTheme="minorEastAsia"/>
          <w:sz w:val="24"/>
          <w:lang w:val="en-US" w:eastAsia="zh-CN"/>
        </w:rPr>
        <w:t>在非正常状况下</w:t>
      </w:r>
      <w:r>
        <w:rPr>
          <w:rFonts w:hint="eastAsia" w:ascii="Times New Roman" w:hAnsi="Times New Roman" w:cs="Times New Roman" w:eastAsiaTheme="minorEastAsia"/>
          <w:sz w:val="24"/>
          <w:lang w:val="en-US" w:eastAsia="zh-CN"/>
        </w:rPr>
        <w:t>废水泄漏量为</w:t>
      </w:r>
      <w:r>
        <w:rPr>
          <w:rFonts w:hint="default" w:ascii="Times New Roman" w:hAnsi="Times New Roman" w:cs="Times New Roman" w:eastAsiaTheme="minorEastAsia"/>
          <w:sz w:val="24"/>
          <w:lang w:val="en-US" w:eastAsia="zh-CN"/>
        </w:rPr>
        <w:t>正常值的10倍，则</w:t>
      </w:r>
      <w:r>
        <w:rPr>
          <w:rFonts w:hint="eastAsia" w:ascii="Times New Roman" w:hAnsi="Times New Roman" w:cs="Times New Roman" w:eastAsiaTheme="minorEastAsia"/>
          <w:sz w:val="24"/>
          <w:lang w:val="en-US" w:eastAsia="zh-CN"/>
        </w:rPr>
        <w:t>项目污水处理池</w:t>
      </w:r>
      <w:r>
        <w:rPr>
          <w:rFonts w:hint="default" w:ascii="Times New Roman" w:hAnsi="Times New Roman" w:cs="Times New Roman" w:eastAsiaTheme="minorEastAsia"/>
          <w:sz w:val="24"/>
          <w:lang w:val="en-US" w:eastAsia="zh-CN"/>
        </w:rPr>
        <w:t>防渗层破损</w:t>
      </w:r>
      <w:r>
        <w:rPr>
          <w:rFonts w:hint="eastAsia" w:ascii="Times New Roman" w:hAnsi="Times New Roman" w:cs="Times New Roman" w:eastAsiaTheme="minorEastAsia"/>
          <w:sz w:val="24"/>
          <w:lang w:val="en-US" w:eastAsia="zh-CN"/>
        </w:rPr>
        <w:t>时</w:t>
      </w:r>
      <w:r>
        <w:rPr>
          <w:rFonts w:hint="default" w:ascii="Times New Roman" w:hAnsi="Times New Roman" w:cs="Times New Roman" w:eastAsiaTheme="minorEastAsia"/>
          <w:sz w:val="24"/>
          <w:lang w:val="en-US" w:eastAsia="zh-CN"/>
        </w:rPr>
        <w:t>泄漏量为</w:t>
      </w:r>
      <w:r>
        <w:rPr>
          <w:rFonts w:hint="eastAsia" w:ascii="Times New Roman" w:hAnsi="Times New Roman" w:cs="Times New Roman" w:eastAsiaTheme="minorEastAsia"/>
          <w:sz w:val="24"/>
          <w:lang w:val="en-US" w:eastAsia="zh-CN"/>
        </w:rPr>
        <w:t>40</w:t>
      </w:r>
      <w:r>
        <w:rPr>
          <w:rFonts w:hint="default" w:ascii="Times New Roman" w:hAnsi="Times New Roman" w:cs="Times New Roman" w:eastAsiaTheme="minorEastAsia"/>
          <w:sz w:val="24"/>
          <w:lang w:val="en-US" w:eastAsia="zh-CN"/>
        </w:rPr>
        <w:t>L/d</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根据《工业企业土壤和地下水自行监测技术指南（试行）》（HJ1209-2021），本次环评要求每季度对污水池进行一次防渗检漏监测</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假设泄漏90天后，例行检查时发现异常，采取措施，停止源强泄漏，</w:t>
      </w:r>
      <w:r>
        <w:rPr>
          <w:rFonts w:hint="eastAsia" w:ascii="Times New Roman" w:hAnsi="Times New Roman" w:cs="Times New Roman" w:eastAsiaTheme="minorEastAsia"/>
          <w:sz w:val="24"/>
          <w:lang w:val="en-US" w:eastAsia="zh-CN"/>
        </w:rPr>
        <w:t>那么废水泄漏量共计3.6m</w:t>
      </w:r>
      <w:r>
        <w:rPr>
          <w:rFonts w:hint="eastAsia" w:ascii="Times New Roman" w:hAnsi="Times New Roman" w:cs="Times New Roman" w:eastAsiaTheme="minorEastAsia"/>
          <w:sz w:val="24"/>
          <w:vertAlign w:val="superscript"/>
          <w:lang w:val="en-US" w:eastAsia="zh-CN"/>
        </w:rPr>
        <w:t>3</w:t>
      </w:r>
      <w:r>
        <w:rPr>
          <w:rFonts w:hint="eastAsia" w:ascii="Times New Roman" w:hAnsi="Times New Roman" w:cs="Times New Roman" w:eastAsiaTheme="minorEastAsia"/>
          <w:sz w:val="24"/>
          <w:lang w:val="en-US" w:eastAsia="zh-CN"/>
        </w:rPr>
        <w:t>，其中</w:t>
      </w:r>
      <w:bookmarkStart w:id="238" w:name="OLE_LINK795"/>
      <w:r>
        <w:rPr>
          <w:rFonts w:hint="eastAsia" w:ascii="Times New Roman" w:hAnsi="Times New Roman" w:cs="Times New Roman" w:eastAsiaTheme="minorEastAsia"/>
          <w:sz w:val="24"/>
          <w:lang w:val="en-US" w:eastAsia="zh-CN"/>
        </w:rPr>
        <w:t>石油类泄漏总量为</w:t>
      </w:r>
      <w:bookmarkEnd w:id="238"/>
      <w:bookmarkStart w:id="239" w:name="OLE_LINK797"/>
      <w:r>
        <w:rPr>
          <w:rFonts w:hint="eastAsia" w:ascii="Times New Roman" w:hAnsi="Times New Roman" w:cs="Times New Roman" w:eastAsiaTheme="minorEastAsia"/>
          <w:sz w:val="24"/>
          <w:lang w:val="en-US" w:eastAsia="zh-CN"/>
        </w:rPr>
        <w:t>0.1764kg</w:t>
      </w:r>
      <w:bookmarkEnd w:id="239"/>
      <w:r>
        <w:rPr>
          <w:rFonts w:hint="eastAsia" w:ascii="Times New Roman" w:hAnsi="Times New Roman" w:cs="Times New Roman" w:eastAsiaTheme="minorEastAsia"/>
          <w:sz w:val="24"/>
          <w:lang w:val="en-US" w:eastAsia="zh-CN"/>
        </w:rPr>
        <w:t>、As泄漏总量为</w:t>
      </w:r>
      <w:bookmarkStart w:id="240" w:name="OLE_LINK798"/>
      <w:r>
        <w:rPr>
          <w:rFonts w:hint="eastAsia" w:ascii="Times New Roman" w:hAnsi="Times New Roman" w:cs="Times New Roman" w:eastAsiaTheme="minorEastAsia"/>
          <w:sz w:val="24"/>
          <w:lang w:val="en-US" w:eastAsia="zh-CN"/>
        </w:rPr>
        <w:t>0.0002736kg</w:t>
      </w:r>
      <w:bookmarkEnd w:id="240"/>
      <w:r>
        <w:rPr>
          <w:rFonts w:hint="eastAsia" w:ascii="Times New Roman" w:hAnsi="Times New Roman" w:cs="Times New Roman" w:eastAsiaTheme="minorEastAsia"/>
          <w:sz w:val="24"/>
          <w:lang w:val="en-US" w:eastAsia="zh-CN"/>
        </w:rPr>
        <w:t>。污染物源强计算结果见下表。</w:t>
      </w:r>
    </w:p>
    <w:p w14:paraId="4470E7F3">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表5.</w:t>
      </w:r>
      <w:r>
        <w:rPr>
          <w:rFonts w:hint="eastAsia" w:ascii="Times New Roman" w:hAnsi="Times New Roman" w:cs="Times New Roman" w:eastAsiaTheme="minorEastAsia"/>
          <w:b/>
          <w:szCs w:val="21"/>
          <w:lang w:val="en-US" w:eastAsia="zh-CN"/>
        </w:rPr>
        <w:t>5-2</w:t>
      </w:r>
      <w:r>
        <w:rPr>
          <w:rFonts w:hint="default" w:ascii="Times New Roman" w:hAnsi="Times New Roman" w:cs="Times New Roman" w:eastAsiaTheme="minorEastAsia"/>
          <w:b/>
          <w:szCs w:val="21"/>
          <w:lang w:val="en-US" w:eastAsia="zh-CN"/>
        </w:rPr>
        <w:t xml:space="preserve">  地下水环境影响预测源强及预测情景设置表</w:t>
      </w:r>
    </w:p>
    <w:tbl>
      <w:tblPr>
        <w:tblStyle w:val="12"/>
        <w:tblW w:w="502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061"/>
        <w:gridCol w:w="847"/>
        <w:gridCol w:w="1008"/>
        <w:gridCol w:w="864"/>
        <w:gridCol w:w="857"/>
        <w:gridCol w:w="1292"/>
        <w:gridCol w:w="1669"/>
        <w:gridCol w:w="765"/>
      </w:tblGrid>
      <w:tr w14:paraId="5D7ED0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63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A76C8B">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渗漏位置</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5688C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预测因子</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BAA542">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泄漏</w:t>
            </w:r>
            <w:r>
              <w:rPr>
                <w:rFonts w:hint="eastAsia" w:ascii="Times New Roman" w:hAnsi="Times New Roman" w:cs="Times New Roman" w:eastAsiaTheme="minorEastAsia"/>
                <w:szCs w:val="21"/>
                <w:lang w:val="en-US" w:eastAsia="zh-CN"/>
              </w:rPr>
              <w:t>浓度</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08290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泄漏</w:t>
            </w:r>
            <w:r>
              <w:rPr>
                <w:rFonts w:hint="eastAsia" w:ascii="Times New Roman" w:hAnsi="Times New Roman" w:cs="Times New Roman" w:eastAsiaTheme="minorEastAsia"/>
                <w:szCs w:val="21"/>
                <w:lang w:val="en-US" w:eastAsia="zh-CN"/>
              </w:rPr>
              <w:t>水量</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612E4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泄漏</w:t>
            </w:r>
            <w:r>
              <w:rPr>
                <w:rFonts w:hint="eastAsia" w:ascii="Times New Roman" w:hAnsi="Times New Roman" w:cs="Times New Roman" w:eastAsiaTheme="minorEastAsia"/>
                <w:szCs w:val="21"/>
                <w:lang w:val="en-US" w:eastAsia="zh-CN"/>
              </w:rPr>
              <w:t>时间</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BF15AB">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渗漏量</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9494C7">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预测含水层</w:t>
            </w:r>
          </w:p>
        </w:tc>
        <w:tc>
          <w:tcPr>
            <w:tcW w:w="45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ADB04F">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预测时段</w:t>
            </w:r>
          </w:p>
        </w:tc>
      </w:tr>
      <w:tr w14:paraId="4F823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634" w:type="pct"/>
            <w:vMerge w:val="restart"/>
            <w:tcBorders>
              <w:top w:val="single" w:color="000000" w:sz="4" w:space="0"/>
              <w:left w:val="single" w:color="000000" w:sz="4" w:space="0"/>
              <w:right w:val="single" w:color="000000" w:sz="4" w:space="0"/>
            </w:tcBorders>
            <w:shd w:val="clear" w:color="auto" w:fill="auto"/>
            <w:noWrap w:val="0"/>
            <w:vAlign w:val="center"/>
          </w:tcPr>
          <w:p w14:paraId="242AD128">
            <w:pPr>
              <w:autoSpaceDE w:val="0"/>
              <w:autoSpaceDN w:val="0"/>
              <w:spacing w:line="300" w:lineRule="exact"/>
              <w:jc w:val="center"/>
              <w:rPr>
                <w:rFonts w:hint="eastAsia" w:ascii="Times New Roman" w:hAnsi="Times New Roman" w:cs="Times New Roman" w:eastAsiaTheme="minorEastAsia"/>
                <w:szCs w:val="21"/>
                <w:lang w:val="en-US" w:eastAsia="zh-CN"/>
              </w:rPr>
            </w:pPr>
            <w:bookmarkStart w:id="241" w:name="OLE_LINK796" w:colFirst="3" w:colLast="4"/>
            <w:r>
              <w:rPr>
                <w:rFonts w:hint="eastAsia" w:ascii="Times New Roman" w:hAnsi="Times New Roman" w:cs="Times New Roman" w:eastAsiaTheme="minorEastAsia"/>
                <w:szCs w:val="21"/>
                <w:lang w:val="en-US" w:eastAsia="zh-CN"/>
              </w:rPr>
              <w:t>集水池</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9BC4B0">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石油类</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7D5816">
            <w:pPr>
              <w:autoSpaceDE w:val="0"/>
              <w:autoSpaceDN w:val="0"/>
              <w:spacing w:line="300" w:lineRule="exact"/>
              <w:jc w:val="center"/>
              <w:rPr>
                <w:rFonts w:hint="eastAsia" w:ascii="Times New Roman" w:hAnsi="Times New Roman" w:cs="Times New Roman" w:eastAsiaTheme="minorEastAsia"/>
                <w:szCs w:val="21"/>
                <w:lang w:val="en-US" w:eastAsia="zh-CN"/>
              </w:rPr>
            </w:pPr>
            <w:bookmarkStart w:id="242" w:name="OLE_LINK793"/>
            <w:r>
              <w:rPr>
                <w:rFonts w:hint="eastAsia" w:ascii="Times New Roman" w:hAnsi="Times New Roman" w:cs="Times New Roman"/>
                <w:szCs w:val="21"/>
                <w:lang w:val="en-US" w:eastAsia="zh-CN"/>
              </w:rPr>
              <w:t>49</w:t>
            </w:r>
            <w:r>
              <w:rPr>
                <w:rFonts w:hint="eastAsia" w:ascii="Times New Roman" w:hAnsi="Times New Roman" w:cs="Times New Roman" w:eastAsiaTheme="minorEastAsia"/>
                <w:szCs w:val="21"/>
                <w:lang w:val="en-US" w:eastAsia="zh-CN"/>
              </w:rPr>
              <w:t>mg/L</w:t>
            </w:r>
            <w:bookmarkEnd w:id="242"/>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4CEF1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40L/d</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2A4F2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90d</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26A886">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 w:val="24"/>
                <w:highlight w:val="none"/>
                <w:lang w:val="en-US" w:eastAsia="zh-CN"/>
              </w:rPr>
              <w:t>0.176</w:t>
            </w:r>
            <w:r>
              <w:rPr>
                <w:rFonts w:hint="eastAsia" w:ascii="Times New Roman" w:hAnsi="Times New Roman" w:cs="Times New Roman" w:eastAsiaTheme="minorEastAsia"/>
                <w:szCs w:val="21"/>
                <w:lang w:val="en-US" w:eastAsia="zh-CN"/>
              </w:rPr>
              <w:t>kg</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CB12AC">
            <w:pPr>
              <w:autoSpaceDE w:val="0"/>
              <w:autoSpaceDN w:val="0"/>
              <w:spacing w:line="300" w:lineRule="exact"/>
              <w:jc w:val="center"/>
              <w:rPr>
                <w:rFonts w:hint="eastAsia" w:ascii="Times New Roman" w:hAnsi="Times New Roman" w:cs="Times New Roman" w:eastAsiaTheme="minorEastAsia"/>
                <w:szCs w:val="21"/>
                <w:lang w:val="en-US" w:eastAsia="zh-CN"/>
              </w:rPr>
            </w:pPr>
            <w:bookmarkStart w:id="243" w:name="OLE_LINK799"/>
            <w:r>
              <w:rPr>
                <w:rFonts w:hint="eastAsia" w:ascii="Times New Roman" w:hAnsi="Times New Roman" w:cs="Times New Roman" w:eastAsiaTheme="minorEastAsia"/>
                <w:szCs w:val="21"/>
                <w:lang w:val="en-US" w:eastAsia="zh-CN"/>
              </w:rPr>
              <w:t>第四系潜水含水层</w:t>
            </w:r>
            <w:bookmarkEnd w:id="243"/>
          </w:p>
        </w:tc>
        <w:tc>
          <w:tcPr>
            <w:tcW w:w="457" w:type="pct"/>
            <w:vMerge w:val="restart"/>
            <w:tcBorders>
              <w:top w:val="single" w:color="000000" w:sz="4" w:space="0"/>
              <w:left w:val="single" w:color="000000" w:sz="4" w:space="0"/>
              <w:right w:val="single" w:color="000000" w:sz="4" w:space="0"/>
            </w:tcBorders>
            <w:shd w:val="clear" w:color="auto" w:fill="auto"/>
            <w:noWrap w:val="0"/>
            <w:vAlign w:val="center"/>
          </w:tcPr>
          <w:p w14:paraId="58B67CB0">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100d</w:t>
            </w:r>
          </w:p>
          <w:p w14:paraId="283A40D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1000d</w:t>
            </w:r>
          </w:p>
        </w:tc>
      </w:tr>
      <w:bookmarkEnd w:id="241"/>
      <w:tr w14:paraId="38AB05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634" w:type="pct"/>
            <w:vMerge w:val="continue"/>
            <w:tcBorders>
              <w:left w:val="single" w:color="000000" w:sz="4" w:space="0"/>
              <w:bottom w:val="single" w:color="000000" w:sz="4" w:space="0"/>
              <w:right w:val="single" w:color="000000" w:sz="4" w:space="0"/>
            </w:tcBorders>
            <w:shd w:val="clear" w:color="auto" w:fill="auto"/>
            <w:noWrap w:val="0"/>
            <w:vAlign w:val="center"/>
          </w:tcPr>
          <w:p w14:paraId="21EB45E0">
            <w:pPr>
              <w:pStyle w:val="22"/>
              <w:keepNext w:val="0"/>
              <w:keepLines w:val="0"/>
              <w:suppressLineNumbers w:val="0"/>
              <w:spacing w:before="0" w:beforeAutospacing="0" w:after="0" w:afterAutospacing="0"/>
              <w:ind w:left="0" w:leftChars="0" w:right="0" w:rightChars="0" w:firstLine="0" w:firstLineChars="0"/>
              <w:rPr>
                <w:rFonts w:hint="eastAsia" w:ascii="Times New Roman" w:hAnsi="Times New Roman" w:eastAsia="宋体" w:cs="Times New Roman"/>
                <w:sz w:val="21"/>
                <w:szCs w:val="21"/>
                <w:lang w:val="en-US" w:eastAsia="zh-CN"/>
              </w:rPr>
            </w:pP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7CD4F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As</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0231D3">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0.076</w:t>
            </w:r>
            <w:r>
              <w:rPr>
                <w:rFonts w:hint="eastAsia" w:ascii="Times New Roman" w:hAnsi="Times New Roman" w:cs="Times New Roman" w:eastAsiaTheme="minorEastAsia"/>
                <w:szCs w:val="21"/>
                <w:lang w:val="en-US" w:eastAsia="zh-CN"/>
              </w:rPr>
              <w:t>mg/L</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518DFE">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40L/d</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361481">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90d</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B88E27">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 w:val="24"/>
                <w:highlight w:val="none"/>
                <w:lang w:val="en-US" w:eastAsia="zh-CN"/>
              </w:rPr>
              <w:t>0.0</w:t>
            </w:r>
            <w:r>
              <w:rPr>
                <w:rFonts w:hint="eastAsia" w:ascii="Times New Roman" w:hAnsi="Times New Roman" w:cs="Times New Roman"/>
                <w:sz w:val="24"/>
                <w:highlight w:val="none"/>
                <w:lang w:val="en-US" w:eastAsia="zh-CN"/>
              </w:rPr>
              <w:t>002736</w:t>
            </w:r>
            <w:r>
              <w:rPr>
                <w:rFonts w:hint="eastAsia" w:ascii="Times New Roman" w:hAnsi="Times New Roman" w:cs="Times New Roman" w:eastAsiaTheme="minorEastAsia"/>
                <w:szCs w:val="21"/>
                <w:lang w:val="en-US" w:eastAsia="zh-CN"/>
              </w:rPr>
              <w:t>kg</w:t>
            </w:r>
          </w:p>
        </w:tc>
        <w:tc>
          <w:tcPr>
            <w:tcW w:w="99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8BC157">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第四系潜水含水层</w:t>
            </w:r>
          </w:p>
        </w:tc>
        <w:tc>
          <w:tcPr>
            <w:tcW w:w="457" w:type="pct"/>
            <w:vMerge w:val="continue"/>
            <w:tcBorders>
              <w:left w:val="single" w:color="000000" w:sz="4" w:space="0"/>
              <w:bottom w:val="single" w:color="000000" w:sz="4" w:space="0"/>
              <w:right w:val="single" w:color="000000" w:sz="4" w:space="0"/>
            </w:tcBorders>
            <w:shd w:val="clear" w:color="auto" w:fill="auto"/>
            <w:noWrap w:val="0"/>
            <w:vAlign w:val="center"/>
          </w:tcPr>
          <w:p w14:paraId="0BB57A9B">
            <w:pPr>
              <w:pStyle w:val="22"/>
              <w:keepNext w:val="0"/>
              <w:keepLines w:val="0"/>
              <w:suppressLineNumbers w:val="0"/>
              <w:spacing w:before="0" w:beforeAutospacing="0" w:after="0" w:afterAutospacing="0"/>
              <w:ind w:left="0" w:leftChars="0" w:right="0" w:rightChars="0" w:firstLine="0" w:firstLineChars="0"/>
              <w:rPr>
                <w:rFonts w:hint="eastAsia" w:ascii="Times New Roman" w:hAnsi="Times New Roman" w:eastAsia="宋体" w:cs="Times New Roman"/>
              </w:rPr>
            </w:pPr>
          </w:p>
        </w:tc>
      </w:tr>
    </w:tbl>
    <w:p w14:paraId="6B77E305">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（6）预测模型的建立</w:t>
      </w:r>
    </w:p>
    <w:p w14:paraId="71E4E634">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由于废水泄漏量相对于地下水流量较小，对地下水流场没有明显的影响，并且评价区内含水层的基本参数变化较小，</w:t>
      </w:r>
      <w:r>
        <w:rPr>
          <w:rFonts w:hint="default" w:ascii="Times New Roman" w:hAnsi="Times New Roman" w:cs="Times New Roman" w:eastAsiaTheme="minorEastAsia"/>
          <w:sz w:val="24"/>
          <w:lang w:val="en-US" w:eastAsia="zh-CN"/>
        </w:rPr>
        <w:t>本项目采用地下水溶质运移解析法中的一维稳定流动</w:t>
      </w:r>
      <w:r>
        <w:rPr>
          <w:rFonts w:hint="eastAsia" w:ascii="Times New Roman" w:hAnsi="Times New Roman" w:cs="Times New Roman" w:eastAsiaTheme="minorEastAsia"/>
          <w:sz w:val="24"/>
          <w:lang w:val="en-US" w:eastAsia="zh-CN"/>
        </w:rPr>
        <w:t>二</w:t>
      </w:r>
      <w:r>
        <w:rPr>
          <w:rFonts w:hint="default" w:ascii="Times New Roman" w:hAnsi="Times New Roman" w:cs="Times New Roman" w:eastAsiaTheme="minorEastAsia"/>
          <w:sz w:val="24"/>
          <w:lang w:val="en-US" w:eastAsia="zh-CN"/>
        </w:rPr>
        <w:t>维水动力弥散模式进行预测，预测模型如下：</w:t>
      </w:r>
    </w:p>
    <w:p w14:paraId="0FFDA01F">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drawing>
          <wp:anchor distT="0" distB="0" distL="114300" distR="114300" simplePos="0" relativeHeight="251664384" behindDoc="0" locked="0" layoutInCell="1" allowOverlap="1">
            <wp:simplePos x="0" y="0"/>
            <wp:positionH relativeFrom="column">
              <wp:posOffset>1481455</wp:posOffset>
            </wp:positionH>
            <wp:positionV relativeFrom="paragraph">
              <wp:posOffset>220980</wp:posOffset>
            </wp:positionV>
            <wp:extent cx="2832100" cy="521970"/>
            <wp:effectExtent l="0" t="0" r="6350" b="11430"/>
            <wp:wrapTopAndBottom/>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8"/>
                    <a:stretch>
                      <a:fillRect/>
                    </a:stretch>
                  </pic:blipFill>
                  <pic:spPr>
                    <a:xfrm>
                      <a:off x="0" y="0"/>
                      <a:ext cx="2832100" cy="521970"/>
                    </a:xfrm>
                    <a:prstGeom prst="rect">
                      <a:avLst/>
                    </a:prstGeom>
                    <a:noFill/>
                    <a:ln w="9525">
                      <a:noFill/>
                    </a:ln>
                  </pic:spPr>
                </pic:pic>
              </a:graphicData>
            </a:graphic>
          </wp:anchor>
        </w:drawing>
      </w:r>
      <w:r>
        <w:rPr>
          <w:rFonts w:hint="default" w:ascii="Times New Roman" w:hAnsi="Times New Roman" w:cs="Times New Roman" w:eastAsiaTheme="minorEastAsia"/>
          <w:sz w:val="24"/>
          <w:lang w:val="en-US" w:eastAsia="zh-CN"/>
        </w:rPr>
        <w:t>x，y—计算点处的位置坐标；</w:t>
      </w:r>
    </w:p>
    <w:p w14:paraId="060C843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t—时间，d；</w:t>
      </w:r>
    </w:p>
    <w:p w14:paraId="5C296D2F">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C（x，y，z）-t时刻点x，y处的污染物浓度，mg/L；</w:t>
      </w:r>
    </w:p>
    <w:p w14:paraId="4012B90D">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M—含水层厚度，m；</w:t>
      </w:r>
    </w:p>
    <w:p w14:paraId="3169A907">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mM—长度为M的线源瞬时注入示踪剂的质量，mg；</w:t>
      </w:r>
    </w:p>
    <w:p w14:paraId="24683E35">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u—地下水流速，m/d；</w:t>
      </w:r>
    </w:p>
    <w:p w14:paraId="7879A988">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n—有效孔隙度，无量纲；</w:t>
      </w:r>
    </w:p>
    <w:p w14:paraId="1D26126C">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DL—纵向x方向的弥散系数，m</w:t>
      </w:r>
      <w:r>
        <w:rPr>
          <w:rFonts w:hint="default" w:ascii="Times New Roman" w:hAnsi="Times New Roman" w:cs="Times New Roman" w:eastAsiaTheme="minorEastAsia"/>
          <w:sz w:val="24"/>
          <w:vertAlign w:val="superscript"/>
          <w:lang w:val="en-US" w:eastAsia="zh-CN"/>
        </w:rPr>
        <w:t>2</w:t>
      </w:r>
      <w:r>
        <w:rPr>
          <w:rFonts w:hint="default" w:ascii="Times New Roman" w:hAnsi="Times New Roman" w:cs="Times New Roman" w:eastAsiaTheme="minorEastAsia"/>
          <w:sz w:val="24"/>
          <w:lang w:val="en-US" w:eastAsia="zh-CN"/>
        </w:rPr>
        <w:t>/d；</w:t>
      </w:r>
    </w:p>
    <w:p w14:paraId="3429158F">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DT—横向y方向的弥散系数，m</w:t>
      </w:r>
      <w:r>
        <w:rPr>
          <w:rFonts w:hint="default" w:ascii="Times New Roman" w:hAnsi="Times New Roman" w:cs="Times New Roman" w:eastAsiaTheme="minorEastAsia"/>
          <w:sz w:val="24"/>
          <w:vertAlign w:val="superscript"/>
          <w:lang w:val="en-US" w:eastAsia="zh-CN"/>
        </w:rPr>
        <w:t>2</w:t>
      </w:r>
      <w:r>
        <w:rPr>
          <w:rFonts w:hint="default" w:ascii="Times New Roman" w:hAnsi="Times New Roman" w:cs="Times New Roman" w:eastAsiaTheme="minorEastAsia"/>
          <w:sz w:val="24"/>
          <w:lang w:val="en-US" w:eastAsia="zh-CN"/>
        </w:rPr>
        <w:t>/d；</w:t>
      </w:r>
    </w:p>
    <w:p w14:paraId="375181E9">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π—圆周率。</w:t>
      </w:r>
    </w:p>
    <w:p w14:paraId="0FE004B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利用所选取的污染物迁移模型，能否达到对污染物迁移过程的合理预测，关键就在于模型参数的选取和确定是否正确合理。</w:t>
      </w:r>
    </w:p>
    <w:p w14:paraId="2AB49E4A">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由上述模型可知，模型需要的参数有</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外泄污染物质量m</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有效孔隙度n</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水流的实际平均速度u</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污染物在含水层中的纵向弥散系数DL</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这些参数主要由勘察成果资料来确定</w:t>
      </w:r>
      <w:r>
        <w:rPr>
          <w:rFonts w:hint="eastAsia" w:ascii="Times New Roman" w:hAnsi="Times New Roman" w:cs="Times New Roman" w:eastAsiaTheme="minorEastAsia"/>
          <w:sz w:val="24"/>
          <w:lang w:val="en-US" w:eastAsia="zh-CN"/>
        </w:rPr>
        <w:t>：</w:t>
      </w:r>
    </w:p>
    <w:p w14:paraId="2553B466">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含水层厚度M，根据本次地下水监测数据以及当地水文地质资料，含水层岩性为砂砾石夹薄层亚砂土或亚粘土，含水层厚度以29m计，石油类渗透量为0.176kg，As的渗透量为0.0002736kg。</w:t>
      </w:r>
    </w:p>
    <w:p w14:paraId="3BA565EA">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含水层的平均有效孔隙度n：根据本项目土壤理化特性调查表，孔隙度为0.394，有效孔隙度一般比孔隙度小10%～20%，因此本次取有效孔隙度为0.315。</w:t>
      </w:r>
    </w:p>
    <w:p w14:paraId="58A8CBD8">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水流实际平均流速u：项目水文地质岩性主要为粉砂，根据《环境影响评价技术导则 地下水环境》附录B，取其最大值，项目渗透系数为38.4m/d。水力坡度I=0.32%，因此地下水的渗透流速：</w:t>
      </w:r>
    </w:p>
    <w:p w14:paraId="33E76FEB">
      <w:pPr>
        <w:pStyle w:val="20"/>
        <w:snapToGrid w:val="0"/>
        <w:jc w:val="left"/>
        <w:rPr>
          <w:rFonts w:hint="eastAsia" w:ascii="Times New Roman" w:hAnsi="Times New Roman" w:eastAsia="华文中宋" w:cs="Times New Roman"/>
          <w:snapToGrid/>
          <w:color w:val="auto"/>
          <w:kern w:val="2"/>
          <w:sz w:val="24"/>
          <w:szCs w:val="24"/>
          <w:highlight w:val="none"/>
          <w:lang w:val="en-US" w:eastAsia="zh-CN" w:bidi="ar-SA"/>
        </w:rPr>
      </w:pPr>
      <w:r>
        <w:rPr>
          <w:rFonts w:hint="eastAsia" w:ascii="Times New Roman" w:hAnsi="Times New Roman" w:eastAsia="华文中宋" w:cs="Times New Roman"/>
          <w:snapToGrid/>
          <w:color w:val="auto"/>
          <w:kern w:val="2"/>
          <w:sz w:val="24"/>
          <w:szCs w:val="24"/>
          <w:highlight w:val="none"/>
          <w:lang w:val="en-US" w:eastAsia="zh-CN" w:bidi="ar-SA"/>
        </w:rPr>
        <w:t>V=KI=</w:t>
      </w:r>
      <w:r>
        <w:rPr>
          <w:rFonts w:hint="eastAsia" w:ascii="Times New Roman" w:hAnsi="Times New Roman" w:cs="Times New Roman"/>
          <w:snapToGrid/>
          <w:color w:val="auto"/>
          <w:kern w:val="2"/>
          <w:sz w:val="24"/>
          <w:szCs w:val="24"/>
          <w:highlight w:val="none"/>
          <w:lang w:val="en-US" w:eastAsia="zh-CN" w:bidi="ar-SA"/>
        </w:rPr>
        <w:t>38.4</w:t>
      </w:r>
      <w:r>
        <w:rPr>
          <w:rFonts w:hint="eastAsia" w:ascii="Times New Roman" w:hAnsi="Times New Roman" w:eastAsia="华文中宋" w:cs="Times New Roman"/>
          <w:snapToGrid/>
          <w:color w:val="auto"/>
          <w:kern w:val="2"/>
          <w:sz w:val="24"/>
          <w:szCs w:val="24"/>
          <w:highlight w:val="none"/>
          <w:lang w:val="en-US" w:eastAsia="zh-CN" w:bidi="ar-SA"/>
        </w:rPr>
        <w:t>×0.0</w:t>
      </w:r>
      <w:r>
        <w:rPr>
          <w:rFonts w:hint="eastAsia" w:ascii="Times New Roman" w:hAnsi="Times New Roman" w:cs="Times New Roman"/>
          <w:snapToGrid/>
          <w:color w:val="auto"/>
          <w:kern w:val="2"/>
          <w:sz w:val="24"/>
          <w:szCs w:val="24"/>
          <w:highlight w:val="none"/>
          <w:lang w:val="en-US" w:eastAsia="zh-CN" w:bidi="ar-SA"/>
        </w:rPr>
        <w:t>032</w:t>
      </w:r>
      <w:r>
        <w:rPr>
          <w:rFonts w:hint="eastAsia" w:ascii="Times New Roman" w:hAnsi="Times New Roman" w:eastAsia="华文中宋" w:cs="Times New Roman"/>
          <w:snapToGrid/>
          <w:color w:val="auto"/>
          <w:kern w:val="2"/>
          <w:sz w:val="24"/>
          <w:szCs w:val="24"/>
          <w:highlight w:val="none"/>
          <w:lang w:val="en-US" w:eastAsia="zh-CN" w:bidi="ar-SA"/>
        </w:rPr>
        <w:t>=</w:t>
      </w:r>
      <w:r>
        <w:rPr>
          <w:rFonts w:hint="eastAsia" w:ascii="Times New Roman" w:hAnsi="Times New Roman" w:cs="Times New Roman"/>
          <w:snapToGrid/>
          <w:color w:val="auto"/>
          <w:kern w:val="2"/>
          <w:sz w:val="24"/>
          <w:szCs w:val="24"/>
          <w:highlight w:val="none"/>
          <w:lang w:val="en-US" w:eastAsia="zh-CN" w:bidi="ar-SA"/>
        </w:rPr>
        <w:t>0.123</w:t>
      </w:r>
      <w:r>
        <w:rPr>
          <w:rFonts w:hint="eastAsia" w:ascii="Times New Roman" w:hAnsi="Times New Roman" w:eastAsia="华文中宋" w:cs="Times New Roman"/>
          <w:snapToGrid/>
          <w:color w:val="auto"/>
          <w:kern w:val="2"/>
          <w:sz w:val="24"/>
          <w:szCs w:val="24"/>
          <w:highlight w:val="none"/>
          <w:lang w:val="en-US" w:eastAsia="zh-CN" w:bidi="ar-SA"/>
        </w:rPr>
        <w:t>m/d</w:t>
      </w:r>
    </w:p>
    <w:p w14:paraId="5017A8A1">
      <w:pPr>
        <w:pStyle w:val="20"/>
        <w:snapToGrid w:val="0"/>
        <w:jc w:val="left"/>
        <w:rPr>
          <w:rFonts w:hint="default" w:ascii="Times New Roman" w:hAnsi="Times New Roman" w:eastAsia="华文中宋" w:cs="Times New Roman"/>
          <w:snapToGrid/>
          <w:color w:val="auto"/>
          <w:kern w:val="2"/>
          <w:sz w:val="24"/>
          <w:szCs w:val="24"/>
          <w:highlight w:val="none"/>
          <w:lang w:val="en-US" w:eastAsia="zh-CN" w:bidi="ar-SA"/>
        </w:rPr>
      </w:pPr>
      <w:r>
        <w:rPr>
          <w:rFonts w:hint="eastAsia" w:ascii="Times New Roman" w:hAnsi="Times New Roman" w:eastAsia="华文中宋" w:cs="Times New Roman"/>
          <w:snapToGrid/>
          <w:color w:val="auto"/>
          <w:kern w:val="2"/>
          <w:sz w:val="24"/>
          <w:szCs w:val="24"/>
          <w:highlight w:val="none"/>
          <w:lang w:val="en-US" w:eastAsia="zh-CN" w:bidi="ar-SA"/>
        </w:rPr>
        <w:t>平均实际流速u=V/n=</w:t>
      </w:r>
      <w:r>
        <w:rPr>
          <w:rFonts w:hint="eastAsia" w:ascii="Times New Roman" w:hAnsi="Times New Roman" w:cs="Times New Roman"/>
          <w:snapToGrid/>
          <w:color w:val="auto"/>
          <w:kern w:val="2"/>
          <w:sz w:val="24"/>
          <w:szCs w:val="24"/>
          <w:highlight w:val="none"/>
          <w:lang w:val="en-US" w:eastAsia="zh-CN" w:bidi="ar-SA"/>
        </w:rPr>
        <w:t>0.39</w:t>
      </w:r>
      <w:r>
        <w:rPr>
          <w:rFonts w:hint="eastAsia" w:ascii="Times New Roman" w:hAnsi="Times New Roman" w:eastAsia="华文中宋" w:cs="Times New Roman"/>
          <w:snapToGrid/>
          <w:color w:val="auto"/>
          <w:kern w:val="2"/>
          <w:sz w:val="24"/>
          <w:szCs w:val="24"/>
          <w:highlight w:val="none"/>
          <w:lang w:val="en-US" w:eastAsia="zh-CN" w:bidi="ar-SA"/>
        </w:rPr>
        <w:t>m/d</w:t>
      </w:r>
    </w:p>
    <w:p w14:paraId="0665EBDE">
      <w:pPr>
        <w:pStyle w:val="20"/>
        <w:snapToGrid w:val="0"/>
        <w:jc w:val="left"/>
        <w:rPr>
          <w:rFonts w:hint="eastAsia" w:ascii="Times New Roman" w:hAnsi="Times New Roman" w:eastAsia="华文中宋" w:cs="Times New Roman"/>
          <w:snapToGrid/>
          <w:color w:val="auto"/>
          <w:kern w:val="2"/>
          <w:sz w:val="24"/>
          <w:szCs w:val="24"/>
          <w:highlight w:val="none"/>
          <w:lang w:val="en-US" w:eastAsia="zh-CN" w:bidi="ar-SA"/>
        </w:rPr>
      </w:pPr>
      <w:r>
        <w:rPr>
          <w:rFonts w:hint="eastAsia" w:ascii="Times New Roman" w:hAnsi="Times New Roman" w:eastAsia="华文中宋" w:cs="Times New Roman"/>
          <w:snapToGrid/>
          <w:color w:val="auto"/>
          <w:kern w:val="2"/>
          <w:sz w:val="24"/>
          <w:szCs w:val="24"/>
          <w:highlight w:val="none"/>
          <w:lang w:val="en-US" w:eastAsia="zh-CN" w:bidi="ar-SA"/>
        </w:rPr>
        <w:t>纵向x方向的弥散系数DL：</w:t>
      </w:r>
    </w:p>
    <w:p w14:paraId="461A5541">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参考Gelhar等人关于纵向弥散度与观测尺度关系的理论，通常弥散度随着溶质运移距离的增加而加大，这种现象称之为水动力弥散尺度效应。其具体表现为：野外弥散试验所求出的弥散度远远大于在实验室所测出的值；即使是同一含水层，溶质运移距离越大，所计算出的弥散度也越大。将世界范围内所收集到的百余个水质模型中所使用的纵向弥散度αL绘在双对数坐标纸上，从图上可以看出纵向弥散度αL从整体上随着尺度的增加而增大（图5.2-3）。基准尺度Ls是指研究区大小的度量，一般用溶质运移到观测孔的最大距离表示，或用计算区的近似最大内径长度代替。故本次参考以往研究成果，考虑距污染源下游约500m的研究区范围，因此，本次模拟取弥散度参数值取5m。</w:t>
      </w:r>
    </w:p>
    <w:p w14:paraId="41D4C3E3">
      <w:pPr>
        <w:keepNext w:val="0"/>
        <w:keepLines w:val="0"/>
        <w:widowControl/>
        <w:suppressLineNumbers w:val="0"/>
        <w:spacing w:line="360" w:lineRule="auto"/>
        <w:ind w:firstLine="420" w:firstLineChars="200"/>
        <w:jc w:val="center"/>
        <w:rPr>
          <w:rFonts w:hint="eastAsia" w:ascii="Times New Roman" w:hAnsi="Times New Roman" w:cs="Times New Roman" w:eastAsiaTheme="minorEastAsia"/>
          <w:color w:val="000000"/>
          <w:kern w:val="0"/>
          <w:sz w:val="24"/>
          <w:szCs w:val="24"/>
          <w:lang w:val="en-US" w:eastAsia="zh-CN" w:bidi="ar"/>
        </w:rPr>
      </w:pPr>
      <w:r>
        <w:drawing>
          <wp:inline distT="0" distB="0" distL="114300" distR="114300">
            <wp:extent cx="3845560" cy="2826385"/>
            <wp:effectExtent l="0" t="0" r="2540" b="12065"/>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19"/>
                    <a:stretch>
                      <a:fillRect/>
                    </a:stretch>
                  </pic:blipFill>
                  <pic:spPr>
                    <a:xfrm>
                      <a:off x="0" y="0"/>
                      <a:ext cx="3845560" cy="2826385"/>
                    </a:xfrm>
                    <a:prstGeom prst="rect">
                      <a:avLst/>
                    </a:prstGeom>
                    <a:noFill/>
                    <a:ln>
                      <a:noFill/>
                    </a:ln>
                  </pic:spPr>
                </pic:pic>
              </a:graphicData>
            </a:graphic>
          </wp:inline>
        </w:drawing>
      </w:r>
    </w:p>
    <w:p w14:paraId="5A29959C">
      <w:pPr>
        <w:keepNext w:val="0"/>
        <w:keepLines w:val="0"/>
        <w:widowControl/>
        <w:suppressLineNumbers w:val="0"/>
        <w:spacing w:line="360" w:lineRule="auto"/>
        <w:ind w:firstLine="482" w:firstLineChars="200"/>
        <w:jc w:val="center"/>
        <w:rPr>
          <w:rFonts w:hint="eastAsia" w:ascii="Arial" w:hAnsi="Arial" w:cs="Arial"/>
          <w:b/>
          <w:bCs/>
          <w:color w:val="000000"/>
          <w:kern w:val="0"/>
          <w:sz w:val="24"/>
          <w:szCs w:val="24"/>
          <w:vertAlign w:val="baseline"/>
          <w:lang w:val="en-US" w:eastAsia="zh-CN" w:bidi="ar"/>
        </w:rPr>
      </w:pPr>
      <w:r>
        <w:rPr>
          <w:rFonts w:hint="eastAsia" w:ascii="Times New Roman" w:hAnsi="Times New Roman" w:cs="Times New Roman"/>
          <w:b/>
          <w:bCs/>
          <w:color w:val="000000"/>
          <w:kern w:val="0"/>
          <w:sz w:val="24"/>
          <w:szCs w:val="24"/>
          <w:lang w:val="en-US" w:eastAsia="zh-CN" w:bidi="ar"/>
        </w:rPr>
        <w:t>图5.5-3  lg</w:t>
      </w:r>
      <w:r>
        <w:rPr>
          <w:rFonts w:hint="default" w:ascii="Arial" w:hAnsi="Arial" w:cs="Arial"/>
          <w:b/>
          <w:bCs/>
          <w:color w:val="000000"/>
          <w:kern w:val="0"/>
          <w:sz w:val="24"/>
          <w:szCs w:val="24"/>
          <w:lang w:val="en-US" w:eastAsia="zh-CN" w:bidi="ar"/>
        </w:rPr>
        <w:t>ɑ</w:t>
      </w:r>
      <w:r>
        <w:rPr>
          <w:rFonts w:hint="eastAsia" w:ascii="Times New Roman" w:hAnsi="Times New Roman" w:cs="Times New Roman"/>
          <w:b/>
          <w:bCs/>
          <w:color w:val="000000"/>
          <w:kern w:val="0"/>
          <w:sz w:val="24"/>
          <w:szCs w:val="24"/>
          <w:vertAlign w:val="subscript"/>
          <w:lang w:val="en-US" w:eastAsia="zh-CN" w:bidi="ar"/>
        </w:rPr>
        <w:t>L</w:t>
      </w:r>
      <w:r>
        <w:rPr>
          <w:rFonts w:hint="default" w:ascii="Times New Roman" w:hAnsi="Times New Roman" w:cs="Times New Roman" w:eastAsiaTheme="minorEastAsia"/>
          <w:b/>
          <w:bCs/>
          <w:color w:val="000000"/>
          <w:kern w:val="0"/>
          <w:sz w:val="24"/>
          <w:szCs w:val="24"/>
          <w:lang w:val="en-US" w:eastAsia="zh-CN" w:bidi="ar"/>
        </w:rPr>
        <w:t>—</w:t>
      </w:r>
      <w:r>
        <w:rPr>
          <w:rFonts w:hint="eastAsia" w:ascii="Times New Roman" w:hAnsi="Times New Roman" w:cs="Times New Roman"/>
          <w:b/>
          <w:bCs/>
          <w:color w:val="000000"/>
          <w:kern w:val="0"/>
          <w:sz w:val="24"/>
          <w:szCs w:val="24"/>
          <w:lang w:val="en-US" w:eastAsia="zh-CN" w:bidi="ar"/>
        </w:rPr>
        <w:t>lg</w:t>
      </w:r>
      <w:r>
        <w:rPr>
          <w:rFonts w:hint="default" w:ascii="Arial" w:hAnsi="Arial" w:cs="Arial"/>
          <w:b/>
          <w:bCs/>
          <w:color w:val="000000"/>
          <w:kern w:val="0"/>
          <w:sz w:val="24"/>
          <w:szCs w:val="24"/>
          <w:lang w:val="en-US" w:eastAsia="zh-CN" w:bidi="ar"/>
        </w:rPr>
        <w:t>ɑ</w:t>
      </w:r>
      <w:r>
        <w:rPr>
          <w:rFonts w:hint="eastAsia" w:ascii="Arial" w:hAnsi="Arial" w:cs="Arial"/>
          <w:b/>
          <w:bCs/>
          <w:color w:val="000000"/>
          <w:kern w:val="0"/>
          <w:sz w:val="24"/>
          <w:szCs w:val="24"/>
          <w:vertAlign w:val="subscript"/>
          <w:lang w:val="en-US" w:eastAsia="zh-CN" w:bidi="ar"/>
        </w:rPr>
        <w:t>s</w:t>
      </w:r>
      <w:r>
        <w:rPr>
          <w:rFonts w:hint="eastAsia" w:ascii="Arial" w:hAnsi="Arial" w:cs="Arial"/>
          <w:b/>
          <w:bCs/>
          <w:color w:val="000000"/>
          <w:kern w:val="0"/>
          <w:sz w:val="24"/>
          <w:szCs w:val="24"/>
          <w:vertAlign w:val="baseline"/>
          <w:lang w:val="en-US" w:eastAsia="zh-CN" w:bidi="ar"/>
        </w:rPr>
        <w:t>关系图</w:t>
      </w:r>
    </w:p>
    <w:p w14:paraId="7C0B04BF">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模型计算中纵向弥散度选用5m，由此计算项目区含水层中的纵向弥散系数DL=</w:t>
      </w:r>
      <w:r>
        <w:rPr>
          <w:rFonts w:hint="default" w:ascii="Times New Roman" w:hAnsi="Times New Roman" w:cs="Times New Roman" w:eastAsiaTheme="minorEastAsia"/>
          <w:sz w:val="24"/>
          <w:lang w:val="en-US" w:eastAsia="zh-CN"/>
        </w:rPr>
        <w:t>ɑ</w:t>
      </w:r>
      <w:r>
        <w:rPr>
          <w:rFonts w:hint="eastAsia" w:ascii="Times New Roman" w:hAnsi="Times New Roman" w:cs="Times New Roman" w:eastAsiaTheme="minorEastAsia"/>
          <w:sz w:val="24"/>
          <w:lang w:val="en-US" w:eastAsia="zh-CN"/>
        </w:rPr>
        <w:t>L×u=5×0.39（m/d）=1.95（m</w:t>
      </w:r>
      <w:r>
        <w:rPr>
          <w:rFonts w:hint="eastAsia" w:ascii="Times New Roman" w:hAnsi="Times New Roman" w:cs="Times New Roman" w:eastAsiaTheme="minorEastAsia"/>
          <w:sz w:val="24"/>
          <w:vertAlign w:val="superscript"/>
          <w:lang w:val="en-US" w:eastAsia="zh-CN"/>
        </w:rPr>
        <w:t>2</w:t>
      </w:r>
      <w:r>
        <w:rPr>
          <w:rFonts w:hint="eastAsia" w:ascii="Times New Roman" w:hAnsi="Times New Roman" w:cs="Times New Roman" w:eastAsiaTheme="minorEastAsia"/>
          <w:sz w:val="24"/>
          <w:lang w:val="en-US" w:eastAsia="zh-CN"/>
        </w:rPr>
        <w:t>/d）</w:t>
      </w:r>
    </w:p>
    <w:p w14:paraId="51FC81C0">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横向y方向的弥散系数DT：根据经验一般，</w:t>
      </w:r>
    </w:p>
    <w:p w14:paraId="7371F5D8">
      <w:pPr>
        <w:keepNext w:val="0"/>
        <w:keepLines w:val="0"/>
        <w:widowControl/>
        <w:suppressLineNumbers w:val="0"/>
        <w:spacing w:line="360" w:lineRule="auto"/>
        <w:ind w:firstLine="480" w:firstLineChars="200"/>
        <w:jc w:val="center"/>
        <w:rPr>
          <w:rFonts w:hint="eastAsia" w:hAnsi="Cambria Math" w:cs="Times New Roman"/>
          <w:bCs/>
          <w:i w:val="0"/>
          <w:color w:val="000000"/>
          <w:kern w:val="0"/>
          <w:sz w:val="24"/>
          <w:szCs w:val="24"/>
          <w:highlight w:val="none"/>
          <w:vertAlign w:val="baseline"/>
          <w:lang w:val="en-US" w:eastAsia="zh-CN" w:bidi="ar"/>
        </w:rPr>
      </w:pPr>
      <m:oMath>
        <m:f>
          <m:fPr>
            <m:ctrlPr>
              <w:rPr>
                <w:rFonts w:ascii="Cambria Math" w:hAnsi="Cambria Math" w:cs="Times New Roman"/>
                <w:bCs/>
                <w:i/>
                <w:color w:val="000000"/>
                <w:kern w:val="0"/>
                <w:sz w:val="24"/>
                <w:szCs w:val="24"/>
                <w:highlight w:val="none"/>
                <w:vertAlign w:val="baseline"/>
                <w:lang w:val="en-US" w:bidi="ar"/>
              </w:rPr>
            </m:ctrlPr>
          </m:fPr>
          <m:num>
            <m:sSub>
              <m:sSubPr>
                <m:ctrlPr>
                  <w:rPr>
                    <w:rFonts w:ascii="Cambria Math" w:hAnsi="Cambria Math" w:cs="Times New Roman"/>
                    <w:bCs/>
                    <w:i/>
                    <w:color w:val="000000"/>
                    <w:kern w:val="0"/>
                    <w:sz w:val="24"/>
                    <w:szCs w:val="24"/>
                    <w:highlight w:val="none"/>
                    <w:vertAlign w:val="baseline"/>
                    <w:lang w:val="en-US" w:bidi="ar"/>
                  </w:rPr>
                </m:ctrlPr>
              </m:sSubPr>
              <m:e>
                <m:r>
                  <m:rPr/>
                  <w:rPr>
                    <w:rFonts w:hint="default" w:ascii="Cambria Math" w:hAnsi="Cambria Math" w:cs="Times New Roman"/>
                    <w:color w:val="000000"/>
                    <w:kern w:val="0"/>
                    <w:sz w:val="24"/>
                    <w:szCs w:val="24"/>
                    <w:highlight w:val="none"/>
                    <w:vertAlign w:val="baseline"/>
                    <w:lang w:val="en-US" w:eastAsia="zh-CN" w:bidi="ar"/>
                  </w:rPr>
                  <m:t>D</m:t>
                </m:r>
                <m:ctrlPr>
                  <w:rPr>
                    <w:rFonts w:ascii="Cambria Math" w:hAnsi="Cambria Math" w:cs="Times New Roman"/>
                    <w:bCs/>
                    <w:i/>
                    <w:color w:val="000000"/>
                    <w:kern w:val="0"/>
                    <w:sz w:val="24"/>
                    <w:szCs w:val="24"/>
                    <w:highlight w:val="none"/>
                    <w:vertAlign w:val="baseline"/>
                    <w:lang w:val="en-US" w:bidi="ar"/>
                  </w:rPr>
                </m:ctrlPr>
              </m:e>
              <m:sub>
                <m:r>
                  <m:rPr/>
                  <w:rPr>
                    <w:rFonts w:hint="default" w:ascii="Cambria Math" w:hAnsi="Cambria Math" w:cs="Times New Roman"/>
                    <w:color w:val="000000"/>
                    <w:kern w:val="0"/>
                    <w:sz w:val="24"/>
                    <w:szCs w:val="24"/>
                    <w:highlight w:val="none"/>
                    <w:vertAlign w:val="baseline"/>
                    <w:lang w:val="en-US" w:eastAsia="zh-CN" w:bidi="ar"/>
                  </w:rPr>
                  <m:t>T</m:t>
                </m:r>
                <m:ctrlPr>
                  <w:rPr>
                    <w:rFonts w:ascii="Cambria Math" w:hAnsi="Cambria Math" w:cs="Times New Roman"/>
                    <w:bCs/>
                    <w:i/>
                    <w:color w:val="000000"/>
                    <w:kern w:val="0"/>
                    <w:sz w:val="24"/>
                    <w:szCs w:val="24"/>
                    <w:highlight w:val="none"/>
                    <w:vertAlign w:val="baseline"/>
                    <w:lang w:val="en-US" w:bidi="ar"/>
                  </w:rPr>
                </m:ctrlPr>
              </m:sub>
            </m:sSub>
            <m:ctrlPr>
              <w:rPr>
                <w:rFonts w:ascii="Cambria Math" w:hAnsi="Cambria Math" w:cs="Times New Roman"/>
                <w:bCs/>
                <w:i/>
                <w:color w:val="000000"/>
                <w:kern w:val="0"/>
                <w:sz w:val="24"/>
                <w:szCs w:val="24"/>
                <w:highlight w:val="none"/>
                <w:vertAlign w:val="baseline"/>
                <w:lang w:val="en-US" w:bidi="ar"/>
              </w:rPr>
            </m:ctrlPr>
          </m:num>
          <m:den>
            <m:sSub>
              <m:sSubPr>
                <m:ctrlPr>
                  <w:rPr>
                    <w:rFonts w:ascii="Cambria Math" w:hAnsi="Cambria Math" w:cs="Times New Roman"/>
                    <w:bCs/>
                    <w:i/>
                    <w:color w:val="000000"/>
                    <w:kern w:val="0"/>
                    <w:sz w:val="24"/>
                    <w:szCs w:val="24"/>
                    <w:highlight w:val="none"/>
                    <w:vertAlign w:val="baseline"/>
                    <w:lang w:val="en-US" w:bidi="ar"/>
                  </w:rPr>
                </m:ctrlPr>
              </m:sSubPr>
              <m:e>
                <m:r>
                  <m:rPr/>
                  <w:rPr>
                    <w:rFonts w:hint="default" w:ascii="Cambria Math" w:hAnsi="Cambria Math" w:cs="Times New Roman"/>
                    <w:color w:val="000000"/>
                    <w:kern w:val="0"/>
                    <w:sz w:val="24"/>
                    <w:szCs w:val="24"/>
                    <w:highlight w:val="none"/>
                    <w:vertAlign w:val="baseline"/>
                    <w:lang w:val="en-US" w:eastAsia="zh-CN" w:bidi="ar"/>
                  </w:rPr>
                  <m:t>D</m:t>
                </m:r>
                <m:ctrlPr>
                  <w:rPr>
                    <w:rFonts w:ascii="Cambria Math" w:hAnsi="Cambria Math" w:cs="Times New Roman"/>
                    <w:bCs/>
                    <w:i/>
                    <w:color w:val="000000"/>
                    <w:kern w:val="0"/>
                    <w:sz w:val="24"/>
                    <w:szCs w:val="24"/>
                    <w:highlight w:val="none"/>
                    <w:vertAlign w:val="baseline"/>
                    <w:lang w:val="en-US" w:bidi="ar"/>
                  </w:rPr>
                </m:ctrlPr>
              </m:e>
              <m:sub>
                <m:r>
                  <m:rPr/>
                  <w:rPr>
                    <w:rFonts w:hint="default" w:ascii="Cambria Math" w:hAnsi="Cambria Math" w:cs="Times New Roman"/>
                    <w:color w:val="000000"/>
                    <w:kern w:val="0"/>
                    <w:sz w:val="24"/>
                    <w:szCs w:val="24"/>
                    <w:highlight w:val="none"/>
                    <w:vertAlign w:val="baseline"/>
                    <w:lang w:val="en-US" w:eastAsia="zh-CN" w:bidi="ar"/>
                  </w:rPr>
                  <m:t>L</m:t>
                </m:r>
                <m:ctrlPr>
                  <w:rPr>
                    <w:rFonts w:ascii="Cambria Math" w:hAnsi="Cambria Math" w:cs="Times New Roman"/>
                    <w:bCs/>
                    <w:i/>
                    <w:color w:val="000000"/>
                    <w:kern w:val="0"/>
                    <w:sz w:val="24"/>
                    <w:szCs w:val="24"/>
                    <w:highlight w:val="none"/>
                    <w:vertAlign w:val="baseline"/>
                    <w:lang w:val="en-US" w:bidi="ar"/>
                  </w:rPr>
                </m:ctrlPr>
              </m:sub>
            </m:sSub>
            <m:ctrlPr>
              <w:rPr>
                <w:rFonts w:ascii="Cambria Math" w:hAnsi="Cambria Math" w:cs="Times New Roman"/>
                <w:bCs/>
                <w:i/>
                <w:color w:val="000000"/>
                <w:kern w:val="0"/>
                <w:sz w:val="24"/>
                <w:szCs w:val="24"/>
                <w:highlight w:val="none"/>
                <w:vertAlign w:val="baseline"/>
                <w:lang w:val="en-US" w:bidi="ar"/>
              </w:rPr>
            </m:ctrlPr>
          </m:den>
        </m:f>
      </m:oMath>
      <w:r>
        <w:rPr>
          <w:rFonts w:hint="eastAsia" w:hAnsi="Cambria Math" w:cs="Times New Roman"/>
          <w:bCs/>
          <w:i w:val="0"/>
          <w:color w:val="000000"/>
          <w:kern w:val="0"/>
          <w:sz w:val="24"/>
          <w:szCs w:val="24"/>
          <w:highlight w:val="none"/>
          <w:vertAlign w:val="baseline"/>
          <w:lang w:val="en-US" w:eastAsia="zh-CN" w:bidi="ar"/>
        </w:rPr>
        <w:t>=0.1</w:t>
      </w:r>
    </w:p>
    <w:p w14:paraId="2489917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因此DT=0.1*DL=0.195（m</w:t>
      </w:r>
      <w:r>
        <w:rPr>
          <w:rFonts w:hint="eastAsia" w:ascii="Times New Roman" w:hAnsi="Times New Roman" w:cs="Times New Roman" w:eastAsiaTheme="minorEastAsia"/>
          <w:sz w:val="24"/>
          <w:vertAlign w:val="superscript"/>
          <w:lang w:val="en-US" w:eastAsia="zh-CN"/>
        </w:rPr>
        <w:t>2</w:t>
      </w:r>
      <w:r>
        <w:rPr>
          <w:rFonts w:hint="eastAsia" w:ascii="Times New Roman" w:hAnsi="Times New Roman" w:cs="Times New Roman" w:eastAsiaTheme="minorEastAsia"/>
          <w:sz w:val="24"/>
          <w:lang w:val="en-US" w:eastAsia="zh-CN"/>
        </w:rPr>
        <w:t>/d）。</w:t>
      </w:r>
    </w:p>
    <w:p w14:paraId="5316D72C">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项目预测模型参数选取见下表。</w:t>
      </w:r>
    </w:p>
    <w:p w14:paraId="3CAF0F33">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表5.</w:t>
      </w:r>
      <w:r>
        <w:rPr>
          <w:rFonts w:hint="eastAsia" w:ascii="Times New Roman" w:hAnsi="Times New Roman" w:cs="Times New Roman" w:eastAsiaTheme="minorEastAsia"/>
          <w:b/>
          <w:szCs w:val="21"/>
          <w:lang w:val="en-US" w:eastAsia="zh-CN"/>
        </w:rPr>
        <w:t>5-3</w:t>
      </w:r>
      <w:r>
        <w:rPr>
          <w:rFonts w:hint="default" w:ascii="Times New Roman" w:hAnsi="Times New Roman" w:cs="Times New Roman" w:eastAsiaTheme="minorEastAsia"/>
          <w:b/>
          <w:szCs w:val="21"/>
          <w:lang w:val="en-US" w:eastAsia="zh-CN"/>
        </w:rPr>
        <w:t xml:space="preserve">  地下水影响评价参数</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1740"/>
        <w:gridCol w:w="976"/>
        <w:gridCol w:w="1222"/>
        <w:gridCol w:w="3846"/>
      </w:tblGrid>
      <w:tr w14:paraId="3BF23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14:paraId="596250E6">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参数</w:t>
            </w:r>
          </w:p>
        </w:tc>
        <w:tc>
          <w:tcPr>
            <w:tcW w:w="1740" w:type="dxa"/>
            <w:vAlign w:val="center"/>
          </w:tcPr>
          <w:p w14:paraId="5C091F73">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含义</w:t>
            </w:r>
          </w:p>
        </w:tc>
        <w:tc>
          <w:tcPr>
            <w:tcW w:w="976" w:type="dxa"/>
            <w:vAlign w:val="center"/>
          </w:tcPr>
          <w:p w14:paraId="7C2B6CFC">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单位</w:t>
            </w:r>
          </w:p>
        </w:tc>
        <w:tc>
          <w:tcPr>
            <w:tcW w:w="1222" w:type="dxa"/>
            <w:vAlign w:val="center"/>
          </w:tcPr>
          <w:p w14:paraId="0E563DBC">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取值</w:t>
            </w:r>
          </w:p>
        </w:tc>
        <w:tc>
          <w:tcPr>
            <w:tcW w:w="3846" w:type="dxa"/>
            <w:vAlign w:val="center"/>
          </w:tcPr>
          <w:p w14:paraId="39A96B46">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说明</w:t>
            </w:r>
          </w:p>
        </w:tc>
      </w:tr>
      <w:tr w14:paraId="28A59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14:paraId="37F6D639">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M</w:t>
            </w:r>
          </w:p>
        </w:tc>
        <w:tc>
          <w:tcPr>
            <w:tcW w:w="1740" w:type="dxa"/>
            <w:vAlign w:val="center"/>
          </w:tcPr>
          <w:p w14:paraId="090FA1F7">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含水层厚度</w:t>
            </w:r>
          </w:p>
        </w:tc>
        <w:tc>
          <w:tcPr>
            <w:tcW w:w="976" w:type="dxa"/>
            <w:vAlign w:val="center"/>
          </w:tcPr>
          <w:p w14:paraId="0110432C">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m</w:t>
            </w:r>
          </w:p>
        </w:tc>
        <w:tc>
          <w:tcPr>
            <w:tcW w:w="1222" w:type="dxa"/>
            <w:vAlign w:val="center"/>
          </w:tcPr>
          <w:p w14:paraId="50FD3F1A">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29</w:t>
            </w:r>
          </w:p>
        </w:tc>
        <w:tc>
          <w:tcPr>
            <w:tcW w:w="3846" w:type="dxa"/>
            <w:vAlign w:val="center"/>
          </w:tcPr>
          <w:p w14:paraId="5A597B5C">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项目区地下水类型</w:t>
            </w:r>
            <w:r>
              <w:rPr>
                <w:rFonts w:hint="eastAsia" w:ascii="Times New Roman" w:hAnsi="Times New Roman" w:eastAsia="华文中宋" w:cs="Times New Roman"/>
                <w:szCs w:val="21"/>
                <w:highlight w:val="none"/>
                <w:lang w:val="en-US" w:eastAsia="zh-CN"/>
              </w:rPr>
              <w:t>主要为冻结层水和</w:t>
            </w:r>
            <w:r>
              <w:rPr>
                <w:rFonts w:hint="default" w:ascii="Times New Roman" w:hAnsi="Times New Roman" w:eastAsia="华文中宋" w:cs="Times New Roman"/>
                <w:szCs w:val="21"/>
                <w:highlight w:val="none"/>
                <w:lang w:val="en-US" w:eastAsia="zh-CN"/>
              </w:rPr>
              <w:t>基岩裂隙水，含水层厚度取</w:t>
            </w:r>
            <w:r>
              <w:rPr>
                <w:rFonts w:hint="eastAsia" w:ascii="Times New Roman" w:hAnsi="Times New Roman" w:eastAsia="华文中宋" w:cs="Times New Roman"/>
                <w:szCs w:val="21"/>
                <w:highlight w:val="none"/>
                <w:lang w:val="en-US" w:eastAsia="zh-CN"/>
              </w:rPr>
              <w:t>30</w:t>
            </w:r>
            <w:r>
              <w:rPr>
                <w:rFonts w:hint="default" w:ascii="Times New Roman" w:hAnsi="Times New Roman" w:eastAsia="华文中宋" w:cs="Times New Roman"/>
                <w:szCs w:val="21"/>
                <w:highlight w:val="none"/>
                <w:lang w:val="en-US" w:eastAsia="zh-CN"/>
              </w:rPr>
              <w:t>m</w:t>
            </w:r>
          </w:p>
        </w:tc>
      </w:tr>
      <w:tr w14:paraId="701B1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14:paraId="751C5F85">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u</w:t>
            </w:r>
          </w:p>
        </w:tc>
        <w:tc>
          <w:tcPr>
            <w:tcW w:w="1740" w:type="dxa"/>
            <w:vAlign w:val="center"/>
          </w:tcPr>
          <w:p w14:paraId="26DA6BF8">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地下水平均流速</w:t>
            </w:r>
          </w:p>
        </w:tc>
        <w:tc>
          <w:tcPr>
            <w:tcW w:w="976" w:type="dxa"/>
            <w:vAlign w:val="center"/>
          </w:tcPr>
          <w:p w14:paraId="4EAB968F">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m/d</w:t>
            </w:r>
          </w:p>
        </w:tc>
        <w:tc>
          <w:tcPr>
            <w:tcW w:w="1222" w:type="dxa"/>
            <w:vAlign w:val="center"/>
          </w:tcPr>
          <w:p w14:paraId="0307D86C">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0.39</w:t>
            </w:r>
          </w:p>
        </w:tc>
        <w:tc>
          <w:tcPr>
            <w:tcW w:w="3846" w:type="dxa"/>
            <w:vAlign w:val="center"/>
          </w:tcPr>
          <w:p w14:paraId="6DEFB3C0">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根据项目区水文地质资料</w:t>
            </w:r>
          </w:p>
        </w:tc>
      </w:tr>
      <w:tr w14:paraId="16BCD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14:paraId="5FE532B3">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K</w:t>
            </w:r>
          </w:p>
        </w:tc>
        <w:tc>
          <w:tcPr>
            <w:tcW w:w="1740" w:type="dxa"/>
            <w:vAlign w:val="center"/>
          </w:tcPr>
          <w:p w14:paraId="4540BC3E">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渗透系数</w:t>
            </w:r>
          </w:p>
        </w:tc>
        <w:tc>
          <w:tcPr>
            <w:tcW w:w="976" w:type="dxa"/>
            <w:vAlign w:val="center"/>
          </w:tcPr>
          <w:p w14:paraId="6E357817">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m/d</w:t>
            </w:r>
          </w:p>
        </w:tc>
        <w:tc>
          <w:tcPr>
            <w:tcW w:w="1222" w:type="dxa"/>
            <w:vAlign w:val="center"/>
          </w:tcPr>
          <w:p w14:paraId="5C459A00">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38.4</w:t>
            </w:r>
          </w:p>
        </w:tc>
        <w:tc>
          <w:tcPr>
            <w:tcW w:w="3846" w:type="dxa"/>
            <w:vAlign w:val="center"/>
          </w:tcPr>
          <w:p w14:paraId="548E3048">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根据水文地质调查和收集资料</w:t>
            </w:r>
          </w:p>
        </w:tc>
      </w:tr>
      <w:tr w14:paraId="594A6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14:paraId="3C2DC270">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T</w:t>
            </w:r>
          </w:p>
        </w:tc>
        <w:tc>
          <w:tcPr>
            <w:tcW w:w="1740" w:type="dxa"/>
            <w:vAlign w:val="center"/>
          </w:tcPr>
          <w:p w14:paraId="325255F5">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质点迁移天数</w:t>
            </w:r>
          </w:p>
        </w:tc>
        <w:tc>
          <w:tcPr>
            <w:tcW w:w="976" w:type="dxa"/>
            <w:vAlign w:val="center"/>
          </w:tcPr>
          <w:p w14:paraId="300F714F">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d</w:t>
            </w:r>
          </w:p>
        </w:tc>
        <w:tc>
          <w:tcPr>
            <w:tcW w:w="1222" w:type="dxa"/>
            <w:vAlign w:val="center"/>
          </w:tcPr>
          <w:p w14:paraId="6DA8A50C">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100、1000</w:t>
            </w:r>
          </w:p>
        </w:tc>
        <w:tc>
          <w:tcPr>
            <w:tcW w:w="3846" w:type="dxa"/>
            <w:vAlign w:val="center"/>
          </w:tcPr>
          <w:p w14:paraId="3CF7AC07">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取100d、1000d。</w:t>
            </w:r>
          </w:p>
        </w:tc>
      </w:tr>
      <w:tr w14:paraId="111BB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14:paraId="7915FFD7">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ne</w:t>
            </w:r>
          </w:p>
        </w:tc>
        <w:tc>
          <w:tcPr>
            <w:tcW w:w="1740" w:type="dxa"/>
            <w:vAlign w:val="center"/>
          </w:tcPr>
          <w:p w14:paraId="4B5831B5">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有效孔隙度</w:t>
            </w:r>
          </w:p>
        </w:tc>
        <w:tc>
          <w:tcPr>
            <w:tcW w:w="976" w:type="dxa"/>
            <w:vAlign w:val="center"/>
          </w:tcPr>
          <w:p w14:paraId="759A64F8">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无量纲</w:t>
            </w:r>
          </w:p>
        </w:tc>
        <w:tc>
          <w:tcPr>
            <w:tcW w:w="1222" w:type="dxa"/>
            <w:vAlign w:val="center"/>
          </w:tcPr>
          <w:p w14:paraId="3F961BB3">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0.</w:t>
            </w:r>
            <w:r>
              <w:rPr>
                <w:rFonts w:hint="eastAsia" w:ascii="Times New Roman" w:hAnsi="Times New Roman" w:eastAsia="华文中宋" w:cs="Times New Roman"/>
                <w:szCs w:val="21"/>
                <w:highlight w:val="none"/>
                <w:lang w:val="en-US" w:eastAsia="zh-CN"/>
              </w:rPr>
              <w:t>315</w:t>
            </w:r>
          </w:p>
        </w:tc>
        <w:tc>
          <w:tcPr>
            <w:tcW w:w="3846" w:type="dxa"/>
            <w:vAlign w:val="center"/>
          </w:tcPr>
          <w:p w14:paraId="59903496">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根据项目区水文地质资料</w:t>
            </w:r>
          </w:p>
        </w:tc>
      </w:tr>
      <w:tr w14:paraId="16687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14:paraId="46739F8F">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DL</w:t>
            </w:r>
          </w:p>
        </w:tc>
        <w:tc>
          <w:tcPr>
            <w:tcW w:w="1740" w:type="dxa"/>
            <w:vAlign w:val="center"/>
          </w:tcPr>
          <w:p w14:paraId="778BEE09">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纵向弥散系数</w:t>
            </w:r>
          </w:p>
        </w:tc>
        <w:tc>
          <w:tcPr>
            <w:tcW w:w="976" w:type="dxa"/>
            <w:vAlign w:val="center"/>
          </w:tcPr>
          <w:p w14:paraId="56491D1B">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m</w:t>
            </w:r>
            <w:r>
              <w:rPr>
                <w:rFonts w:hint="default" w:ascii="Times New Roman" w:hAnsi="Times New Roman" w:eastAsia="华文中宋" w:cs="Times New Roman"/>
                <w:szCs w:val="21"/>
                <w:highlight w:val="none"/>
                <w:vertAlign w:val="superscript"/>
                <w:lang w:val="en-US" w:eastAsia="zh-CN"/>
              </w:rPr>
              <w:t>2</w:t>
            </w:r>
            <w:r>
              <w:rPr>
                <w:rFonts w:hint="default" w:ascii="Times New Roman" w:hAnsi="Times New Roman" w:eastAsia="华文中宋" w:cs="Times New Roman"/>
                <w:szCs w:val="21"/>
                <w:highlight w:val="none"/>
                <w:lang w:val="en-US" w:eastAsia="zh-CN"/>
              </w:rPr>
              <w:t>/d</w:t>
            </w:r>
          </w:p>
        </w:tc>
        <w:tc>
          <w:tcPr>
            <w:tcW w:w="1222" w:type="dxa"/>
            <w:vAlign w:val="center"/>
          </w:tcPr>
          <w:p w14:paraId="715FC832">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1.95</w:t>
            </w:r>
          </w:p>
        </w:tc>
        <w:tc>
          <w:tcPr>
            <w:tcW w:w="3846" w:type="dxa"/>
            <w:vAlign w:val="center"/>
          </w:tcPr>
          <w:p w14:paraId="51C24649">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计算得出</w:t>
            </w:r>
          </w:p>
        </w:tc>
      </w:tr>
      <w:tr w14:paraId="765C1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14:paraId="2BECD01A">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DT</w:t>
            </w:r>
          </w:p>
        </w:tc>
        <w:tc>
          <w:tcPr>
            <w:tcW w:w="1740" w:type="dxa"/>
            <w:vAlign w:val="center"/>
          </w:tcPr>
          <w:p w14:paraId="21875313">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横向弥散系数</w:t>
            </w:r>
          </w:p>
        </w:tc>
        <w:tc>
          <w:tcPr>
            <w:tcW w:w="976" w:type="dxa"/>
            <w:vAlign w:val="center"/>
          </w:tcPr>
          <w:p w14:paraId="3E6CEB16">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m</w:t>
            </w:r>
            <w:r>
              <w:rPr>
                <w:rFonts w:hint="default" w:ascii="Times New Roman" w:hAnsi="Times New Roman" w:eastAsia="华文中宋" w:cs="Times New Roman"/>
                <w:szCs w:val="21"/>
                <w:highlight w:val="none"/>
                <w:vertAlign w:val="superscript"/>
                <w:lang w:val="en-US" w:eastAsia="zh-CN"/>
              </w:rPr>
              <w:t>2</w:t>
            </w:r>
            <w:r>
              <w:rPr>
                <w:rFonts w:hint="default" w:ascii="Times New Roman" w:hAnsi="Times New Roman" w:eastAsia="华文中宋" w:cs="Times New Roman"/>
                <w:szCs w:val="21"/>
                <w:highlight w:val="none"/>
                <w:lang w:val="en-US" w:eastAsia="zh-CN"/>
              </w:rPr>
              <w:t>/d</w:t>
            </w:r>
          </w:p>
        </w:tc>
        <w:tc>
          <w:tcPr>
            <w:tcW w:w="1222" w:type="dxa"/>
            <w:vAlign w:val="center"/>
          </w:tcPr>
          <w:p w14:paraId="419270CB">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0.195</w:t>
            </w:r>
          </w:p>
        </w:tc>
        <w:tc>
          <w:tcPr>
            <w:tcW w:w="3846" w:type="dxa"/>
            <w:vAlign w:val="center"/>
          </w:tcPr>
          <w:p w14:paraId="4AA66D83">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一般为DL的10%</w:t>
            </w:r>
          </w:p>
        </w:tc>
      </w:tr>
      <w:tr w14:paraId="2D129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Merge w:val="restart"/>
            <w:vAlign w:val="center"/>
          </w:tcPr>
          <w:p w14:paraId="22438E36">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mM</w:t>
            </w:r>
          </w:p>
        </w:tc>
        <w:tc>
          <w:tcPr>
            <w:tcW w:w="1740" w:type="dxa"/>
            <w:vMerge w:val="restart"/>
            <w:vAlign w:val="center"/>
          </w:tcPr>
          <w:p w14:paraId="4CA54616">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示踪剂质量</w:t>
            </w:r>
          </w:p>
        </w:tc>
        <w:tc>
          <w:tcPr>
            <w:tcW w:w="976" w:type="dxa"/>
            <w:vMerge w:val="restart"/>
            <w:vAlign w:val="center"/>
          </w:tcPr>
          <w:p w14:paraId="53588367">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g</w:t>
            </w:r>
          </w:p>
        </w:tc>
        <w:tc>
          <w:tcPr>
            <w:tcW w:w="1222" w:type="dxa"/>
            <w:vAlign w:val="center"/>
          </w:tcPr>
          <w:p w14:paraId="39D5ACF4">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176</w:t>
            </w:r>
          </w:p>
        </w:tc>
        <w:tc>
          <w:tcPr>
            <w:tcW w:w="3846" w:type="dxa"/>
            <w:vAlign w:val="center"/>
          </w:tcPr>
          <w:p w14:paraId="2998D4CE">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石油类</w:t>
            </w:r>
          </w:p>
        </w:tc>
      </w:tr>
      <w:tr w14:paraId="5F8D7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Merge w:val="continue"/>
            <w:vAlign w:val="center"/>
          </w:tcPr>
          <w:p w14:paraId="5E001EF6">
            <w:pPr>
              <w:spacing w:line="300" w:lineRule="exact"/>
              <w:jc w:val="center"/>
              <w:rPr>
                <w:rFonts w:hint="default" w:ascii="Times New Roman" w:hAnsi="Times New Roman" w:eastAsia="华文中宋" w:cs="Times New Roman"/>
                <w:szCs w:val="21"/>
                <w:highlight w:val="none"/>
                <w:lang w:val="en-US" w:eastAsia="zh-CN"/>
              </w:rPr>
            </w:pPr>
          </w:p>
        </w:tc>
        <w:tc>
          <w:tcPr>
            <w:tcW w:w="1740" w:type="dxa"/>
            <w:vMerge w:val="continue"/>
            <w:vAlign w:val="center"/>
          </w:tcPr>
          <w:p w14:paraId="01F038EC">
            <w:pPr>
              <w:spacing w:line="300" w:lineRule="exact"/>
              <w:jc w:val="center"/>
              <w:rPr>
                <w:rFonts w:hint="default" w:ascii="Times New Roman" w:hAnsi="Times New Roman" w:eastAsia="华文中宋" w:cs="Times New Roman"/>
                <w:szCs w:val="21"/>
                <w:highlight w:val="none"/>
                <w:lang w:val="en-US" w:eastAsia="zh-CN"/>
              </w:rPr>
            </w:pPr>
          </w:p>
        </w:tc>
        <w:tc>
          <w:tcPr>
            <w:tcW w:w="976" w:type="dxa"/>
            <w:vMerge w:val="continue"/>
            <w:vAlign w:val="center"/>
          </w:tcPr>
          <w:p w14:paraId="50D28A37">
            <w:pPr>
              <w:spacing w:line="300" w:lineRule="exact"/>
              <w:jc w:val="center"/>
              <w:rPr>
                <w:rFonts w:hint="default" w:ascii="Times New Roman" w:hAnsi="Times New Roman" w:eastAsia="华文中宋" w:cs="Times New Roman"/>
                <w:szCs w:val="21"/>
                <w:highlight w:val="none"/>
                <w:lang w:val="en-US" w:eastAsia="zh-CN"/>
              </w:rPr>
            </w:pPr>
          </w:p>
        </w:tc>
        <w:tc>
          <w:tcPr>
            <w:tcW w:w="1222" w:type="dxa"/>
            <w:vAlign w:val="center"/>
          </w:tcPr>
          <w:p w14:paraId="476E449B">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0.2736</w:t>
            </w:r>
          </w:p>
        </w:tc>
        <w:tc>
          <w:tcPr>
            <w:tcW w:w="3846" w:type="dxa"/>
            <w:vAlign w:val="center"/>
          </w:tcPr>
          <w:p w14:paraId="343714A1">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As</w:t>
            </w:r>
          </w:p>
        </w:tc>
      </w:tr>
    </w:tbl>
    <w:p w14:paraId="1B28EFE4">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（5）</w:t>
      </w:r>
      <w:r>
        <w:rPr>
          <w:rFonts w:hint="default" w:ascii="Times New Roman" w:hAnsi="Times New Roman" w:cs="Times New Roman" w:eastAsiaTheme="minorEastAsia"/>
          <w:sz w:val="24"/>
          <w:lang w:val="en-US" w:eastAsia="zh-CN"/>
        </w:rPr>
        <w:t>预测结果</w:t>
      </w:r>
    </w:p>
    <w:p w14:paraId="0EA4275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石油类对</w:t>
      </w:r>
      <w:r>
        <w:rPr>
          <w:rFonts w:hint="default" w:ascii="Times New Roman" w:hAnsi="Times New Roman" w:cs="Times New Roman" w:eastAsiaTheme="minorEastAsia"/>
          <w:sz w:val="24"/>
          <w:lang w:val="en-US" w:eastAsia="zh-CN"/>
        </w:rPr>
        <w:t>地下水污染预测结果见下表</w:t>
      </w:r>
    </w:p>
    <w:p w14:paraId="69C39527">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表5.</w:t>
      </w:r>
      <w:r>
        <w:rPr>
          <w:rFonts w:hint="eastAsia" w:ascii="Times New Roman" w:hAnsi="Times New Roman" w:cs="Times New Roman" w:eastAsiaTheme="minorEastAsia"/>
          <w:b/>
          <w:szCs w:val="21"/>
          <w:lang w:val="en-US" w:eastAsia="zh-CN"/>
        </w:rPr>
        <w:t>5-4</w:t>
      </w:r>
      <w:r>
        <w:rPr>
          <w:rFonts w:hint="default" w:ascii="Times New Roman" w:hAnsi="Times New Roman" w:cs="Times New Roman" w:eastAsiaTheme="minorEastAsia"/>
          <w:b/>
          <w:szCs w:val="21"/>
          <w:lang w:val="en-US" w:eastAsia="zh-CN"/>
        </w:rPr>
        <w:t xml:space="preserve">  </w:t>
      </w:r>
      <w:r>
        <w:rPr>
          <w:rFonts w:hint="eastAsia" w:ascii="Times New Roman" w:hAnsi="Times New Roman" w:cs="Times New Roman" w:eastAsiaTheme="minorEastAsia"/>
          <w:b/>
          <w:szCs w:val="21"/>
          <w:lang w:val="en-US" w:eastAsia="zh-CN"/>
        </w:rPr>
        <w:t>污水泄漏石油类对地下水的影响</w:t>
      </w:r>
      <w:r>
        <w:rPr>
          <w:rFonts w:hint="default" w:ascii="Times New Roman" w:hAnsi="Times New Roman" w:cs="Times New Roman" w:eastAsiaTheme="minorEastAsia"/>
          <w:b/>
          <w:szCs w:val="21"/>
          <w:lang w:val="en-US" w:eastAsia="zh-CN"/>
        </w:rPr>
        <w:t>预测结果</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204"/>
        <w:gridCol w:w="2204"/>
        <w:gridCol w:w="1705"/>
        <w:gridCol w:w="1705"/>
      </w:tblGrid>
      <w:tr w14:paraId="4CAA7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restart"/>
            <w:vAlign w:val="center"/>
          </w:tcPr>
          <w:p w14:paraId="23686F6C">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序号</w:t>
            </w:r>
          </w:p>
        </w:tc>
        <w:tc>
          <w:tcPr>
            <w:tcW w:w="3408" w:type="dxa"/>
            <w:gridSpan w:val="2"/>
            <w:vAlign w:val="center"/>
          </w:tcPr>
          <w:p w14:paraId="2DE95217">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100d</w:t>
            </w:r>
          </w:p>
        </w:tc>
        <w:tc>
          <w:tcPr>
            <w:tcW w:w="3410" w:type="dxa"/>
            <w:gridSpan w:val="2"/>
            <w:vAlign w:val="center"/>
          </w:tcPr>
          <w:p w14:paraId="04225C56">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1000d</w:t>
            </w:r>
          </w:p>
        </w:tc>
      </w:tr>
      <w:tr w14:paraId="6C420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continue"/>
            <w:vAlign w:val="center"/>
          </w:tcPr>
          <w:p w14:paraId="00A04AD3">
            <w:pPr>
              <w:jc w:val="center"/>
              <w:rPr>
                <w:rFonts w:hint="default" w:ascii="Times New Roman" w:hAnsi="Times New Roman" w:cs="Times New Roman"/>
                <w:vertAlign w:val="baseline"/>
              </w:rPr>
            </w:pPr>
          </w:p>
        </w:tc>
        <w:tc>
          <w:tcPr>
            <w:tcW w:w="1204" w:type="dxa"/>
            <w:vAlign w:val="center"/>
          </w:tcPr>
          <w:p w14:paraId="214586B5">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距离（m）</w:t>
            </w:r>
          </w:p>
        </w:tc>
        <w:tc>
          <w:tcPr>
            <w:tcW w:w="2204" w:type="dxa"/>
            <w:vAlign w:val="center"/>
          </w:tcPr>
          <w:p w14:paraId="5A622257">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浓度（mg/L）</w:t>
            </w:r>
          </w:p>
        </w:tc>
        <w:tc>
          <w:tcPr>
            <w:tcW w:w="1705" w:type="dxa"/>
            <w:shd w:val="clear" w:color="auto" w:fill="auto"/>
            <w:vAlign w:val="center"/>
          </w:tcPr>
          <w:p w14:paraId="08B6B3F8">
            <w:pPr>
              <w:jc w:val="center"/>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距离（m）</w:t>
            </w:r>
          </w:p>
        </w:tc>
        <w:tc>
          <w:tcPr>
            <w:tcW w:w="1705" w:type="dxa"/>
            <w:shd w:val="clear" w:color="auto" w:fill="auto"/>
            <w:vAlign w:val="center"/>
          </w:tcPr>
          <w:p w14:paraId="5A17B724">
            <w:pPr>
              <w:jc w:val="center"/>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浓度（mg/L）</w:t>
            </w:r>
          </w:p>
        </w:tc>
      </w:tr>
      <w:tr w14:paraId="2BDB5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77D966FF">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1</w:t>
            </w:r>
          </w:p>
        </w:tc>
        <w:tc>
          <w:tcPr>
            <w:tcW w:w="1204" w:type="dxa"/>
            <w:vAlign w:val="center"/>
          </w:tcPr>
          <w:p w14:paraId="4C9B3E99">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w:t>
            </w:r>
          </w:p>
        </w:tc>
        <w:tc>
          <w:tcPr>
            <w:tcW w:w="2204" w:type="dxa"/>
            <w:vAlign w:val="center"/>
          </w:tcPr>
          <w:p w14:paraId="1E81CCF0">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0.00354</w:t>
            </w:r>
          </w:p>
        </w:tc>
        <w:tc>
          <w:tcPr>
            <w:tcW w:w="1705" w:type="dxa"/>
            <w:vAlign w:val="center"/>
          </w:tcPr>
          <w:p w14:paraId="65559D2B">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w:t>
            </w:r>
          </w:p>
        </w:tc>
        <w:tc>
          <w:tcPr>
            <w:tcW w:w="1705" w:type="dxa"/>
            <w:vAlign w:val="center"/>
          </w:tcPr>
          <w:p w14:paraId="5DADFBAC">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0.00000</w:t>
            </w:r>
          </w:p>
        </w:tc>
      </w:tr>
      <w:tr w14:paraId="13A39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057EFFAB">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2</w:t>
            </w:r>
          </w:p>
        </w:tc>
        <w:tc>
          <w:tcPr>
            <w:tcW w:w="1204" w:type="dxa"/>
            <w:vAlign w:val="center"/>
          </w:tcPr>
          <w:p w14:paraId="1A1D149A">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10</w:t>
            </w:r>
          </w:p>
        </w:tc>
        <w:tc>
          <w:tcPr>
            <w:tcW w:w="2204" w:type="dxa"/>
            <w:vAlign w:val="center"/>
          </w:tcPr>
          <w:p w14:paraId="2E3D6D30">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0.00846</w:t>
            </w:r>
          </w:p>
        </w:tc>
        <w:tc>
          <w:tcPr>
            <w:tcW w:w="1705" w:type="dxa"/>
            <w:vAlign w:val="center"/>
          </w:tcPr>
          <w:p w14:paraId="10191F79">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50</w:t>
            </w:r>
          </w:p>
        </w:tc>
        <w:tc>
          <w:tcPr>
            <w:tcW w:w="1705" w:type="dxa"/>
            <w:vAlign w:val="center"/>
          </w:tcPr>
          <w:p w14:paraId="0D5A1924">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0.00000</w:t>
            </w:r>
          </w:p>
        </w:tc>
      </w:tr>
      <w:tr w14:paraId="1AD65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05350C0D">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3</w:t>
            </w:r>
          </w:p>
        </w:tc>
        <w:tc>
          <w:tcPr>
            <w:tcW w:w="1204" w:type="dxa"/>
            <w:vAlign w:val="center"/>
          </w:tcPr>
          <w:p w14:paraId="42AC5F55">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20</w:t>
            </w:r>
          </w:p>
        </w:tc>
        <w:tc>
          <w:tcPr>
            <w:tcW w:w="2204" w:type="dxa"/>
            <w:vAlign w:val="center"/>
          </w:tcPr>
          <w:p w14:paraId="613F8837">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0.01565</w:t>
            </w:r>
          </w:p>
        </w:tc>
        <w:tc>
          <w:tcPr>
            <w:tcW w:w="1705" w:type="dxa"/>
            <w:vAlign w:val="center"/>
          </w:tcPr>
          <w:p w14:paraId="62E6A265">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100</w:t>
            </w:r>
          </w:p>
        </w:tc>
        <w:tc>
          <w:tcPr>
            <w:tcW w:w="1705" w:type="dxa"/>
            <w:vAlign w:val="center"/>
          </w:tcPr>
          <w:p w14:paraId="03663453">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0.00000</w:t>
            </w:r>
          </w:p>
        </w:tc>
      </w:tr>
      <w:tr w14:paraId="0B68C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22CDA2C8">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4</w:t>
            </w:r>
          </w:p>
        </w:tc>
        <w:tc>
          <w:tcPr>
            <w:tcW w:w="1204" w:type="dxa"/>
            <w:vAlign w:val="center"/>
          </w:tcPr>
          <w:p w14:paraId="35E81A72">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30</w:t>
            </w:r>
          </w:p>
        </w:tc>
        <w:tc>
          <w:tcPr>
            <w:tcW w:w="2204" w:type="dxa"/>
            <w:vAlign w:val="center"/>
          </w:tcPr>
          <w:p w14:paraId="52E2FE13">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0.02241</w:t>
            </w:r>
          </w:p>
        </w:tc>
        <w:tc>
          <w:tcPr>
            <w:tcW w:w="1705" w:type="dxa"/>
            <w:vAlign w:val="center"/>
          </w:tcPr>
          <w:p w14:paraId="3E995F2D">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150</w:t>
            </w:r>
          </w:p>
        </w:tc>
        <w:tc>
          <w:tcPr>
            <w:tcW w:w="1705" w:type="dxa"/>
            <w:vAlign w:val="center"/>
          </w:tcPr>
          <w:p w14:paraId="016F0AF7">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0.00000</w:t>
            </w:r>
          </w:p>
        </w:tc>
      </w:tr>
      <w:tr w14:paraId="5BCDF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1D0FA26C">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5</w:t>
            </w:r>
          </w:p>
        </w:tc>
        <w:tc>
          <w:tcPr>
            <w:tcW w:w="1204" w:type="dxa"/>
            <w:vAlign w:val="center"/>
          </w:tcPr>
          <w:p w14:paraId="304F6C4F">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40</w:t>
            </w:r>
          </w:p>
        </w:tc>
        <w:tc>
          <w:tcPr>
            <w:tcW w:w="2204" w:type="dxa"/>
            <w:vAlign w:val="center"/>
          </w:tcPr>
          <w:p w14:paraId="38C00E07">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0.02484</w:t>
            </w:r>
          </w:p>
        </w:tc>
        <w:tc>
          <w:tcPr>
            <w:tcW w:w="1705" w:type="dxa"/>
            <w:vAlign w:val="center"/>
          </w:tcPr>
          <w:p w14:paraId="5EAF8719">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200</w:t>
            </w:r>
          </w:p>
        </w:tc>
        <w:tc>
          <w:tcPr>
            <w:tcW w:w="1705" w:type="dxa"/>
            <w:vAlign w:val="center"/>
          </w:tcPr>
          <w:p w14:paraId="637B0839">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0.00002</w:t>
            </w:r>
          </w:p>
        </w:tc>
      </w:tr>
      <w:tr w14:paraId="35BE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3E0867CE">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6</w:t>
            </w:r>
          </w:p>
        </w:tc>
        <w:tc>
          <w:tcPr>
            <w:tcW w:w="1204" w:type="dxa"/>
            <w:vAlign w:val="center"/>
          </w:tcPr>
          <w:p w14:paraId="7AE13537">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50</w:t>
            </w:r>
          </w:p>
        </w:tc>
        <w:tc>
          <w:tcPr>
            <w:tcW w:w="2204" w:type="dxa"/>
            <w:vAlign w:val="center"/>
          </w:tcPr>
          <w:p w14:paraId="59EA37C0">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0.02130</w:t>
            </w:r>
          </w:p>
        </w:tc>
        <w:tc>
          <w:tcPr>
            <w:tcW w:w="1705" w:type="dxa"/>
            <w:vAlign w:val="center"/>
          </w:tcPr>
          <w:p w14:paraId="1A37D0B9">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250</w:t>
            </w:r>
          </w:p>
        </w:tc>
        <w:tc>
          <w:tcPr>
            <w:tcW w:w="1705" w:type="dxa"/>
            <w:vAlign w:val="center"/>
          </w:tcPr>
          <w:p w14:paraId="28E9E0BB">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0.00020</w:t>
            </w:r>
          </w:p>
        </w:tc>
      </w:tr>
      <w:tr w14:paraId="4098A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2507778F">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7</w:t>
            </w:r>
          </w:p>
        </w:tc>
        <w:tc>
          <w:tcPr>
            <w:tcW w:w="1204" w:type="dxa"/>
            <w:vAlign w:val="center"/>
          </w:tcPr>
          <w:p w14:paraId="53363906">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60</w:t>
            </w:r>
          </w:p>
        </w:tc>
        <w:tc>
          <w:tcPr>
            <w:tcW w:w="2204" w:type="dxa"/>
            <w:vAlign w:val="center"/>
          </w:tcPr>
          <w:p w14:paraId="28F72AF2">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0.01414</w:t>
            </w:r>
          </w:p>
        </w:tc>
        <w:tc>
          <w:tcPr>
            <w:tcW w:w="1705" w:type="dxa"/>
            <w:vAlign w:val="center"/>
          </w:tcPr>
          <w:p w14:paraId="26ECC353">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300</w:t>
            </w:r>
          </w:p>
        </w:tc>
        <w:tc>
          <w:tcPr>
            <w:tcW w:w="1705" w:type="dxa"/>
            <w:vAlign w:val="center"/>
          </w:tcPr>
          <w:p w14:paraId="320BC691">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0.00088</w:t>
            </w:r>
          </w:p>
        </w:tc>
      </w:tr>
      <w:tr w14:paraId="70078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11DC7B94">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8</w:t>
            </w:r>
          </w:p>
        </w:tc>
        <w:tc>
          <w:tcPr>
            <w:tcW w:w="1204" w:type="dxa"/>
            <w:vAlign w:val="center"/>
          </w:tcPr>
          <w:p w14:paraId="659A6404">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70</w:t>
            </w:r>
          </w:p>
        </w:tc>
        <w:tc>
          <w:tcPr>
            <w:tcW w:w="2204" w:type="dxa"/>
            <w:vAlign w:val="center"/>
          </w:tcPr>
          <w:p w14:paraId="034FFA48">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0.00726</w:t>
            </w:r>
          </w:p>
        </w:tc>
        <w:tc>
          <w:tcPr>
            <w:tcW w:w="1705" w:type="dxa"/>
            <w:vAlign w:val="center"/>
          </w:tcPr>
          <w:p w14:paraId="5D991340">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350</w:t>
            </w:r>
          </w:p>
        </w:tc>
        <w:tc>
          <w:tcPr>
            <w:tcW w:w="1705" w:type="dxa"/>
            <w:vAlign w:val="center"/>
          </w:tcPr>
          <w:p w14:paraId="62AAB316">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0.00202</w:t>
            </w:r>
          </w:p>
        </w:tc>
      </w:tr>
      <w:tr w14:paraId="22202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5672CFA8">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9</w:t>
            </w:r>
          </w:p>
        </w:tc>
        <w:tc>
          <w:tcPr>
            <w:tcW w:w="1204" w:type="dxa"/>
            <w:vAlign w:val="center"/>
          </w:tcPr>
          <w:p w14:paraId="53BD087E">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80</w:t>
            </w:r>
          </w:p>
        </w:tc>
        <w:tc>
          <w:tcPr>
            <w:tcW w:w="2204" w:type="dxa"/>
            <w:vAlign w:val="center"/>
          </w:tcPr>
          <w:p w14:paraId="37273A19">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0.00289</w:t>
            </w:r>
          </w:p>
        </w:tc>
        <w:tc>
          <w:tcPr>
            <w:tcW w:w="1705" w:type="dxa"/>
            <w:vAlign w:val="center"/>
          </w:tcPr>
          <w:p w14:paraId="43E09B68">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400</w:t>
            </w:r>
          </w:p>
        </w:tc>
        <w:tc>
          <w:tcPr>
            <w:tcW w:w="1705" w:type="dxa"/>
            <w:vAlign w:val="center"/>
          </w:tcPr>
          <w:p w14:paraId="3CC7D99F">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0.00246</w:t>
            </w:r>
          </w:p>
        </w:tc>
      </w:tr>
      <w:tr w14:paraId="74A6C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3E64C4AB">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10</w:t>
            </w:r>
          </w:p>
        </w:tc>
        <w:tc>
          <w:tcPr>
            <w:tcW w:w="1204" w:type="dxa"/>
            <w:vAlign w:val="center"/>
          </w:tcPr>
          <w:p w14:paraId="4706EC28">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90</w:t>
            </w:r>
          </w:p>
        </w:tc>
        <w:tc>
          <w:tcPr>
            <w:tcW w:w="2204" w:type="dxa"/>
            <w:vAlign w:val="center"/>
          </w:tcPr>
          <w:p w14:paraId="5E0B6861">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0.00089</w:t>
            </w:r>
          </w:p>
        </w:tc>
        <w:tc>
          <w:tcPr>
            <w:tcW w:w="1705" w:type="dxa"/>
            <w:vAlign w:val="center"/>
          </w:tcPr>
          <w:p w14:paraId="178D6D0B">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450</w:t>
            </w:r>
          </w:p>
        </w:tc>
        <w:tc>
          <w:tcPr>
            <w:tcW w:w="1705" w:type="dxa"/>
            <w:vAlign w:val="center"/>
          </w:tcPr>
          <w:p w14:paraId="1C838E05">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0.00157</w:t>
            </w:r>
          </w:p>
        </w:tc>
      </w:tr>
      <w:tr w14:paraId="38E21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42949665">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11</w:t>
            </w:r>
          </w:p>
        </w:tc>
        <w:tc>
          <w:tcPr>
            <w:tcW w:w="1204" w:type="dxa"/>
            <w:vAlign w:val="center"/>
          </w:tcPr>
          <w:p w14:paraId="23046D68">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100</w:t>
            </w:r>
          </w:p>
        </w:tc>
        <w:tc>
          <w:tcPr>
            <w:tcW w:w="2204" w:type="dxa"/>
            <w:vAlign w:val="center"/>
          </w:tcPr>
          <w:p w14:paraId="3D2EF11E">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0.00021</w:t>
            </w:r>
          </w:p>
        </w:tc>
        <w:tc>
          <w:tcPr>
            <w:tcW w:w="1705" w:type="dxa"/>
            <w:vAlign w:val="center"/>
          </w:tcPr>
          <w:p w14:paraId="38F5EEE3">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500</w:t>
            </w:r>
          </w:p>
        </w:tc>
        <w:tc>
          <w:tcPr>
            <w:tcW w:w="1705" w:type="dxa"/>
            <w:vAlign w:val="center"/>
          </w:tcPr>
          <w:p w14:paraId="3F3AEF6D">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0.00053</w:t>
            </w:r>
          </w:p>
        </w:tc>
      </w:tr>
      <w:tr w14:paraId="619BF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756C4DC2">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12</w:t>
            </w:r>
          </w:p>
        </w:tc>
        <w:tc>
          <w:tcPr>
            <w:tcW w:w="1204" w:type="dxa"/>
            <w:vAlign w:val="center"/>
          </w:tcPr>
          <w:p w14:paraId="2E893204">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110</w:t>
            </w:r>
          </w:p>
        </w:tc>
        <w:tc>
          <w:tcPr>
            <w:tcW w:w="2204" w:type="dxa"/>
            <w:vAlign w:val="center"/>
          </w:tcPr>
          <w:p w14:paraId="1366AA3E">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0.00004</w:t>
            </w:r>
          </w:p>
        </w:tc>
        <w:tc>
          <w:tcPr>
            <w:tcW w:w="1705" w:type="dxa"/>
            <w:vAlign w:val="center"/>
          </w:tcPr>
          <w:p w14:paraId="5FD69FFE">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550</w:t>
            </w:r>
          </w:p>
        </w:tc>
        <w:tc>
          <w:tcPr>
            <w:tcW w:w="1705" w:type="dxa"/>
            <w:vAlign w:val="center"/>
          </w:tcPr>
          <w:p w14:paraId="4E65C3AF">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0.00009</w:t>
            </w:r>
          </w:p>
        </w:tc>
      </w:tr>
      <w:tr w14:paraId="4907E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5B4C9327">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13</w:t>
            </w:r>
          </w:p>
        </w:tc>
        <w:tc>
          <w:tcPr>
            <w:tcW w:w="1204" w:type="dxa"/>
            <w:vAlign w:val="center"/>
          </w:tcPr>
          <w:p w14:paraId="2598D380">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120</w:t>
            </w:r>
          </w:p>
        </w:tc>
        <w:tc>
          <w:tcPr>
            <w:tcW w:w="2204" w:type="dxa"/>
            <w:vAlign w:val="center"/>
          </w:tcPr>
          <w:p w14:paraId="42E04A76">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0.00001</w:t>
            </w:r>
          </w:p>
        </w:tc>
        <w:tc>
          <w:tcPr>
            <w:tcW w:w="1705" w:type="dxa"/>
            <w:vAlign w:val="center"/>
          </w:tcPr>
          <w:p w14:paraId="247DBD0C">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600</w:t>
            </w:r>
          </w:p>
        </w:tc>
        <w:tc>
          <w:tcPr>
            <w:tcW w:w="1705" w:type="dxa"/>
            <w:vAlign w:val="center"/>
          </w:tcPr>
          <w:p w14:paraId="2C90FBE2">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0.00001</w:t>
            </w:r>
          </w:p>
        </w:tc>
      </w:tr>
      <w:tr w14:paraId="2B6B2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6270E640">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14</w:t>
            </w:r>
          </w:p>
        </w:tc>
        <w:tc>
          <w:tcPr>
            <w:tcW w:w="1204" w:type="dxa"/>
            <w:vAlign w:val="center"/>
          </w:tcPr>
          <w:p w14:paraId="1D067361">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130</w:t>
            </w:r>
          </w:p>
        </w:tc>
        <w:tc>
          <w:tcPr>
            <w:tcW w:w="2204" w:type="dxa"/>
            <w:vAlign w:val="center"/>
          </w:tcPr>
          <w:p w14:paraId="2C5A6505">
            <w:pPr>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0.00000</w:t>
            </w:r>
          </w:p>
        </w:tc>
        <w:tc>
          <w:tcPr>
            <w:tcW w:w="1705" w:type="dxa"/>
            <w:vAlign w:val="center"/>
          </w:tcPr>
          <w:p w14:paraId="2309A38D">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650</w:t>
            </w:r>
          </w:p>
        </w:tc>
        <w:tc>
          <w:tcPr>
            <w:tcW w:w="1705" w:type="dxa"/>
            <w:vAlign w:val="center"/>
          </w:tcPr>
          <w:p w14:paraId="408EC64A">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0.00000</w:t>
            </w:r>
          </w:p>
        </w:tc>
      </w:tr>
    </w:tbl>
    <w:p w14:paraId="3FB0D5A8">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default" w:ascii="Times New Roman" w:hAnsi="Times New Roman" w:cs="Times New Roman" w:eastAsiaTheme="minorEastAsia"/>
          <w:b/>
          <w:szCs w:val="21"/>
          <w:lang w:val="en-US" w:eastAsia="zh-CN"/>
        </w:rPr>
        <w:t>表5.</w:t>
      </w:r>
      <w:r>
        <w:rPr>
          <w:rFonts w:hint="eastAsia" w:ascii="Times New Roman" w:hAnsi="Times New Roman" w:cs="Times New Roman" w:eastAsiaTheme="minorEastAsia"/>
          <w:b/>
          <w:szCs w:val="21"/>
          <w:lang w:val="en-US" w:eastAsia="zh-CN"/>
        </w:rPr>
        <w:t>5-5</w:t>
      </w:r>
      <w:r>
        <w:rPr>
          <w:rFonts w:hint="default" w:ascii="Times New Roman" w:hAnsi="Times New Roman" w:cs="Times New Roman" w:eastAsiaTheme="minorEastAsia"/>
          <w:b/>
          <w:szCs w:val="21"/>
          <w:lang w:val="en-US" w:eastAsia="zh-CN"/>
        </w:rPr>
        <w:t xml:space="preserve">  </w:t>
      </w:r>
      <w:r>
        <w:rPr>
          <w:rFonts w:hint="eastAsia" w:ascii="Times New Roman" w:hAnsi="Times New Roman" w:cs="Times New Roman" w:eastAsiaTheme="minorEastAsia"/>
          <w:b/>
          <w:szCs w:val="21"/>
          <w:lang w:val="en-US" w:eastAsia="zh-CN"/>
        </w:rPr>
        <w:t>污水泄漏As对地下水的影响</w:t>
      </w:r>
      <w:r>
        <w:rPr>
          <w:rFonts w:hint="default" w:ascii="Times New Roman" w:hAnsi="Times New Roman" w:cs="Times New Roman" w:eastAsiaTheme="minorEastAsia"/>
          <w:b/>
          <w:szCs w:val="21"/>
          <w:lang w:val="en-US" w:eastAsia="zh-CN"/>
        </w:rPr>
        <w:t>预测结果</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14:paraId="7B97D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restart"/>
            <w:vAlign w:val="center"/>
          </w:tcPr>
          <w:p w14:paraId="2B40E3ED">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序号</w:t>
            </w:r>
          </w:p>
        </w:tc>
        <w:tc>
          <w:tcPr>
            <w:tcW w:w="3408" w:type="dxa"/>
            <w:gridSpan w:val="2"/>
            <w:vAlign w:val="center"/>
          </w:tcPr>
          <w:p w14:paraId="745C7F43">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100d</w:t>
            </w:r>
          </w:p>
        </w:tc>
        <w:tc>
          <w:tcPr>
            <w:tcW w:w="3410" w:type="dxa"/>
            <w:gridSpan w:val="2"/>
            <w:vAlign w:val="center"/>
          </w:tcPr>
          <w:p w14:paraId="6514B2BD">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1000d</w:t>
            </w:r>
          </w:p>
        </w:tc>
      </w:tr>
      <w:tr w14:paraId="1C0D0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continue"/>
            <w:vAlign w:val="center"/>
          </w:tcPr>
          <w:p w14:paraId="69693C9E">
            <w:pPr>
              <w:jc w:val="center"/>
              <w:rPr>
                <w:rFonts w:hint="default" w:ascii="Times New Roman" w:hAnsi="Times New Roman" w:cs="Times New Roman"/>
                <w:vertAlign w:val="baseline"/>
              </w:rPr>
            </w:pPr>
          </w:p>
        </w:tc>
        <w:tc>
          <w:tcPr>
            <w:tcW w:w="1704" w:type="dxa"/>
            <w:vAlign w:val="center"/>
          </w:tcPr>
          <w:p w14:paraId="3A36A7CF">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距离（m）</w:t>
            </w:r>
          </w:p>
        </w:tc>
        <w:tc>
          <w:tcPr>
            <w:tcW w:w="1704" w:type="dxa"/>
            <w:vAlign w:val="center"/>
          </w:tcPr>
          <w:p w14:paraId="616F7DC3">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浓度（mg/L）</w:t>
            </w:r>
          </w:p>
        </w:tc>
        <w:tc>
          <w:tcPr>
            <w:tcW w:w="1705" w:type="dxa"/>
            <w:shd w:val="clear" w:color="auto" w:fill="auto"/>
            <w:vAlign w:val="center"/>
          </w:tcPr>
          <w:p w14:paraId="2D8B489E">
            <w:pPr>
              <w:jc w:val="center"/>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距离（m）</w:t>
            </w:r>
          </w:p>
        </w:tc>
        <w:tc>
          <w:tcPr>
            <w:tcW w:w="1705" w:type="dxa"/>
            <w:shd w:val="clear" w:color="auto" w:fill="auto"/>
            <w:vAlign w:val="center"/>
          </w:tcPr>
          <w:p w14:paraId="745EDD0F">
            <w:pPr>
              <w:jc w:val="center"/>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浓度（mg/L）</w:t>
            </w:r>
          </w:p>
        </w:tc>
      </w:tr>
      <w:tr w14:paraId="259CF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58619724">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w:t>
            </w:r>
          </w:p>
        </w:tc>
        <w:tc>
          <w:tcPr>
            <w:tcW w:w="1704" w:type="dxa"/>
            <w:vAlign w:val="center"/>
          </w:tcPr>
          <w:p w14:paraId="77E5C52F">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w:t>
            </w:r>
          </w:p>
        </w:tc>
        <w:tc>
          <w:tcPr>
            <w:tcW w:w="1704" w:type="dxa"/>
            <w:vAlign w:val="center"/>
          </w:tcPr>
          <w:p w14:paraId="273D0282">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0.0000055</w:t>
            </w:r>
          </w:p>
        </w:tc>
        <w:tc>
          <w:tcPr>
            <w:tcW w:w="1705" w:type="dxa"/>
            <w:vAlign w:val="center"/>
          </w:tcPr>
          <w:p w14:paraId="22253F00">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w:t>
            </w:r>
          </w:p>
        </w:tc>
        <w:tc>
          <w:tcPr>
            <w:tcW w:w="1705" w:type="dxa"/>
            <w:vAlign w:val="center"/>
          </w:tcPr>
          <w:p w14:paraId="04CA34E1">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0.0000000</w:t>
            </w:r>
          </w:p>
        </w:tc>
      </w:tr>
      <w:tr w14:paraId="16E6F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704" w:type="dxa"/>
            <w:vAlign w:val="center"/>
          </w:tcPr>
          <w:p w14:paraId="3D8B40B2">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2</w:t>
            </w:r>
          </w:p>
        </w:tc>
        <w:tc>
          <w:tcPr>
            <w:tcW w:w="1704" w:type="dxa"/>
            <w:vAlign w:val="center"/>
          </w:tcPr>
          <w:p w14:paraId="032F268E">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10</w:t>
            </w:r>
          </w:p>
        </w:tc>
        <w:tc>
          <w:tcPr>
            <w:tcW w:w="1704" w:type="dxa"/>
            <w:vAlign w:val="center"/>
          </w:tcPr>
          <w:p w14:paraId="1E61FEEF">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0.0000131</w:t>
            </w:r>
          </w:p>
        </w:tc>
        <w:tc>
          <w:tcPr>
            <w:tcW w:w="1705" w:type="dxa"/>
            <w:vAlign w:val="center"/>
          </w:tcPr>
          <w:p w14:paraId="3306948D">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50</w:t>
            </w:r>
          </w:p>
        </w:tc>
        <w:tc>
          <w:tcPr>
            <w:tcW w:w="1705" w:type="dxa"/>
            <w:vAlign w:val="center"/>
          </w:tcPr>
          <w:p w14:paraId="1D2C5C5B">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0.0000000</w:t>
            </w:r>
          </w:p>
        </w:tc>
      </w:tr>
      <w:tr w14:paraId="2C269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19488CBF">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3</w:t>
            </w:r>
          </w:p>
        </w:tc>
        <w:tc>
          <w:tcPr>
            <w:tcW w:w="1704" w:type="dxa"/>
            <w:vAlign w:val="center"/>
          </w:tcPr>
          <w:p w14:paraId="048442C3">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20</w:t>
            </w:r>
          </w:p>
        </w:tc>
        <w:tc>
          <w:tcPr>
            <w:tcW w:w="1704" w:type="dxa"/>
            <w:vAlign w:val="center"/>
          </w:tcPr>
          <w:p w14:paraId="393323FA">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0.0000243</w:t>
            </w:r>
          </w:p>
        </w:tc>
        <w:tc>
          <w:tcPr>
            <w:tcW w:w="1705" w:type="dxa"/>
            <w:vAlign w:val="center"/>
          </w:tcPr>
          <w:p w14:paraId="7B4AE320">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100</w:t>
            </w:r>
          </w:p>
        </w:tc>
        <w:tc>
          <w:tcPr>
            <w:tcW w:w="1705" w:type="dxa"/>
            <w:vAlign w:val="center"/>
          </w:tcPr>
          <w:p w14:paraId="0C2B5FE4">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0.0000000</w:t>
            </w:r>
          </w:p>
        </w:tc>
      </w:tr>
      <w:tr w14:paraId="57AAC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48959782">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w:t>
            </w:r>
          </w:p>
        </w:tc>
        <w:tc>
          <w:tcPr>
            <w:tcW w:w="1704" w:type="dxa"/>
            <w:vAlign w:val="center"/>
          </w:tcPr>
          <w:p w14:paraId="494CC45B">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30</w:t>
            </w:r>
          </w:p>
        </w:tc>
        <w:tc>
          <w:tcPr>
            <w:tcW w:w="1704" w:type="dxa"/>
            <w:vAlign w:val="center"/>
          </w:tcPr>
          <w:p w14:paraId="0AFE82D6">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0.0000348</w:t>
            </w:r>
          </w:p>
        </w:tc>
        <w:tc>
          <w:tcPr>
            <w:tcW w:w="1705" w:type="dxa"/>
            <w:vAlign w:val="center"/>
          </w:tcPr>
          <w:p w14:paraId="16390BA5">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150</w:t>
            </w:r>
          </w:p>
        </w:tc>
        <w:tc>
          <w:tcPr>
            <w:tcW w:w="1705" w:type="dxa"/>
            <w:vAlign w:val="center"/>
          </w:tcPr>
          <w:p w14:paraId="750848FE">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0.0000000</w:t>
            </w:r>
          </w:p>
        </w:tc>
      </w:tr>
      <w:tr w14:paraId="49CC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6D4CF393">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w:t>
            </w:r>
          </w:p>
        </w:tc>
        <w:tc>
          <w:tcPr>
            <w:tcW w:w="1704" w:type="dxa"/>
            <w:vAlign w:val="center"/>
          </w:tcPr>
          <w:p w14:paraId="1A1B4CF7">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40</w:t>
            </w:r>
          </w:p>
        </w:tc>
        <w:tc>
          <w:tcPr>
            <w:tcW w:w="1704" w:type="dxa"/>
            <w:vAlign w:val="center"/>
          </w:tcPr>
          <w:p w14:paraId="257AE01A">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0.0000385</w:t>
            </w:r>
          </w:p>
        </w:tc>
        <w:tc>
          <w:tcPr>
            <w:tcW w:w="1705" w:type="dxa"/>
            <w:vAlign w:val="center"/>
          </w:tcPr>
          <w:p w14:paraId="1C66D118">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200</w:t>
            </w:r>
          </w:p>
        </w:tc>
        <w:tc>
          <w:tcPr>
            <w:tcW w:w="1705" w:type="dxa"/>
            <w:vAlign w:val="center"/>
          </w:tcPr>
          <w:p w14:paraId="751929C3">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0.0000000</w:t>
            </w:r>
          </w:p>
        </w:tc>
      </w:tr>
      <w:tr w14:paraId="306FE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4BCEDC9E">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6</w:t>
            </w:r>
          </w:p>
        </w:tc>
        <w:tc>
          <w:tcPr>
            <w:tcW w:w="1704" w:type="dxa"/>
            <w:vAlign w:val="center"/>
          </w:tcPr>
          <w:p w14:paraId="53549311">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50</w:t>
            </w:r>
          </w:p>
        </w:tc>
        <w:tc>
          <w:tcPr>
            <w:tcW w:w="1704" w:type="dxa"/>
            <w:vAlign w:val="center"/>
          </w:tcPr>
          <w:p w14:paraId="0FE70D72">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0.0000330</w:t>
            </w:r>
          </w:p>
        </w:tc>
        <w:tc>
          <w:tcPr>
            <w:tcW w:w="1705" w:type="dxa"/>
            <w:vAlign w:val="center"/>
          </w:tcPr>
          <w:p w14:paraId="7A246131">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250</w:t>
            </w:r>
          </w:p>
        </w:tc>
        <w:tc>
          <w:tcPr>
            <w:tcW w:w="1705" w:type="dxa"/>
            <w:vAlign w:val="center"/>
          </w:tcPr>
          <w:p w14:paraId="329D69BF">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0.0000003</w:t>
            </w:r>
          </w:p>
        </w:tc>
      </w:tr>
      <w:tr w14:paraId="1DCE8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08DFB02C">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7</w:t>
            </w:r>
          </w:p>
        </w:tc>
        <w:tc>
          <w:tcPr>
            <w:tcW w:w="1704" w:type="dxa"/>
            <w:vAlign w:val="center"/>
          </w:tcPr>
          <w:p w14:paraId="3FE1A5F1">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60</w:t>
            </w:r>
          </w:p>
        </w:tc>
        <w:tc>
          <w:tcPr>
            <w:tcW w:w="1704" w:type="dxa"/>
            <w:vAlign w:val="center"/>
          </w:tcPr>
          <w:p w14:paraId="4008CC1C">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0.0000219</w:t>
            </w:r>
          </w:p>
        </w:tc>
        <w:tc>
          <w:tcPr>
            <w:tcW w:w="1705" w:type="dxa"/>
            <w:vAlign w:val="center"/>
          </w:tcPr>
          <w:p w14:paraId="5014F547">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300</w:t>
            </w:r>
          </w:p>
        </w:tc>
        <w:tc>
          <w:tcPr>
            <w:tcW w:w="1705" w:type="dxa"/>
            <w:vAlign w:val="center"/>
          </w:tcPr>
          <w:p w14:paraId="31860197">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0.0000014</w:t>
            </w:r>
          </w:p>
        </w:tc>
      </w:tr>
      <w:tr w14:paraId="3000F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212726D1">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8</w:t>
            </w:r>
          </w:p>
        </w:tc>
        <w:tc>
          <w:tcPr>
            <w:tcW w:w="1704" w:type="dxa"/>
            <w:vAlign w:val="center"/>
          </w:tcPr>
          <w:p w14:paraId="7CBC65B1">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70</w:t>
            </w:r>
          </w:p>
        </w:tc>
        <w:tc>
          <w:tcPr>
            <w:tcW w:w="1704" w:type="dxa"/>
            <w:vAlign w:val="center"/>
          </w:tcPr>
          <w:p w14:paraId="6FC0BA0D">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0.0000113</w:t>
            </w:r>
          </w:p>
        </w:tc>
        <w:tc>
          <w:tcPr>
            <w:tcW w:w="1705" w:type="dxa"/>
            <w:vAlign w:val="center"/>
          </w:tcPr>
          <w:p w14:paraId="6E47249E">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350</w:t>
            </w:r>
          </w:p>
        </w:tc>
        <w:tc>
          <w:tcPr>
            <w:tcW w:w="1705" w:type="dxa"/>
            <w:vAlign w:val="center"/>
          </w:tcPr>
          <w:p w14:paraId="435E6002">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0.0000031</w:t>
            </w:r>
          </w:p>
        </w:tc>
      </w:tr>
      <w:tr w14:paraId="62C73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67C6BF39">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9</w:t>
            </w:r>
          </w:p>
        </w:tc>
        <w:tc>
          <w:tcPr>
            <w:tcW w:w="1704" w:type="dxa"/>
            <w:vAlign w:val="center"/>
          </w:tcPr>
          <w:p w14:paraId="52D6AF58">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80</w:t>
            </w:r>
          </w:p>
        </w:tc>
        <w:tc>
          <w:tcPr>
            <w:tcW w:w="1704" w:type="dxa"/>
            <w:vAlign w:val="center"/>
          </w:tcPr>
          <w:p w14:paraId="6B94E4AE">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0.0000045</w:t>
            </w:r>
          </w:p>
        </w:tc>
        <w:tc>
          <w:tcPr>
            <w:tcW w:w="1705" w:type="dxa"/>
            <w:vAlign w:val="center"/>
          </w:tcPr>
          <w:p w14:paraId="1CA33FC0">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400</w:t>
            </w:r>
          </w:p>
        </w:tc>
        <w:tc>
          <w:tcPr>
            <w:tcW w:w="1705" w:type="dxa"/>
            <w:vAlign w:val="center"/>
          </w:tcPr>
          <w:p w14:paraId="7E8014B7">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0.0000038</w:t>
            </w:r>
          </w:p>
        </w:tc>
      </w:tr>
      <w:tr w14:paraId="2D8CB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2E25A3C4">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10</w:t>
            </w:r>
          </w:p>
        </w:tc>
        <w:tc>
          <w:tcPr>
            <w:tcW w:w="1704" w:type="dxa"/>
            <w:vAlign w:val="center"/>
          </w:tcPr>
          <w:p w14:paraId="27AEECA1">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90</w:t>
            </w:r>
          </w:p>
        </w:tc>
        <w:tc>
          <w:tcPr>
            <w:tcW w:w="1704" w:type="dxa"/>
            <w:vAlign w:val="center"/>
          </w:tcPr>
          <w:p w14:paraId="62CA4B5C">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0.0000014</w:t>
            </w:r>
          </w:p>
        </w:tc>
        <w:tc>
          <w:tcPr>
            <w:tcW w:w="1705" w:type="dxa"/>
            <w:vAlign w:val="center"/>
          </w:tcPr>
          <w:p w14:paraId="4ADA7C85">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450</w:t>
            </w:r>
          </w:p>
        </w:tc>
        <w:tc>
          <w:tcPr>
            <w:tcW w:w="1705" w:type="dxa"/>
            <w:vAlign w:val="center"/>
          </w:tcPr>
          <w:p w14:paraId="36B1581A">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0.0000024</w:t>
            </w:r>
          </w:p>
        </w:tc>
      </w:tr>
      <w:tr w14:paraId="19B16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5FAB9E2A">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11</w:t>
            </w:r>
          </w:p>
        </w:tc>
        <w:tc>
          <w:tcPr>
            <w:tcW w:w="1704" w:type="dxa"/>
            <w:vAlign w:val="center"/>
          </w:tcPr>
          <w:p w14:paraId="06F82C2A">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100</w:t>
            </w:r>
          </w:p>
        </w:tc>
        <w:tc>
          <w:tcPr>
            <w:tcW w:w="1704" w:type="dxa"/>
            <w:vAlign w:val="center"/>
          </w:tcPr>
          <w:p w14:paraId="70BB4387">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0.0000003</w:t>
            </w:r>
          </w:p>
        </w:tc>
        <w:tc>
          <w:tcPr>
            <w:tcW w:w="1705" w:type="dxa"/>
            <w:vAlign w:val="center"/>
          </w:tcPr>
          <w:p w14:paraId="53CEE949">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500</w:t>
            </w:r>
          </w:p>
        </w:tc>
        <w:tc>
          <w:tcPr>
            <w:tcW w:w="1705" w:type="dxa"/>
            <w:vAlign w:val="center"/>
          </w:tcPr>
          <w:p w14:paraId="67F98556">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0.0000008</w:t>
            </w:r>
          </w:p>
        </w:tc>
      </w:tr>
      <w:tr w14:paraId="432AB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6A2CF52D">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12</w:t>
            </w:r>
          </w:p>
        </w:tc>
        <w:tc>
          <w:tcPr>
            <w:tcW w:w="1704" w:type="dxa"/>
            <w:vAlign w:val="center"/>
          </w:tcPr>
          <w:p w14:paraId="34A152EE">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110</w:t>
            </w:r>
          </w:p>
        </w:tc>
        <w:tc>
          <w:tcPr>
            <w:tcW w:w="1704" w:type="dxa"/>
            <w:vAlign w:val="center"/>
          </w:tcPr>
          <w:p w14:paraId="6CD573B4">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0.0000001</w:t>
            </w:r>
          </w:p>
        </w:tc>
        <w:tc>
          <w:tcPr>
            <w:tcW w:w="1705" w:type="dxa"/>
            <w:vAlign w:val="center"/>
          </w:tcPr>
          <w:p w14:paraId="4CD6AD5A">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550</w:t>
            </w:r>
          </w:p>
        </w:tc>
        <w:tc>
          <w:tcPr>
            <w:tcW w:w="1705" w:type="dxa"/>
            <w:vAlign w:val="center"/>
          </w:tcPr>
          <w:p w14:paraId="67F6FA25">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0.0000001</w:t>
            </w:r>
          </w:p>
        </w:tc>
      </w:tr>
      <w:tr w14:paraId="1D9F4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4" w:type="dxa"/>
            <w:vAlign w:val="center"/>
          </w:tcPr>
          <w:p w14:paraId="1D27DD64">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13</w:t>
            </w:r>
          </w:p>
        </w:tc>
        <w:tc>
          <w:tcPr>
            <w:tcW w:w="1704" w:type="dxa"/>
            <w:vAlign w:val="center"/>
          </w:tcPr>
          <w:p w14:paraId="35E24A0A">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120</w:t>
            </w:r>
          </w:p>
        </w:tc>
        <w:tc>
          <w:tcPr>
            <w:tcW w:w="1704" w:type="dxa"/>
            <w:vAlign w:val="center"/>
          </w:tcPr>
          <w:p w14:paraId="5DF15BA4">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0.0000000</w:t>
            </w:r>
          </w:p>
        </w:tc>
        <w:tc>
          <w:tcPr>
            <w:tcW w:w="1705" w:type="dxa"/>
            <w:vAlign w:val="center"/>
          </w:tcPr>
          <w:p w14:paraId="0B5BE5EE">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600</w:t>
            </w:r>
          </w:p>
        </w:tc>
        <w:tc>
          <w:tcPr>
            <w:tcW w:w="1705" w:type="dxa"/>
            <w:vAlign w:val="center"/>
          </w:tcPr>
          <w:p w14:paraId="60AF8FD3">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0.0000000</w:t>
            </w:r>
          </w:p>
        </w:tc>
      </w:tr>
    </w:tbl>
    <w:p w14:paraId="59FC1F9E">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根据以上预测结果，在本次设定的预测情形下：预测期间，随着距离的增加，铅、石油类在含水层中沿地下水流向运移，污染物的浓度呈先增大后减小的趋势；随着泄漏后的时间的增加，影响范围呈增加趋势。在本次预测情景下的泄漏对地下水环境的影响很小。</w:t>
      </w:r>
    </w:p>
    <w:p w14:paraId="4491D0C8">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石油类污染物100d内，最大影响距离在1</w:t>
      </w:r>
      <w:r>
        <w:rPr>
          <w:rFonts w:hint="eastAsia" w:ascii="Times New Roman" w:hAnsi="Times New Roman" w:cs="Times New Roman"/>
          <w:sz w:val="24"/>
          <w:highlight w:val="none"/>
          <w:lang w:val="en-US" w:eastAsia="zh-CN"/>
        </w:rPr>
        <w:t>2</w:t>
      </w:r>
      <w:r>
        <w:rPr>
          <w:rFonts w:hint="eastAsia" w:ascii="Times New Roman" w:hAnsi="Times New Roman" w:cs="Times New Roman" w:eastAsiaTheme="minorEastAsia"/>
          <w:sz w:val="24"/>
          <w:highlight w:val="none"/>
          <w:lang w:val="en-US" w:eastAsia="zh-CN"/>
        </w:rPr>
        <w:t>0m，最大污染浓度出现在40m处（0.02484mg/L）；1000d内最大影响距离在600m，最大污染浓度出现在400m处（0.00246mg/L）。</w:t>
      </w:r>
      <w:r>
        <w:rPr>
          <w:rFonts w:hint="default" w:ascii="Times New Roman" w:hAnsi="Times New Roman" w:cs="Times New Roman" w:eastAsiaTheme="minorEastAsia"/>
          <w:sz w:val="24"/>
          <w:highlight w:val="none"/>
          <w:lang w:val="en-US" w:eastAsia="zh-CN"/>
        </w:rPr>
        <w:t>参照《地表水环境质量标准》</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GB3838-2002</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Ⅲ类</w:t>
      </w:r>
      <w:r>
        <w:rPr>
          <w:rFonts w:hint="eastAsia" w:ascii="Times New Roman" w:hAnsi="Times New Roman" w:cs="Times New Roman" w:eastAsiaTheme="minorEastAsia"/>
          <w:sz w:val="24"/>
          <w:highlight w:val="none"/>
          <w:lang w:val="en-US" w:eastAsia="zh-CN"/>
        </w:rPr>
        <w:t>，石油类标准值为0.05mg/L，均满足标准要求。</w:t>
      </w:r>
    </w:p>
    <w:p w14:paraId="36AC3A45">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As污染物100d内，最大影响距离在110m，最大污染物浓度出现在40m处（0.0000385mg/L）；1000d内最大影响距离在550m，最大污染浓度出现在400m处（0.0000038mg/L）。根据</w:t>
      </w:r>
      <w:r>
        <w:rPr>
          <w:rFonts w:hint="default" w:ascii="Times New Roman" w:hAnsi="Times New Roman" w:cs="Times New Roman" w:eastAsiaTheme="minorEastAsia"/>
          <w:sz w:val="24"/>
          <w:highlight w:val="none"/>
          <w:lang w:val="en-US" w:eastAsia="zh-CN"/>
        </w:rPr>
        <w:t>《地下水质量标准》</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GB/T14848-2017</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Ⅲ类标准，</w:t>
      </w:r>
      <w:r>
        <w:rPr>
          <w:rFonts w:hint="eastAsia" w:ascii="Times New Roman" w:hAnsi="Times New Roman" w:cs="Times New Roman" w:eastAsiaTheme="minorEastAsia"/>
          <w:sz w:val="24"/>
          <w:highlight w:val="none"/>
          <w:lang w:val="en-US" w:eastAsia="zh-CN"/>
        </w:rPr>
        <w:t>Pb标准值为0.01mg/L，均满足标准要求。</w:t>
      </w:r>
    </w:p>
    <w:p w14:paraId="1DA36E53">
      <w:pPr>
        <w:adjustRightInd w:val="0"/>
        <w:snapToGrid w:val="0"/>
        <w:spacing w:line="500" w:lineRule="exact"/>
        <w:ind w:firstLine="480" w:firstLineChars="200"/>
        <w:jc w:val="left"/>
        <w:rPr>
          <w:rFonts w:hint="default" w:ascii="Times New Roman" w:hAnsi="Times New Roman" w:eastAsia="华文中宋" w:cs="Times New Roman"/>
          <w:b/>
          <w:szCs w:val="21"/>
          <w:lang w:val="en-US" w:eastAsia="zh-CN"/>
        </w:rPr>
      </w:pPr>
      <w:r>
        <w:rPr>
          <w:rFonts w:hint="eastAsia" w:ascii="Times New Roman" w:hAnsi="Times New Roman" w:cs="Times New Roman"/>
          <w:sz w:val="24"/>
          <w:highlight w:val="none"/>
          <w:lang w:val="en-US" w:eastAsia="zh-CN"/>
        </w:rPr>
        <w:t>根据项目地下水现状监测结果，</w:t>
      </w:r>
      <w:r>
        <w:rPr>
          <w:rFonts w:hint="default" w:ascii="Times New Roman" w:hAnsi="Times New Roman" w:cs="Times New Roman" w:eastAsiaTheme="minorEastAsia"/>
          <w:sz w:val="24"/>
          <w:highlight w:val="none"/>
          <w:lang w:val="en-US" w:eastAsia="zh-CN"/>
        </w:rPr>
        <w:t>模拟期内，</w:t>
      </w:r>
      <w:r>
        <w:rPr>
          <w:rFonts w:hint="eastAsia" w:ascii="Times New Roman" w:hAnsi="Times New Roman" w:cs="Times New Roman"/>
          <w:sz w:val="24"/>
          <w:highlight w:val="none"/>
          <w:lang w:val="en-US" w:eastAsia="zh-CN"/>
        </w:rPr>
        <w:t>地下水As</w:t>
      </w:r>
      <w:r>
        <w:rPr>
          <w:rFonts w:hint="default" w:ascii="Times New Roman" w:hAnsi="Times New Roman" w:cs="Times New Roman" w:eastAsiaTheme="minorEastAsia"/>
          <w:sz w:val="24"/>
          <w:highlight w:val="none"/>
          <w:lang w:val="en-US" w:eastAsia="zh-CN"/>
        </w:rPr>
        <w:t>的浓度</w:t>
      </w:r>
      <w:r>
        <w:rPr>
          <w:rFonts w:hint="eastAsia" w:ascii="Times New Roman" w:hAnsi="Times New Roman" w:cs="Times New Roman" w:eastAsiaTheme="minorEastAsia"/>
          <w:sz w:val="24"/>
          <w:highlight w:val="none"/>
          <w:lang w:val="en-US" w:eastAsia="zh-CN"/>
        </w:rPr>
        <w:t>满足</w:t>
      </w:r>
      <w:r>
        <w:rPr>
          <w:rFonts w:hint="default" w:ascii="Times New Roman" w:hAnsi="Times New Roman" w:cs="Times New Roman" w:eastAsiaTheme="minorEastAsia"/>
          <w:sz w:val="24"/>
          <w:highlight w:val="none"/>
          <w:lang w:val="en-US" w:eastAsia="zh-CN"/>
        </w:rPr>
        <w:t>《地下水环境质量标准》的Ⅲ类标准值</w:t>
      </w:r>
      <w:r>
        <w:rPr>
          <w:rFonts w:hint="eastAsia" w:ascii="Times New Roman" w:hAnsi="Times New Roman" w:cs="Times New Roman" w:eastAsiaTheme="minorEastAsia"/>
          <w:sz w:val="24"/>
          <w:highlight w:val="none"/>
          <w:lang w:val="en-US" w:eastAsia="zh-CN"/>
        </w:rPr>
        <w:t>要求</w:t>
      </w:r>
      <w:r>
        <w:rPr>
          <w:rFonts w:hint="default" w:ascii="Times New Roman" w:hAnsi="Times New Roman" w:cs="Times New Roman" w:eastAsiaTheme="minorEastAsia"/>
          <w:sz w:val="24"/>
          <w:highlight w:val="none"/>
          <w:lang w:val="en-US" w:eastAsia="zh-CN"/>
        </w:rPr>
        <w:t>，不会造成周边地下水环境污染，仅造成周边地下水环境中</w:t>
      </w:r>
      <w:r>
        <w:rPr>
          <w:rFonts w:hint="eastAsia" w:ascii="Times New Roman" w:hAnsi="Times New Roman" w:cs="Times New Roman"/>
          <w:sz w:val="24"/>
          <w:highlight w:val="none"/>
          <w:lang w:val="en-US" w:eastAsia="zh-CN"/>
        </w:rPr>
        <w:t>As</w:t>
      </w:r>
      <w:r>
        <w:rPr>
          <w:rFonts w:hint="default" w:ascii="Times New Roman" w:hAnsi="Times New Roman" w:cs="Times New Roman" w:eastAsiaTheme="minorEastAsia"/>
          <w:sz w:val="24"/>
          <w:highlight w:val="none"/>
          <w:lang w:val="en-US" w:eastAsia="zh-CN"/>
        </w:rPr>
        <w:t>的浓度升高，对项目周边地下水环境影响较小。</w:t>
      </w:r>
    </w:p>
    <w:p w14:paraId="58FF8E34">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244" w:name="_Toc5862"/>
      <w:r>
        <w:rPr>
          <w:rFonts w:hint="eastAsia" w:ascii="Times New Roman" w:hAnsi="Times New Roman" w:cs="Times New Roman" w:eastAsiaTheme="minorEastAsia"/>
          <w:kern w:val="0"/>
          <w:sz w:val="24"/>
          <w:szCs w:val="24"/>
          <w:lang w:val="en-US" w:eastAsia="zh-CN"/>
        </w:rPr>
        <w:t>5.5.</w:t>
      </w:r>
      <w:r>
        <w:rPr>
          <w:rFonts w:hint="eastAsia" w:ascii="Times New Roman" w:hAnsi="Times New Roman" w:cs="Times New Roman"/>
          <w:kern w:val="0"/>
          <w:sz w:val="24"/>
          <w:szCs w:val="24"/>
          <w:lang w:val="en-US" w:eastAsia="zh-CN"/>
        </w:rPr>
        <w:t>3</w:t>
      </w:r>
      <w:r>
        <w:rPr>
          <w:rFonts w:hint="eastAsia" w:ascii="Times New Roman" w:hAnsi="Times New Roman" w:cs="Times New Roman" w:eastAsiaTheme="minorEastAsia"/>
          <w:kern w:val="0"/>
          <w:sz w:val="24"/>
          <w:szCs w:val="24"/>
          <w:lang w:val="en-US" w:eastAsia="zh-CN"/>
        </w:rPr>
        <w:t>地下水环境影响预测评价结论</w:t>
      </w:r>
      <w:bookmarkEnd w:id="244"/>
    </w:p>
    <w:p w14:paraId="641E5362">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综上所述，在正常情况下，本项目在设计、施工和运行时，严把设计、施工和质量验收关，严格控制厂区污水的无组织泄漏，杜绝因管道材质、制管、防腐涂层、焊接缺陷及运行失误而造成管线泄漏。在生产运行过程中，强化监控手段，定期检查检验，检漏控漏，杜绝厂区长期事故性排放点源的存在，本项目的建设及运营，对地下水环境没有明显影响</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在非正常情况下，可将废水先排入事故池中暂存，待污水处理设施正常运转后进行处理，不会造成超标废水外排，污水池或排水管道发生泄漏现象时可能影响地下水水质，在落实防渗、监测、应急响应、地下水治理等措施后，项目的实施对地下水的影响</w:t>
      </w:r>
      <w:r>
        <w:rPr>
          <w:rFonts w:hint="eastAsia" w:ascii="Times New Roman" w:hAnsi="Times New Roman" w:cs="Times New Roman"/>
          <w:sz w:val="24"/>
          <w:highlight w:val="none"/>
          <w:lang w:val="en-US" w:eastAsia="zh-CN"/>
        </w:rPr>
        <w:t>在</w:t>
      </w:r>
      <w:r>
        <w:rPr>
          <w:rFonts w:hint="default" w:ascii="Times New Roman" w:hAnsi="Times New Roman" w:cs="Times New Roman" w:eastAsiaTheme="minorEastAsia"/>
          <w:sz w:val="24"/>
          <w:highlight w:val="none"/>
          <w:lang w:val="en-US" w:eastAsia="zh-CN"/>
        </w:rPr>
        <w:t>可接受范围。</w:t>
      </w:r>
    </w:p>
    <w:p w14:paraId="4BC27638">
      <w:pPr>
        <w:pStyle w:val="3"/>
        <w:spacing w:before="120" w:after="120" w:line="500" w:lineRule="exact"/>
        <w:ind w:left="375" w:hanging="375" w:firstLineChars="0"/>
        <w:contextualSpacing/>
        <w:rPr>
          <w:rFonts w:hint="eastAsia" w:ascii="Times New Roman" w:hAnsi="Times New Roman" w:cs="Times New Roman" w:eastAsiaTheme="minorEastAsia"/>
          <w:snapToGrid w:val="0"/>
          <w:kern w:val="0"/>
          <w:sz w:val="28"/>
          <w:szCs w:val="28"/>
          <w:lang w:val="en-US" w:eastAsia="zh-CN"/>
        </w:rPr>
      </w:pPr>
      <w:bookmarkStart w:id="245" w:name="_Toc19996"/>
      <w:r>
        <w:rPr>
          <w:rFonts w:hint="eastAsia" w:ascii="Times New Roman" w:hAnsi="Times New Roman" w:cs="Times New Roman" w:eastAsiaTheme="minorEastAsia"/>
          <w:snapToGrid w:val="0"/>
          <w:kern w:val="0"/>
          <w:sz w:val="28"/>
          <w:szCs w:val="28"/>
          <w:lang w:val="en-US" w:eastAsia="zh-CN"/>
        </w:rPr>
        <w:t>5.</w:t>
      </w:r>
      <w:r>
        <w:rPr>
          <w:rFonts w:hint="eastAsia" w:ascii="Times New Roman" w:hAnsi="Times New Roman" w:cs="Times New Roman"/>
          <w:snapToGrid w:val="0"/>
          <w:kern w:val="0"/>
          <w:sz w:val="28"/>
          <w:szCs w:val="28"/>
          <w:lang w:val="en-US" w:eastAsia="zh-CN"/>
        </w:rPr>
        <w:t>6</w:t>
      </w:r>
      <w:r>
        <w:rPr>
          <w:rFonts w:hint="eastAsia" w:ascii="Times New Roman" w:hAnsi="Times New Roman" w:cs="Times New Roman" w:eastAsiaTheme="minorEastAsia"/>
          <w:snapToGrid w:val="0"/>
          <w:kern w:val="0"/>
          <w:sz w:val="28"/>
          <w:szCs w:val="28"/>
          <w:lang w:val="en-US" w:eastAsia="zh-CN"/>
        </w:rPr>
        <w:t>运营期固</w:t>
      </w:r>
      <w:r>
        <w:rPr>
          <w:rFonts w:hint="eastAsia" w:ascii="Times New Roman" w:hAnsi="Times New Roman" w:cs="Times New Roman"/>
          <w:snapToGrid w:val="0"/>
          <w:kern w:val="0"/>
          <w:sz w:val="28"/>
          <w:szCs w:val="28"/>
          <w:lang w:val="en-US" w:eastAsia="zh-CN"/>
        </w:rPr>
        <w:t>体</w:t>
      </w:r>
      <w:r>
        <w:rPr>
          <w:rFonts w:hint="eastAsia" w:ascii="Times New Roman" w:hAnsi="Times New Roman" w:cs="Times New Roman" w:eastAsiaTheme="minorEastAsia"/>
          <w:snapToGrid w:val="0"/>
          <w:kern w:val="0"/>
          <w:sz w:val="28"/>
          <w:szCs w:val="28"/>
          <w:lang w:val="en-US" w:eastAsia="zh-CN"/>
        </w:rPr>
        <w:t>废物环境影响分析</w:t>
      </w:r>
      <w:bookmarkEnd w:id="245"/>
    </w:p>
    <w:p w14:paraId="6A31AE4B">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246" w:name="_Toc15316"/>
      <w:r>
        <w:rPr>
          <w:rFonts w:hint="eastAsia" w:ascii="Times New Roman" w:hAnsi="Times New Roman" w:cs="Times New Roman" w:eastAsiaTheme="minorEastAsia"/>
          <w:kern w:val="0"/>
          <w:sz w:val="24"/>
          <w:szCs w:val="24"/>
          <w:lang w:val="en-US" w:eastAsia="zh-CN"/>
        </w:rPr>
        <w:t>5.</w:t>
      </w:r>
      <w:r>
        <w:rPr>
          <w:rFonts w:hint="eastAsia" w:ascii="Times New Roman" w:hAnsi="Times New Roman" w:cs="Times New Roman"/>
          <w:kern w:val="0"/>
          <w:sz w:val="24"/>
          <w:szCs w:val="24"/>
          <w:lang w:val="en-US" w:eastAsia="zh-CN"/>
        </w:rPr>
        <w:t>6</w:t>
      </w:r>
      <w:r>
        <w:rPr>
          <w:rFonts w:hint="eastAsia" w:ascii="Times New Roman" w:hAnsi="Times New Roman" w:cs="Times New Roman" w:eastAsiaTheme="minorEastAsia"/>
          <w:kern w:val="0"/>
          <w:sz w:val="24"/>
          <w:szCs w:val="24"/>
          <w:lang w:val="en-US" w:eastAsia="zh-CN"/>
        </w:rPr>
        <w:t>.1固体废物产生及处置情况</w:t>
      </w:r>
      <w:bookmarkEnd w:id="246"/>
    </w:p>
    <w:p w14:paraId="4A1210EE">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根据《中华人民共和国固体废物污染环境防治法》</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2020年4月29日修正</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、《国家危险废物名录</w:t>
      </w:r>
      <w:r>
        <w:rPr>
          <w:rFonts w:hint="eastAsia" w:ascii="Times New Roman" w:hAnsi="Times New Roman" w:cs="Times New Roman"/>
          <w:sz w:val="24"/>
          <w:highlight w:val="none"/>
          <w:lang w:val="en-US" w:eastAsia="zh-CN"/>
        </w:rPr>
        <w:t>（2025年版）</w:t>
      </w:r>
      <w:r>
        <w:rPr>
          <w:rFonts w:hint="eastAsia" w:ascii="Times New Roman" w:hAnsi="Times New Roman" w:cs="Times New Roman" w:eastAsiaTheme="minorEastAsia"/>
          <w:sz w:val="24"/>
          <w:highlight w:val="none"/>
          <w:lang w:val="en-US" w:eastAsia="zh-CN"/>
        </w:rPr>
        <w:t>》等有关固体废物的分类方法，对本项目产生的主要固体废物进行分类，本项目主要的固废产生情况见表5.</w:t>
      </w:r>
      <w:r>
        <w:rPr>
          <w:rFonts w:hint="eastAsia" w:ascii="Times New Roman" w:hAnsi="Times New Roman" w:cs="Times New Roman"/>
          <w:sz w:val="24"/>
          <w:highlight w:val="none"/>
          <w:lang w:val="en-US" w:eastAsia="zh-CN"/>
        </w:rPr>
        <w:t>6</w:t>
      </w:r>
      <w:r>
        <w:rPr>
          <w:rFonts w:hint="eastAsia" w:ascii="Times New Roman" w:hAnsi="Times New Roman" w:cs="Times New Roman" w:eastAsiaTheme="minorEastAsia"/>
          <w:sz w:val="24"/>
          <w:highlight w:val="none"/>
          <w:lang w:val="en-US" w:eastAsia="zh-CN"/>
        </w:rPr>
        <w:t>-1。</w:t>
      </w:r>
    </w:p>
    <w:p w14:paraId="546D76A2">
      <w:pPr>
        <w:snapToGrid w:val="0"/>
        <w:spacing w:before="241"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表5.</w:t>
      </w:r>
      <w:r>
        <w:rPr>
          <w:rFonts w:hint="eastAsia" w:ascii="Times New Roman" w:hAnsi="Times New Roman" w:cs="Times New Roman"/>
          <w:b/>
          <w:szCs w:val="21"/>
          <w:lang w:val="en-US" w:eastAsia="zh-CN"/>
        </w:rPr>
        <w:t>6</w:t>
      </w:r>
      <w:r>
        <w:rPr>
          <w:rFonts w:hint="eastAsia" w:ascii="Times New Roman" w:hAnsi="Times New Roman" w:cs="Times New Roman" w:eastAsiaTheme="minorEastAsia"/>
          <w:b/>
          <w:szCs w:val="21"/>
          <w:lang w:val="en-US" w:eastAsia="zh-CN"/>
        </w:rPr>
        <w:t>-1  本项目固体废物产生及处置情况一览表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2"/>
        <w:gridCol w:w="3298"/>
        <w:gridCol w:w="2131"/>
        <w:gridCol w:w="2131"/>
      </w:tblGrid>
      <w:tr w14:paraId="0A934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574F091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序号</w:t>
            </w:r>
          </w:p>
        </w:tc>
        <w:tc>
          <w:tcPr>
            <w:tcW w:w="3298" w:type="dxa"/>
          </w:tcPr>
          <w:p w14:paraId="0BF2C1C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固废名称</w:t>
            </w:r>
          </w:p>
        </w:tc>
        <w:tc>
          <w:tcPr>
            <w:tcW w:w="2131" w:type="dxa"/>
          </w:tcPr>
          <w:p w14:paraId="24FE286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类别</w:t>
            </w:r>
          </w:p>
        </w:tc>
        <w:tc>
          <w:tcPr>
            <w:tcW w:w="2131" w:type="dxa"/>
          </w:tcPr>
          <w:p w14:paraId="6079184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分类编号</w:t>
            </w:r>
          </w:p>
        </w:tc>
      </w:tr>
      <w:tr w14:paraId="6D395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0B18D8E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w:t>
            </w:r>
          </w:p>
        </w:tc>
        <w:tc>
          <w:tcPr>
            <w:tcW w:w="3298" w:type="dxa"/>
          </w:tcPr>
          <w:p w14:paraId="72E6569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炉渣</w:t>
            </w:r>
          </w:p>
        </w:tc>
        <w:tc>
          <w:tcPr>
            <w:tcW w:w="2131" w:type="dxa"/>
            <w:vAlign w:val="top"/>
          </w:tcPr>
          <w:p w14:paraId="4931F64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危险废物HW18</w:t>
            </w:r>
          </w:p>
        </w:tc>
        <w:tc>
          <w:tcPr>
            <w:tcW w:w="2131" w:type="dxa"/>
            <w:vAlign w:val="top"/>
          </w:tcPr>
          <w:p w14:paraId="6420ED3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772-003-18</w:t>
            </w:r>
          </w:p>
        </w:tc>
      </w:tr>
      <w:tr w14:paraId="02DD6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0493F18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w:t>
            </w:r>
          </w:p>
        </w:tc>
        <w:tc>
          <w:tcPr>
            <w:tcW w:w="3298" w:type="dxa"/>
          </w:tcPr>
          <w:p w14:paraId="60DAA7F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废离子交换树脂</w:t>
            </w:r>
          </w:p>
        </w:tc>
        <w:tc>
          <w:tcPr>
            <w:tcW w:w="2131" w:type="dxa"/>
          </w:tcPr>
          <w:p w14:paraId="53A95DC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一般固废</w:t>
            </w:r>
            <w:r>
              <w:rPr>
                <w:rFonts w:hint="eastAsia" w:cs="Times New Roman" w:eastAsiaTheme="minorEastAsia"/>
                <w:szCs w:val="21"/>
                <w:lang w:val="en-US" w:eastAsia="zh-CN"/>
              </w:rPr>
              <w:t>SW59</w:t>
            </w:r>
          </w:p>
        </w:tc>
        <w:tc>
          <w:tcPr>
            <w:tcW w:w="2131" w:type="dxa"/>
          </w:tcPr>
          <w:p w14:paraId="1F15246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900-008-S59</w:t>
            </w:r>
          </w:p>
        </w:tc>
      </w:tr>
      <w:tr w14:paraId="233B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71C3B21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w:t>
            </w:r>
          </w:p>
        </w:tc>
        <w:tc>
          <w:tcPr>
            <w:tcW w:w="3298" w:type="dxa"/>
          </w:tcPr>
          <w:p w14:paraId="2F1F9D8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飞灰</w:t>
            </w:r>
          </w:p>
        </w:tc>
        <w:tc>
          <w:tcPr>
            <w:tcW w:w="2131" w:type="dxa"/>
          </w:tcPr>
          <w:p w14:paraId="0D2E3C0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危险废物HW18</w:t>
            </w:r>
          </w:p>
        </w:tc>
        <w:tc>
          <w:tcPr>
            <w:tcW w:w="2131" w:type="dxa"/>
          </w:tcPr>
          <w:p w14:paraId="77CCFA2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772-003-18</w:t>
            </w:r>
          </w:p>
        </w:tc>
      </w:tr>
      <w:tr w14:paraId="3DA9A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448FC2E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w:t>
            </w:r>
          </w:p>
        </w:tc>
        <w:tc>
          <w:tcPr>
            <w:tcW w:w="3298" w:type="dxa"/>
          </w:tcPr>
          <w:p w14:paraId="26420CF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废活性炭</w:t>
            </w:r>
          </w:p>
        </w:tc>
        <w:tc>
          <w:tcPr>
            <w:tcW w:w="2131" w:type="dxa"/>
          </w:tcPr>
          <w:p w14:paraId="4444CE6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危险废物HW18</w:t>
            </w:r>
          </w:p>
        </w:tc>
        <w:tc>
          <w:tcPr>
            <w:tcW w:w="2131" w:type="dxa"/>
          </w:tcPr>
          <w:p w14:paraId="7D832EF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772-005-18</w:t>
            </w:r>
          </w:p>
        </w:tc>
      </w:tr>
      <w:tr w14:paraId="7DDAB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3592732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w:t>
            </w:r>
          </w:p>
        </w:tc>
        <w:tc>
          <w:tcPr>
            <w:tcW w:w="3298" w:type="dxa"/>
          </w:tcPr>
          <w:p w14:paraId="200EAC1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水处理污泥</w:t>
            </w:r>
          </w:p>
        </w:tc>
        <w:tc>
          <w:tcPr>
            <w:tcW w:w="2131" w:type="dxa"/>
          </w:tcPr>
          <w:p w14:paraId="0120FB9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危险废物HW18</w:t>
            </w:r>
          </w:p>
        </w:tc>
        <w:tc>
          <w:tcPr>
            <w:tcW w:w="2131" w:type="dxa"/>
          </w:tcPr>
          <w:p w14:paraId="0C8C9E7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772-003-18</w:t>
            </w:r>
          </w:p>
        </w:tc>
      </w:tr>
      <w:tr w14:paraId="49EF8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681E0A5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w:t>
            </w:r>
          </w:p>
        </w:tc>
        <w:tc>
          <w:tcPr>
            <w:tcW w:w="3298" w:type="dxa"/>
          </w:tcPr>
          <w:p w14:paraId="2FA4200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废滤袋、废专用桶、废手套</w:t>
            </w: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次氯酸钠、氢氧化钠等包装袋等</w:t>
            </w:r>
          </w:p>
        </w:tc>
        <w:tc>
          <w:tcPr>
            <w:tcW w:w="2131" w:type="dxa"/>
          </w:tcPr>
          <w:p w14:paraId="05A2DB6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危险废物HW49</w:t>
            </w:r>
          </w:p>
        </w:tc>
        <w:tc>
          <w:tcPr>
            <w:tcW w:w="2131" w:type="dxa"/>
          </w:tcPr>
          <w:p w14:paraId="2DDA20F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900-041-49</w:t>
            </w:r>
          </w:p>
        </w:tc>
      </w:tr>
      <w:tr w14:paraId="5A1FA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1753C6D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w:t>
            </w:r>
          </w:p>
        </w:tc>
        <w:tc>
          <w:tcPr>
            <w:tcW w:w="3298" w:type="dxa"/>
          </w:tcPr>
          <w:p w14:paraId="4C8913E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废机油</w:t>
            </w:r>
          </w:p>
        </w:tc>
        <w:tc>
          <w:tcPr>
            <w:tcW w:w="2131" w:type="dxa"/>
          </w:tcPr>
          <w:p w14:paraId="0DA117F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危险废物HW08</w:t>
            </w:r>
          </w:p>
        </w:tc>
        <w:tc>
          <w:tcPr>
            <w:tcW w:w="2131" w:type="dxa"/>
          </w:tcPr>
          <w:p w14:paraId="4E15DB9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900-214-08</w:t>
            </w:r>
          </w:p>
        </w:tc>
      </w:tr>
      <w:tr w14:paraId="60CC0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322A661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8</w:t>
            </w:r>
          </w:p>
        </w:tc>
        <w:tc>
          <w:tcPr>
            <w:tcW w:w="3298" w:type="dxa"/>
          </w:tcPr>
          <w:p w14:paraId="3C609D5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废包装袋</w:t>
            </w:r>
          </w:p>
        </w:tc>
        <w:tc>
          <w:tcPr>
            <w:tcW w:w="2131" w:type="dxa"/>
          </w:tcPr>
          <w:p w14:paraId="2122951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一般固废</w:t>
            </w:r>
            <w:r>
              <w:rPr>
                <w:rFonts w:hint="eastAsia" w:cs="Times New Roman" w:eastAsiaTheme="minorEastAsia"/>
                <w:szCs w:val="21"/>
                <w:lang w:val="en-US" w:eastAsia="zh-CN"/>
              </w:rPr>
              <w:t>SW59</w:t>
            </w:r>
          </w:p>
        </w:tc>
        <w:tc>
          <w:tcPr>
            <w:tcW w:w="2131" w:type="dxa"/>
          </w:tcPr>
          <w:p w14:paraId="3C86694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900-099-S59</w:t>
            </w:r>
          </w:p>
        </w:tc>
      </w:tr>
    </w:tbl>
    <w:p w14:paraId="2BAA4F11">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247" w:name="_Toc25743"/>
      <w:r>
        <w:rPr>
          <w:rFonts w:hint="eastAsia" w:ascii="Times New Roman" w:hAnsi="Times New Roman" w:cs="Times New Roman" w:eastAsiaTheme="minorEastAsia"/>
          <w:kern w:val="0"/>
          <w:sz w:val="24"/>
          <w:szCs w:val="24"/>
          <w:lang w:val="en-US" w:eastAsia="zh-CN"/>
        </w:rPr>
        <w:t>5.</w:t>
      </w:r>
      <w:r>
        <w:rPr>
          <w:rFonts w:hint="eastAsia" w:ascii="Times New Roman" w:hAnsi="Times New Roman" w:cs="Times New Roman"/>
          <w:kern w:val="0"/>
          <w:sz w:val="24"/>
          <w:szCs w:val="24"/>
          <w:lang w:val="en-US" w:eastAsia="zh-CN"/>
        </w:rPr>
        <w:t>6</w:t>
      </w:r>
      <w:r>
        <w:rPr>
          <w:rFonts w:hint="eastAsia" w:ascii="Times New Roman" w:hAnsi="Times New Roman" w:cs="Times New Roman" w:eastAsiaTheme="minorEastAsia"/>
          <w:kern w:val="0"/>
          <w:sz w:val="24"/>
          <w:szCs w:val="24"/>
          <w:lang w:val="en-US" w:eastAsia="zh-CN"/>
        </w:rPr>
        <w:t>.2固体废物厂内暂存污染防治措施及影响分析</w:t>
      </w:r>
      <w:bookmarkEnd w:id="247"/>
    </w:p>
    <w:p w14:paraId="2AB77C73">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5.</w:t>
      </w:r>
      <w:r>
        <w:rPr>
          <w:rFonts w:hint="eastAsia" w:ascii="Times New Roman" w:hAnsi="Times New Roman" w:cs="Times New Roman"/>
          <w:b/>
          <w:bCs/>
          <w:sz w:val="24"/>
          <w:lang w:val="en-US" w:eastAsia="zh-CN"/>
        </w:rPr>
        <w:t>6</w:t>
      </w:r>
      <w:r>
        <w:rPr>
          <w:rFonts w:hint="eastAsia" w:ascii="Times New Roman" w:hAnsi="Times New Roman" w:cs="Times New Roman" w:eastAsiaTheme="minorEastAsia"/>
          <w:b/>
          <w:bCs/>
          <w:sz w:val="24"/>
          <w:lang w:val="en-US" w:eastAsia="zh-CN"/>
        </w:rPr>
        <w:t>.2.1一般工业固废暂存污染防治措施及影响分析</w:t>
      </w:r>
    </w:p>
    <w:p w14:paraId="1DC89E51">
      <w:pPr>
        <w:keepNext w:val="0"/>
        <w:keepLines w:val="0"/>
        <w:pageBreakBefore w:val="0"/>
        <w:widowControl w:val="0"/>
        <w:kinsoku/>
        <w:wordWrap/>
        <w:overflowPunct/>
        <w:topLinePunct w:val="0"/>
        <w:autoSpaceDE/>
        <w:autoSpaceDN/>
        <w:bidi w:val="0"/>
        <w:spacing w:line="520" w:lineRule="exact"/>
        <w:ind w:leftChars="0" w:firstLine="480" w:firstLineChars="200"/>
        <w:textAlignment w:val="baseline"/>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本项目产生的一般工业固体废物主要为废离子交换树脂</w:t>
      </w:r>
      <w:r>
        <w:rPr>
          <w:rFonts w:hint="eastAsia" w:ascii="Times New Roman" w:hAnsi="Times New Roman" w:cs="Times New Roman"/>
          <w:sz w:val="24"/>
          <w:highlight w:val="none"/>
          <w:lang w:val="en-US" w:eastAsia="zh-CN"/>
        </w:rPr>
        <w:t>、废包装袋</w:t>
      </w:r>
      <w:r>
        <w:rPr>
          <w:rFonts w:hint="default" w:ascii="Times New Roman" w:hAnsi="Times New Roman" w:cs="Times New Roman" w:eastAsiaTheme="minorEastAsia"/>
          <w:sz w:val="24"/>
          <w:highlight w:val="none"/>
          <w:lang w:val="en-US" w:eastAsia="zh-CN"/>
        </w:rPr>
        <w:t>。软水装置产生的废离子交换树脂</w:t>
      </w:r>
      <w:r>
        <w:rPr>
          <w:rFonts w:hint="eastAsia" w:ascii="Times New Roman" w:hAnsi="Times New Roman" w:cs="Times New Roman" w:eastAsiaTheme="minorEastAsia"/>
          <w:sz w:val="24"/>
          <w:highlight w:val="none"/>
          <w:lang w:val="en-US" w:eastAsia="zh-CN"/>
        </w:rPr>
        <w:t>定期由厂家回收</w:t>
      </w:r>
      <w:r>
        <w:rPr>
          <w:rFonts w:hint="eastAsia" w:ascii="Times New Roman" w:hAnsi="Times New Roman" w:cs="Times New Roman"/>
          <w:sz w:val="24"/>
          <w:highlight w:val="none"/>
          <w:lang w:val="en-US" w:eastAsia="zh-CN"/>
        </w:rPr>
        <w:t>；</w:t>
      </w:r>
      <w:r>
        <w:rPr>
          <w:rFonts w:hint="eastAsia" w:cs="Times New Roman"/>
          <w:bCs/>
          <w:color w:val="auto"/>
          <w:sz w:val="24"/>
          <w:highlight w:val="none"/>
          <w:lang w:val="en-US" w:eastAsia="zh-CN"/>
        </w:rPr>
        <w:t>生产过程废弃包装袋，定期出售给附近回收站。</w:t>
      </w:r>
    </w:p>
    <w:p w14:paraId="60A48EDA">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5.</w:t>
      </w:r>
      <w:r>
        <w:rPr>
          <w:rFonts w:hint="eastAsia" w:ascii="Times New Roman" w:hAnsi="Times New Roman" w:cs="Times New Roman"/>
          <w:b/>
          <w:bCs/>
          <w:sz w:val="24"/>
          <w:lang w:val="en-US" w:eastAsia="zh-CN"/>
        </w:rPr>
        <w:t>6</w:t>
      </w:r>
      <w:r>
        <w:rPr>
          <w:rFonts w:hint="eastAsia" w:ascii="Times New Roman" w:hAnsi="Times New Roman" w:cs="Times New Roman" w:eastAsiaTheme="minorEastAsia"/>
          <w:b/>
          <w:bCs/>
          <w:sz w:val="24"/>
          <w:lang w:val="en-US" w:eastAsia="zh-CN"/>
        </w:rPr>
        <w:t>.2.2危险废物暂存污染防治措施及影响分析</w:t>
      </w:r>
    </w:p>
    <w:p w14:paraId="5AD90920">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本项目</w:t>
      </w:r>
      <w:r>
        <w:rPr>
          <w:rFonts w:hint="eastAsia" w:ascii="Times New Roman" w:hAnsi="Times New Roman" w:cs="Times New Roman" w:eastAsiaTheme="minorEastAsia"/>
          <w:sz w:val="24"/>
          <w:highlight w:val="none"/>
          <w:lang w:val="en-US" w:eastAsia="zh-CN"/>
        </w:rPr>
        <w:t>产生的飞灰暂存于厂区危废贮存</w:t>
      </w:r>
      <w:r>
        <w:rPr>
          <w:rFonts w:hint="eastAsia" w:ascii="Times New Roman" w:hAnsi="Times New Roman" w:cs="Times New Roman"/>
          <w:sz w:val="24"/>
          <w:highlight w:val="none"/>
          <w:lang w:val="en-US" w:eastAsia="zh-CN"/>
        </w:rPr>
        <w:t>库</w:t>
      </w:r>
      <w:r>
        <w:rPr>
          <w:rFonts w:hint="eastAsia" w:ascii="Times New Roman" w:hAnsi="Times New Roman" w:cs="Times New Roman" w:eastAsiaTheme="minorEastAsia"/>
          <w:sz w:val="24"/>
          <w:highlight w:val="none"/>
          <w:lang w:val="en-US" w:eastAsia="zh-CN"/>
        </w:rPr>
        <w:t>内，定期委托危险废物处置单位拉运处置；</w:t>
      </w:r>
      <w:r>
        <w:rPr>
          <w:rFonts w:hint="eastAsia" w:ascii="Times New Roman" w:hAnsi="Times New Roman" w:cs="Times New Roman"/>
          <w:sz w:val="24"/>
          <w:highlight w:val="none"/>
          <w:lang w:val="en-US" w:eastAsia="zh-CN"/>
        </w:rPr>
        <w:t>产生炉渣贮存于厂区炉渣库内，定期</w:t>
      </w:r>
      <w:r>
        <w:rPr>
          <w:rFonts w:hint="eastAsia" w:ascii="Times New Roman" w:hAnsi="Times New Roman" w:cs="Times New Roman" w:eastAsiaTheme="minorEastAsia"/>
          <w:sz w:val="24"/>
          <w:highlight w:val="none"/>
          <w:lang w:val="en-US" w:eastAsia="zh-CN"/>
        </w:rPr>
        <w:t>委托危险废物处置单位拉运处置；</w:t>
      </w:r>
      <w:r>
        <w:rPr>
          <w:rFonts w:hint="default" w:ascii="Times New Roman" w:hAnsi="Times New Roman" w:cs="Times New Roman" w:eastAsiaTheme="minorEastAsia"/>
          <w:sz w:val="24"/>
          <w:highlight w:val="none"/>
          <w:lang w:val="en-US" w:eastAsia="zh-CN"/>
        </w:rPr>
        <w:t>其他危险废物废活性炭、水处理污泥、废滤袋、废专用桶、废手套、废机油</w:t>
      </w:r>
      <w:r>
        <w:rPr>
          <w:rFonts w:hint="eastAsia" w:ascii="Times New Roman" w:hAnsi="Times New Roman" w:cs="Times New Roman" w:eastAsiaTheme="minorEastAsia"/>
          <w:sz w:val="24"/>
          <w:highlight w:val="none"/>
          <w:lang w:val="en-US" w:eastAsia="zh-CN"/>
        </w:rPr>
        <w:t>、次氯酸钠、氢氧化钠包装袋等</w:t>
      </w:r>
      <w:r>
        <w:rPr>
          <w:rFonts w:hint="default" w:ascii="Times New Roman" w:hAnsi="Times New Roman" w:cs="Times New Roman" w:eastAsiaTheme="minorEastAsia"/>
          <w:sz w:val="24"/>
          <w:highlight w:val="none"/>
          <w:lang w:val="en-US" w:eastAsia="zh-CN"/>
        </w:rPr>
        <w:t>存储在厂内</w:t>
      </w:r>
      <w:r>
        <w:rPr>
          <w:rFonts w:hint="eastAsia" w:ascii="Times New Roman" w:hAnsi="Times New Roman" w:cs="Times New Roman" w:eastAsiaTheme="minorEastAsia"/>
          <w:sz w:val="24"/>
          <w:highlight w:val="none"/>
          <w:lang w:val="en-US" w:eastAsia="zh-CN"/>
        </w:rPr>
        <w:t>危废贮存库，定期</w:t>
      </w:r>
      <w:r>
        <w:rPr>
          <w:rFonts w:hint="default" w:ascii="Times New Roman" w:hAnsi="Times New Roman" w:cs="Times New Roman" w:eastAsiaTheme="minorEastAsia"/>
          <w:sz w:val="24"/>
          <w:highlight w:val="none"/>
          <w:lang w:val="en-US" w:eastAsia="zh-CN"/>
        </w:rPr>
        <w:t>送具有危废处理资质的单位处置。本项目产生的各类危险废物均得到合理处置，达到零排放，对周围环境影响不大。</w:t>
      </w:r>
    </w:p>
    <w:p w14:paraId="177A0DE8">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（1）飞灰用防漏胶带盛装贮存在危废暂存库内；</w:t>
      </w:r>
    </w:p>
    <w:p w14:paraId="36EDD420">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w:t>
      </w:r>
      <w:r>
        <w:rPr>
          <w:rFonts w:hint="default" w:ascii="Times New Roman" w:hAnsi="Times New Roman" w:cs="Times New Roman" w:eastAsiaTheme="minorEastAsia"/>
          <w:sz w:val="24"/>
          <w:highlight w:val="none"/>
          <w:lang w:val="en-US" w:eastAsia="zh-CN"/>
        </w:rPr>
        <w:t>本项目针对危险废物的特性，选择防渗漏、防火等适合的专门收集容器来储存，并对危险废物</w:t>
      </w:r>
      <w:r>
        <w:rPr>
          <w:rFonts w:hint="eastAsia" w:ascii="Times New Roman" w:hAnsi="Times New Roman" w:cs="Times New Roman" w:eastAsiaTheme="minorEastAsia"/>
          <w:sz w:val="24"/>
          <w:highlight w:val="none"/>
          <w:lang w:val="en-US" w:eastAsia="zh-CN"/>
        </w:rPr>
        <w:t>贮存库、炉渣间</w:t>
      </w:r>
      <w:r>
        <w:rPr>
          <w:rFonts w:hint="default" w:ascii="Times New Roman" w:hAnsi="Times New Roman" w:cs="Times New Roman" w:eastAsiaTheme="minorEastAsia"/>
          <w:sz w:val="24"/>
          <w:highlight w:val="none"/>
          <w:lang w:val="en-US" w:eastAsia="zh-CN"/>
        </w:rPr>
        <w:t>按《危险废物贮存污染控制标准》</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GB18597-20</w:t>
      </w:r>
      <w:r>
        <w:rPr>
          <w:rFonts w:hint="eastAsia" w:ascii="Times New Roman" w:hAnsi="Times New Roman" w:cs="Times New Roman" w:eastAsiaTheme="minorEastAsia"/>
          <w:sz w:val="24"/>
          <w:highlight w:val="none"/>
          <w:lang w:val="en-US" w:eastAsia="zh-CN"/>
        </w:rPr>
        <w:t>23）</w:t>
      </w:r>
      <w:r>
        <w:rPr>
          <w:rFonts w:hint="default" w:ascii="Times New Roman" w:hAnsi="Times New Roman" w:cs="Times New Roman" w:eastAsiaTheme="minorEastAsia"/>
          <w:sz w:val="24"/>
          <w:highlight w:val="none"/>
          <w:lang w:val="en-US" w:eastAsia="zh-CN"/>
        </w:rPr>
        <w:t>设计，防风、防雨、防晒，基础防渗层渗透系数小于1.0</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10</w:t>
      </w:r>
      <w:r>
        <w:rPr>
          <w:rFonts w:hint="eastAsia" w:ascii="Times New Roman" w:hAnsi="Times New Roman" w:cs="Times New Roman" w:eastAsiaTheme="minorEastAsia"/>
          <w:sz w:val="24"/>
          <w:highlight w:val="none"/>
          <w:vertAlign w:val="superscript"/>
          <w:lang w:val="en-US" w:eastAsia="zh-CN"/>
        </w:rPr>
        <w:t>-</w:t>
      </w:r>
      <w:r>
        <w:rPr>
          <w:rFonts w:hint="default" w:ascii="Times New Roman" w:hAnsi="Times New Roman" w:cs="Times New Roman" w:eastAsiaTheme="minorEastAsia"/>
          <w:sz w:val="24"/>
          <w:highlight w:val="none"/>
          <w:vertAlign w:val="superscript"/>
          <w:lang w:val="en-US" w:eastAsia="zh-CN"/>
        </w:rPr>
        <w:t>1</w:t>
      </w:r>
      <w:r>
        <w:rPr>
          <w:rFonts w:hint="eastAsia" w:ascii="Times New Roman" w:hAnsi="Times New Roman" w:cs="Times New Roman" w:eastAsiaTheme="minorEastAsia"/>
          <w:sz w:val="24"/>
          <w:highlight w:val="none"/>
          <w:vertAlign w:val="superscript"/>
          <w:lang w:val="en-US" w:eastAsia="zh-CN"/>
        </w:rPr>
        <w:t>0</w:t>
      </w:r>
      <w:r>
        <w:rPr>
          <w:rFonts w:hint="default" w:ascii="Times New Roman" w:hAnsi="Times New Roman" w:cs="Times New Roman" w:eastAsiaTheme="minorEastAsia"/>
          <w:sz w:val="24"/>
          <w:highlight w:val="none"/>
          <w:lang w:val="en-US" w:eastAsia="zh-CN"/>
        </w:rPr>
        <w:t>cm/s，使储存场所的综合渗透系数能够满足防渗漏的要求，坚决杜绝</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跑、冒、滴、漏</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等现象的发生</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建设堵截泄漏的裙角，地面与裙脚要用坚固防渗的材料建造</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液体危险废物的储存区四周设置围堰，所设围堰能达到0.</w:t>
      </w:r>
      <w:r>
        <w:rPr>
          <w:rFonts w:hint="eastAsia" w:ascii="Times New Roman" w:hAnsi="Times New Roman" w:cs="Times New Roman" w:eastAsiaTheme="minorEastAsia"/>
          <w:sz w:val="24"/>
          <w:highlight w:val="none"/>
          <w:lang w:val="en-US" w:eastAsia="zh-CN"/>
        </w:rPr>
        <w:t>2</w:t>
      </w:r>
      <w:r>
        <w:rPr>
          <w:rFonts w:hint="default" w:ascii="Times New Roman" w:hAnsi="Times New Roman" w:cs="Times New Roman" w:eastAsiaTheme="minorEastAsia"/>
          <w:sz w:val="24"/>
          <w:highlight w:val="none"/>
          <w:lang w:val="en-US" w:eastAsia="zh-CN"/>
        </w:rPr>
        <w:t>m高度的要求，确保安全</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并设置警示标志及环境保护图形标志。</w:t>
      </w:r>
    </w:p>
    <w:p w14:paraId="5A968562">
      <w:pPr>
        <w:adjustRightInd w:val="0"/>
        <w:snapToGrid w:val="0"/>
        <w:spacing w:line="500" w:lineRule="exact"/>
        <w:ind w:firstLine="480" w:firstLineChars="200"/>
        <w:jc w:val="left"/>
        <w:rPr>
          <w:rFonts w:hint="default"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（3）危废贮存库、炉渣间设气体导出口与二燃室鼓风机相连，导出气体进入二燃室焚烧。</w:t>
      </w:r>
    </w:p>
    <w:p w14:paraId="1B374C80">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本项目采取合理的暂存措施可有效避免二次污染，同时建设单位应及时将危险废物合理处置，防止堆存污染。</w:t>
      </w:r>
    </w:p>
    <w:p w14:paraId="2001DD74">
      <w:pPr>
        <w:pStyle w:val="4"/>
        <w:spacing w:before="120" w:after="120" w:line="500" w:lineRule="exact"/>
        <w:rPr>
          <w:rFonts w:hint="eastAsia" w:ascii="Times New Roman" w:hAnsi="Times New Roman" w:cs="Times New Roman" w:eastAsiaTheme="minorEastAsia"/>
          <w:kern w:val="0"/>
          <w:sz w:val="24"/>
          <w:szCs w:val="24"/>
          <w:highlight w:val="none"/>
          <w:lang w:val="en-US" w:eastAsia="zh-CN"/>
        </w:rPr>
      </w:pPr>
      <w:bookmarkStart w:id="248" w:name="_Toc20715"/>
      <w:r>
        <w:rPr>
          <w:rFonts w:hint="eastAsia" w:ascii="Times New Roman" w:hAnsi="Times New Roman" w:cs="Times New Roman" w:eastAsiaTheme="minorEastAsia"/>
          <w:kern w:val="0"/>
          <w:sz w:val="24"/>
          <w:szCs w:val="24"/>
          <w:highlight w:val="none"/>
          <w:lang w:val="en-US" w:eastAsia="zh-CN"/>
        </w:rPr>
        <w:t>5.</w:t>
      </w:r>
      <w:r>
        <w:rPr>
          <w:rFonts w:hint="eastAsia" w:ascii="Times New Roman" w:hAnsi="Times New Roman" w:cs="Times New Roman"/>
          <w:kern w:val="0"/>
          <w:sz w:val="24"/>
          <w:szCs w:val="24"/>
          <w:highlight w:val="none"/>
          <w:lang w:val="en-US" w:eastAsia="zh-CN"/>
        </w:rPr>
        <w:t>6</w:t>
      </w:r>
      <w:r>
        <w:rPr>
          <w:rFonts w:hint="eastAsia" w:ascii="Times New Roman" w:hAnsi="Times New Roman" w:cs="Times New Roman" w:eastAsiaTheme="minorEastAsia"/>
          <w:kern w:val="0"/>
          <w:sz w:val="24"/>
          <w:szCs w:val="24"/>
          <w:highlight w:val="none"/>
          <w:lang w:val="en-US" w:eastAsia="zh-CN"/>
        </w:rPr>
        <w:t>.3固体废物处置措施及环境影响分析</w:t>
      </w:r>
      <w:bookmarkEnd w:id="248"/>
    </w:p>
    <w:p w14:paraId="4F33F772">
      <w:pPr>
        <w:adjustRightInd w:val="0"/>
        <w:snapToGrid w:val="0"/>
        <w:spacing w:line="500" w:lineRule="exact"/>
        <w:jc w:val="left"/>
        <w:rPr>
          <w:rFonts w:hint="eastAsia" w:ascii="Times New Roman" w:hAnsi="Times New Roman" w:cs="Times New Roman" w:eastAsiaTheme="minorEastAsia"/>
          <w:b/>
          <w:bCs/>
          <w:sz w:val="24"/>
          <w:highlight w:val="none"/>
          <w:lang w:val="en-US" w:eastAsia="zh-CN"/>
        </w:rPr>
      </w:pPr>
      <w:r>
        <w:rPr>
          <w:rFonts w:hint="eastAsia" w:ascii="Times New Roman" w:hAnsi="Times New Roman" w:cs="Times New Roman" w:eastAsiaTheme="minorEastAsia"/>
          <w:b/>
          <w:bCs/>
          <w:sz w:val="24"/>
          <w:highlight w:val="none"/>
          <w:lang w:val="en-US" w:eastAsia="zh-CN"/>
        </w:rPr>
        <w:t>5.</w:t>
      </w:r>
      <w:r>
        <w:rPr>
          <w:rFonts w:hint="eastAsia" w:ascii="Times New Roman" w:hAnsi="Times New Roman" w:cs="Times New Roman"/>
          <w:b/>
          <w:bCs/>
          <w:sz w:val="24"/>
          <w:highlight w:val="none"/>
          <w:lang w:val="en-US" w:eastAsia="zh-CN"/>
        </w:rPr>
        <w:t>6</w:t>
      </w:r>
      <w:r>
        <w:rPr>
          <w:rFonts w:hint="eastAsia" w:ascii="Times New Roman" w:hAnsi="Times New Roman" w:cs="Times New Roman" w:eastAsiaTheme="minorEastAsia"/>
          <w:b/>
          <w:bCs/>
          <w:sz w:val="24"/>
          <w:highlight w:val="none"/>
          <w:lang w:val="en-US" w:eastAsia="zh-CN"/>
        </w:rPr>
        <w:t>.3.1一般废物处置措施及影响分析</w:t>
      </w:r>
    </w:p>
    <w:p w14:paraId="15280AC0">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highlight w:val="none"/>
          <w:lang w:val="en-US" w:eastAsia="zh-CN"/>
        </w:rPr>
        <w:t>废离子交换树脂定期交由</w:t>
      </w:r>
      <w:r>
        <w:rPr>
          <w:rFonts w:hint="eastAsia" w:ascii="Times New Roman" w:hAnsi="Times New Roman" w:cs="Times New Roman" w:eastAsiaTheme="minorEastAsia"/>
          <w:sz w:val="24"/>
          <w:lang w:val="en-US" w:eastAsia="zh-CN"/>
        </w:rPr>
        <w:t>厂家回收；废包装袋定期出售给附近回收站。项目能够确保一般固废均不会随意堆放，排放至外环境，对周围环境基本无影响。</w:t>
      </w:r>
    </w:p>
    <w:p w14:paraId="25F54DE4">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5.</w:t>
      </w:r>
      <w:r>
        <w:rPr>
          <w:rFonts w:hint="eastAsia" w:ascii="Times New Roman" w:hAnsi="Times New Roman" w:cs="Times New Roman"/>
          <w:b/>
          <w:bCs/>
          <w:sz w:val="24"/>
          <w:lang w:val="en-US" w:eastAsia="zh-CN"/>
        </w:rPr>
        <w:t>6</w:t>
      </w:r>
      <w:r>
        <w:rPr>
          <w:rFonts w:hint="eastAsia" w:ascii="Times New Roman" w:hAnsi="Times New Roman" w:cs="Times New Roman" w:eastAsiaTheme="minorEastAsia"/>
          <w:b/>
          <w:bCs/>
          <w:sz w:val="24"/>
          <w:lang w:val="en-US" w:eastAsia="zh-CN"/>
        </w:rPr>
        <w:t>.3.2危险废物处置措施及影响分析</w:t>
      </w:r>
    </w:p>
    <w:p w14:paraId="253EC014">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本项目产生的危险废物中水处理污泥</w:t>
      </w:r>
      <w:r>
        <w:rPr>
          <w:rFonts w:hint="eastAsia" w:ascii="Times New Roman" w:hAnsi="Times New Roman" w:cs="Times New Roman" w:eastAsiaTheme="minorEastAsia"/>
          <w:sz w:val="24"/>
          <w:lang w:val="en-US" w:eastAsia="zh-CN"/>
        </w:rPr>
        <w:t>收集至厂区危废贮存库内，产生的炉渣暂存于厂区炉渣间内，</w:t>
      </w:r>
      <w:r>
        <w:rPr>
          <w:rFonts w:hint="eastAsia" w:ascii="Times New Roman" w:hAnsi="Times New Roman" w:cs="Times New Roman"/>
          <w:sz w:val="24"/>
          <w:lang w:val="en-US" w:eastAsia="zh-CN"/>
        </w:rPr>
        <w:t>飞灰暂存在危废贮存库内，</w:t>
      </w:r>
      <w:r>
        <w:rPr>
          <w:rFonts w:hint="eastAsia" w:ascii="Times New Roman" w:hAnsi="Times New Roman" w:cs="Times New Roman" w:eastAsiaTheme="minorEastAsia"/>
          <w:sz w:val="24"/>
          <w:lang w:val="en-US" w:eastAsia="zh-CN"/>
        </w:rPr>
        <w:t>均同</w:t>
      </w:r>
      <w:r>
        <w:rPr>
          <w:rFonts w:hint="default" w:ascii="Times New Roman" w:hAnsi="Times New Roman" w:cs="Times New Roman" w:eastAsiaTheme="minorEastAsia"/>
          <w:sz w:val="24"/>
          <w:lang w:val="en-US" w:eastAsia="zh-CN"/>
        </w:rPr>
        <w:t>废活性炭、废滤袋、废专用桶、废手套、废机油</w:t>
      </w:r>
      <w:r>
        <w:rPr>
          <w:rFonts w:hint="eastAsia" w:ascii="Times New Roman" w:hAnsi="Times New Roman" w:cs="Times New Roman" w:eastAsiaTheme="minorEastAsia"/>
          <w:sz w:val="24"/>
          <w:lang w:val="en-US" w:eastAsia="zh-CN"/>
        </w:rPr>
        <w:t>、次氯酸钠、氢氧化钠包装袋等一同</w:t>
      </w:r>
      <w:r>
        <w:rPr>
          <w:rFonts w:hint="default" w:ascii="Times New Roman" w:hAnsi="Times New Roman" w:cs="Times New Roman" w:eastAsiaTheme="minorEastAsia"/>
          <w:sz w:val="24"/>
          <w:lang w:val="en-US" w:eastAsia="zh-CN"/>
        </w:rPr>
        <w:t>委托具有危废处理资质的单位处置。建设单位应严格进行联单管理，危险废物的储存运输应按《危险废物贮存污染控制标准》</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GB18597</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20</w:t>
      </w:r>
      <w:r>
        <w:rPr>
          <w:rFonts w:hint="eastAsia" w:ascii="Times New Roman" w:hAnsi="Times New Roman" w:cs="Times New Roman" w:eastAsiaTheme="minorEastAsia"/>
          <w:sz w:val="24"/>
          <w:lang w:val="en-US" w:eastAsia="zh-CN"/>
        </w:rPr>
        <w:t>23）</w:t>
      </w:r>
      <w:r>
        <w:rPr>
          <w:rFonts w:hint="default" w:ascii="Times New Roman" w:hAnsi="Times New Roman" w:cs="Times New Roman" w:eastAsiaTheme="minorEastAsia"/>
          <w:sz w:val="24"/>
          <w:lang w:val="en-US" w:eastAsia="zh-CN"/>
        </w:rPr>
        <w:t>和《危险废物污染防治技术政策》的要求进行，同时须符合</w:t>
      </w:r>
      <w:r>
        <w:rPr>
          <w:rFonts w:hint="eastAsia" w:ascii="Times New Roman" w:hAnsi="Times New Roman" w:cs="Times New Roman" w:eastAsiaTheme="minorEastAsia"/>
          <w:sz w:val="24"/>
          <w:lang w:val="en-US" w:eastAsia="zh-CN"/>
        </w:rPr>
        <w:t>《一般工业固体废物贮存和填埋污染控制标准》（GB18599-2020）</w:t>
      </w:r>
      <w:r>
        <w:rPr>
          <w:rFonts w:hint="default" w:ascii="Times New Roman" w:hAnsi="Times New Roman" w:cs="Times New Roman" w:eastAsiaTheme="minorEastAsia"/>
          <w:sz w:val="24"/>
          <w:lang w:val="en-US" w:eastAsia="zh-CN"/>
        </w:rPr>
        <w:t>。本项目</w:t>
      </w:r>
      <w:r>
        <w:rPr>
          <w:rFonts w:hint="eastAsia" w:ascii="Times New Roman" w:hAnsi="Times New Roman" w:cs="Times New Roman" w:eastAsiaTheme="minorEastAsia"/>
          <w:sz w:val="24"/>
          <w:lang w:val="en-US" w:eastAsia="zh-CN"/>
        </w:rPr>
        <w:t>需</w:t>
      </w:r>
      <w:r>
        <w:rPr>
          <w:rFonts w:hint="default" w:ascii="Times New Roman" w:hAnsi="Times New Roman" w:cs="Times New Roman" w:eastAsiaTheme="minorEastAsia"/>
          <w:sz w:val="24"/>
          <w:lang w:val="en-US" w:eastAsia="zh-CN"/>
        </w:rPr>
        <w:t>建设规范的危险废物储存场所，运输时委托有运输资质的运输单位负责运输，确保运输过程的可</w:t>
      </w:r>
      <w:r>
        <w:rPr>
          <w:rFonts w:hint="eastAsia" w:ascii="Times New Roman" w:hAnsi="Times New Roman" w:cs="Times New Roman" w:eastAsiaTheme="minorEastAsia"/>
          <w:sz w:val="24"/>
          <w:lang w:val="en-US" w:eastAsia="zh-CN"/>
        </w:rPr>
        <w:t>靠性</w:t>
      </w:r>
      <w:r>
        <w:rPr>
          <w:rFonts w:hint="default" w:ascii="Times New Roman" w:hAnsi="Times New Roman" w:cs="Times New Roman" w:eastAsiaTheme="minorEastAsia"/>
          <w:sz w:val="24"/>
          <w:lang w:val="en-US" w:eastAsia="zh-CN"/>
        </w:rPr>
        <w:t>和安全性，防止流失、扩散，造成二次污染。</w:t>
      </w:r>
    </w:p>
    <w:p w14:paraId="60477163">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249" w:name="_Toc25506"/>
      <w:r>
        <w:rPr>
          <w:rFonts w:hint="eastAsia" w:ascii="Times New Roman" w:hAnsi="Times New Roman" w:cs="Times New Roman" w:eastAsiaTheme="minorEastAsia"/>
          <w:kern w:val="0"/>
          <w:sz w:val="24"/>
          <w:szCs w:val="24"/>
          <w:lang w:val="en-US" w:eastAsia="zh-CN"/>
        </w:rPr>
        <w:t>5.</w:t>
      </w:r>
      <w:r>
        <w:rPr>
          <w:rFonts w:hint="eastAsia" w:ascii="Times New Roman" w:hAnsi="Times New Roman" w:cs="Times New Roman"/>
          <w:kern w:val="0"/>
          <w:sz w:val="24"/>
          <w:szCs w:val="24"/>
          <w:lang w:val="en-US" w:eastAsia="zh-CN"/>
        </w:rPr>
        <w:t>6.</w:t>
      </w:r>
      <w:r>
        <w:rPr>
          <w:rFonts w:hint="eastAsia" w:ascii="Times New Roman" w:hAnsi="Times New Roman" w:cs="Times New Roman" w:eastAsiaTheme="minorEastAsia"/>
          <w:kern w:val="0"/>
          <w:sz w:val="24"/>
          <w:szCs w:val="24"/>
          <w:lang w:val="en-US" w:eastAsia="zh-CN"/>
        </w:rPr>
        <w:t>4固体废物环境影响分析</w:t>
      </w:r>
      <w:bookmarkEnd w:id="249"/>
    </w:p>
    <w:p w14:paraId="213D367C">
      <w:pPr>
        <w:adjustRightInd w:val="0"/>
        <w:snapToGrid w:val="0"/>
        <w:spacing w:line="500" w:lineRule="exact"/>
        <w:ind w:firstLine="480" w:firstLineChars="200"/>
        <w:jc w:val="left"/>
        <w:rPr>
          <w:rFonts w:hint="eastAsia" w:ascii="Times New Roman" w:hAnsi="Times New Roman" w:eastAsia="华文中宋" w:cs="Times New Roman"/>
          <w:snapToGrid w:val="0"/>
          <w:color w:val="auto"/>
          <w:kern w:val="0"/>
          <w:sz w:val="24"/>
          <w:szCs w:val="20"/>
          <w:lang w:val="en-US" w:eastAsia="zh-CN" w:bidi="ar-SA"/>
        </w:rPr>
      </w:pPr>
      <w:r>
        <w:rPr>
          <w:rFonts w:hint="default" w:ascii="Times New Roman" w:hAnsi="Times New Roman" w:cs="Times New Roman" w:eastAsiaTheme="minorEastAsia"/>
          <w:sz w:val="24"/>
          <w:highlight w:val="none"/>
          <w:lang w:val="en-US" w:eastAsia="zh-CN"/>
        </w:rPr>
        <w:t>固体废物对环境的影响程度受几个方面的因素影响。一方面是堆存方法是否合理，二是固体废物本身的特性，即固体废物本身的有害物质含量和可淋溶性。此外，还</w:t>
      </w:r>
      <w:r>
        <w:rPr>
          <w:rFonts w:hint="eastAsia" w:ascii="Times New Roman" w:hAnsi="Times New Roman" w:cs="Times New Roman"/>
          <w:sz w:val="24"/>
          <w:highlight w:val="none"/>
          <w:lang w:val="en-US" w:eastAsia="zh-CN"/>
        </w:rPr>
        <w:t>受</w:t>
      </w:r>
      <w:r>
        <w:rPr>
          <w:rFonts w:hint="default" w:ascii="Times New Roman" w:hAnsi="Times New Roman" w:cs="Times New Roman" w:eastAsiaTheme="minorEastAsia"/>
          <w:sz w:val="24"/>
          <w:highlight w:val="none"/>
          <w:lang w:val="en-US" w:eastAsia="zh-CN"/>
        </w:rPr>
        <w:t>堆存固废内部环境的影响，即受水、气、热等内部因素的影响。固废对环境的影响主要包括以下几个方面</w:t>
      </w:r>
      <w:r>
        <w:rPr>
          <w:rFonts w:hint="eastAsia" w:ascii="Times New Roman" w:hAnsi="Times New Roman" w:cs="Times New Roman" w:eastAsiaTheme="minorEastAsia"/>
          <w:sz w:val="24"/>
          <w:highlight w:val="none"/>
          <w:lang w:val="en-US" w:eastAsia="zh-CN"/>
        </w:rPr>
        <w:t>：</w:t>
      </w:r>
    </w:p>
    <w:p w14:paraId="0880F540">
      <w:pPr>
        <w:adjustRightInd w:val="0"/>
        <w:snapToGrid w:val="0"/>
        <w:spacing w:line="500" w:lineRule="exact"/>
        <w:jc w:val="left"/>
        <w:rPr>
          <w:rFonts w:hint="default" w:ascii="Times New Roman" w:hAnsi="Times New Roman" w:cs="Times New Roman" w:eastAsiaTheme="minorEastAsia"/>
          <w:b/>
          <w:bCs/>
          <w:sz w:val="24"/>
          <w:highlight w:val="none"/>
          <w:lang w:val="en-US" w:eastAsia="zh-CN"/>
        </w:rPr>
      </w:pPr>
      <w:r>
        <w:rPr>
          <w:rFonts w:hint="eastAsia" w:ascii="Times New Roman" w:hAnsi="Times New Roman" w:cs="Times New Roman" w:eastAsiaTheme="minorEastAsia"/>
          <w:b/>
          <w:bCs/>
          <w:sz w:val="24"/>
          <w:highlight w:val="none"/>
          <w:lang w:val="en-US" w:eastAsia="zh-CN"/>
        </w:rPr>
        <w:t>5.6.4.1</w:t>
      </w:r>
      <w:r>
        <w:rPr>
          <w:rFonts w:hint="default" w:ascii="Times New Roman" w:hAnsi="Times New Roman" w:cs="Times New Roman" w:eastAsiaTheme="minorEastAsia"/>
          <w:b/>
          <w:bCs/>
          <w:sz w:val="24"/>
          <w:highlight w:val="none"/>
          <w:lang w:val="en-US" w:eastAsia="zh-CN"/>
        </w:rPr>
        <w:t>对地表水环境影响分析</w:t>
      </w:r>
    </w:p>
    <w:p w14:paraId="7F63B5D3">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本项目产生的固体废物全部进行综合利用和安全处置，固体废物无外排，因此，对周围地表水体基本无影响。另外，固体废物在贮存过程中也采取了一些的防渗漏措施，对于危险固体废物，按照《危险废物贮存污染控制标准》</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GB18597-20</w:t>
      </w:r>
      <w:r>
        <w:rPr>
          <w:rFonts w:hint="eastAsia" w:ascii="Times New Roman" w:hAnsi="Times New Roman" w:cs="Times New Roman"/>
          <w:sz w:val="24"/>
          <w:highlight w:val="none"/>
          <w:lang w:val="en-US" w:eastAsia="zh-CN"/>
        </w:rPr>
        <w:t>23）</w:t>
      </w:r>
      <w:r>
        <w:rPr>
          <w:rFonts w:hint="default" w:ascii="Times New Roman" w:hAnsi="Times New Roman" w:cs="Times New Roman" w:eastAsiaTheme="minorEastAsia"/>
          <w:sz w:val="24"/>
          <w:highlight w:val="none"/>
          <w:lang w:val="en-US" w:eastAsia="zh-CN"/>
        </w:rPr>
        <w:t>及环保部2013年第36号公告修改单的要求，采用专门的容器进行收集贮存，因此，本项目产生的固体废物也不会有渗滤液外排，不会影响厂区环境。</w:t>
      </w:r>
    </w:p>
    <w:p w14:paraId="0D374F16">
      <w:pPr>
        <w:adjustRightInd w:val="0"/>
        <w:snapToGrid w:val="0"/>
        <w:spacing w:line="500" w:lineRule="exact"/>
        <w:jc w:val="left"/>
        <w:rPr>
          <w:rFonts w:hint="default"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5.</w:t>
      </w:r>
      <w:r>
        <w:rPr>
          <w:rFonts w:hint="eastAsia" w:ascii="Times New Roman" w:hAnsi="Times New Roman" w:cs="Times New Roman"/>
          <w:b/>
          <w:bCs/>
          <w:sz w:val="24"/>
          <w:lang w:val="en-US" w:eastAsia="zh-CN"/>
        </w:rPr>
        <w:t>6</w:t>
      </w:r>
      <w:r>
        <w:rPr>
          <w:rFonts w:hint="eastAsia" w:ascii="Times New Roman" w:hAnsi="Times New Roman" w:cs="Times New Roman" w:eastAsiaTheme="minorEastAsia"/>
          <w:b/>
          <w:bCs/>
          <w:sz w:val="24"/>
          <w:lang w:val="en-US" w:eastAsia="zh-CN"/>
        </w:rPr>
        <w:t>.4.2</w:t>
      </w:r>
      <w:r>
        <w:rPr>
          <w:rFonts w:hint="default" w:ascii="Times New Roman" w:hAnsi="Times New Roman" w:cs="Times New Roman" w:eastAsiaTheme="minorEastAsia"/>
          <w:b/>
          <w:bCs/>
          <w:sz w:val="24"/>
          <w:lang w:val="en-US" w:eastAsia="zh-CN"/>
        </w:rPr>
        <w:t>对环境空气的影响分析</w:t>
      </w:r>
    </w:p>
    <w:p w14:paraId="3757B47E">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本项目产生的固体废物以袋装或存入密封库存放，不露天堆置，不会产生大风扬尘</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而且，尽量减少医疗垃圾及其它固废在厂内的堆存时间，避免异味产生，因此，对环境空气质量影响较小。</w:t>
      </w:r>
    </w:p>
    <w:p w14:paraId="418E93FB">
      <w:pPr>
        <w:adjustRightInd w:val="0"/>
        <w:snapToGrid w:val="0"/>
        <w:spacing w:line="500" w:lineRule="exact"/>
        <w:jc w:val="left"/>
        <w:rPr>
          <w:rFonts w:hint="default"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5.</w:t>
      </w:r>
      <w:r>
        <w:rPr>
          <w:rFonts w:hint="eastAsia" w:ascii="Times New Roman" w:hAnsi="Times New Roman" w:cs="Times New Roman"/>
          <w:b/>
          <w:bCs/>
          <w:sz w:val="24"/>
          <w:lang w:val="en-US" w:eastAsia="zh-CN"/>
        </w:rPr>
        <w:t>6</w:t>
      </w:r>
      <w:r>
        <w:rPr>
          <w:rFonts w:hint="eastAsia" w:ascii="Times New Roman" w:hAnsi="Times New Roman" w:cs="Times New Roman" w:eastAsiaTheme="minorEastAsia"/>
          <w:b/>
          <w:bCs/>
          <w:sz w:val="24"/>
          <w:lang w:val="en-US" w:eastAsia="zh-CN"/>
        </w:rPr>
        <w:t>.4.3</w:t>
      </w:r>
      <w:r>
        <w:rPr>
          <w:rFonts w:hint="default" w:ascii="Times New Roman" w:hAnsi="Times New Roman" w:cs="Times New Roman" w:eastAsiaTheme="minorEastAsia"/>
          <w:b/>
          <w:bCs/>
          <w:sz w:val="24"/>
          <w:lang w:val="en-US" w:eastAsia="zh-CN"/>
        </w:rPr>
        <w:t>对地下水环境的影响分析</w:t>
      </w:r>
    </w:p>
    <w:p w14:paraId="14B74CA9">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本项目对固体废物堆放场所尤其是危险固体废物堆存，拟对地面进行硬化和防渗漏处理</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采用专用的密闭库储存危险废物飞灰，并确保密封库不会发生渗漏。通过采取以上措施可确保固体废物堆放对地下水的影响。</w:t>
      </w:r>
    </w:p>
    <w:p w14:paraId="4DFDE85E">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综上所述，本项目所产生的固体废物全部得到妥善处理</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能够在源头上控制对环境的污染，将各类废物对环境产生的影响降低</w:t>
      </w:r>
      <w:r>
        <w:rPr>
          <w:rFonts w:hint="eastAsia" w:ascii="Times New Roman" w:hAnsi="Times New Roman" w:cs="Times New Roman"/>
          <w:sz w:val="24"/>
          <w:highlight w:val="none"/>
          <w:lang w:val="en-US" w:eastAsia="zh-CN"/>
        </w:rPr>
        <w:t>到最低程度</w:t>
      </w:r>
      <w:r>
        <w:rPr>
          <w:rFonts w:hint="default" w:ascii="Times New Roman" w:hAnsi="Times New Roman" w:cs="Times New Roman" w:eastAsiaTheme="minorEastAsia"/>
          <w:sz w:val="24"/>
          <w:highlight w:val="none"/>
          <w:lang w:val="en-US" w:eastAsia="zh-CN"/>
        </w:rPr>
        <w:t>，特别是能将危险废物堆存对环境产生的影响降低到最小</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符合我国对危险废物堆存、处理的政策要求和技术规定，可满足环境保护的要求。由此，本项目所产生的固体废物对周围环境的影响很小。</w:t>
      </w:r>
    </w:p>
    <w:p w14:paraId="5A9F1660">
      <w:pPr>
        <w:pStyle w:val="3"/>
        <w:spacing w:before="120" w:after="120" w:line="500" w:lineRule="exact"/>
        <w:ind w:left="375" w:hanging="375" w:firstLineChars="0"/>
        <w:contextualSpacing/>
        <w:rPr>
          <w:rFonts w:hint="eastAsia" w:ascii="Times New Roman" w:hAnsi="Times New Roman" w:cs="Times New Roman" w:eastAsiaTheme="minorEastAsia"/>
          <w:snapToGrid w:val="0"/>
          <w:kern w:val="0"/>
          <w:sz w:val="28"/>
          <w:szCs w:val="28"/>
          <w:lang w:val="en-US" w:eastAsia="zh-CN"/>
        </w:rPr>
      </w:pPr>
      <w:bookmarkStart w:id="250" w:name="_Toc16842"/>
      <w:r>
        <w:rPr>
          <w:rFonts w:hint="eastAsia" w:ascii="Times New Roman" w:hAnsi="Times New Roman" w:cs="Times New Roman" w:eastAsiaTheme="minorEastAsia"/>
          <w:snapToGrid w:val="0"/>
          <w:kern w:val="0"/>
          <w:sz w:val="28"/>
          <w:szCs w:val="28"/>
          <w:lang w:val="en-US" w:eastAsia="zh-CN"/>
        </w:rPr>
        <w:t>5.</w:t>
      </w:r>
      <w:r>
        <w:rPr>
          <w:rFonts w:hint="eastAsia" w:ascii="Times New Roman" w:hAnsi="Times New Roman" w:cs="Times New Roman"/>
          <w:snapToGrid w:val="0"/>
          <w:kern w:val="0"/>
          <w:sz w:val="28"/>
          <w:szCs w:val="28"/>
          <w:lang w:val="en-US" w:eastAsia="zh-CN"/>
        </w:rPr>
        <w:t>7</w:t>
      </w:r>
      <w:r>
        <w:rPr>
          <w:rFonts w:hint="eastAsia" w:ascii="Times New Roman" w:hAnsi="Times New Roman" w:cs="Times New Roman" w:eastAsiaTheme="minorEastAsia"/>
          <w:snapToGrid w:val="0"/>
          <w:kern w:val="0"/>
          <w:sz w:val="28"/>
          <w:szCs w:val="28"/>
          <w:lang w:val="en-US" w:eastAsia="zh-CN"/>
        </w:rPr>
        <w:t>运营期土壤环境影响评价</w:t>
      </w:r>
      <w:bookmarkEnd w:id="250"/>
    </w:p>
    <w:p w14:paraId="075E6408">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本项目在建设运行过程中可能造成土壤污染，按照《环境影响评价技术导则土壤环境</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试行</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HJ964-2018</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的相关要求，本项目土壤环境影响属于污染影响型，土壤环境影响评价工作等级判定为二级，本次采用导则附录E推荐的数值预测法并结合定性分析法进行土壤环境影响预测。根据建设项目自身性质及其对土壤环境影响的特点，需要预测、分析运营期项目对土壤环境可能造成的影响，并针对这种影响提出防治对策，从而达到预防与控制环境恶化，减轻不良环境影响的目的，为土壤环境保护提供科学依据。</w:t>
      </w:r>
    </w:p>
    <w:p w14:paraId="3B0DDCDB">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251" w:name="_Toc19290"/>
      <w:r>
        <w:rPr>
          <w:rFonts w:hint="eastAsia" w:ascii="Times New Roman" w:hAnsi="Times New Roman" w:cs="Times New Roman" w:eastAsiaTheme="minorEastAsia"/>
          <w:kern w:val="0"/>
          <w:sz w:val="24"/>
          <w:szCs w:val="24"/>
          <w:lang w:val="en-US" w:eastAsia="zh-CN"/>
        </w:rPr>
        <w:t>5.</w:t>
      </w:r>
      <w:r>
        <w:rPr>
          <w:rFonts w:hint="eastAsia" w:ascii="Times New Roman" w:hAnsi="Times New Roman" w:cs="Times New Roman"/>
          <w:kern w:val="0"/>
          <w:sz w:val="24"/>
          <w:szCs w:val="24"/>
          <w:lang w:val="en-US" w:eastAsia="zh-CN"/>
        </w:rPr>
        <w:t>7</w:t>
      </w:r>
      <w:r>
        <w:rPr>
          <w:rFonts w:hint="eastAsia" w:ascii="Times New Roman" w:hAnsi="Times New Roman" w:cs="Times New Roman" w:eastAsiaTheme="minorEastAsia"/>
          <w:kern w:val="0"/>
          <w:sz w:val="24"/>
          <w:szCs w:val="24"/>
          <w:lang w:val="en-US" w:eastAsia="zh-CN"/>
        </w:rPr>
        <w:t>.1预测评价范围</w:t>
      </w:r>
      <w:bookmarkEnd w:id="251"/>
    </w:p>
    <w:p w14:paraId="0C3E471F">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根据《环境影响评价技术导则 土壤环境</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试行</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HJ964-2018</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，本项目土壤环境评价等级为二级，评价范围为厂址区域及周围0.2km，预测范围与评价范围保持一致。</w:t>
      </w:r>
    </w:p>
    <w:p w14:paraId="464AB724">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252" w:name="_Toc19904"/>
      <w:r>
        <w:rPr>
          <w:rFonts w:hint="eastAsia" w:ascii="Times New Roman" w:hAnsi="Times New Roman" w:cs="Times New Roman" w:eastAsiaTheme="minorEastAsia"/>
          <w:kern w:val="0"/>
          <w:sz w:val="24"/>
          <w:szCs w:val="24"/>
          <w:lang w:val="en-US" w:eastAsia="zh-CN"/>
        </w:rPr>
        <w:t>5.</w:t>
      </w:r>
      <w:r>
        <w:rPr>
          <w:rFonts w:hint="eastAsia" w:ascii="Times New Roman" w:hAnsi="Times New Roman" w:cs="Times New Roman"/>
          <w:kern w:val="0"/>
          <w:sz w:val="24"/>
          <w:szCs w:val="24"/>
          <w:lang w:val="en-US" w:eastAsia="zh-CN"/>
        </w:rPr>
        <w:t>7</w:t>
      </w:r>
      <w:r>
        <w:rPr>
          <w:rFonts w:hint="eastAsia" w:ascii="Times New Roman" w:hAnsi="Times New Roman" w:cs="Times New Roman" w:eastAsiaTheme="minorEastAsia"/>
          <w:kern w:val="0"/>
          <w:sz w:val="24"/>
          <w:szCs w:val="24"/>
          <w:lang w:val="en-US" w:eastAsia="zh-CN"/>
        </w:rPr>
        <w:t>.2预测评价时段</w:t>
      </w:r>
      <w:bookmarkEnd w:id="252"/>
    </w:p>
    <w:p w14:paraId="2F107F8C">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根据建设项目影响特点，本次评价选取运营期作为土壤环境影响预测与评价的重点时段。</w:t>
      </w:r>
    </w:p>
    <w:p w14:paraId="2CE72989">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253" w:name="_Toc1984"/>
      <w:r>
        <w:rPr>
          <w:rFonts w:hint="eastAsia" w:ascii="Times New Roman" w:hAnsi="Times New Roman" w:cs="Times New Roman" w:eastAsiaTheme="minorEastAsia"/>
          <w:kern w:val="0"/>
          <w:sz w:val="24"/>
          <w:szCs w:val="24"/>
          <w:lang w:val="en-US" w:eastAsia="zh-CN"/>
        </w:rPr>
        <w:t>5.</w:t>
      </w:r>
      <w:r>
        <w:rPr>
          <w:rFonts w:hint="eastAsia" w:ascii="Times New Roman" w:hAnsi="Times New Roman" w:cs="Times New Roman"/>
          <w:kern w:val="0"/>
          <w:sz w:val="24"/>
          <w:szCs w:val="24"/>
          <w:lang w:val="en-US" w:eastAsia="zh-CN"/>
        </w:rPr>
        <w:t>7</w:t>
      </w:r>
      <w:r>
        <w:rPr>
          <w:rFonts w:hint="eastAsia" w:ascii="Times New Roman" w:hAnsi="Times New Roman" w:cs="Times New Roman" w:eastAsiaTheme="minorEastAsia"/>
          <w:kern w:val="0"/>
          <w:sz w:val="24"/>
          <w:szCs w:val="24"/>
          <w:lang w:val="en-US" w:eastAsia="zh-CN"/>
        </w:rPr>
        <w:t>.3影响因素及预测情景</w:t>
      </w:r>
      <w:bookmarkEnd w:id="253"/>
    </w:p>
    <w:p w14:paraId="450811A9">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5.</w:t>
      </w:r>
      <w:r>
        <w:rPr>
          <w:rFonts w:hint="eastAsia" w:ascii="Times New Roman" w:hAnsi="Times New Roman" w:cs="Times New Roman"/>
          <w:b/>
          <w:bCs/>
          <w:sz w:val="24"/>
          <w:lang w:val="en-US" w:eastAsia="zh-CN"/>
        </w:rPr>
        <w:t>7</w:t>
      </w:r>
      <w:r>
        <w:rPr>
          <w:rFonts w:hint="eastAsia" w:ascii="Times New Roman" w:hAnsi="Times New Roman" w:cs="Times New Roman" w:eastAsiaTheme="minorEastAsia"/>
          <w:b/>
          <w:bCs/>
          <w:sz w:val="24"/>
          <w:lang w:val="en-US" w:eastAsia="zh-CN"/>
        </w:rPr>
        <w:t>.3.1影响因素</w:t>
      </w:r>
    </w:p>
    <w:p w14:paraId="443E287C">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引起土壤污染的因素大致有以下几个方面</w:t>
      </w:r>
      <w:r>
        <w:rPr>
          <w:rFonts w:hint="eastAsia" w:ascii="Times New Roman" w:hAnsi="Times New Roman" w:cs="Times New Roman" w:eastAsiaTheme="minorEastAsia"/>
          <w:sz w:val="24"/>
          <w:highlight w:val="none"/>
          <w:lang w:val="en-US" w:eastAsia="zh-CN"/>
        </w:rPr>
        <w:t>：</w:t>
      </w:r>
    </w:p>
    <w:p w14:paraId="409C3F9B">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w:t>
      </w:r>
      <w:r>
        <w:rPr>
          <w:rFonts w:hint="default" w:ascii="Times New Roman" w:hAnsi="Times New Roman" w:cs="Times New Roman" w:eastAsiaTheme="minorEastAsia"/>
          <w:sz w:val="24"/>
          <w:highlight w:val="none"/>
          <w:lang w:val="en-US" w:eastAsia="zh-CN"/>
        </w:rPr>
        <w:t>地表漫流</w:t>
      </w:r>
    </w:p>
    <w:p w14:paraId="28AD1673">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地表漫流是指雨水大的地区，由于一次降雨量较大，在地表形成漫流，这些雨水会夹带场地内的污染物，在漫流的过程中渗入土壤。对一般的工业项目来讲，地表漫流影响较大的是没有雨水收集系统的厂区，以及厂区初期雨水的漫流。</w:t>
      </w:r>
    </w:p>
    <w:p w14:paraId="4A8D9935">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w:t>
      </w:r>
      <w:r>
        <w:rPr>
          <w:rFonts w:hint="default" w:ascii="Times New Roman" w:hAnsi="Times New Roman" w:cs="Times New Roman" w:eastAsiaTheme="minorEastAsia"/>
          <w:sz w:val="24"/>
          <w:highlight w:val="none"/>
          <w:lang w:val="en-US" w:eastAsia="zh-CN"/>
        </w:rPr>
        <w:t>大气沉降</w:t>
      </w:r>
    </w:p>
    <w:p w14:paraId="51489D4D">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工业企业排放的大气污染物，尤其是重气体会沉降到地表，从而进入土壤环境，对土壤环境造成一定的污染。</w:t>
      </w:r>
    </w:p>
    <w:p w14:paraId="4647E168">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（3）</w:t>
      </w:r>
      <w:r>
        <w:rPr>
          <w:rFonts w:hint="default" w:ascii="Times New Roman" w:hAnsi="Times New Roman" w:cs="Times New Roman" w:eastAsiaTheme="minorEastAsia"/>
          <w:sz w:val="24"/>
          <w:highlight w:val="none"/>
          <w:lang w:val="en-US" w:eastAsia="zh-CN"/>
        </w:rPr>
        <w:t>直接入渗</w:t>
      </w:r>
    </w:p>
    <w:p w14:paraId="45C902B5">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发生事故</w:t>
      </w:r>
      <w:r>
        <w:rPr>
          <w:rFonts w:hint="eastAsia" w:ascii="Times New Roman" w:hAnsi="Times New Roman" w:cs="Times New Roman"/>
          <w:sz w:val="24"/>
          <w:highlight w:val="none"/>
          <w:lang w:val="en-US" w:eastAsia="zh-CN"/>
        </w:rPr>
        <w:t>泄漏</w:t>
      </w:r>
      <w:r>
        <w:rPr>
          <w:rFonts w:hint="default" w:ascii="Times New Roman" w:hAnsi="Times New Roman" w:cs="Times New Roman" w:eastAsiaTheme="minorEastAsia"/>
          <w:sz w:val="24"/>
          <w:highlight w:val="none"/>
          <w:lang w:val="en-US" w:eastAsia="zh-CN"/>
        </w:rPr>
        <w:t>的情况下，如果地面没有采取防渗措施，则</w:t>
      </w:r>
      <w:r>
        <w:rPr>
          <w:rFonts w:hint="eastAsia" w:ascii="Times New Roman" w:hAnsi="Times New Roman" w:cs="Times New Roman"/>
          <w:sz w:val="24"/>
          <w:highlight w:val="none"/>
          <w:lang w:val="en-US" w:eastAsia="zh-CN"/>
        </w:rPr>
        <w:t>泄漏</w:t>
      </w:r>
      <w:r>
        <w:rPr>
          <w:rFonts w:hint="default" w:ascii="Times New Roman" w:hAnsi="Times New Roman" w:cs="Times New Roman" w:eastAsiaTheme="minorEastAsia"/>
          <w:sz w:val="24"/>
          <w:highlight w:val="none"/>
          <w:lang w:val="en-US" w:eastAsia="zh-CN"/>
        </w:rPr>
        <w:t>物会渗入土壤，对小范围内的土壤造成污染。一般存在直接入渗风险的工业项目对可能造成入渗影响的点位采取了防渗措施，所以即便出现</w:t>
      </w:r>
      <w:r>
        <w:rPr>
          <w:rFonts w:hint="eastAsia" w:ascii="Times New Roman" w:hAnsi="Times New Roman" w:cs="Times New Roman"/>
          <w:sz w:val="24"/>
          <w:highlight w:val="none"/>
          <w:lang w:val="en-US" w:eastAsia="zh-CN"/>
        </w:rPr>
        <w:t>泄漏</w:t>
      </w:r>
      <w:r>
        <w:rPr>
          <w:rFonts w:hint="default" w:ascii="Times New Roman" w:hAnsi="Times New Roman" w:cs="Times New Roman" w:eastAsiaTheme="minorEastAsia"/>
          <w:sz w:val="24"/>
          <w:highlight w:val="none"/>
          <w:lang w:val="en-US" w:eastAsia="zh-CN"/>
        </w:rPr>
        <w:t>液也不会渗入土壤。</w:t>
      </w:r>
    </w:p>
    <w:p w14:paraId="6B2C24F7">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一般情况下，位于地上的管线、设备、储罐、储槽等可视环节即便发生</w:t>
      </w:r>
      <w:r>
        <w:rPr>
          <w:rFonts w:hint="eastAsia" w:ascii="Times New Roman" w:hAnsi="Times New Roman" w:cs="Times New Roman"/>
          <w:sz w:val="24"/>
          <w:highlight w:val="none"/>
          <w:lang w:val="en-US" w:eastAsia="zh-CN"/>
        </w:rPr>
        <w:t>泄漏</w:t>
      </w:r>
      <w:r>
        <w:rPr>
          <w:rFonts w:hint="default" w:ascii="Times New Roman" w:hAnsi="Times New Roman" w:cs="Times New Roman" w:eastAsiaTheme="minorEastAsia"/>
          <w:sz w:val="24"/>
          <w:highlight w:val="none"/>
          <w:lang w:val="en-US" w:eastAsia="zh-CN"/>
        </w:rPr>
        <w:t>，在极短的时间内就会被发现，且地面采取了防渗措施，很难污染土壤。对土壤环境威胁较大的是位于地下的管网、坑、池等不可视环节，如果防渗层发生</w:t>
      </w:r>
      <w:r>
        <w:rPr>
          <w:rFonts w:hint="eastAsia" w:ascii="Times New Roman" w:hAnsi="Times New Roman" w:cs="Times New Roman"/>
          <w:sz w:val="24"/>
          <w:highlight w:val="none"/>
          <w:lang w:val="en-US" w:eastAsia="zh-CN"/>
        </w:rPr>
        <w:t>泄漏</w:t>
      </w:r>
      <w:r>
        <w:rPr>
          <w:rFonts w:hint="default" w:ascii="Times New Roman" w:hAnsi="Times New Roman" w:cs="Times New Roman" w:eastAsiaTheme="minorEastAsia"/>
          <w:sz w:val="24"/>
          <w:highlight w:val="none"/>
          <w:lang w:val="en-US" w:eastAsia="zh-CN"/>
        </w:rPr>
        <w:t>，污染物将直接渗入地下，且不易被发现。</w:t>
      </w:r>
    </w:p>
    <w:p w14:paraId="10EA0426">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本项目土壤环境影响途径及因子识别见表5.7-1和表5.7-2。</w:t>
      </w:r>
    </w:p>
    <w:p w14:paraId="1119FC44">
      <w:pPr>
        <w:snapToGrid w:val="0"/>
        <w:spacing w:before="241"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表5.7-1  建设项目土壤环境影响类型与影响途径表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14:paraId="2A643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restart"/>
            <w:vAlign w:val="center"/>
          </w:tcPr>
          <w:p w14:paraId="2F54153B">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不同时段</w:t>
            </w:r>
          </w:p>
        </w:tc>
        <w:tc>
          <w:tcPr>
            <w:tcW w:w="6818" w:type="dxa"/>
            <w:gridSpan w:val="4"/>
            <w:vAlign w:val="center"/>
          </w:tcPr>
          <w:p w14:paraId="6BFD0886">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影响途径</w:t>
            </w:r>
          </w:p>
        </w:tc>
      </w:tr>
      <w:tr w14:paraId="18E42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continue"/>
            <w:vAlign w:val="center"/>
          </w:tcPr>
          <w:p w14:paraId="0DC7F14C">
            <w:pPr>
              <w:spacing w:line="300" w:lineRule="exact"/>
              <w:jc w:val="center"/>
              <w:rPr>
                <w:rFonts w:hint="default" w:ascii="Times New Roman" w:hAnsi="Times New Roman" w:eastAsia="华文中宋" w:cs="Times New Roman"/>
                <w:szCs w:val="21"/>
                <w:highlight w:val="none"/>
                <w:lang w:val="en-US" w:eastAsia="zh-CN"/>
              </w:rPr>
            </w:pPr>
          </w:p>
        </w:tc>
        <w:tc>
          <w:tcPr>
            <w:tcW w:w="1704" w:type="dxa"/>
            <w:vAlign w:val="center"/>
          </w:tcPr>
          <w:p w14:paraId="5968B3FD">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大气沉降</w:t>
            </w:r>
          </w:p>
        </w:tc>
        <w:tc>
          <w:tcPr>
            <w:tcW w:w="1704" w:type="dxa"/>
            <w:vAlign w:val="center"/>
          </w:tcPr>
          <w:p w14:paraId="2A53CE87">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地面径流</w:t>
            </w:r>
          </w:p>
        </w:tc>
        <w:tc>
          <w:tcPr>
            <w:tcW w:w="1705" w:type="dxa"/>
            <w:vAlign w:val="center"/>
          </w:tcPr>
          <w:p w14:paraId="5C3CE9A1">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垂直入渗</w:t>
            </w:r>
          </w:p>
        </w:tc>
        <w:tc>
          <w:tcPr>
            <w:tcW w:w="1705" w:type="dxa"/>
            <w:vAlign w:val="center"/>
          </w:tcPr>
          <w:p w14:paraId="0F203406">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其他</w:t>
            </w:r>
          </w:p>
        </w:tc>
      </w:tr>
      <w:tr w14:paraId="39AD5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18F39DE2">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施工期</w:t>
            </w:r>
          </w:p>
        </w:tc>
        <w:tc>
          <w:tcPr>
            <w:tcW w:w="1704" w:type="dxa"/>
            <w:vAlign w:val="center"/>
          </w:tcPr>
          <w:p w14:paraId="22BD41F4">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无</w:t>
            </w:r>
          </w:p>
        </w:tc>
        <w:tc>
          <w:tcPr>
            <w:tcW w:w="1704" w:type="dxa"/>
            <w:vAlign w:val="center"/>
          </w:tcPr>
          <w:p w14:paraId="5B3654CF">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无</w:t>
            </w:r>
          </w:p>
        </w:tc>
        <w:tc>
          <w:tcPr>
            <w:tcW w:w="1705" w:type="dxa"/>
            <w:vAlign w:val="center"/>
          </w:tcPr>
          <w:p w14:paraId="60F01866">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无</w:t>
            </w:r>
          </w:p>
        </w:tc>
        <w:tc>
          <w:tcPr>
            <w:tcW w:w="1705" w:type="dxa"/>
            <w:vAlign w:val="center"/>
          </w:tcPr>
          <w:p w14:paraId="63125688">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无</w:t>
            </w:r>
          </w:p>
        </w:tc>
      </w:tr>
      <w:tr w14:paraId="36607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4C9A569C">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运营期</w:t>
            </w:r>
          </w:p>
        </w:tc>
        <w:tc>
          <w:tcPr>
            <w:tcW w:w="1704" w:type="dxa"/>
            <w:vAlign w:val="center"/>
          </w:tcPr>
          <w:p w14:paraId="5EDEA979">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w:t>
            </w:r>
          </w:p>
        </w:tc>
        <w:tc>
          <w:tcPr>
            <w:tcW w:w="1704" w:type="dxa"/>
            <w:vAlign w:val="center"/>
          </w:tcPr>
          <w:p w14:paraId="311D7EFF">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无</w:t>
            </w:r>
          </w:p>
        </w:tc>
        <w:tc>
          <w:tcPr>
            <w:tcW w:w="1705" w:type="dxa"/>
            <w:vAlign w:val="center"/>
          </w:tcPr>
          <w:p w14:paraId="29EB9205">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w:t>
            </w:r>
          </w:p>
        </w:tc>
        <w:tc>
          <w:tcPr>
            <w:tcW w:w="1705" w:type="dxa"/>
            <w:vAlign w:val="center"/>
          </w:tcPr>
          <w:p w14:paraId="7EC95567">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无</w:t>
            </w:r>
          </w:p>
        </w:tc>
      </w:tr>
    </w:tbl>
    <w:p w14:paraId="4BA5A15D">
      <w:pPr>
        <w:snapToGrid w:val="0"/>
        <w:spacing w:before="241"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表5.7-2  本项目土壤环境影响源及影响因子识别表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5"/>
        <w:gridCol w:w="1050"/>
        <w:gridCol w:w="930"/>
        <w:gridCol w:w="2385"/>
        <w:gridCol w:w="1681"/>
        <w:gridCol w:w="1421"/>
      </w:tblGrid>
      <w:tr w14:paraId="22CBC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vAlign w:val="center"/>
          </w:tcPr>
          <w:p w14:paraId="01D01DA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污染源</w:t>
            </w:r>
          </w:p>
        </w:tc>
        <w:tc>
          <w:tcPr>
            <w:tcW w:w="1050" w:type="dxa"/>
            <w:vAlign w:val="center"/>
          </w:tcPr>
          <w:p w14:paraId="05398B0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工艺流程/节点</w:t>
            </w:r>
          </w:p>
        </w:tc>
        <w:tc>
          <w:tcPr>
            <w:tcW w:w="930" w:type="dxa"/>
            <w:vAlign w:val="center"/>
          </w:tcPr>
          <w:p w14:paraId="7658875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污染途径</w:t>
            </w:r>
          </w:p>
        </w:tc>
        <w:tc>
          <w:tcPr>
            <w:tcW w:w="2385" w:type="dxa"/>
            <w:vAlign w:val="center"/>
          </w:tcPr>
          <w:p w14:paraId="306A6BC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全部污染物指标</w:t>
            </w:r>
          </w:p>
        </w:tc>
        <w:tc>
          <w:tcPr>
            <w:tcW w:w="1681" w:type="dxa"/>
            <w:vAlign w:val="center"/>
          </w:tcPr>
          <w:p w14:paraId="0D8FB2A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特征因子</w:t>
            </w:r>
          </w:p>
        </w:tc>
        <w:tc>
          <w:tcPr>
            <w:tcW w:w="1421" w:type="dxa"/>
            <w:vAlign w:val="center"/>
          </w:tcPr>
          <w:p w14:paraId="6373F92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备注</w:t>
            </w:r>
          </w:p>
        </w:tc>
      </w:tr>
      <w:tr w14:paraId="2D86E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vAlign w:val="center"/>
          </w:tcPr>
          <w:p w14:paraId="727ACB5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焚烧炉烟气排气筒</w:t>
            </w:r>
          </w:p>
        </w:tc>
        <w:tc>
          <w:tcPr>
            <w:tcW w:w="1050" w:type="dxa"/>
            <w:vAlign w:val="center"/>
          </w:tcPr>
          <w:p w14:paraId="290A546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烟气排放</w:t>
            </w:r>
          </w:p>
        </w:tc>
        <w:tc>
          <w:tcPr>
            <w:tcW w:w="930" w:type="dxa"/>
            <w:vAlign w:val="center"/>
          </w:tcPr>
          <w:p w14:paraId="21CAC66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大气沉降</w:t>
            </w:r>
          </w:p>
        </w:tc>
        <w:tc>
          <w:tcPr>
            <w:tcW w:w="2385" w:type="dxa"/>
            <w:vAlign w:val="center"/>
          </w:tcPr>
          <w:p w14:paraId="52FA15B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烟尘、</w:t>
            </w:r>
            <w:r>
              <w:rPr>
                <w:rFonts w:hint="default" w:ascii="Times New Roman" w:hAnsi="Times New Roman" w:cs="Times New Roman" w:eastAsiaTheme="minorEastAsia"/>
                <w:szCs w:val="21"/>
                <w:lang w:val="en-US" w:eastAsia="zh-CN"/>
              </w:rPr>
              <w:t>SO</w:t>
            </w:r>
            <w:r>
              <w:rPr>
                <w:rFonts w:hint="default" w:ascii="Times New Roman" w:hAnsi="Times New Roman" w:cs="Times New Roman" w:eastAsiaTheme="minorEastAsia"/>
                <w:szCs w:val="21"/>
                <w:vertAlign w:val="subscript"/>
                <w:lang w:val="en-US" w:eastAsia="zh-CN"/>
              </w:rPr>
              <w:t>2</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NOx</w:t>
            </w:r>
            <w:r>
              <w:rPr>
                <w:rFonts w:hint="eastAsia" w:ascii="Times New Roman" w:hAnsi="Times New Roman" w:cs="Times New Roman" w:eastAsiaTheme="minorEastAsia"/>
                <w:szCs w:val="21"/>
                <w:lang w:val="en-US" w:eastAsia="zh-CN"/>
              </w:rPr>
              <w:t>、重金属、二噁英类</w:t>
            </w:r>
          </w:p>
        </w:tc>
        <w:tc>
          <w:tcPr>
            <w:tcW w:w="1681" w:type="dxa"/>
            <w:vAlign w:val="center"/>
          </w:tcPr>
          <w:p w14:paraId="2E17813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Pb</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Hg</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Cd</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As</w:t>
            </w:r>
            <w:r>
              <w:rPr>
                <w:rFonts w:hint="eastAsia" w:ascii="Times New Roman" w:hAnsi="Times New Roman" w:cs="Times New Roman" w:eastAsiaTheme="minorEastAsia"/>
                <w:szCs w:val="21"/>
                <w:lang w:val="en-US" w:eastAsia="zh-CN"/>
              </w:rPr>
              <w:t>、二噁英类</w:t>
            </w:r>
          </w:p>
        </w:tc>
        <w:tc>
          <w:tcPr>
            <w:tcW w:w="1421" w:type="dxa"/>
            <w:vAlign w:val="center"/>
          </w:tcPr>
          <w:p w14:paraId="44B379B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连续</w:t>
            </w:r>
          </w:p>
        </w:tc>
      </w:tr>
      <w:tr w14:paraId="592E9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vAlign w:val="center"/>
          </w:tcPr>
          <w:p w14:paraId="669E4FF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污水处理站</w:t>
            </w:r>
          </w:p>
        </w:tc>
        <w:tc>
          <w:tcPr>
            <w:tcW w:w="1050" w:type="dxa"/>
            <w:vAlign w:val="center"/>
          </w:tcPr>
          <w:p w14:paraId="475BC9B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各池体</w:t>
            </w:r>
          </w:p>
        </w:tc>
        <w:tc>
          <w:tcPr>
            <w:tcW w:w="930" w:type="dxa"/>
            <w:vAlign w:val="center"/>
          </w:tcPr>
          <w:p w14:paraId="6372692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垂直入渗</w:t>
            </w:r>
          </w:p>
        </w:tc>
        <w:tc>
          <w:tcPr>
            <w:tcW w:w="2385" w:type="dxa"/>
            <w:vAlign w:val="center"/>
          </w:tcPr>
          <w:p w14:paraId="3BEBCDB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COD</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BOD</w:t>
            </w:r>
            <w:r>
              <w:rPr>
                <w:rFonts w:hint="eastAsia" w:ascii="Times New Roman" w:hAnsi="Times New Roman" w:cs="Times New Roman" w:eastAsiaTheme="minorEastAsia"/>
                <w:szCs w:val="21"/>
                <w:vertAlign w:val="subscript"/>
                <w:lang w:val="en-US" w:eastAsia="zh-CN"/>
              </w:rPr>
              <w:t>5</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SS</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NH</w:t>
            </w:r>
            <w:r>
              <w:rPr>
                <w:rFonts w:hint="eastAsia" w:ascii="Times New Roman" w:hAnsi="Times New Roman" w:cs="Times New Roman" w:eastAsiaTheme="minorEastAsia"/>
                <w:szCs w:val="21"/>
                <w:vertAlign w:val="subscript"/>
                <w:lang w:val="en-US" w:eastAsia="zh-CN"/>
              </w:rPr>
              <w:t>3</w:t>
            </w:r>
            <w:r>
              <w:rPr>
                <w:rFonts w:hint="default" w:ascii="Times New Roman" w:hAnsi="Times New Roman" w:cs="Times New Roman" w:eastAsiaTheme="minorEastAsia"/>
                <w:szCs w:val="21"/>
                <w:lang w:val="en-US" w:eastAsia="zh-CN"/>
              </w:rPr>
              <w:t>-N、石油类以及重金属等</w:t>
            </w:r>
          </w:p>
        </w:tc>
        <w:tc>
          <w:tcPr>
            <w:tcW w:w="1681" w:type="dxa"/>
            <w:vAlign w:val="center"/>
          </w:tcPr>
          <w:p w14:paraId="57E863D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石油类、</w:t>
            </w:r>
            <w:r>
              <w:rPr>
                <w:rFonts w:hint="default" w:ascii="Times New Roman" w:hAnsi="Times New Roman" w:cs="Times New Roman" w:eastAsiaTheme="minorEastAsia"/>
                <w:szCs w:val="21"/>
                <w:lang w:val="en-US" w:eastAsia="zh-CN"/>
              </w:rPr>
              <w:t>As</w:t>
            </w:r>
          </w:p>
        </w:tc>
        <w:tc>
          <w:tcPr>
            <w:tcW w:w="1421" w:type="dxa"/>
            <w:vAlign w:val="center"/>
          </w:tcPr>
          <w:p w14:paraId="6A4593C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事故</w:t>
            </w:r>
          </w:p>
        </w:tc>
      </w:tr>
    </w:tbl>
    <w:p w14:paraId="5FC80B92">
      <w:pPr>
        <w:adjustRightInd w:val="0"/>
        <w:snapToGrid w:val="0"/>
        <w:spacing w:line="500" w:lineRule="exact"/>
        <w:jc w:val="left"/>
        <w:rPr>
          <w:rFonts w:hint="default"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5.</w:t>
      </w:r>
      <w:r>
        <w:rPr>
          <w:rFonts w:hint="eastAsia" w:ascii="Times New Roman" w:hAnsi="Times New Roman" w:cs="Times New Roman"/>
          <w:b/>
          <w:bCs/>
          <w:sz w:val="24"/>
          <w:lang w:val="en-US" w:eastAsia="zh-CN"/>
        </w:rPr>
        <w:t>7</w:t>
      </w:r>
      <w:r>
        <w:rPr>
          <w:rFonts w:hint="eastAsia" w:ascii="Times New Roman" w:hAnsi="Times New Roman" w:cs="Times New Roman" w:eastAsiaTheme="minorEastAsia"/>
          <w:b/>
          <w:bCs/>
          <w:sz w:val="24"/>
          <w:lang w:val="en-US" w:eastAsia="zh-CN"/>
        </w:rPr>
        <w:t>.3.2预测情景设定</w:t>
      </w:r>
    </w:p>
    <w:p w14:paraId="5C859B0B">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w:t>
      </w:r>
      <w:r>
        <w:rPr>
          <w:rFonts w:hint="default" w:ascii="Times New Roman" w:hAnsi="Times New Roman" w:cs="Times New Roman" w:eastAsiaTheme="minorEastAsia"/>
          <w:sz w:val="24"/>
          <w:highlight w:val="none"/>
          <w:lang w:val="en-US" w:eastAsia="zh-CN"/>
        </w:rPr>
        <w:t>大气污染物正常排放情况下对下风向土壤环境的影响，预测废气中污染物通过大气沉降进入周边土壤中的累积影响程度</w:t>
      </w:r>
      <w:r>
        <w:rPr>
          <w:rFonts w:hint="eastAsia" w:ascii="Times New Roman" w:hAnsi="Times New Roman" w:cs="Times New Roman"/>
          <w:sz w:val="24"/>
          <w:highlight w:val="none"/>
          <w:lang w:val="en-US" w:eastAsia="zh-CN"/>
        </w:rPr>
        <w:t>；</w:t>
      </w:r>
    </w:p>
    <w:p w14:paraId="1F906026">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w:t>
      </w:r>
      <w:r>
        <w:rPr>
          <w:rFonts w:hint="default" w:ascii="Times New Roman" w:hAnsi="Times New Roman" w:cs="Times New Roman" w:eastAsiaTheme="minorEastAsia"/>
          <w:sz w:val="24"/>
          <w:highlight w:val="none"/>
          <w:lang w:val="en-US" w:eastAsia="zh-CN"/>
        </w:rPr>
        <w:t>占地范围内土壤环境影响考虑最不利情况，即污水处理站池体泄漏，废水进入土壤环境，预测其可能产生影响的土壤深度。</w:t>
      </w:r>
    </w:p>
    <w:p w14:paraId="74002793">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254" w:name="_Toc31452"/>
      <w:r>
        <w:rPr>
          <w:rFonts w:hint="eastAsia" w:ascii="Times New Roman" w:hAnsi="Times New Roman" w:cs="Times New Roman" w:eastAsiaTheme="minorEastAsia"/>
          <w:kern w:val="0"/>
          <w:sz w:val="24"/>
          <w:szCs w:val="24"/>
          <w:lang w:val="en-US" w:eastAsia="zh-CN"/>
        </w:rPr>
        <w:t>5.</w:t>
      </w:r>
      <w:r>
        <w:rPr>
          <w:rFonts w:hint="eastAsia" w:ascii="Times New Roman" w:hAnsi="Times New Roman" w:cs="Times New Roman"/>
          <w:kern w:val="0"/>
          <w:sz w:val="24"/>
          <w:szCs w:val="24"/>
          <w:lang w:val="en-US" w:eastAsia="zh-CN"/>
        </w:rPr>
        <w:t>7</w:t>
      </w:r>
      <w:r>
        <w:rPr>
          <w:rFonts w:hint="eastAsia" w:ascii="Times New Roman" w:hAnsi="Times New Roman" w:cs="Times New Roman" w:eastAsiaTheme="minorEastAsia"/>
          <w:kern w:val="0"/>
          <w:sz w:val="24"/>
          <w:szCs w:val="24"/>
          <w:lang w:val="en-US" w:eastAsia="zh-CN"/>
        </w:rPr>
        <w:t>.4土壤环境影响预测</w:t>
      </w:r>
      <w:bookmarkEnd w:id="254"/>
    </w:p>
    <w:p w14:paraId="057D6A12">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5.</w:t>
      </w:r>
      <w:r>
        <w:rPr>
          <w:rFonts w:hint="eastAsia" w:ascii="Times New Roman" w:hAnsi="Times New Roman" w:cs="Times New Roman"/>
          <w:b/>
          <w:bCs/>
          <w:sz w:val="24"/>
          <w:lang w:val="en-US" w:eastAsia="zh-CN"/>
        </w:rPr>
        <w:t>7</w:t>
      </w:r>
      <w:r>
        <w:rPr>
          <w:rFonts w:hint="eastAsia" w:ascii="Times New Roman" w:hAnsi="Times New Roman" w:cs="Times New Roman" w:eastAsiaTheme="minorEastAsia"/>
          <w:b/>
          <w:bCs/>
          <w:sz w:val="24"/>
          <w:lang w:val="en-US" w:eastAsia="zh-CN"/>
        </w:rPr>
        <w:t>.4.1沉降型土壤环境影响预测</w:t>
      </w:r>
    </w:p>
    <w:p w14:paraId="631CAA81">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本次评价采用《环境影响评价技术导则土壤环境（试行）》（HJ964-2018）中附录E土壤环境影响预测方法预测</w:t>
      </w:r>
      <w:r>
        <w:rPr>
          <w:rFonts w:hint="eastAsia" w:ascii="Times New Roman" w:hAnsi="Times New Roman" w:cs="Times New Roman"/>
          <w:sz w:val="24"/>
          <w:highlight w:val="none"/>
          <w:lang w:val="en-US" w:eastAsia="zh-CN"/>
        </w:rPr>
        <w:t>项目</w:t>
      </w:r>
      <w:r>
        <w:rPr>
          <w:rFonts w:hint="eastAsia" w:ascii="Times New Roman" w:hAnsi="Times New Roman" w:cs="Times New Roman" w:eastAsiaTheme="minorEastAsia"/>
          <w:sz w:val="24"/>
          <w:highlight w:val="none"/>
          <w:lang w:val="en-US" w:eastAsia="zh-CN"/>
        </w:rPr>
        <w:t>废气污染源通过自然沉降进入周边土壤量。</w:t>
      </w:r>
    </w:p>
    <w:p w14:paraId="51CF06E0">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a）</w:t>
      </w:r>
      <w:r>
        <w:rPr>
          <w:rFonts w:hint="default" w:ascii="Times New Roman" w:hAnsi="Times New Roman" w:cs="Times New Roman" w:eastAsiaTheme="minorEastAsia"/>
          <w:sz w:val="24"/>
          <w:highlight w:val="none"/>
          <w:lang w:val="en-US" w:eastAsia="zh-CN"/>
        </w:rPr>
        <w:t>采用下列公式计算单位质量土壤中某种物质的增量：</w:t>
      </w:r>
    </w:p>
    <w:p w14:paraId="4761EBCB">
      <w:pPr>
        <w:adjustRightInd w:val="0"/>
        <w:snapToGrid w:val="0"/>
        <w:spacing w:line="500" w:lineRule="exact"/>
        <w:ind w:firstLine="480" w:firstLineChars="200"/>
        <w:jc w:val="center"/>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ΔS=n</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Is-Ls-Rs</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ρb×A×D</w:t>
      </w:r>
      <w:r>
        <w:rPr>
          <w:rFonts w:hint="eastAsia" w:ascii="Times New Roman" w:hAnsi="Times New Roman" w:cs="Times New Roman" w:eastAsiaTheme="minorEastAsia"/>
          <w:sz w:val="24"/>
          <w:highlight w:val="none"/>
          <w:lang w:val="en-US" w:eastAsia="zh-CN"/>
        </w:rPr>
        <w:t>)</w:t>
      </w:r>
    </w:p>
    <w:p w14:paraId="41247DE9">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式中：ΔS——单位质量表层土壤中某种物质的增量，</w:t>
      </w:r>
      <w:r>
        <w:rPr>
          <w:rFonts w:hint="eastAsia" w:ascii="Times New Roman" w:hAnsi="Times New Roman" w:cs="Times New Roman" w:eastAsiaTheme="minorEastAsia"/>
          <w:sz w:val="24"/>
          <w:highlight w:val="none"/>
          <w:lang w:val="en-US" w:eastAsia="zh-CN"/>
        </w:rPr>
        <w:t>m</w:t>
      </w:r>
      <w:r>
        <w:rPr>
          <w:rFonts w:hint="default" w:ascii="Times New Roman" w:hAnsi="Times New Roman" w:cs="Times New Roman" w:eastAsiaTheme="minorEastAsia"/>
          <w:sz w:val="24"/>
          <w:highlight w:val="none"/>
          <w:lang w:val="en-US" w:eastAsia="zh-CN"/>
        </w:rPr>
        <w:t>g/kg；</w:t>
      </w:r>
    </w:p>
    <w:p w14:paraId="2097C109">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Is——预测评价范围内单位年份表层土壤中某种物质的输入量，g；</w:t>
      </w:r>
    </w:p>
    <w:p w14:paraId="222C6E75">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Ls——预测评价范围内单位年份表层土壤中某种物质经淋溶排出的量，g</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考虑最不利影响，取值0</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w:t>
      </w:r>
    </w:p>
    <w:p w14:paraId="5DC77E6B">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Rs——预测评价范围内单位年份表层土壤中某种物质经径流排出的量，g（考虑最不利影响，取值0）；</w:t>
      </w:r>
    </w:p>
    <w:p w14:paraId="15E80CED">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ρb——土壤容重，kg/m</w:t>
      </w:r>
      <w:r>
        <w:rPr>
          <w:rFonts w:hint="default" w:ascii="Times New Roman" w:hAnsi="Times New Roman" w:cs="Times New Roman" w:eastAsiaTheme="minorEastAsia"/>
          <w:sz w:val="24"/>
          <w:highlight w:val="none"/>
          <w:vertAlign w:val="superscript"/>
          <w:lang w:val="en-US" w:eastAsia="zh-CN"/>
        </w:rPr>
        <w:t>3</w:t>
      </w:r>
      <w:r>
        <w:rPr>
          <w:rFonts w:hint="default" w:ascii="Times New Roman" w:hAnsi="Times New Roman" w:cs="Times New Roman" w:eastAsiaTheme="minorEastAsia"/>
          <w:sz w:val="24"/>
          <w:highlight w:val="none"/>
          <w:lang w:val="en-US" w:eastAsia="zh-CN"/>
        </w:rPr>
        <w:t>（</w:t>
      </w:r>
      <w:r>
        <w:rPr>
          <w:rFonts w:hint="eastAsia" w:ascii="Times New Roman" w:hAnsi="Times New Roman" w:cs="Times New Roman" w:eastAsiaTheme="minorEastAsia"/>
          <w:sz w:val="24"/>
          <w:highlight w:val="none"/>
          <w:lang w:val="en-US" w:eastAsia="zh-CN"/>
        </w:rPr>
        <w:t>1560</w:t>
      </w:r>
      <w:r>
        <w:rPr>
          <w:rFonts w:hint="default" w:ascii="Times New Roman" w:hAnsi="Times New Roman" w:cs="Times New Roman" w:eastAsiaTheme="minorEastAsia"/>
          <w:sz w:val="24"/>
          <w:highlight w:val="none"/>
          <w:lang w:val="en-US" w:eastAsia="zh-CN"/>
        </w:rPr>
        <w:t>kg/m</w:t>
      </w:r>
      <w:r>
        <w:rPr>
          <w:rFonts w:hint="default" w:ascii="Times New Roman" w:hAnsi="Times New Roman" w:cs="Times New Roman" w:eastAsiaTheme="minorEastAsia"/>
          <w:sz w:val="24"/>
          <w:highlight w:val="none"/>
          <w:vertAlign w:val="superscript"/>
          <w:lang w:val="en-US" w:eastAsia="zh-CN"/>
        </w:rPr>
        <w:t>3</w:t>
      </w:r>
      <w:r>
        <w:rPr>
          <w:rFonts w:hint="default" w:ascii="Times New Roman" w:hAnsi="Times New Roman" w:cs="Times New Roman" w:eastAsiaTheme="minorEastAsia"/>
          <w:sz w:val="24"/>
          <w:highlight w:val="none"/>
          <w:lang w:val="en-US" w:eastAsia="zh-CN"/>
        </w:rPr>
        <w:t>）；</w:t>
      </w:r>
    </w:p>
    <w:p w14:paraId="16776632">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A——预测评价范围，m</w:t>
      </w:r>
      <w:r>
        <w:rPr>
          <w:rFonts w:hint="default" w:ascii="Times New Roman" w:hAnsi="Times New Roman" w:cs="Times New Roman" w:eastAsiaTheme="minorEastAsia"/>
          <w:sz w:val="24"/>
          <w:highlight w:val="none"/>
          <w:vertAlign w:val="superscript"/>
          <w:lang w:val="en-US" w:eastAsia="zh-CN"/>
        </w:rPr>
        <w:t>2</w:t>
      </w:r>
      <w:r>
        <w:rPr>
          <w:rFonts w:hint="default" w:ascii="Times New Roman" w:hAnsi="Times New Roman" w:cs="Times New Roman" w:eastAsiaTheme="minorEastAsia"/>
          <w:sz w:val="24"/>
          <w:highlight w:val="none"/>
          <w:lang w:val="en-US" w:eastAsia="zh-CN"/>
        </w:rPr>
        <w:t>（</w:t>
      </w:r>
      <w:r>
        <w:rPr>
          <w:rFonts w:hint="eastAsia" w:ascii="Times New Roman" w:hAnsi="Times New Roman" w:cs="Times New Roman" w:eastAsiaTheme="minorEastAsia"/>
          <w:sz w:val="24"/>
          <w:highlight w:val="none"/>
          <w:lang w:val="en-US" w:eastAsia="zh-CN"/>
        </w:rPr>
        <w:t>本项目根据土壤导则判定评价等级为二级，影响类型为污染影响型，调查范围为项目周边</w:t>
      </w:r>
      <w:r>
        <w:rPr>
          <w:rFonts w:hint="default" w:ascii="Times New Roman" w:hAnsi="Times New Roman" w:cs="Times New Roman" w:eastAsiaTheme="minorEastAsia"/>
          <w:sz w:val="24"/>
          <w:highlight w:val="none"/>
          <w:lang w:val="en-US" w:eastAsia="zh-CN"/>
        </w:rPr>
        <w:t>0.2km</w:t>
      </w:r>
      <w:r>
        <w:rPr>
          <w:rFonts w:hint="eastAsia" w:ascii="Times New Roman" w:hAnsi="Times New Roman" w:cs="Times New Roman" w:eastAsiaTheme="minorEastAsia"/>
          <w:sz w:val="24"/>
          <w:highlight w:val="none"/>
          <w:lang w:val="en-US" w:eastAsia="zh-CN"/>
        </w:rPr>
        <w:t>的矩形区域</w:t>
      </w:r>
      <w:r>
        <w:rPr>
          <w:rFonts w:hint="eastAsia" w:ascii="Times New Roman" w:hAnsi="Times New Roman" w:cs="Times New Roman"/>
          <w:sz w:val="24"/>
          <w:highlight w:val="none"/>
          <w:lang w:val="en-US" w:eastAsia="zh-CN"/>
        </w:rPr>
        <w:t>，评价范围面积</w:t>
      </w:r>
      <w:r>
        <w:rPr>
          <w:rFonts w:hint="eastAsia" w:ascii="Times New Roman" w:hAnsi="Times New Roman" w:cs="Times New Roman" w:eastAsiaTheme="minorEastAsia"/>
          <w:sz w:val="24"/>
          <w:highlight w:val="none"/>
          <w:lang w:val="en-US" w:eastAsia="zh-CN"/>
        </w:rPr>
        <w:t>占地</w:t>
      </w:r>
      <w:r>
        <w:rPr>
          <w:rFonts w:hint="eastAsia" w:ascii="Times New Roman" w:hAnsi="Times New Roman" w:cs="Times New Roman"/>
          <w:sz w:val="24"/>
          <w:highlight w:val="none"/>
          <w:lang w:val="en-US" w:eastAsia="zh-CN"/>
        </w:rPr>
        <w:t>80888.6</w:t>
      </w:r>
      <w:r>
        <w:rPr>
          <w:rFonts w:hint="eastAsia" w:ascii="Times New Roman" w:hAnsi="Times New Roman" w:cs="Times New Roman" w:eastAsiaTheme="minorEastAsia"/>
          <w:sz w:val="24"/>
          <w:highlight w:val="none"/>
          <w:lang w:val="en-US" w:eastAsia="zh-CN"/>
        </w:rPr>
        <w:t>m</w:t>
      </w:r>
      <w:r>
        <w:rPr>
          <w:rFonts w:hint="eastAsia" w:ascii="Times New Roman" w:hAnsi="Times New Roman" w:cs="Times New Roman" w:eastAsiaTheme="minorEastAsia"/>
          <w:sz w:val="24"/>
          <w:highlight w:val="none"/>
          <w:vertAlign w:val="superscript"/>
          <w:lang w:val="en-US" w:eastAsia="zh-CN"/>
        </w:rPr>
        <w:t>2</w:t>
      </w:r>
      <w:r>
        <w:rPr>
          <w:rFonts w:hint="default" w:ascii="Times New Roman" w:hAnsi="Times New Roman" w:cs="Times New Roman" w:eastAsiaTheme="minorEastAsia"/>
          <w:sz w:val="24"/>
          <w:highlight w:val="none"/>
          <w:lang w:val="en-US" w:eastAsia="zh-CN"/>
        </w:rPr>
        <w:t>）；</w:t>
      </w:r>
    </w:p>
    <w:p w14:paraId="0A37E4FD">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D——表层土壤深度，一般取0.2m；</w:t>
      </w:r>
    </w:p>
    <w:p w14:paraId="57A34EBE">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N——持续年份，a</w:t>
      </w:r>
      <w:r>
        <w:rPr>
          <w:rFonts w:hint="eastAsia" w:ascii="Times New Roman" w:hAnsi="Times New Roman" w:cs="Times New Roman"/>
          <w:sz w:val="24"/>
          <w:highlight w:val="none"/>
          <w:lang w:val="en-US" w:eastAsia="zh-CN"/>
        </w:rPr>
        <w:t>。</w:t>
      </w:r>
    </w:p>
    <w:p w14:paraId="57DEF8AD">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根据土壤导则，本项目涉及大气沉降影响，可不考虑输出量，因此上述公式可简化为如下</w:t>
      </w:r>
      <w:r>
        <w:rPr>
          <w:rFonts w:hint="eastAsia" w:ascii="Times New Roman" w:hAnsi="Times New Roman" w:cs="Times New Roman"/>
          <w:sz w:val="24"/>
          <w:highlight w:val="none"/>
          <w:lang w:val="en-US" w:eastAsia="zh-CN"/>
        </w:rPr>
        <w:t>：</w:t>
      </w:r>
    </w:p>
    <w:p w14:paraId="11789CFA">
      <w:pPr>
        <w:adjustRightInd w:val="0"/>
        <w:snapToGrid w:val="0"/>
        <w:spacing w:line="500" w:lineRule="exact"/>
        <w:ind w:firstLine="480" w:firstLineChars="200"/>
        <w:jc w:val="center"/>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ΔS=nIs/</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ρb×A×D</w:t>
      </w:r>
      <w:r>
        <w:rPr>
          <w:rFonts w:hint="eastAsia" w:ascii="Times New Roman" w:hAnsi="Times New Roman" w:cs="Times New Roman" w:eastAsiaTheme="minorEastAsia"/>
          <w:sz w:val="24"/>
          <w:highlight w:val="none"/>
          <w:lang w:val="en-US" w:eastAsia="zh-CN"/>
        </w:rPr>
        <w:t>)</w:t>
      </w:r>
    </w:p>
    <w:p w14:paraId="2F0456B1">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b）单位质量土壤中某种物质的预测值根据其增加叠加现状值进行计算，如下式：</w:t>
      </w:r>
    </w:p>
    <w:p w14:paraId="7159F58A">
      <w:pPr>
        <w:adjustRightInd w:val="0"/>
        <w:snapToGrid w:val="0"/>
        <w:spacing w:line="500" w:lineRule="exact"/>
        <w:ind w:firstLine="480" w:firstLineChars="200"/>
        <w:jc w:val="center"/>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S=Sb+ΔS</w:t>
      </w:r>
    </w:p>
    <w:p w14:paraId="2E4D603F">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式中</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Sb-单位质量土壤中污染物的现状值，g</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kg</w:t>
      </w:r>
      <w:r>
        <w:rPr>
          <w:rFonts w:hint="eastAsia" w:ascii="Times New Roman" w:hAnsi="Times New Roman" w:cs="Times New Roman" w:eastAsiaTheme="minorEastAsia"/>
          <w:sz w:val="24"/>
          <w:highlight w:val="none"/>
          <w:lang w:val="en-US" w:eastAsia="zh-CN"/>
        </w:rPr>
        <w:t>；</w:t>
      </w:r>
    </w:p>
    <w:p w14:paraId="1EDE4421">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S-单位质量土壤中污染物的预测值，g/kg。</w:t>
      </w:r>
    </w:p>
    <w:p w14:paraId="36F847FC">
      <w:pPr>
        <w:pStyle w:val="20"/>
        <w:snapToGrid w:val="0"/>
        <w:jc w:val="left"/>
      </w:pPr>
      <w:r>
        <w:rPr>
          <w:rFonts w:hint="eastAsia" w:ascii="Times New Roman" w:hAnsi="Times New Roman" w:eastAsia="华文中宋" w:cs="Times New Roman"/>
          <w:color w:val="auto"/>
          <w:lang w:val="en-US" w:eastAsia="zh-CN"/>
        </w:rPr>
        <w:t>预测参数及结果见表</w:t>
      </w:r>
      <w:r>
        <w:rPr>
          <w:rFonts w:hint="eastAsia" w:ascii="Times New Roman" w:hAnsi="Times New Roman" w:cs="Times New Roman"/>
          <w:color w:val="auto"/>
          <w:lang w:val="en-US" w:eastAsia="zh-CN"/>
        </w:rPr>
        <w:t>5.7-3</w:t>
      </w:r>
      <w:r>
        <w:rPr>
          <w:rFonts w:hint="eastAsia" w:ascii="Times New Roman" w:hAnsi="Times New Roman" w:eastAsia="华文中宋" w:cs="Times New Roman"/>
          <w:color w:val="auto"/>
          <w:lang w:val="en-US" w:eastAsia="zh-CN"/>
        </w:rPr>
        <w:t>。</w:t>
      </w:r>
    </w:p>
    <w:p w14:paraId="6D367A84">
      <w:pPr>
        <w:snapToGrid w:val="0"/>
        <w:spacing w:before="241" w:beforeLines="50"/>
        <w:jc w:val="center"/>
        <w:rPr>
          <w:rFonts w:hint="default"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表5.</w:t>
      </w:r>
      <w:r>
        <w:rPr>
          <w:rFonts w:hint="eastAsia" w:ascii="Times New Roman" w:hAnsi="Times New Roman" w:cs="Times New Roman"/>
          <w:b/>
          <w:szCs w:val="21"/>
          <w:lang w:val="en-US" w:eastAsia="zh-CN"/>
        </w:rPr>
        <w:t>7</w:t>
      </w:r>
      <w:r>
        <w:rPr>
          <w:rFonts w:hint="eastAsia" w:ascii="Times New Roman" w:hAnsi="Times New Roman" w:cs="Times New Roman" w:eastAsiaTheme="minorEastAsia"/>
          <w:b/>
          <w:szCs w:val="21"/>
          <w:lang w:val="en-US" w:eastAsia="zh-CN"/>
        </w:rPr>
        <w:t>-3  大气沉降影响预测结果</w:t>
      </w:r>
      <w:r>
        <w:rPr>
          <w:rFonts w:hint="eastAsia" w:ascii="Times New Roman" w:hAnsi="Times New Roman" w:cs="Times New Roman"/>
          <w:b/>
          <w:szCs w:val="21"/>
          <w:lang w:val="en-US" w:eastAsia="zh-CN"/>
        </w:rPr>
        <w:t>（10年）</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2"/>
        <w:gridCol w:w="700"/>
        <w:gridCol w:w="1082"/>
        <w:gridCol w:w="950"/>
        <w:gridCol w:w="764"/>
        <w:gridCol w:w="1113"/>
        <w:gridCol w:w="1174"/>
        <w:gridCol w:w="1305"/>
        <w:gridCol w:w="1022"/>
      </w:tblGrid>
      <w:tr w14:paraId="7583E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shd w:val="clear" w:color="auto" w:fill="auto"/>
            <w:vAlign w:val="center"/>
          </w:tcPr>
          <w:p w14:paraId="0AEAD27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污染物</w:t>
            </w:r>
          </w:p>
        </w:tc>
        <w:tc>
          <w:tcPr>
            <w:tcW w:w="410" w:type="pct"/>
            <w:shd w:val="clear" w:color="auto" w:fill="auto"/>
            <w:vAlign w:val="center"/>
          </w:tcPr>
          <w:p w14:paraId="2EBA9EE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持续年份n（a）</w:t>
            </w:r>
          </w:p>
        </w:tc>
        <w:tc>
          <w:tcPr>
            <w:tcW w:w="634" w:type="pct"/>
            <w:shd w:val="clear" w:color="auto" w:fill="auto"/>
            <w:vAlign w:val="center"/>
          </w:tcPr>
          <w:p w14:paraId="5263A1DD">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表层土壤容重ρb（kg/m</w:t>
            </w:r>
            <w:r>
              <w:rPr>
                <w:rFonts w:hint="eastAsia" w:ascii="Times New Roman" w:hAnsi="Times New Roman" w:cs="Times New Roman" w:eastAsiaTheme="minorEastAsia"/>
                <w:szCs w:val="21"/>
                <w:vertAlign w:val="superscript"/>
                <w:lang w:val="en-US" w:eastAsia="zh-CN"/>
              </w:rPr>
              <w:t>3</w:t>
            </w:r>
            <w:r>
              <w:rPr>
                <w:rFonts w:hint="eastAsia" w:ascii="Times New Roman" w:hAnsi="Times New Roman" w:cs="Times New Roman" w:eastAsiaTheme="minorEastAsia"/>
                <w:szCs w:val="21"/>
                <w:lang w:val="en-US" w:eastAsia="zh-CN"/>
              </w:rPr>
              <w:t>）</w:t>
            </w:r>
          </w:p>
        </w:tc>
        <w:tc>
          <w:tcPr>
            <w:tcW w:w="557" w:type="pct"/>
            <w:shd w:val="clear" w:color="auto" w:fill="auto"/>
            <w:vAlign w:val="center"/>
          </w:tcPr>
          <w:p w14:paraId="213DFD8B">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预测评价范围A（m</w:t>
            </w:r>
            <w:r>
              <w:rPr>
                <w:rFonts w:hint="eastAsia" w:ascii="Times New Roman" w:hAnsi="Times New Roman" w:cs="Times New Roman" w:eastAsiaTheme="minorEastAsia"/>
                <w:szCs w:val="21"/>
                <w:vertAlign w:val="superscript"/>
                <w:lang w:val="en-US" w:eastAsia="zh-CN"/>
              </w:rPr>
              <w:t>2</w:t>
            </w:r>
            <w:r>
              <w:rPr>
                <w:rFonts w:hint="eastAsia" w:ascii="Times New Roman" w:hAnsi="Times New Roman" w:cs="Times New Roman" w:eastAsiaTheme="minorEastAsia"/>
                <w:szCs w:val="21"/>
                <w:lang w:val="en-US" w:eastAsia="zh-CN"/>
              </w:rPr>
              <w:t>）</w:t>
            </w:r>
          </w:p>
        </w:tc>
        <w:tc>
          <w:tcPr>
            <w:tcW w:w="448" w:type="pct"/>
            <w:shd w:val="clear" w:color="auto" w:fill="auto"/>
            <w:vAlign w:val="center"/>
          </w:tcPr>
          <w:p w14:paraId="5B6110DB">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表层土壤深度D（m）</w:t>
            </w:r>
          </w:p>
        </w:tc>
        <w:tc>
          <w:tcPr>
            <w:tcW w:w="653" w:type="pct"/>
            <w:shd w:val="clear" w:color="auto" w:fill="auto"/>
            <w:vAlign w:val="center"/>
          </w:tcPr>
          <w:p w14:paraId="0DA1341F">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背景值（mg/kg）</w:t>
            </w:r>
          </w:p>
        </w:tc>
        <w:tc>
          <w:tcPr>
            <w:tcW w:w="688" w:type="pct"/>
            <w:shd w:val="clear" w:color="auto" w:fill="auto"/>
            <w:vAlign w:val="center"/>
          </w:tcPr>
          <w:p w14:paraId="6C3C9BDC">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持续年份输入量Is（g/a）</w:t>
            </w:r>
          </w:p>
        </w:tc>
        <w:tc>
          <w:tcPr>
            <w:tcW w:w="765" w:type="pct"/>
            <w:shd w:val="clear" w:color="auto" w:fill="auto"/>
            <w:vAlign w:val="center"/>
          </w:tcPr>
          <w:p w14:paraId="07EA9389">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土壤中污染物增量ΔS（mg/kg）</w:t>
            </w:r>
          </w:p>
        </w:tc>
        <w:tc>
          <w:tcPr>
            <w:tcW w:w="599" w:type="pct"/>
            <w:shd w:val="clear" w:color="auto" w:fill="auto"/>
            <w:vAlign w:val="center"/>
          </w:tcPr>
          <w:p w14:paraId="5A841F51">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预测值（mg/kg）</w:t>
            </w:r>
          </w:p>
        </w:tc>
      </w:tr>
      <w:tr w14:paraId="00515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shd w:val="clear" w:color="auto" w:fill="auto"/>
            <w:vAlign w:val="center"/>
          </w:tcPr>
          <w:p w14:paraId="3E72587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二噁英</w:t>
            </w:r>
          </w:p>
        </w:tc>
        <w:tc>
          <w:tcPr>
            <w:tcW w:w="410" w:type="pct"/>
            <w:vMerge w:val="restart"/>
            <w:shd w:val="clear" w:color="auto" w:fill="auto"/>
            <w:vAlign w:val="center"/>
          </w:tcPr>
          <w:p w14:paraId="1E1CAF1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w:t>
            </w:r>
          </w:p>
        </w:tc>
        <w:tc>
          <w:tcPr>
            <w:tcW w:w="634" w:type="pct"/>
            <w:vMerge w:val="restart"/>
            <w:shd w:val="clear" w:color="auto" w:fill="auto"/>
            <w:vAlign w:val="center"/>
          </w:tcPr>
          <w:p w14:paraId="4CB2102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1510</w:t>
            </w:r>
          </w:p>
        </w:tc>
        <w:tc>
          <w:tcPr>
            <w:tcW w:w="557" w:type="pct"/>
            <w:vMerge w:val="restart"/>
            <w:shd w:val="clear" w:color="auto" w:fill="auto"/>
            <w:vAlign w:val="center"/>
          </w:tcPr>
          <w:p w14:paraId="41ACCAB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80888.6</w:t>
            </w:r>
          </w:p>
        </w:tc>
        <w:tc>
          <w:tcPr>
            <w:tcW w:w="448" w:type="pct"/>
            <w:vMerge w:val="restart"/>
            <w:shd w:val="clear" w:color="auto" w:fill="auto"/>
            <w:vAlign w:val="center"/>
          </w:tcPr>
          <w:p w14:paraId="4A15E58F">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0.2</w:t>
            </w:r>
          </w:p>
        </w:tc>
        <w:tc>
          <w:tcPr>
            <w:tcW w:w="653" w:type="pct"/>
            <w:shd w:val="clear" w:color="auto" w:fill="auto"/>
            <w:vAlign w:val="center"/>
          </w:tcPr>
          <w:p w14:paraId="7171571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3.8×10</w:t>
            </w:r>
            <w:r>
              <w:rPr>
                <w:rFonts w:hint="eastAsia" w:ascii="Times New Roman" w:hAnsi="Times New Roman" w:cs="Times New Roman" w:eastAsiaTheme="minorEastAsia"/>
                <w:szCs w:val="21"/>
                <w:vertAlign w:val="superscript"/>
                <w:lang w:val="en-US" w:eastAsia="zh-CN"/>
              </w:rPr>
              <w:t>-7</w:t>
            </w:r>
          </w:p>
        </w:tc>
        <w:tc>
          <w:tcPr>
            <w:tcW w:w="688" w:type="pct"/>
            <w:shd w:val="clear" w:color="auto" w:fill="auto"/>
            <w:vAlign w:val="center"/>
          </w:tcPr>
          <w:p w14:paraId="59DE0E5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5.034×10</w:t>
            </w:r>
            <w:r>
              <w:rPr>
                <w:rFonts w:hint="eastAsia" w:ascii="Times New Roman" w:hAnsi="Times New Roman" w:cs="Times New Roman" w:eastAsiaTheme="minorEastAsia"/>
                <w:szCs w:val="21"/>
                <w:vertAlign w:val="superscript"/>
                <w:lang w:val="en-US" w:eastAsia="zh-CN"/>
              </w:rPr>
              <w:t>-5</w:t>
            </w:r>
          </w:p>
        </w:tc>
        <w:tc>
          <w:tcPr>
            <w:tcW w:w="765" w:type="pct"/>
            <w:shd w:val="clear" w:color="auto" w:fill="auto"/>
            <w:vAlign w:val="center"/>
          </w:tcPr>
          <w:p w14:paraId="317C70E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1.995×10</w:t>
            </w:r>
            <w:r>
              <w:rPr>
                <w:rFonts w:hint="eastAsia" w:ascii="Times New Roman" w:hAnsi="Times New Roman" w:cs="Times New Roman" w:eastAsiaTheme="minorEastAsia"/>
                <w:szCs w:val="21"/>
                <w:vertAlign w:val="superscript"/>
                <w:lang w:val="en-US" w:eastAsia="zh-CN"/>
              </w:rPr>
              <w:t>-11</w:t>
            </w:r>
          </w:p>
        </w:tc>
        <w:tc>
          <w:tcPr>
            <w:tcW w:w="599" w:type="pct"/>
            <w:shd w:val="clear" w:color="auto" w:fill="auto"/>
            <w:vAlign w:val="center"/>
          </w:tcPr>
          <w:p w14:paraId="0FFC6F2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3.8×10</w:t>
            </w:r>
            <w:r>
              <w:rPr>
                <w:rFonts w:hint="eastAsia" w:ascii="Times New Roman" w:hAnsi="Times New Roman" w:cs="Times New Roman" w:eastAsiaTheme="minorEastAsia"/>
                <w:szCs w:val="21"/>
                <w:vertAlign w:val="superscript"/>
                <w:lang w:val="en-US" w:eastAsia="zh-CN"/>
              </w:rPr>
              <w:t>-7</w:t>
            </w:r>
          </w:p>
        </w:tc>
      </w:tr>
      <w:tr w14:paraId="4839B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shd w:val="clear" w:color="auto" w:fill="auto"/>
            <w:vAlign w:val="center"/>
          </w:tcPr>
          <w:p w14:paraId="5363B17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铅</w:t>
            </w:r>
          </w:p>
        </w:tc>
        <w:tc>
          <w:tcPr>
            <w:tcW w:w="410" w:type="pct"/>
            <w:vMerge w:val="continue"/>
            <w:shd w:val="clear" w:color="auto" w:fill="auto"/>
            <w:vAlign w:val="center"/>
          </w:tcPr>
          <w:p w14:paraId="0AC6D9CF">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634" w:type="pct"/>
            <w:vMerge w:val="continue"/>
            <w:shd w:val="clear" w:color="auto" w:fill="auto"/>
            <w:vAlign w:val="center"/>
          </w:tcPr>
          <w:p w14:paraId="61E70CF2">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557" w:type="pct"/>
            <w:vMerge w:val="continue"/>
            <w:shd w:val="clear" w:color="auto" w:fill="auto"/>
            <w:vAlign w:val="center"/>
          </w:tcPr>
          <w:p w14:paraId="089DC9B1">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448" w:type="pct"/>
            <w:vMerge w:val="continue"/>
            <w:shd w:val="clear" w:color="auto" w:fill="auto"/>
            <w:vAlign w:val="center"/>
          </w:tcPr>
          <w:p w14:paraId="71AB30FE">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653" w:type="pct"/>
            <w:shd w:val="clear" w:color="auto" w:fill="auto"/>
            <w:vAlign w:val="center"/>
          </w:tcPr>
          <w:p w14:paraId="31ED60A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58</w:t>
            </w:r>
          </w:p>
        </w:tc>
        <w:tc>
          <w:tcPr>
            <w:tcW w:w="688" w:type="pct"/>
            <w:shd w:val="clear" w:color="auto" w:fill="auto"/>
            <w:vAlign w:val="center"/>
          </w:tcPr>
          <w:p w14:paraId="23F8B4D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128.4</w:t>
            </w:r>
          </w:p>
        </w:tc>
        <w:tc>
          <w:tcPr>
            <w:tcW w:w="765" w:type="pct"/>
            <w:shd w:val="clear" w:color="auto" w:fill="auto"/>
            <w:vAlign w:val="center"/>
          </w:tcPr>
          <w:p w14:paraId="4E07849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5.088×10</w:t>
            </w:r>
            <w:r>
              <w:rPr>
                <w:rFonts w:hint="eastAsia" w:ascii="Times New Roman" w:hAnsi="Times New Roman" w:cs="Times New Roman" w:eastAsiaTheme="minorEastAsia"/>
                <w:szCs w:val="21"/>
                <w:vertAlign w:val="superscript"/>
                <w:lang w:val="en-US" w:eastAsia="zh-CN"/>
              </w:rPr>
              <w:t>-5</w:t>
            </w:r>
          </w:p>
        </w:tc>
        <w:tc>
          <w:tcPr>
            <w:tcW w:w="599" w:type="pct"/>
            <w:shd w:val="clear" w:color="auto" w:fill="auto"/>
            <w:vAlign w:val="center"/>
          </w:tcPr>
          <w:p w14:paraId="6356E341">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58</w:t>
            </w:r>
          </w:p>
        </w:tc>
      </w:tr>
      <w:tr w14:paraId="046B2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shd w:val="clear" w:color="auto" w:fill="auto"/>
            <w:vAlign w:val="center"/>
          </w:tcPr>
          <w:p w14:paraId="75F111B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汞</w:t>
            </w:r>
          </w:p>
        </w:tc>
        <w:tc>
          <w:tcPr>
            <w:tcW w:w="410" w:type="pct"/>
            <w:vMerge w:val="continue"/>
            <w:shd w:val="clear" w:color="auto" w:fill="auto"/>
            <w:vAlign w:val="center"/>
          </w:tcPr>
          <w:p w14:paraId="6A9A55ED">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634" w:type="pct"/>
            <w:vMerge w:val="continue"/>
            <w:shd w:val="clear" w:color="auto" w:fill="auto"/>
            <w:vAlign w:val="center"/>
          </w:tcPr>
          <w:p w14:paraId="5E07D678">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557" w:type="pct"/>
            <w:vMerge w:val="continue"/>
            <w:shd w:val="clear" w:color="auto" w:fill="auto"/>
            <w:vAlign w:val="center"/>
          </w:tcPr>
          <w:p w14:paraId="4C55EF31">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448" w:type="pct"/>
            <w:vMerge w:val="continue"/>
            <w:shd w:val="clear" w:color="auto" w:fill="auto"/>
            <w:vAlign w:val="center"/>
          </w:tcPr>
          <w:p w14:paraId="743DD7DE">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653" w:type="pct"/>
            <w:shd w:val="clear" w:color="auto" w:fill="auto"/>
            <w:vAlign w:val="center"/>
          </w:tcPr>
          <w:p w14:paraId="550E146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0.0488</w:t>
            </w:r>
          </w:p>
        </w:tc>
        <w:tc>
          <w:tcPr>
            <w:tcW w:w="688" w:type="pct"/>
            <w:shd w:val="clear" w:color="auto" w:fill="auto"/>
            <w:vAlign w:val="center"/>
          </w:tcPr>
          <w:p w14:paraId="05DAB0E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0.01746</w:t>
            </w:r>
          </w:p>
        </w:tc>
        <w:tc>
          <w:tcPr>
            <w:tcW w:w="765" w:type="pct"/>
            <w:shd w:val="clear" w:color="auto" w:fill="auto"/>
            <w:vAlign w:val="center"/>
          </w:tcPr>
          <w:p w14:paraId="5D49209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6.918×10</w:t>
            </w:r>
            <w:r>
              <w:rPr>
                <w:rFonts w:hint="eastAsia" w:ascii="Times New Roman" w:hAnsi="Times New Roman" w:cs="Times New Roman" w:eastAsiaTheme="minorEastAsia"/>
                <w:szCs w:val="21"/>
                <w:vertAlign w:val="superscript"/>
                <w:lang w:val="en-US" w:eastAsia="zh-CN"/>
              </w:rPr>
              <w:t>-9</w:t>
            </w:r>
          </w:p>
        </w:tc>
        <w:tc>
          <w:tcPr>
            <w:tcW w:w="599" w:type="pct"/>
            <w:shd w:val="clear" w:color="auto" w:fill="auto"/>
            <w:vAlign w:val="center"/>
          </w:tcPr>
          <w:p w14:paraId="6D87C41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0.0488</w:t>
            </w:r>
          </w:p>
        </w:tc>
      </w:tr>
      <w:tr w14:paraId="5BE2B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shd w:val="clear" w:color="auto" w:fill="auto"/>
            <w:vAlign w:val="center"/>
          </w:tcPr>
          <w:p w14:paraId="7553508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镉</w:t>
            </w:r>
          </w:p>
        </w:tc>
        <w:tc>
          <w:tcPr>
            <w:tcW w:w="410" w:type="pct"/>
            <w:vMerge w:val="continue"/>
            <w:shd w:val="clear" w:color="auto" w:fill="auto"/>
            <w:vAlign w:val="center"/>
          </w:tcPr>
          <w:p w14:paraId="78249B33">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634" w:type="pct"/>
            <w:vMerge w:val="continue"/>
            <w:shd w:val="clear" w:color="auto" w:fill="auto"/>
            <w:vAlign w:val="center"/>
          </w:tcPr>
          <w:p w14:paraId="63CE0117">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557" w:type="pct"/>
            <w:vMerge w:val="continue"/>
            <w:shd w:val="clear" w:color="auto" w:fill="auto"/>
            <w:vAlign w:val="center"/>
          </w:tcPr>
          <w:p w14:paraId="668B1686">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448" w:type="pct"/>
            <w:vMerge w:val="continue"/>
            <w:shd w:val="clear" w:color="auto" w:fill="auto"/>
            <w:vAlign w:val="center"/>
          </w:tcPr>
          <w:p w14:paraId="2ECA11E4">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653" w:type="pct"/>
            <w:shd w:val="clear" w:color="auto" w:fill="auto"/>
            <w:vAlign w:val="center"/>
          </w:tcPr>
          <w:p w14:paraId="07CDF55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0.75</w:t>
            </w:r>
          </w:p>
        </w:tc>
        <w:tc>
          <w:tcPr>
            <w:tcW w:w="688" w:type="pct"/>
            <w:shd w:val="clear" w:color="auto" w:fill="auto"/>
            <w:vAlign w:val="center"/>
          </w:tcPr>
          <w:p w14:paraId="3C4AA23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1.533</w:t>
            </w:r>
          </w:p>
        </w:tc>
        <w:tc>
          <w:tcPr>
            <w:tcW w:w="765" w:type="pct"/>
            <w:shd w:val="clear" w:color="auto" w:fill="auto"/>
            <w:vAlign w:val="center"/>
          </w:tcPr>
          <w:p w14:paraId="552E7FC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6.074×10</w:t>
            </w:r>
            <w:r>
              <w:rPr>
                <w:rFonts w:hint="eastAsia" w:ascii="Times New Roman" w:hAnsi="Times New Roman" w:cs="Times New Roman" w:eastAsiaTheme="minorEastAsia"/>
                <w:szCs w:val="21"/>
                <w:vertAlign w:val="superscript"/>
                <w:lang w:val="en-US" w:eastAsia="zh-CN"/>
              </w:rPr>
              <w:t>-7</w:t>
            </w:r>
          </w:p>
        </w:tc>
        <w:tc>
          <w:tcPr>
            <w:tcW w:w="599" w:type="pct"/>
            <w:shd w:val="clear" w:color="auto" w:fill="auto"/>
            <w:vAlign w:val="center"/>
          </w:tcPr>
          <w:p w14:paraId="2C2C5F96">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0.75</w:t>
            </w:r>
          </w:p>
        </w:tc>
      </w:tr>
      <w:tr w14:paraId="23A07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shd w:val="clear" w:color="auto" w:fill="auto"/>
            <w:vAlign w:val="center"/>
          </w:tcPr>
          <w:p w14:paraId="77357DB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砷</w:t>
            </w:r>
          </w:p>
        </w:tc>
        <w:tc>
          <w:tcPr>
            <w:tcW w:w="410" w:type="pct"/>
            <w:vMerge w:val="continue"/>
            <w:shd w:val="clear" w:color="auto" w:fill="auto"/>
            <w:vAlign w:val="center"/>
          </w:tcPr>
          <w:p w14:paraId="71DA6293">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634" w:type="pct"/>
            <w:vMerge w:val="continue"/>
            <w:shd w:val="clear" w:color="auto" w:fill="auto"/>
            <w:vAlign w:val="center"/>
          </w:tcPr>
          <w:p w14:paraId="36D7960D">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557" w:type="pct"/>
            <w:vMerge w:val="continue"/>
            <w:shd w:val="clear" w:color="auto" w:fill="auto"/>
            <w:vAlign w:val="center"/>
          </w:tcPr>
          <w:p w14:paraId="68078CCA">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448" w:type="pct"/>
            <w:vMerge w:val="continue"/>
            <w:shd w:val="clear" w:color="auto" w:fill="auto"/>
            <w:vAlign w:val="center"/>
          </w:tcPr>
          <w:p w14:paraId="290A6DDF">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653" w:type="pct"/>
            <w:shd w:val="clear" w:color="auto" w:fill="auto"/>
            <w:vAlign w:val="center"/>
          </w:tcPr>
          <w:p w14:paraId="2278165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13.3</w:t>
            </w:r>
          </w:p>
        </w:tc>
        <w:tc>
          <w:tcPr>
            <w:tcW w:w="688" w:type="pct"/>
            <w:shd w:val="clear" w:color="auto" w:fill="auto"/>
            <w:vAlign w:val="center"/>
          </w:tcPr>
          <w:p w14:paraId="34D58F4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1314</w:t>
            </w:r>
          </w:p>
        </w:tc>
        <w:tc>
          <w:tcPr>
            <w:tcW w:w="765" w:type="pct"/>
            <w:shd w:val="clear" w:color="auto" w:fill="auto"/>
            <w:vAlign w:val="center"/>
          </w:tcPr>
          <w:p w14:paraId="4EEAF65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5.207</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-4</w:t>
            </w:r>
          </w:p>
        </w:tc>
        <w:tc>
          <w:tcPr>
            <w:tcW w:w="599" w:type="pct"/>
            <w:shd w:val="clear" w:color="auto" w:fill="auto"/>
            <w:vAlign w:val="center"/>
          </w:tcPr>
          <w:p w14:paraId="40A7D3AA">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13.3</w:t>
            </w:r>
          </w:p>
        </w:tc>
      </w:tr>
    </w:tbl>
    <w:p w14:paraId="60698125">
      <w:pPr>
        <w:snapToGrid w:val="0"/>
        <w:spacing w:before="241" w:beforeLines="50"/>
        <w:jc w:val="center"/>
        <w:rPr>
          <w:rFonts w:hint="default"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表5.</w:t>
      </w:r>
      <w:r>
        <w:rPr>
          <w:rFonts w:hint="eastAsia" w:ascii="Times New Roman" w:hAnsi="Times New Roman" w:cs="Times New Roman"/>
          <w:b/>
          <w:szCs w:val="21"/>
          <w:lang w:val="en-US" w:eastAsia="zh-CN"/>
        </w:rPr>
        <w:t>7</w:t>
      </w:r>
      <w:r>
        <w:rPr>
          <w:rFonts w:hint="eastAsia" w:ascii="Times New Roman" w:hAnsi="Times New Roman" w:cs="Times New Roman" w:eastAsiaTheme="minorEastAsia"/>
          <w:b/>
          <w:szCs w:val="21"/>
          <w:lang w:val="en-US" w:eastAsia="zh-CN"/>
        </w:rPr>
        <w:t>-</w:t>
      </w:r>
      <w:r>
        <w:rPr>
          <w:rFonts w:hint="eastAsia" w:ascii="Times New Roman" w:hAnsi="Times New Roman" w:cs="Times New Roman"/>
          <w:b/>
          <w:szCs w:val="21"/>
          <w:lang w:val="en-US" w:eastAsia="zh-CN"/>
        </w:rPr>
        <w:t>4</w:t>
      </w:r>
      <w:r>
        <w:rPr>
          <w:rFonts w:hint="eastAsia" w:ascii="Times New Roman" w:hAnsi="Times New Roman" w:cs="Times New Roman" w:eastAsiaTheme="minorEastAsia"/>
          <w:b/>
          <w:szCs w:val="21"/>
          <w:lang w:val="en-US" w:eastAsia="zh-CN"/>
        </w:rPr>
        <w:t xml:space="preserve">  大气沉降影响预测结果</w:t>
      </w:r>
      <w:r>
        <w:rPr>
          <w:rFonts w:hint="eastAsia" w:ascii="Times New Roman" w:hAnsi="Times New Roman" w:cs="Times New Roman"/>
          <w:b/>
          <w:szCs w:val="21"/>
          <w:lang w:val="en-US" w:eastAsia="zh-CN"/>
        </w:rPr>
        <w:t>（20年）</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2"/>
        <w:gridCol w:w="699"/>
        <w:gridCol w:w="1080"/>
        <w:gridCol w:w="948"/>
        <w:gridCol w:w="764"/>
        <w:gridCol w:w="1118"/>
        <w:gridCol w:w="1160"/>
        <w:gridCol w:w="1343"/>
        <w:gridCol w:w="998"/>
      </w:tblGrid>
      <w:tr w14:paraId="535EB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shd w:val="clear" w:color="auto" w:fill="auto"/>
            <w:vAlign w:val="center"/>
          </w:tcPr>
          <w:p w14:paraId="2FEABF9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污染物</w:t>
            </w:r>
          </w:p>
        </w:tc>
        <w:tc>
          <w:tcPr>
            <w:tcW w:w="410" w:type="pct"/>
            <w:shd w:val="clear" w:color="auto" w:fill="auto"/>
            <w:vAlign w:val="center"/>
          </w:tcPr>
          <w:p w14:paraId="718AA11F">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持续年份n（a）</w:t>
            </w:r>
          </w:p>
        </w:tc>
        <w:tc>
          <w:tcPr>
            <w:tcW w:w="633" w:type="pct"/>
            <w:shd w:val="clear" w:color="auto" w:fill="auto"/>
            <w:vAlign w:val="center"/>
          </w:tcPr>
          <w:p w14:paraId="0AADC09B">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表层土壤容重ρb（kg/m3）</w:t>
            </w:r>
          </w:p>
        </w:tc>
        <w:tc>
          <w:tcPr>
            <w:tcW w:w="556" w:type="pct"/>
            <w:shd w:val="clear" w:color="auto" w:fill="auto"/>
            <w:vAlign w:val="center"/>
          </w:tcPr>
          <w:p w14:paraId="723FA7AE">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预测评价范围A（m</w:t>
            </w:r>
            <w:r>
              <w:rPr>
                <w:rFonts w:hint="eastAsia" w:ascii="Times New Roman" w:hAnsi="Times New Roman" w:cs="Times New Roman" w:eastAsiaTheme="minorEastAsia"/>
                <w:szCs w:val="21"/>
                <w:vertAlign w:val="superscript"/>
                <w:lang w:val="en-US" w:eastAsia="zh-CN"/>
              </w:rPr>
              <w:t>2</w:t>
            </w:r>
            <w:r>
              <w:rPr>
                <w:rFonts w:hint="eastAsia" w:ascii="Times New Roman" w:hAnsi="Times New Roman" w:cs="Times New Roman" w:eastAsiaTheme="minorEastAsia"/>
                <w:szCs w:val="21"/>
                <w:lang w:val="en-US" w:eastAsia="zh-CN"/>
              </w:rPr>
              <w:t>）</w:t>
            </w:r>
          </w:p>
        </w:tc>
        <w:tc>
          <w:tcPr>
            <w:tcW w:w="448" w:type="pct"/>
            <w:shd w:val="clear" w:color="auto" w:fill="auto"/>
            <w:vAlign w:val="center"/>
          </w:tcPr>
          <w:p w14:paraId="28E55CAA">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表层土壤深度D（m）</w:t>
            </w:r>
          </w:p>
        </w:tc>
        <w:tc>
          <w:tcPr>
            <w:tcW w:w="655" w:type="pct"/>
            <w:shd w:val="clear" w:color="auto" w:fill="auto"/>
            <w:vAlign w:val="center"/>
          </w:tcPr>
          <w:p w14:paraId="67F20BB0">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背景值（mg/kg）</w:t>
            </w:r>
          </w:p>
        </w:tc>
        <w:tc>
          <w:tcPr>
            <w:tcW w:w="680" w:type="pct"/>
            <w:shd w:val="clear" w:color="auto" w:fill="auto"/>
            <w:vAlign w:val="center"/>
          </w:tcPr>
          <w:p w14:paraId="764B0FC9">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持续年份输入量Is（g/a）</w:t>
            </w:r>
          </w:p>
        </w:tc>
        <w:tc>
          <w:tcPr>
            <w:tcW w:w="787" w:type="pct"/>
            <w:shd w:val="clear" w:color="auto" w:fill="auto"/>
            <w:vAlign w:val="center"/>
          </w:tcPr>
          <w:p w14:paraId="55175440">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土壤中污染物增量ΔS（mg/kg）</w:t>
            </w:r>
          </w:p>
        </w:tc>
        <w:tc>
          <w:tcPr>
            <w:tcW w:w="585" w:type="pct"/>
            <w:shd w:val="clear" w:color="auto" w:fill="auto"/>
            <w:vAlign w:val="center"/>
          </w:tcPr>
          <w:p w14:paraId="5C2AB115">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预测值（mg/kg）</w:t>
            </w:r>
          </w:p>
        </w:tc>
      </w:tr>
      <w:tr w14:paraId="10BB4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shd w:val="clear" w:color="auto" w:fill="auto"/>
            <w:vAlign w:val="center"/>
          </w:tcPr>
          <w:p w14:paraId="1CB3601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二噁英</w:t>
            </w:r>
          </w:p>
        </w:tc>
        <w:tc>
          <w:tcPr>
            <w:tcW w:w="410" w:type="pct"/>
            <w:vMerge w:val="restart"/>
            <w:shd w:val="clear" w:color="auto" w:fill="auto"/>
            <w:vAlign w:val="center"/>
          </w:tcPr>
          <w:p w14:paraId="0822DB99">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20</w:t>
            </w:r>
          </w:p>
        </w:tc>
        <w:tc>
          <w:tcPr>
            <w:tcW w:w="633" w:type="pct"/>
            <w:vMerge w:val="restart"/>
            <w:shd w:val="clear" w:color="auto" w:fill="auto"/>
            <w:vAlign w:val="center"/>
          </w:tcPr>
          <w:p w14:paraId="6243C6E2">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1510</w:t>
            </w:r>
          </w:p>
        </w:tc>
        <w:tc>
          <w:tcPr>
            <w:tcW w:w="556" w:type="pct"/>
            <w:vMerge w:val="restart"/>
            <w:shd w:val="clear" w:color="auto" w:fill="auto"/>
            <w:vAlign w:val="center"/>
          </w:tcPr>
          <w:p w14:paraId="1240A7F7">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cs="Times New Roman"/>
                <w:sz w:val="21"/>
                <w:szCs w:val="21"/>
                <w:highlight w:val="none"/>
                <w:lang w:val="en-US" w:eastAsia="zh-CN"/>
              </w:rPr>
              <w:t>80888.6</w:t>
            </w:r>
          </w:p>
        </w:tc>
        <w:tc>
          <w:tcPr>
            <w:tcW w:w="448" w:type="pct"/>
            <w:vMerge w:val="restart"/>
            <w:shd w:val="clear" w:color="auto" w:fill="auto"/>
            <w:vAlign w:val="center"/>
          </w:tcPr>
          <w:p w14:paraId="08AAE937">
            <w:pPr>
              <w:spacing w:line="300" w:lineRule="exact"/>
              <w:jc w:val="center"/>
              <w:rPr>
                <w:rFonts w:hint="eastAsia"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0.2</w:t>
            </w:r>
          </w:p>
        </w:tc>
        <w:tc>
          <w:tcPr>
            <w:tcW w:w="655" w:type="pct"/>
            <w:shd w:val="clear" w:color="auto" w:fill="auto"/>
            <w:vAlign w:val="center"/>
          </w:tcPr>
          <w:p w14:paraId="6F6EA06D">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3.8×10</w:t>
            </w:r>
            <w:r>
              <w:rPr>
                <w:rFonts w:hint="eastAsia" w:ascii="Times New Roman" w:hAnsi="Times New Roman" w:eastAsia="华文中宋" w:cs="Times New Roman"/>
                <w:szCs w:val="21"/>
                <w:highlight w:val="none"/>
                <w:vertAlign w:val="superscript"/>
                <w:lang w:val="en-US" w:eastAsia="zh-CN"/>
              </w:rPr>
              <w:t>-7</w:t>
            </w:r>
          </w:p>
        </w:tc>
        <w:tc>
          <w:tcPr>
            <w:tcW w:w="680" w:type="pct"/>
            <w:shd w:val="clear" w:color="auto" w:fill="auto"/>
            <w:vAlign w:val="center"/>
          </w:tcPr>
          <w:p w14:paraId="09B462EC">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5.034×10</w:t>
            </w:r>
            <w:r>
              <w:rPr>
                <w:rFonts w:hint="eastAsia" w:ascii="Times New Roman" w:hAnsi="Times New Roman" w:eastAsia="华文中宋" w:cs="Times New Roman"/>
                <w:szCs w:val="21"/>
                <w:highlight w:val="none"/>
                <w:vertAlign w:val="superscript"/>
                <w:lang w:val="en-US" w:eastAsia="zh-CN"/>
              </w:rPr>
              <w:t>-5</w:t>
            </w:r>
          </w:p>
        </w:tc>
        <w:tc>
          <w:tcPr>
            <w:tcW w:w="787" w:type="pct"/>
            <w:shd w:val="clear" w:color="auto" w:fill="auto"/>
            <w:vAlign w:val="center"/>
          </w:tcPr>
          <w:p w14:paraId="59FA0536">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3.989×10</w:t>
            </w:r>
            <w:r>
              <w:rPr>
                <w:rFonts w:hint="eastAsia" w:ascii="Times New Roman" w:hAnsi="Times New Roman" w:eastAsia="华文中宋" w:cs="Times New Roman"/>
                <w:szCs w:val="21"/>
                <w:highlight w:val="none"/>
                <w:vertAlign w:val="superscript"/>
                <w:lang w:val="en-US" w:eastAsia="zh-CN"/>
              </w:rPr>
              <w:t>-11</w:t>
            </w:r>
          </w:p>
        </w:tc>
        <w:tc>
          <w:tcPr>
            <w:tcW w:w="585" w:type="pct"/>
            <w:shd w:val="clear" w:color="auto" w:fill="auto"/>
            <w:vAlign w:val="center"/>
          </w:tcPr>
          <w:p w14:paraId="14A3DD0E">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3.8×10</w:t>
            </w:r>
            <w:r>
              <w:rPr>
                <w:rFonts w:hint="eastAsia" w:ascii="Times New Roman" w:hAnsi="Times New Roman" w:eastAsia="华文中宋" w:cs="Times New Roman"/>
                <w:szCs w:val="21"/>
                <w:highlight w:val="none"/>
                <w:vertAlign w:val="superscript"/>
                <w:lang w:val="en-US" w:eastAsia="zh-CN"/>
              </w:rPr>
              <w:t>-7</w:t>
            </w:r>
          </w:p>
        </w:tc>
      </w:tr>
      <w:tr w14:paraId="092BB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shd w:val="clear" w:color="auto" w:fill="auto"/>
            <w:vAlign w:val="center"/>
          </w:tcPr>
          <w:p w14:paraId="454D3B6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铅</w:t>
            </w:r>
          </w:p>
        </w:tc>
        <w:tc>
          <w:tcPr>
            <w:tcW w:w="410" w:type="pct"/>
            <w:vMerge w:val="continue"/>
            <w:shd w:val="clear" w:color="auto" w:fill="auto"/>
            <w:vAlign w:val="center"/>
          </w:tcPr>
          <w:p w14:paraId="37EA5672">
            <w:pPr>
              <w:spacing w:line="300" w:lineRule="exact"/>
              <w:jc w:val="center"/>
              <w:rPr>
                <w:rFonts w:hint="eastAsia" w:ascii="Times New Roman" w:hAnsi="Times New Roman" w:eastAsia="华文中宋" w:cs="Times New Roman"/>
                <w:szCs w:val="21"/>
                <w:lang w:val="en-US" w:eastAsia="zh-CN"/>
              </w:rPr>
            </w:pPr>
          </w:p>
        </w:tc>
        <w:tc>
          <w:tcPr>
            <w:tcW w:w="633" w:type="pct"/>
            <w:vMerge w:val="continue"/>
            <w:shd w:val="clear" w:color="auto" w:fill="auto"/>
            <w:vAlign w:val="center"/>
          </w:tcPr>
          <w:p w14:paraId="4E7478FC">
            <w:pPr>
              <w:spacing w:line="300" w:lineRule="exact"/>
              <w:jc w:val="center"/>
              <w:rPr>
                <w:rFonts w:hint="eastAsia" w:ascii="Times New Roman" w:hAnsi="Times New Roman" w:eastAsia="华文中宋" w:cs="Times New Roman"/>
                <w:szCs w:val="21"/>
                <w:lang w:val="en-US" w:eastAsia="zh-CN"/>
              </w:rPr>
            </w:pPr>
          </w:p>
        </w:tc>
        <w:tc>
          <w:tcPr>
            <w:tcW w:w="556" w:type="pct"/>
            <w:vMerge w:val="continue"/>
            <w:shd w:val="clear" w:color="auto" w:fill="auto"/>
            <w:vAlign w:val="center"/>
          </w:tcPr>
          <w:p w14:paraId="1BC3B4F0">
            <w:pPr>
              <w:spacing w:line="300" w:lineRule="exact"/>
              <w:jc w:val="center"/>
              <w:rPr>
                <w:rFonts w:hint="eastAsia" w:ascii="Times New Roman" w:hAnsi="Times New Roman" w:eastAsia="华文中宋" w:cs="Times New Roman"/>
                <w:szCs w:val="21"/>
                <w:lang w:val="en-US" w:eastAsia="zh-CN"/>
              </w:rPr>
            </w:pPr>
          </w:p>
        </w:tc>
        <w:tc>
          <w:tcPr>
            <w:tcW w:w="448" w:type="pct"/>
            <w:vMerge w:val="continue"/>
            <w:shd w:val="clear" w:color="auto" w:fill="auto"/>
            <w:vAlign w:val="center"/>
          </w:tcPr>
          <w:p w14:paraId="442FCEFE">
            <w:pPr>
              <w:spacing w:line="300" w:lineRule="exact"/>
              <w:jc w:val="center"/>
              <w:rPr>
                <w:rFonts w:hint="eastAsia" w:ascii="Times New Roman" w:hAnsi="Times New Roman" w:eastAsia="华文中宋" w:cs="Times New Roman"/>
                <w:szCs w:val="21"/>
                <w:lang w:val="en-US" w:eastAsia="zh-CN"/>
              </w:rPr>
            </w:pPr>
          </w:p>
        </w:tc>
        <w:tc>
          <w:tcPr>
            <w:tcW w:w="655" w:type="pct"/>
            <w:shd w:val="clear" w:color="auto" w:fill="auto"/>
            <w:vAlign w:val="center"/>
          </w:tcPr>
          <w:p w14:paraId="4FB2AB99">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58</w:t>
            </w:r>
          </w:p>
        </w:tc>
        <w:tc>
          <w:tcPr>
            <w:tcW w:w="680" w:type="pct"/>
            <w:shd w:val="clear" w:color="auto" w:fill="auto"/>
            <w:vAlign w:val="center"/>
          </w:tcPr>
          <w:p w14:paraId="750ACFF9">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lang w:val="en-US" w:eastAsia="zh-CN"/>
              </w:rPr>
              <w:t>128.4</w:t>
            </w:r>
          </w:p>
        </w:tc>
        <w:tc>
          <w:tcPr>
            <w:tcW w:w="787" w:type="pct"/>
            <w:shd w:val="clear" w:color="auto" w:fill="auto"/>
            <w:vAlign w:val="center"/>
          </w:tcPr>
          <w:p w14:paraId="144138C4">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1.018×10</w:t>
            </w:r>
            <w:r>
              <w:rPr>
                <w:rFonts w:hint="eastAsia" w:ascii="Times New Roman" w:hAnsi="Times New Roman" w:eastAsia="华文中宋" w:cs="Times New Roman"/>
                <w:szCs w:val="21"/>
                <w:highlight w:val="none"/>
                <w:vertAlign w:val="superscript"/>
                <w:lang w:val="en-US" w:eastAsia="zh-CN"/>
              </w:rPr>
              <w:t>-4</w:t>
            </w:r>
          </w:p>
        </w:tc>
        <w:tc>
          <w:tcPr>
            <w:tcW w:w="585" w:type="pct"/>
            <w:shd w:val="clear" w:color="auto" w:fill="auto"/>
            <w:vAlign w:val="center"/>
          </w:tcPr>
          <w:p w14:paraId="7B8CE73E">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58</w:t>
            </w:r>
          </w:p>
        </w:tc>
      </w:tr>
      <w:tr w14:paraId="2EDC0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shd w:val="clear" w:color="auto" w:fill="auto"/>
            <w:vAlign w:val="center"/>
          </w:tcPr>
          <w:p w14:paraId="62D8DEE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汞</w:t>
            </w:r>
          </w:p>
        </w:tc>
        <w:tc>
          <w:tcPr>
            <w:tcW w:w="410" w:type="pct"/>
            <w:vMerge w:val="continue"/>
            <w:shd w:val="clear" w:color="auto" w:fill="auto"/>
            <w:vAlign w:val="center"/>
          </w:tcPr>
          <w:p w14:paraId="73DC9AC0">
            <w:pPr>
              <w:spacing w:line="300" w:lineRule="exact"/>
              <w:jc w:val="center"/>
              <w:rPr>
                <w:rFonts w:hint="eastAsia" w:ascii="Times New Roman" w:hAnsi="Times New Roman" w:eastAsia="华文中宋" w:cs="Times New Roman"/>
                <w:szCs w:val="21"/>
                <w:lang w:val="en-US" w:eastAsia="zh-CN"/>
              </w:rPr>
            </w:pPr>
          </w:p>
        </w:tc>
        <w:tc>
          <w:tcPr>
            <w:tcW w:w="633" w:type="pct"/>
            <w:vMerge w:val="continue"/>
            <w:shd w:val="clear" w:color="auto" w:fill="auto"/>
            <w:vAlign w:val="center"/>
          </w:tcPr>
          <w:p w14:paraId="536A608E">
            <w:pPr>
              <w:spacing w:line="300" w:lineRule="exact"/>
              <w:jc w:val="center"/>
              <w:rPr>
                <w:rFonts w:hint="eastAsia" w:ascii="Times New Roman" w:hAnsi="Times New Roman" w:eastAsia="华文中宋" w:cs="Times New Roman"/>
                <w:szCs w:val="21"/>
                <w:lang w:val="en-US" w:eastAsia="zh-CN"/>
              </w:rPr>
            </w:pPr>
          </w:p>
        </w:tc>
        <w:tc>
          <w:tcPr>
            <w:tcW w:w="556" w:type="pct"/>
            <w:vMerge w:val="continue"/>
            <w:shd w:val="clear" w:color="auto" w:fill="auto"/>
            <w:vAlign w:val="center"/>
          </w:tcPr>
          <w:p w14:paraId="04999799">
            <w:pPr>
              <w:spacing w:line="300" w:lineRule="exact"/>
              <w:jc w:val="center"/>
              <w:rPr>
                <w:rFonts w:hint="eastAsia" w:ascii="Times New Roman" w:hAnsi="Times New Roman" w:eastAsia="华文中宋" w:cs="Times New Roman"/>
                <w:szCs w:val="21"/>
                <w:lang w:val="en-US" w:eastAsia="zh-CN"/>
              </w:rPr>
            </w:pPr>
          </w:p>
        </w:tc>
        <w:tc>
          <w:tcPr>
            <w:tcW w:w="448" w:type="pct"/>
            <w:vMerge w:val="continue"/>
            <w:shd w:val="clear" w:color="auto" w:fill="auto"/>
            <w:vAlign w:val="center"/>
          </w:tcPr>
          <w:p w14:paraId="5825D16B">
            <w:pPr>
              <w:spacing w:line="300" w:lineRule="exact"/>
              <w:jc w:val="center"/>
              <w:rPr>
                <w:rFonts w:hint="eastAsia" w:ascii="Times New Roman" w:hAnsi="Times New Roman" w:eastAsia="华文中宋" w:cs="Times New Roman"/>
                <w:szCs w:val="21"/>
                <w:lang w:val="en-US" w:eastAsia="zh-CN"/>
              </w:rPr>
            </w:pPr>
          </w:p>
        </w:tc>
        <w:tc>
          <w:tcPr>
            <w:tcW w:w="655" w:type="pct"/>
            <w:shd w:val="clear" w:color="auto" w:fill="auto"/>
            <w:vAlign w:val="center"/>
          </w:tcPr>
          <w:p w14:paraId="73908797">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0.0488</w:t>
            </w:r>
          </w:p>
        </w:tc>
        <w:tc>
          <w:tcPr>
            <w:tcW w:w="680" w:type="pct"/>
            <w:shd w:val="clear" w:color="auto" w:fill="auto"/>
            <w:vAlign w:val="center"/>
          </w:tcPr>
          <w:p w14:paraId="7270A02F">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lang w:val="en-US" w:eastAsia="zh-CN"/>
              </w:rPr>
              <w:t>0.01746</w:t>
            </w:r>
          </w:p>
        </w:tc>
        <w:tc>
          <w:tcPr>
            <w:tcW w:w="787" w:type="pct"/>
            <w:shd w:val="clear" w:color="auto" w:fill="auto"/>
            <w:vAlign w:val="center"/>
          </w:tcPr>
          <w:p w14:paraId="547BF8E7">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1.384×10</w:t>
            </w:r>
            <w:r>
              <w:rPr>
                <w:rFonts w:hint="eastAsia" w:ascii="Times New Roman" w:hAnsi="Times New Roman" w:eastAsia="华文中宋" w:cs="Times New Roman"/>
                <w:szCs w:val="21"/>
                <w:highlight w:val="none"/>
                <w:vertAlign w:val="superscript"/>
                <w:lang w:val="en-US" w:eastAsia="zh-CN"/>
              </w:rPr>
              <w:t>-8</w:t>
            </w:r>
          </w:p>
        </w:tc>
        <w:tc>
          <w:tcPr>
            <w:tcW w:w="585" w:type="pct"/>
            <w:shd w:val="clear" w:color="auto" w:fill="auto"/>
            <w:vAlign w:val="center"/>
          </w:tcPr>
          <w:p w14:paraId="381B3CD2">
            <w:pPr>
              <w:spacing w:line="300" w:lineRule="exact"/>
              <w:jc w:val="center"/>
              <w:rPr>
                <w:rFonts w:hint="eastAsia"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0.0488</w:t>
            </w:r>
          </w:p>
        </w:tc>
      </w:tr>
      <w:tr w14:paraId="7D01E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shd w:val="clear" w:color="auto" w:fill="auto"/>
            <w:vAlign w:val="center"/>
          </w:tcPr>
          <w:p w14:paraId="1F643DB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镉</w:t>
            </w:r>
          </w:p>
        </w:tc>
        <w:tc>
          <w:tcPr>
            <w:tcW w:w="410" w:type="pct"/>
            <w:vMerge w:val="continue"/>
            <w:shd w:val="clear" w:color="auto" w:fill="auto"/>
            <w:vAlign w:val="center"/>
          </w:tcPr>
          <w:p w14:paraId="5594E71A">
            <w:pPr>
              <w:spacing w:line="300" w:lineRule="exact"/>
              <w:jc w:val="center"/>
              <w:rPr>
                <w:rFonts w:hint="eastAsia" w:ascii="Times New Roman" w:hAnsi="Times New Roman" w:eastAsia="华文中宋" w:cs="Times New Roman"/>
                <w:szCs w:val="21"/>
                <w:lang w:val="en-US" w:eastAsia="zh-CN"/>
              </w:rPr>
            </w:pPr>
          </w:p>
        </w:tc>
        <w:tc>
          <w:tcPr>
            <w:tcW w:w="633" w:type="pct"/>
            <w:vMerge w:val="continue"/>
            <w:shd w:val="clear" w:color="auto" w:fill="auto"/>
            <w:vAlign w:val="center"/>
          </w:tcPr>
          <w:p w14:paraId="302CA75B">
            <w:pPr>
              <w:spacing w:line="300" w:lineRule="exact"/>
              <w:jc w:val="center"/>
              <w:rPr>
                <w:rFonts w:hint="eastAsia" w:ascii="Times New Roman" w:hAnsi="Times New Roman" w:eastAsia="华文中宋" w:cs="Times New Roman"/>
                <w:szCs w:val="21"/>
                <w:lang w:val="en-US" w:eastAsia="zh-CN"/>
              </w:rPr>
            </w:pPr>
          </w:p>
        </w:tc>
        <w:tc>
          <w:tcPr>
            <w:tcW w:w="556" w:type="pct"/>
            <w:vMerge w:val="continue"/>
            <w:shd w:val="clear" w:color="auto" w:fill="auto"/>
            <w:vAlign w:val="center"/>
          </w:tcPr>
          <w:p w14:paraId="3BA6DD47">
            <w:pPr>
              <w:spacing w:line="300" w:lineRule="exact"/>
              <w:jc w:val="center"/>
              <w:rPr>
                <w:rFonts w:hint="eastAsia" w:ascii="Times New Roman" w:hAnsi="Times New Roman" w:eastAsia="华文中宋" w:cs="Times New Roman"/>
                <w:szCs w:val="21"/>
                <w:lang w:val="en-US" w:eastAsia="zh-CN"/>
              </w:rPr>
            </w:pPr>
          </w:p>
        </w:tc>
        <w:tc>
          <w:tcPr>
            <w:tcW w:w="448" w:type="pct"/>
            <w:vMerge w:val="continue"/>
            <w:shd w:val="clear" w:color="auto" w:fill="auto"/>
            <w:vAlign w:val="center"/>
          </w:tcPr>
          <w:p w14:paraId="052FB9B7">
            <w:pPr>
              <w:spacing w:line="300" w:lineRule="exact"/>
              <w:jc w:val="center"/>
              <w:rPr>
                <w:rFonts w:hint="eastAsia" w:ascii="Times New Roman" w:hAnsi="Times New Roman" w:eastAsia="华文中宋" w:cs="Times New Roman"/>
                <w:szCs w:val="21"/>
                <w:lang w:val="en-US" w:eastAsia="zh-CN"/>
              </w:rPr>
            </w:pPr>
          </w:p>
        </w:tc>
        <w:tc>
          <w:tcPr>
            <w:tcW w:w="655" w:type="pct"/>
            <w:shd w:val="clear" w:color="auto" w:fill="auto"/>
            <w:vAlign w:val="center"/>
          </w:tcPr>
          <w:p w14:paraId="6805171D">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0.75</w:t>
            </w:r>
          </w:p>
        </w:tc>
        <w:tc>
          <w:tcPr>
            <w:tcW w:w="680" w:type="pct"/>
            <w:shd w:val="clear" w:color="auto" w:fill="auto"/>
            <w:vAlign w:val="center"/>
          </w:tcPr>
          <w:p w14:paraId="2C9AA127">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lang w:val="en-US" w:eastAsia="zh-CN"/>
              </w:rPr>
              <w:t>1.533</w:t>
            </w:r>
          </w:p>
        </w:tc>
        <w:tc>
          <w:tcPr>
            <w:tcW w:w="787" w:type="pct"/>
            <w:shd w:val="clear" w:color="auto" w:fill="auto"/>
            <w:vAlign w:val="center"/>
          </w:tcPr>
          <w:p w14:paraId="5495469C">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1.215×10</w:t>
            </w:r>
            <w:r>
              <w:rPr>
                <w:rFonts w:hint="eastAsia" w:ascii="Times New Roman" w:hAnsi="Times New Roman" w:eastAsia="华文中宋" w:cs="Times New Roman"/>
                <w:szCs w:val="21"/>
                <w:highlight w:val="none"/>
                <w:vertAlign w:val="superscript"/>
                <w:lang w:val="en-US" w:eastAsia="zh-CN"/>
              </w:rPr>
              <w:t>-6</w:t>
            </w:r>
          </w:p>
        </w:tc>
        <w:tc>
          <w:tcPr>
            <w:tcW w:w="585" w:type="pct"/>
            <w:shd w:val="clear" w:color="auto" w:fill="auto"/>
            <w:vAlign w:val="center"/>
          </w:tcPr>
          <w:p w14:paraId="2E6705CF">
            <w:pPr>
              <w:spacing w:line="300" w:lineRule="exact"/>
              <w:jc w:val="center"/>
              <w:rPr>
                <w:rFonts w:hint="eastAsia"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0.75</w:t>
            </w:r>
          </w:p>
        </w:tc>
      </w:tr>
      <w:tr w14:paraId="4B00A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shd w:val="clear" w:color="auto" w:fill="auto"/>
            <w:vAlign w:val="center"/>
          </w:tcPr>
          <w:p w14:paraId="3290327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砷</w:t>
            </w:r>
          </w:p>
        </w:tc>
        <w:tc>
          <w:tcPr>
            <w:tcW w:w="410" w:type="pct"/>
            <w:vMerge w:val="continue"/>
            <w:shd w:val="clear" w:color="auto" w:fill="auto"/>
            <w:vAlign w:val="center"/>
          </w:tcPr>
          <w:p w14:paraId="0AE2E999">
            <w:pPr>
              <w:spacing w:line="300" w:lineRule="exact"/>
              <w:jc w:val="center"/>
              <w:rPr>
                <w:rFonts w:hint="eastAsia" w:ascii="Times New Roman" w:hAnsi="Times New Roman" w:eastAsia="华文中宋" w:cs="Times New Roman"/>
                <w:szCs w:val="21"/>
                <w:lang w:val="en-US" w:eastAsia="zh-CN"/>
              </w:rPr>
            </w:pPr>
          </w:p>
        </w:tc>
        <w:tc>
          <w:tcPr>
            <w:tcW w:w="633" w:type="pct"/>
            <w:vMerge w:val="continue"/>
            <w:shd w:val="clear" w:color="auto" w:fill="auto"/>
            <w:vAlign w:val="center"/>
          </w:tcPr>
          <w:p w14:paraId="72A1EF03">
            <w:pPr>
              <w:spacing w:line="300" w:lineRule="exact"/>
              <w:jc w:val="center"/>
              <w:rPr>
                <w:rFonts w:hint="eastAsia" w:ascii="Times New Roman" w:hAnsi="Times New Roman" w:eastAsia="华文中宋" w:cs="Times New Roman"/>
                <w:szCs w:val="21"/>
                <w:lang w:val="en-US" w:eastAsia="zh-CN"/>
              </w:rPr>
            </w:pPr>
          </w:p>
        </w:tc>
        <w:tc>
          <w:tcPr>
            <w:tcW w:w="556" w:type="pct"/>
            <w:vMerge w:val="continue"/>
            <w:shd w:val="clear" w:color="auto" w:fill="auto"/>
            <w:vAlign w:val="center"/>
          </w:tcPr>
          <w:p w14:paraId="1C8EA43A">
            <w:pPr>
              <w:spacing w:line="300" w:lineRule="exact"/>
              <w:jc w:val="center"/>
              <w:rPr>
                <w:rFonts w:hint="eastAsia" w:ascii="Times New Roman" w:hAnsi="Times New Roman" w:eastAsia="华文中宋" w:cs="Times New Roman"/>
                <w:szCs w:val="21"/>
                <w:lang w:val="en-US" w:eastAsia="zh-CN"/>
              </w:rPr>
            </w:pPr>
          </w:p>
        </w:tc>
        <w:tc>
          <w:tcPr>
            <w:tcW w:w="448" w:type="pct"/>
            <w:vMerge w:val="continue"/>
            <w:shd w:val="clear" w:color="auto" w:fill="auto"/>
            <w:vAlign w:val="center"/>
          </w:tcPr>
          <w:p w14:paraId="18C0C70B">
            <w:pPr>
              <w:spacing w:line="300" w:lineRule="exact"/>
              <w:jc w:val="center"/>
              <w:rPr>
                <w:rFonts w:hint="eastAsia" w:ascii="Times New Roman" w:hAnsi="Times New Roman" w:eastAsia="华文中宋" w:cs="Times New Roman"/>
                <w:szCs w:val="21"/>
                <w:lang w:val="en-US" w:eastAsia="zh-CN"/>
              </w:rPr>
            </w:pPr>
          </w:p>
        </w:tc>
        <w:tc>
          <w:tcPr>
            <w:tcW w:w="655" w:type="pct"/>
            <w:shd w:val="clear" w:color="auto" w:fill="auto"/>
            <w:vAlign w:val="center"/>
          </w:tcPr>
          <w:p w14:paraId="73E2A9AB">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13.3</w:t>
            </w:r>
          </w:p>
        </w:tc>
        <w:tc>
          <w:tcPr>
            <w:tcW w:w="680" w:type="pct"/>
            <w:shd w:val="clear" w:color="auto" w:fill="auto"/>
            <w:vAlign w:val="center"/>
          </w:tcPr>
          <w:p w14:paraId="5A2BB335">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lang w:val="en-US" w:eastAsia="zh-CN"/>
              </w:rPr>
              <w:t>1314</w:t>
            </w:r>
          </w:p>
        </w:tc>
        <w:tc>
          <w:tcPr>
            <w:tcW w:w="787" w:type="pct"/>
            <w:shd w:val="clear" w:color="auto" w:fill="auto"/>
            <w:vAlign w:val="center"/>
          </w:tcPr>
          <w:p w14:paraId="32FFCD12">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1.041×10</w:t>
            </w:r>
            <w:r>
              <w:rPr>
                <w:rFonts w:hint="eastAsia" w:ascii="Times New Roman" w:hAnsi="Times New Roman" w:eastAsia="华文中宋" w:cs="Times New Roman"/>
                <w:szCs w:val="21"/>
                <w:highlight w:val="none"/>
                <w:vertAlign w:val="superscript"/>
                <w:lang w:val="en-US" w:eastAsia="zh-CN"/>
              </w:rPr>
              <w:t>-3</w:t>
            </w:r>
          </w:p>
        </w:tc>
        <w:tc>
          <w:tcPr>
            <w:tcW w:w="585" w:type="pct"/>
            <w:shd w:val="clear" w:color="auto" w:fill="auto"/>
            <w:vAlign w:val="center"/>
          </w:tcPr>
          <w:p w14:paraId="5CA662B4">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13.301</w:t>
            </w:r>
          </w:p>
        </w:tc>
      </w:tr>
    </w:tbl>
    <w:p w14:paraId="33F869BE">
      <w:pPr>
        <w:snapToGrid w:val="0"/>
        <w:spacing w:before="241" w:beforeLines="50"/>
        <w:jc w:val="center"/>
        <w:rPr>
          <w:rFonts w:hint="default"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表5.</w:t>
      </w:r>
      <w:r>
        <w:rPr>
          <w:rFonts w:hint="eastAsia" w:ascii="Times New Roman" w:hAnsi="Times New Roman" w:cs="Times New Roman"/>
          <w:b/>
          <w:szCs w:val="21"/>
          <w:lang w:val="en-US" w:eastAsia="zh-CN"/>
        </w:rPr>
        <w:t>7-5</w:t>
      </w:r>
      <w:r>
        <w:rPr>
          <w:rFonts w:hint="eastAsia" w:ascii="Times New Roman" w:hAnsi="Times New Roman" w:cs="Times New Roman" w:eastAsiaTheme="minorEastAsia"/>
          <w:b/>
          <w:szCs w:val="21"/>
          <w:lang w:val="en-US" w:eastAsia="zh-CN"/>
        </w:rPr>
        <w:t xml:space="preserve">  大气沉降影响预测结果</w:t>
      </w:r>
      <w:r>
        <w:rPr>
          <w:rFonts w:hint="eastAsia" w:ascii="Times New Roman" w:hAnsi="Times New Roman" w:cs="Times New Roman"/>
          <w:b/>
          <w:szCs w:val="21"/>
          <w:lang w:val="en-US" w:eastAsia="zh-CN"/>
        </w:rPr>
        <w:t>（30年）</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2"/>
        <w:gridCol w:w="700"/>
        <w:gridCol w:w="1082"/>
        <w:gridCol w:w="879"/>
        <w:gridCol w:w="768"/>
        <w:gridCol w:w="1110"/>
        <w:gridCol w:w="1240"/>
        <w:gridCol w:w="1309"/>
        <w:gridCol w:w="1022"/>
      </w:tblGrid>
      <w:tr w14:paraId="46D36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shd w:val="clear" w:color="auto" w:fill="auto"/>
            <w:vAlign w:val="center"/>
          </w:tcPr>
          <w:p w14:paraId="103C690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污染物</w:t>
            </w:r>
          </w:p>
        </w:tc>
        <w:tc>
          <w:tcPr>
            <w:tcW w:w="410" w:type="pct"/>
            <w:shd w:val="clear" w:color="auto" w:fill="auto"/>
            <w:vAlign w:val="center"/>
          </w:tcPr>
          <w:p w14:paraId="2E570C1C">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持续年份n（a）</w:t>
            </w:r>
          </w:p>
        </w:tc>
        <w:tc>
          <w:tcPr>
            <w:tcW w:w="634" w:type="pct"/>
            <w:shd w:val="clear" w:color="auto" w:fill="auto"/>
            <w:vAlign w:val="center"/>
          </w:tcPr>
          <w:p w14:paraId="782F822E">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表层土壤容重ρb（kg/m</w:t>
            </w:r>
            <w:r>
              <w:rPr>
                <w:rFonts w:hint="eastAsia" w:ascii="Times New Roman" w:hAnsi="Times New Roman" w:cs="Times New Roman" w:eastAsiaTheme="minorEastAsia"/>
                <w:szCs w:val="21"/>
                <w:vertAlign w:val="superscript"/>
                <w:lang w:val="en-US" w:eastAsia="zh-CN"/>
              </w:rPr>
              <w:t>3</w:t>
            </w:r>
            <w:r>
              <w:rPr>
                <w:rFonts w:hint="eastAsia" w:ascii="Times New Roman" w:hAnsi="Times New Roman" w:cs="Times New Roman" w:eastAsiaTheme="minorEastAsia"/>
                <w:szCs w:val="21"/>
                <w:lang w:val="en-US" w:eastAsia="zh-CN"/>
              </w:rPr>
              <w:t>）</w:t>
            </w:r>
          </w:p>
        </w:tc>
        <w:tc>
          <w:tcPr>
            <w:tcW w:w="515" w:type="pct"/>
            <w:shd w:val="clear" w:color="auto" w:fill="auto"/>
            <w:vAlign w:val="center"/>
          </w:tcPr>
          <w:p w14:paraId="30245014">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预测评价范围A（m</w:t>
            </w:r>
            <w:r>
              <w:rPr>
                <w:rFonts w:hint="eastAsia" w:ascii="Times New Roman" w:hAnsi="Times New Roman" w:cs="Times New Roman" w:eastAsiaTheme="minorEastAsia"/>
                <w:szCs w:val="21"/>
                <w:vertAlign w:val="superscript"/>
                <w:lang w:val="en-US" w:eastAsia="zh-CN"/>
              </w:rPr>
              <w:t>2</w:t>
            </w:r>
            <w:r>
              <w:rPr>
                <w:rFonts w:hint="eastAsia" w:ascii="Times New Roman" w:hAnsi="Times New Roman" w:cs="Times New Roman" w:eastAsiaTheme="minorEastAsia"/>
                <w:szCs w:val="21"/>
                <w:lang w:val="en-US" w:eastAsia="zh-CN"/>
              </w:rPr>
              <w:t>）</w:t>
            </w:r>
          </w:p>
        </w:tc>
        <w:tc>
          <w:tcPr>
            <w:tcW w:w="450" w:type="pct"/>
            <w:shd w:val="clear" w:color="auto" w:fill="auto"/>
            <w:vAlign w:val="center"/>
          </w:tcPr>
          <w:p w14:paraId="7AD3DD22">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表层土壤深度D（m）</w:t>
            </w:r>
          </w:p>
        </w:tc>
        <w:tc>
          <w:tcPr>
            <w:tcW w:w="651" w:type="pct"/>
            <w:shd w:val="clear" w:color="auto" w:fill="auto"/>
            <w:vAlign w:val="center"/>
          </w:tcPr>
          <w:p w14:paraId="254B95A6">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背景值（mg/kg）</w:t>
            </w:r>
          </w:p>
        </w:tc>
        <w:tc>
          <w:tcPr>
            <w:tcW w:w="727" w:type="pct"/>
            <w:shd w:val="clear" w:color="auto" w:fill="auto"/>
            <w:vAlign w:val="center"/>
          </w:tcPr>
          <w:p w14:paraId="3FFCA31B">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持续年份输入量Is（g/a）</w:t>
            </w:r>
          </w:p>
        </w:tc>
        <w:tc>
          <w:tcPr>
            <w:tcW w:w="768" w:type="pct"/>
            <w:shd w:val="clear" w:color="auto" w:fill="auto"/>
            <w:vAlign w:val="center"/>
          </w:tcPr>
          <w:p w14:paraId="0095479E">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土壤中污染物增量ΔS（mg/kg）</w:t>
            </w:r>
          </w:p>
        </w:tc>
        <w:tc>
          <w:tcPr>
            <w:tcW w:w="599" w:type="pct"/>
            <w:shd w:val="clear" w:color="auto" w:fill="auto"/>
            <w:vAlign w:val="center"/>
          </w:tcPr>
          <w:p w14:paraId="740D7893">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预测值（mg/kg）</w:t>
            </w:r>
          </w:p>
        </w:tc>
      </w:tr>
      <w:tr w14:paraId="0A555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shd w:val="clear" w:color="auto" w:fill="auto"/>
            <w:vAlign w:val="center"/>
          </w:tcPr>
          <w:p w14:paraId="7A89865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二噁英</w:t>
            </w:r>
          </w:p>
        </w:tc>
        <w:tc>
          <w:tcPr>
            <w:tcW w:w="410" w:type="pct"/>
            <w:vMerge w:val="restart"/>
            <w:shd w:val="clear" w:color="auto" w:fill="auto"/>
            <w:vAlign w:val="center"/>
          </w:tcPr>
          <w:p w14:paraId="17802F1B">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30</w:t>
            </w:r>
          </w:p>
        </w:tc>
        <w:tc>
          <w:tcPr>
            <w:tcW w:w="634" w:type="pct"/>
            <w:vMerge w:val="restart"/>
            <w:shd w:val="clear" w:color="auto" w:fill="auto"/>
            <w:vAlign w:val="center"/>
          </w:tcPr>
          <w:p w14:paraId="5AC7FEEF">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1510</w:t>
            </w:r>
          </w:p>
        </w:tc>
        <w:tc>
          <w:tcPr>
            <w:tcW w:w="515" w:type="pct"/>
            <w:vMerge w:val="restart"/>
            <w:shd w:val="clear" w:color="auto" w:fill="auto"/>
            <w:vAlign w:val="center"/>
          </w:tcPr>
          <w:p w14:paraId="51E78CD3">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cs="Times New Roman"/>
                <w:sz w:val="24"/>
                <w:highlight w:val="none"/>
                <w:lang w:val="en-US" w:eastAsia="zh-CN"/>
              </w:rPr>
              <w:t>80888.6</w:t>
            </w:r>
          </w:p>
        </w:tc>
        <w:tc>
          <w:tcPr>
            <w:tcW w:w="450" w:type="pct"/>
            <w:vMerge w:val="restart"/>
            <w:shd w:val="clear" w:color="auto" w:fill="auto"/>
            <w:vAlign w:val="center"/>
          </w:tcPr>
          <w:p w14:paraId="5A95AE18">
            <w:pPr>
              <w:spacing w:line="300" w:lineRule="exact"/>
              <w:jc w:val="center"/>
              <w:rPr>
                <w:rFonts w:hint="eastAsia"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0.2</w:t>
            </w:r>
          </w:p>
        </w:tc>
        <w:tc>
          <w:tcPr>
            <w:tcW w:w="651" w:type="pct"/>
            <w:shd w:val="clear" w:color="auto" w:fill="auto"/>
            <w:vAlign w:val="center"/>
          </w:tcPr>
          <w:p w14:paraId="19FEB792">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3.8×10</w:t>
            </w:r>
            <w:r>
              <w:rPr>
                <w:rFonts w:hint="eastAsia" w:ascii="Times New Roman" w:hAnsi="Times New Roman" w:eastAsia="华文中宋" w:cs="Times New Roman"/>
                <w:szCs w:val="21"/>
                <w:highlight w:val="none"/>
                <w:vertAlign w:val="superscript"/>
                <w:lang w:val="en-US" w:eastAsia="zh-CN"/>
              </w:rPr>
              <w:t>-7</w:t>
            </w:r>
          </w:p>
        </w:tc>
        <w:tc>
          <w:tcPr>
            <w:tcW w:w="727" w:type="pct"/>
            <w:shd w:val="clear" w:color="auto" w:fill="auto"/>
            <w:vAlign w:val="center"/>
          </w:tcPr>
          <w:p w14:paraId="75CF2DE9">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5.034×10</w:t>
            </w:r>
            <w:r>
              <w:rPr>
                <w:rFonts w:hint="eastAsia" w:ascii="Times New Roman" w:hAnsi="Times New Roman" w:eastAsia="华文中宋" w:cs="Times New Roman"/>
                <w:szCs w:val="21"/>
                <w:highlight w:val="none"/>
                <w:vertAlign w:val="superscript"/>
                <w:lang w:val="en-US" w:eastAsia="zh-CN"/>
              </w:rPr>
              <w:t>-5</w:t>
            </w:r>
          </w:p>
        </w:tc>
        <w:tc>
          <w:tcPr>
            <w:tcW w:w="768" w:type="pct"/>
            <w:shd w:val="clear" w:color="auto" w:fill="auto"/>
            <w:vAlign w:val="center"/>
          </w:tcPr>
          <w:p w14:paraId="5920BAD5">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5.984×10</w:t>
            </w:r>
            <w:r>
              <w:rPr>
                <w:rFonts w:hint="eastAsia" w:ascii="Times New Roman" w:hAnsi="Times New Roman" w:eastAsia="华文中宋" w:cs="Times New Roman"/>
                <w:szCs w:val="21"/>
                <w:highlight w:val="none"/>
                <w:vertAlign w:val="superscript"/>
                <w:lang w:val="en-US" w:eastAsia="zh-CN"/>
              </w:rPr>
              <w:t>-11</w:t>
            </w:r>
          </w:p>
        </w:tc>
        <w:tc>
          <w:tcPr>
            <w:tcW w:w="599" w:type="pct"/>
            <w:shd w:val="clear" w:color="auto" w:fill="auto"/>
            <w:vAlign w:val="center"/>
          </w:tcPr>
          <w:p w14:paraId="3F1BFB7D">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3.8×10</w:t>
            </w:r>
            <w:r>
              <w:rPr>
                <w:rFonts w:hint="eastAsia" w:ascii="Times New Roman" w:hAnsi="Times New Roman" w:eastAsia="华文中宋" w:cs="Times New Roman"/>
                <w:szCs w:val="21"/>
                <w:highlight w:val="none"/>
                <w:vertAlign w:val="superscript"/>
                <w:lang w:val="en-US" w:eastAsia="zh-CN"/>
              </w:rPr>
              <w:t>-7</w:t>
            </w:r>
          </w:p>
        </w:tc>
      </w:tr>
      <w:tr w14:paraId="704AB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shd w:val="clear" w:color="auto" w:fill="auto"/>
            <w:vAlign w:val="center"/>
          </w:tcPr>
          <w:p w14:paraId="2A09C68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铅</w:t>
            </w:r>
          </w:p>
        </w:tc>
        <w:tc>
          <w:tcPr>
            <w:tcW w:w="410" w:type="pct"/>
            <w:vMerge w:val="continue"/>
            <w:shd w:val="clear" w:color="auto" w:fill="auto"/>
            <w:vAlign w:val="center"/>
          </w:tcPr>
          <w:p w14:paraId="58D07C14">
            <w:pPr>
              <w:spacing w:line="300" w:lineRule="exact"/>
              <w:jc w:val="center"/>
              <w:rPr>
                <w:rFonts w:hint="eastAsia" w:ascii="Times New Roman" w:hAnsi="Times New Roman" w:eastAsia="华文中宋" w:cs="Times New Roman"/>
                <w:szCs w:val="21"/>
                <w:lang w:val="en-US" w:eastAsia="zh-CN"/>
              </w:rPr>
            </w:pPr>
          </w:p>
        </w:tc>
        <w:tc>
          <w:tcPr>
            <w:tcW w:w="634" w:type="pct"/>
            <w:vMerge w:val="continue"/>
            <w:shd w:val="clear" w:color="auto" w:fill="auto"/>
            <w:vAlign w:val="center"/>
          </w:tcPr>
          <w:p w14:paraId="06611B50">
            <w:pPr>
              <w:spacing w:line="300" w:lineRule="exact"/>
              <w:jc w:val="center"/>
              <w:rPr>
                <w:rFonts w:hint="eastAsia" w:ascii="Times New Roman" w:hAnsi="Times New Roman" w:eastAsia="华文中宋" w:cs="Times New Roman"/>
                <w:szCs w:val="21"/>
                <w:lang w:val="en-US" w:eastAsia="zh-CN"/>
              </w:rPr>
            </w:pPr>
          </w:p>
        </w:tc>
        <w:tc>
          <w:tcPr>
            <w:tcW w:w="515" w:type="pct"/>
            <w:vMerge w:val="continue"/>
            <w:shd w:val="clear" w:color="auto" w:fill="auto"/>
            <w:vAlign w:val="center"/>
          </w:tcPr>
          <w:p w14:paraId="1BF009A7">
            <w:pPr>
              <w:spacing w:line="300" w:lineRule="exact"/>
              <w:jc w:val="center"/>
              <w:rPr>
                <w:rFonts w:hint="eastAsia" w:ascii="Times New Roman" w:hAnsi="Times New Roman" w:eastAsia="华文中宋" w:cs="Times New Roman"/>
                <w:szCs w:val="21"/>
                <w:lang w:val="en-US" w:eastAsia="zh-CN"/>
              </w:rPr>
            </w:pPr>
          </w:p>
        </w:tc>
        <w:tc>
          <w:tcPr>
            <w:tcW w:w="450" w:type="pct"/>
            <w:vMerge w:val="continue"/>
            <w:shd w:val="clear" w:color="auto" w:fill="auto"/>
            <w:vAlign w:val="center"/>
          </w:tcPr>
          <w:p w14:paraId="11991F07">
            <w:pPr>
              <w:spacing w:line="300" w:lineRule="exact"/>
              <w:jc w:val="center"/>
              <w:rPr>
                <w:rFonts w:hint="eastAsia" w:ascii="Times New Roman" w:hAnsi="Times New Roman" w:eastAsia="华文中宋" w:cs="Times New Roman"/>
                <w:szCs w:val="21"/>
                <w:lang w:val="en-US" w:eastAsia="zh-CN"/>
              </w:rPr>
            </w:pPr>
          </w:p>
        </w:tc>
        <w:tc>
          <w:tcPr>
            <w:tcW w:w="651" w:type="pct"/>
            <w:shd w:val="clear" w:color="auto" w:fill="auto"/>
            <w:vAlign w:val="center"/>
          </w:tcPr>
          <w:p w14:paraId="1680BF93">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58</w:t>
            </w:r>
          </w:p>
        </w:tc>
        <w:tc>
          <w:tcPr>
            <w:tcW w:w="727" w:type="pct"/>
            <w:shd w:val="clear" w:color="auto" w:fill="auto"/>
            <w:vAlign w:val="center"/>
          </w:tcPr>
          <w:p w14:paraId="24E210EC">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lang w:val="en-US" w:eastAsia="zh-CN"/>
              </w:rPr>
              <w:t>128.4</w:t>
            </w:r>
          </w:p>
        </w:tc>
        <w:tc>
          <w:tcPr>
            <w:tcW w:w="768" w:type="pct"/>
            <w:shd w:val="clear" w:color="auto" w:fill="auto"/>
            <w:vAlign w:val="center"/>
          </w:tcPr>
          <w:p w14:paraId="209E87E9">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1.526×10</w:t>
            </w:r>
            <w:r>
              <w:rPr>
                <w:rFonts w:hint="eastAsia" w:ascii="Times New Roman" w:hAnsi="Times New Roman" w:eastAsia="华文中宋" w:cs="Times New Roman"/>
                <w:szCs w:val="21"/>
                <w:highlight w:val="none"/>
                <w:vertAlign w:val="superscript"/>
                <w:lang w:val="en-US" w:eastAsia="zh-CN"/>
              </w:rPr>
              <w:t>-4</w:t>
            </w:r>
          </w:p>
        </w:tc>
        <w:tc>
          <w:tcPr>
            <w:tcW w:w="599" w:type="pct"/>
            <w:shd w:val="clear" w:color="auto" w:fill="auto"/>
            <w:vAlign w:val="center"/>
          </w:tcPr>
          <w:p w14:paraId="7696166E">
            <w:pPr>
              <w:spacing w:line="300" w:lineRule="exact"/>
              <w:jc w:val="center"/>
              <w:rPr>
                <w:rFonts w:hint="eastAsia"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58</w:t>
            </w:r>
          </w:p>
        </w:tc>
      </w:tr>
      <w:tr w14:paraId="20750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shd w:val="clear" w:color="auto" w:fill="auto"/>
            <w:vAlign w:val="center"/>
          </w:tcPr>
          <w:p w14:paraId="1AC10C5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汞</w:t>
            </w:r>
          </w:p>
        </w:tc>
        <w:tc>
          <w:tcPr>
            <w:tcW w:w="410" w:type="pct"/>
            <w:vMerge w:val="continue"/>
            <w:shd w:val="clear" w:color="auto" w:fill="auto"/>
            <w:vAlign w:val="center"/>
          </w:tcPr>
          <w:p w14:paraId="49A86F90">
            <w:pPr>
              <w:spacing w:line="300" w:lineRule="exact"/>
              <w:jc w:val="center"/>
              <w:rPr>
                <w:rFonts w:hint="eastAsia" w:ascii="Times New Roman" w:hAnsi="Times New Roman" w:eastAsia="华文中宋" w:cs="Times New Roman"/>
                <w:szCs w:val="21"/>
                <w:lang w:val="en-US" w:eastAsia="zh-CN"/>
              </w:rPr>
            </w:pPr>
          </w:p>
        </w:tc>
        <w:tc>
          <w:tcPr>
            <w:tcW w:w="634" w:type="pct"/>
            <w:vMerge w:val="continue"/>
            <w:shd w:val="clear" w:color="auto" w:fill="auto"/>
            <w:vAlign w:val="center"/>
          </w:tcPr>
          <w:p w14:paraId="68A00E79">
            <w:pPr>
              <w:spacing w:line="300" w:lineRule="exact"/>
              <w:jc w:val="center"/>
              <w:rPr>
                <w:rFonts w:hint="eastAsia" w:ascii="Times New Roman" w:hAnsi="Times New Roman" w:eastAsia="华文中宋" w:cs="Times New Roman"/>
                <w:szCs w:val="21"/>
                <w:lang w:val="en-US" w:eastAsia="zh-CN"/>
              </w:rPr>
            </w:pPr>
          </w:p>
        </w:tc>
        <w:tc>
          <w:tcPr>
            <w:tcW w:w="515" w:type="pct"/>
            <w:vMerge w:val="continue"/>
            <w:shd w:val="clear" w:color="auto" w:fill="auto"/>
            <w:vAlign w:val="center"/>
          </w:tcPr>
          <w:p w14:paraId="43C73B34">
            <w:pPr>
              <w:spacing w:line="300" w:lineRule="exact"/>
              <w:jc w:val="center"/>
              <w:rPr>
                <w:rFonts w:hint="eastAsia" w:ascii="Times New Roman" w:hAnsi="Times New Roman" w:eastAsia="华文中宋" w:cs="Times New Roman"/>
                <w:szCs w:val="21"/>
                <w:lang w:val="en-US" w:eastAsia="zh-CN"/>
              </w:rPr>
            </w:pPr>
          </w:p>
        </w:tc>
        <w:tc>
          <w:tcPr>
            <w:tcW w:w="450" w:type="pct"/>
            <w:vMerge w:val="continue"/>
            <w:shd w:val="clear" w:color="auto" w:fill="auto"/>
            <w:vAlign w:val="center"/>
          </w:tcPr>
          <w:p w14:paraId="3FB9A250">
            <w:pPr>
              <w:spacing w:line="300" w:lineRule="exact"/>
              <w:jc w:val="center"/>
              <w:rPr>
                <w:rFonts w:hint="eastAsia" w:ascii="Times New Roman" w:hAnsi="Times New Roman" w:eastAsia="华文中宋" w:cs="Times New Roman"/>
                <w:szCs w:val="21"/>
                <w:lang w:val="en-US" w:eastAsia="zh-CN"/>
              </w:rPr>
            </w:pPr>
          </w:p>
        </w:tc>
        <w:tc>
          <w:tcPr>
            <w:tcW w:w="651" w:type="pct"/>
            <w:shd w:val="clear" w:color="auto" w:fill="auto"/>
            <w:vAlign w:val="center"/>
          </w:tcPr>
          <w:p w14:paraId="21BE475C">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0.0488</w:t>
            </w:r>
          </w:p>
        </w:tc>
        <w:tc>
          <w:tcPr>
            <w:tcW w:w="727" w:type="pct"/>
            <w:shd w:val="clear" w:color="auto" w:fill="auto"/>
            <w:vAlign w:val="center"/>
          </w:tcPr>
          <w:p w14:paraId="1E253A21">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lang w:val="en-US" w:eastAsia="zh-CN"/>
              </w:rPr>
              <w:t>0.01746</w:t>
            </w:r>
          </w:p>
        </w:tc>
        <w:tc>
          <w:tcPr>
            <w:tcW w:w="768" w:type="pct"/>
            <w:shd w:val="clear" w:color="auto" w:fill="auto"/>
            <w:vAlign w:val="center"/>
          </w:tcPr>
          <w:p w14:paraId="68B38DE5">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2.076×10</w:t>
            </w:r>
            <w:r>
              <w:rPr>
                <w:rFonts w:hint="eastAsia" w:ascii="Times New Roman" w:hAnsi="Times New Roman" w:eastAsia="华文中宋" w:cs="Times New Roman"/>
                <w:szCs w:val="21"/>
                <w:highlight w:val="none"/>
                <w:vertAlign w:val="superscript"/>
                <w:lang w:val="en-US" w:eastAsia="zh-CN"/>
              </w:rPr>
              <w:t>-8</w:t>
            </w:r>
          </w:p>
        </w:tc>
        <w:tc>
          <w:tcPr>
            <w:tcW w:w="599" w:type="pct"/>
            <w:shd w:val="clear" w:color="auto" w:fill="auto"/>
            <w:vAlign w:val="center"/>
          </w:tcPr>
          <w:p w14:paraId="4672DAE2">
            <w:pPr>
              <w:spacing w:line="300" w:lineRule="exact"/>
              <w:jc w:val="center"/>
              <w:rPr>
                <w:rFonts w:hint="eastAsia"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0.0488</w:t>
            </w:r>
          </w:p>
        </w:tc>
      </w:tr>
      <w:tr w14:paraId="210BA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shd w:val="clear" w:color="auto" w:fill="auto"/>
            <w:vAlign w:val="center"/>
          </w:tcPr>
          <w:p w14:paraId="2AF5E74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镉</w:t>
            </w:r>
          </w:p>
        </w:tc>
        <w:tc>
          <w:tcPr>
            <w:tcW w:w="410" w:type="pct"/>
            <w:vMerge w:val="continue"/>
            <w:shd w:val="clear" w:color="auto" w:fill="auto"/>
            <w:vAlign w:val="center"/>
          </w:tcPr>
          <w:p w14:paraId="3CA2A73D">
            <w:pPr>
              <w:spacing w:line="300" w:lineRule="exact"/>
              <w:jc w:val="center"/>
              <w:rPr>
                <w:rFonts w:hint="eastAsia" w:ascii="Times New Roman" w:hAnsi="Times New Roman" w:eastAsia="华文中宋" w:cs="Times New Roman"/>
                <w:szCs w:val="21"/>
                <w:lang w:val="en-US" w:eastAsia="zh-CN"/>
              </w:rPr>
            </w:pPr>
          </w:p>
        </w:tc>
        <w:tc>
          <w:tcPr>
            <w:tcW w:w="634" w:type="pct"/>
            <w:vMerge w:val="continue"/>
            <w:shd w:val="clear" w:color="auto" w:fill="auto"/>
            <w:vAlign w:val="center"/>
          </w:tcPr>
          <w:p w14:paraId="237FF5AA">
            <w:pPr>
              <w:spacing w:line="300" w:lineRule="exact"/>
              <w:jc w:val="center"/>
              <w:rPr>
                <w:rFonts w:hint="eastAsia" w:ascii="Times New Roman" w:hAnsi="Times New Roman" w:eastAsia="华文中宋" w:cs="Times New Roman"/>
                <w:szCs w:val="21"/>
                <w:lang w:val="en-US" w:eastAsia="zh-CN"/>
              </w:rPr>
            </w:pPr>
          </w:p>
        </w:tc>
        <w:tc>
          <w:tcPr>
            <w:tcW w:w="515" w:type="pct"/>
            <w:vMerge w:val="continue"/>
            <w:shd w:val="clear" w:color="auto" w:fill="auto"/>
            <w:vAlign w:val="center"/>
          </w:tcPr>
          <w:p w14:paraId="2CFADBB0">
            <w:pPr>
              <w:spacing w:line="300" w:lineRule="exact"/>
              <w:jc w:val="center"/>
              <w:rPr>
                <w:rFonts w:hint="eastAsia" w:ascii="Times New Roman" w:hAnsi="Times New Roman" w:eastAsia="华文中宋" w:cs="Times New Roman"/>
                <w:szCs w:val="21"/>
                <w:lang w:val="en-US" w:eastAsia="zh-CN"/>
              </w:rPr>
            </w:pPr>
          </w:p>
        </w:tc>
        <w:tc>
          <w:tcPr>
            <w:tcW w:w="450" w:type="pct"/>
            <w:vMerge w:val="continue"/>
            <w:shd w:val="clear" w:color="auto" w:fill="auto"/>
            <w:vAlign w:val="center"/>
          </w:tcPr>
          <w:p w14:paraId="15074252">
            <w:pPr>
              <w:spacing w:line="300" w:lineRule="exact"/>
              <w:jc w:val="center"/>
              <w:rPr>
                <w:rFonts w:hint="eastAsia" w:ascii="Times New Roman" w:hAnsi="Times New Roman" w:eastAsia="华文中宋" w:cs="Times New Roman"/>
                <w:szCs w:val="21"/>
                <w:lang w:val="en-US" w:eastAsia="zh-CN"/>
              </w:rPr>
            </w:pPr>
          </w:p>
        </w:tc>
        <w:tc>
          <w:tcPr>
            <w:tcW w:w="651" w:type="pct"/>
            <w:shd w:val="clear" w:color="auto" w:fill="auto"/>
            <w:vAlign w:val="center"/>
          </w:tcPr>
          <w:p w14:paraId="19438392">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0.75</w:t>
            </w:r>
          </w:p>
        </w:tc>
        <w:tc>
          <w:tcPr>
            <w:tcW w:w="727" w:type="pct"/>
            <w:shd w:val="clear" w:color="auto" w:fill="auto"/>
            <w:vAlign w:val="center"/>
          </w:tcPr>
          <w:p w14:paraId="642C97DA">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lang w:val="en-US" w:eastAsia="zh-CN"/>
              </w:rPr>
              <w:t>1.533</w:t>
            </w:r>
          </w:p>
        </w:tc>
        <w:tc>
          <w:tcPr>
            <w:tcW w:w="768" w:type="pct"/>
            <w:shd w:val="clear" w:color="auto" w:fill="auto"/>
            <w:vAlign w:val="center"/>
          </w:tcPr>
          <w:p w14:paraId="5273E5D2">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1.822×10</w:t>
            </w:r>
            <w:r>
              <w:rPr>
                <w:rFonts w:hint="eastAsia" w:ascii="Times New Roman" w:hAnsi="Times New Roman" w:eastAsia="华文中宋" w:cs="Times New Roman"/>
                <w:szCs w:val="21"/>
                <w:highlight w:val="none"/>
                <w:vertAlign w:val="superscript"/>
                <w:lang w:val="en-US" w:eastAsia="zh-CN"/>
              </w:rPr>
              <w:t>-6</w:t>
            </w:r>
          </w:p>
        </w:tc>
        <w:tc>
          <w:tcPr>
            <w:tcW w:w="599" w:type="pct"/>
            <w:shd w:val="clear" w:color="auto" w:fill="auto"/>
            <w:vAlign w:val="center"/>
          </w:tcPr>
          <w:p w14:paraId="768F57D5">
            <w:pPr>
              <w:spacing w:line="300" w:lineRule="exact"/>
              <w:jc w:val="center"/>
              <w:rPr>
                <w:rFonts w:hint="eastAsia"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0.75</w:t>
            </w:r>
          </w:p>
        </w:tc>
      </w:tr>
      <w:tr w14:paraId="61873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 w:type="pct"/>
            <w:shd w:val="clear" w:color="auto" w:fill="auto"/>
            <w:vAlign w:val="center"/>
          </w:tcPr>
          <w:p w14:paraId="42E4997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砷</w:t>
            </w:r>
          </w:p>
        </w:tc>
        <w:tc>
          <w:tcPr>
            <w:tcW w:w="410" w:type="pct"/>
            <w:vMerge w:val="continue"/>
            <w:shd w:val="clear" w:color="auto" w:fill="auto"/>
            <w:vAlign w:val="center"/>
          </w:tcPr>
          <w:p w14:paraId="4CFC6514">
            <w:pPr>
              <w:spacing w:line="300" w:lineRule="exact"/>
              <w:jc w:val="center"/>
              <w:rPr>
                <w:rFonts w:hint="eastAsia" w:ascii="Times New Roman" w:hAnsi="Times New Roman" w:eastAsia="华文中宋" w:cs="Times New Roman"/>
                <w:szCs w:val="21"/>
                <w:lang w:val="en-US" w:eastAsia="zh-CN"/>
              </w:rPr>
            </w:pPr>
          </w:p>
        </w:tc>
        <w:tc>
          <w:tcPr>
            <w:tcW w:w="634" w:type="pct"/>
            <w:vMerge w:val="continue"/>
            <w:shd w:val="clear" w:color="auto" w:fill="auto"/>
            <w:vAlign w:val="center"/>
          </w:tcPr>
          <w:p w14:paraId="4FB6E4C4">
            <w:pPr>
              <w:spacing w:line="300" w:lineRule="exact"/>
              <w:jc w:val="center"/>
              <w:rPr>
                <w:rFonts w:hint="eastAsia" w:ascii="Times New Roman" w:hAnsi="Times New Roman" w:eastAsia="华文中宋" w:cs="Times New Roman"/>
                <w:szCs w:val="21"/>
                <w:lang w:val="en-US" w:eastAsia="zh-CN"/>
              </w:rPr>
            </w:pPr>
          </w:p>
        </w:tc>
        <w:tc>
          <w:tcPr>
            <w:tcW w:w="515" w:type="pct"/>
            <w:vMerge w:val="continue"/>
            <w:shd w:val="clear" w:color="auto" w:fill="auto"/>
            <w:vAlign w:val="center"/>
          </w:tcPr>
          <w:p w14:paraId="0069C119">
            <w:pPr>
              <w:spacing w:line="300" w:lineRule="exact"/>
              <w:jc w:val="center"/>
              <w:rPr>
                <w:rFonts w:hint="eastAsia" w:ascii="Times New Roman" w:hAnsi="Times New Roman" w:eastAsia="华文中宋" w:cs="Times New Roman"/>
                <w:szCs w:val="21"/>
                <w:lang w:val="en-US" w:eastAsia="zh-CN"/>
              </w:rPr>
            </w:pPr>
          </w:p>
        </w:tc>
        <w:tc>
          <w:tcPr>
            <w:tcW w:w="450" w:type="pct"/>
            <w:vMerge w:val="continue"/>
            <w:shd w:val="clear" w:color="auto" w:fill="auto"/>
            <w:vAlign w:val="center"/>
          </w:tcPr>
          <w:p w14:paraId="0FE7FE95">
            <w:pPr>
              <w:spacing w:line="300" w:lineRule="exact"/>
              <w:jc w:val="center"/>
              <w:rPr>
                <w:rFonts w:hint="eastAsia" w:ascii="Times New Roman" w:hAnsi="Times New Roman" w:eastAsia="华文中宋" w:cs="Times New Roman"/>
                <w:szCs w:val="21"/>
                <w:lang w:val="en-US" w:eastAsia="zh-CN"/>
              </w:rPr>
            </w:pPr>
          </w:p>
        </w:tc>
        <w:tc>
          <w:tcPr>
            <w:tcW w:w="651" w:type="pct"/>
            <w:shd w:val="clear" w:color="auto" w:fill="auto"/>
            <w:vAlign w:val="center"/>
          </w:tcPr>
          <w:p w14:paraId="2A3A80EC">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13.3</w:t>
            </w:r>
          </w:p>
        </w:tc>
        <w:tc>
          <w:tcPr>
            <w:tcW w:w="727" w:type="pct"/>
            <w:shd w:val="clear" w:color="auto" w:fill="auto"/>
            <w:vAlign w:val="center"/>
          </w:tcPr>
          <w:p w14:paraId="77A56890">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lang w:val="en-US" w:eastAsia="zh-CN"/>
              </w:rPr>
              <w:t>731.2</w:t>
            </w:r>
          </w:p>
        </w:tc>
        <w:tc>
          <w:tcPr>
            <w:tcW w:w="768" w:type="pct"/>
            <w:shd w:val="clear" w:color="auto" w:fill="auto"/>
            <w:vAlign w:val="center"/>
          </w:tcPr>
          <w:p w14:paraId="12C9E33F">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1.562×10</w:t>
            </w:r>
            <w:r>
              <w:rPr>
                <w:rFonts w:hint="eastAsia" w:ascii="Times New Roman" w:hAnsi="Times New Roman" w:eastAsia="华文中宋" w:cs="Times New Roman"/>
                <w:szCs w:val="21"/>
                <w:highlight w:val="none"/>
                <w:vertAlign w:val="superscript"/>
                <w:lang w:val="en-US" w:eastAsia="zh-CN"/>
              </w:rPr>
              <w:t>-3</w:t>
            </w:r>
          </w:p>
        </w:tc>
        <w:tc>
          <w:tcPr>
            <w:tcW w:w="599" w:type="pct"/>
            <w:shd w:val="clear" w:color="auto" w:fill="auto"/>
            <w:vAlign w:val="center"/>
          </w:tcPr>
          <w:p w14:paraId="04CD085E">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13.302</w:t>
            </w:r>
          </w:p>
        </w:tc>
      </w:tr>
    </w:tbl>
    <w:p w14:paraId="640BC791">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由预测结果可知，各预测因子叠加背景值后均低于《土壤环境质量</w:t>
      </w:r>
      <w:r>
        <w:rPr>
          <w:rFonts w:hint="eastAsia" w:ascii="Times New Roman" w:hAnsi="Times New Roman" w:cs="Times New Roman"/>
          <w:sz w:val="24"/>
          <w:highlight w:val="none"/>
          <w:lang w:val="en-US" w:eastAsia="zh-CN"/>
        </w:rPr>
        <w:t xml:space="preserve"> </w:t>
      </w:r>
      <w:r>
        <w:rPr>
          <w:rFonts w:hint="eastAsia" w:ascii="Times New Roman" w:hAnsi="Times New Roman" w:cs="Times New Roman" w:eastAsiaTheme="minorEastAsia"/>
          <w:sz w:val="24"/>
          <w:highlight w:val="none"/>
          <w:lang w:val="en-US" w:eastAsia="zh-CN"/>
        </w:rPr>
        <w:t>建设用地土壤污染风险管控标准</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试行</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GB36600-2018</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中第二类用地的筛选值，说明本项目的运行不会对周围土壤环境产生</w:t>
      </w:r>
      <w:r>
        <w:rPr>
          <w:rFonts w:hint="eastAsia" w:ascii="Times New Roman" w:hAnsi="Times New Roman" w:cs="Times New Roman"/>
          <w:sz w:val="24"/>
          <w:highlight w:val="none"/>
          <w:lang w:val="en-US" w:eastAsia="zh-CN"/>
        </w:rPr>
        <w:t>较大的</w:t>
      </w:r>
      <w:r>
        <w:rPr>
          <w:rFonts w:hint="eastAsia" w:ascii="Times New Roman" w:hAnsi="Times New Roman" w:cs="Times New Roman" w:eastAsiaTheme="minorEastAsia"/>
          <w:sz w:val="24"/>
          <w:highlight w:val="none"/>
          <w:lang w:val="en-US" w:eastAsia="zh-CN"/>
        </w:rPr>
        <w:t>不利影响。</w:t>
      </w:r>
    </w:p>
    <w:p w14:paraId="71A20300">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5.7.4.2地面漫流途径</w:t>
      </w:r>
    </w:p>
    <w:p w14:paraId="338BDB2E">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土壤环境影响预测项目厂区可能产生地面漫流的有危险废物储存区、</w:t>
      </w:r>
      <w:r>
        <w:rPr>
          <w:rFonts w:hint="eastAsia" w:ascii="Times New Roman" w:hAnsi="Times New Roman" w:cs="Times New Roman"/>
          <w:sz w:val="24"/>
          <w:highlight w:val="none"/>
          <w:lang w:val="en-US" w:eastAsia="zh-CN"/>
        </w:rPr>
        <w:t>污水处理池</w:t>
      </w:r>
      <w:r>
        <w:rPr>
          <w:rFonts w:hint="default" w:ascii="Times New Roman" w:hAnsi="Times New Roman" w:cs="Times New Roman" w:eastAsiaTheme="minorEastAsia"/>
          <w:sz w:val="24"/>
          <w:highlight w:val="none"/>
          <w:lang w:val="en-US" w:eastAsia="zh-CN"/>
        </w:rPr>
        <w:t>、事故应急池以及污水管线。厂区建设时地面进行水泥硬化防渗处理，厂内建有完善的截排水设施及排水系统，脱酸系统定排水、各类清洗废水全部排入</w:t>
      </w:r>
      <w:r>
        <w:rPr>
          <w:rFonts w:hint="eastAsia" w:ascii="Times New Roman" w:hAnsi="Times New Roman" w:cs="Times New Roman"/>
          <w:sz w:val="24"/>
          <w:highlight w:val="none"/>
          <w:lang w:val="en-US" w:eastAsia="zh-CN"/>
        </w:rPr>
        <w:t>厂</w:t>
      </w:r>
      <w:r>
        <w:rPr>
          <w:rFonts w:hint="default" w:ascii="Times New Roman" w:hAnsi="Times New Roman" w:cs="Times New Roman" w:eastAsiaTheme="minorEastAsia"/>
          <w:sz w:val="24"/>
          <w:highlight w:val="none"/>
          <w:lang w:val="en-US" w:eastAsia="zh-CN"/>
        </w:rPr>
        <w:t>内污水处理系统处理，废水拟采用“</w:t>
      </w:r>
      <w:r>
        <w:rPr>
          <w:rFonts w:hint="eastAsia" w:ascii="Times New Roman" w:hAnsi="Times New Roman" w:cs="Times New Roman"/>
          <w:sz w:val="24"/>
          <w:highlight w:val="none"/>
          <w:lang w:val="en-US" w:eastAsia="zh-CN"/>
        </w:rPr>
        <w:t>调节池+</w:t>
      </w:r>
      <w:r>
        <w:rPr>
          <w:rFonts w:hint="eastAsia" w:ascii="Times New Roman" w:hAnsi="Times New Roman" w:cs="Times New Roman" w:eastAsiaTheme="minorEastAsia"/>
          <w:sz w:val="24"/>
          <w:highlight w:val="none"/>
          <w:lang w:val="en-US" w:eastAsia="zh-CN"/>
        </w:rPr>
        <w:t>预处理（沉淀）</w:t>
      </w:r>
      <w:r>
        <w:rPr>
          <w:rFonts w:hint="default" w:ascii="Times New Roman" w:hAnsi="Times New Roman" w:cs="Times New Roman" w:eastAsiaTheme="minorEastAsia"/>
          <w:sz w:val="24"/>
          <w:highlight w:val="none"/>
          <w:lang w:val="en-US" w:eastAsia="zh-CN"/>
        </w:rPr>
        <w:t>+MBR+DTRO</w:t>
      </w:r>
      <w:r>
        <w:rPr>
          <w:rFonts w:hint="eastAsia" w:ascii="Times New Roman" w:hAnsi="Times New Roman" w:cs="Times New Roman"/>
          <w:sz w:val="24"/>
          <w:highlight w:val="none"/>
          <w:lang w:val="en-US" w:eastAsia="zh-CN"/>
        </w:rPr>
        <w:t>+接触池（次氯酸钠消毒）</w:t>
      </w:r>
      <w:r>
        <w:rPr>
          <w:rFonts w:hint="default" w:ascii="Times New Roman" w:hAnsi="Times New Roman" w:cs="Times New Roman" w:eastAsiaTheme="minorEastAsia"/>
          <w:sz w:val="24"/>
          <w:highlight w:val="none"/>
          <w:lang w:val="en-US" w:eastAsia="zh-CN"/>
        </w:rPr>
        <w:t>”处理工艺，处理后出水达到</w:t>
      </w:r>
      <w:r>
        <w:rPr>
          <w:rFonts w:hint="eastAsia" w:ascii="Times New Roman" w:hAnsi="Times New Roman" w:cs="Times New Roman" w:eastAsiaTheme="minorEastAsia"/>
          <w:sz w:val="24"/>
          <w:highlight w:val="none"/>
          <w:lang w:val="en-US" w:eastAsia="zh-CN"/>
        </w:rPr>
        <w:t>《医疗机构水污染物排放标准》（</w:t>
      </w:r>
      <w:r>
        <w:rPr>
          <w:rFonts w:hint="default" w:ascii="Times New Roman" w:hAnsi="Times New Roman" w:cs="Times New Roman" w:eastAsiaTheme="minorEastAsia"/>
          <w:sz w:val="24"/>
          <w:highlight w:val="none"/>
          <w:lang w:val="en-US" w:eastAsia="zh-CN"/>
        </w:rPr>
        <w:t>GB18466-2005</w:t>
      </w:r>
      <w:r>
        <w:rPr>
          <w:rFonts w:hint="eastAsia" w:ascii="Times New Roman" w:hAnsi="Times New Roman" w:cs="Times New Roman" w:eastAsiaTheme="minorEastAsia"/>
          <w:sz w:val="24"/>
          <w:highlight w:val="none"/>
          <w:lang w:val="en-US" w:eastAsia="zh-CN"/>
        </w:rPr>
        <w:t>）、《城市污水再生利用工业用水水质》（</w:t>
      </w:r>
      <w:r>
        <w:rPr>
          <w:rFonts w:hint="default" w:ascii="Times New Roman" w:hAnsi="Times New Roman" w:cs="Times New Roman" w:eastAsiaTheme="minorEastAsia"/>
          <w:sz w:val="24"/>
          <w:highlight w:val="none"/>
          <w:lang w:val="en-US" w:eastAsia="zh-CN"/>
        </w:rPr>
        <w:t>GB/T19923-20</w:t>
      </w:r>
      <w:r>
        <w:rPr>
          <w:rFonts w:hint="eastAsia" w:ascii="Times New Roman" w:hAnsi="Times New Roman" w:cs="Times New Roman" w:eastAsiaTheme="minorEastAsia"/>
          <w:sz w:val="24"/>
          <w:highlight w:val="none"/>
          <w:lang w:val="en-US" w:eastAsia="zh-CN"/>
        </w:rPr>
        <w:t>24）和《污水综合排放标准》（GB8978-1996）三者较严限值后回用。</w:t>
      </w:r>
      <w:r>
        <w:rPr>
          <w:rFonts w:hint="default" w:ascii="Times New Roman" w:hAnsi="Times New Roman" w:cs="Times New Roman" w:eastAsiaTheme="minorEastAsia"/>
          <w:sz w:val="24"/>
          <w:highlight w:val="none"/>
          <w:lang w:val="en-US" w:eastAsia="zh-CN"/>
        </w:rPr>
        <w:t>中敞开式循环冷却水系统补充水和洗涤用水标准后全部回用。</w:t>
      </w:r>
    </w:p>
    <w:p w14:paraId="5D8AE9A9">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项目厂区可能对土壤环境产生污染的固体废弃物有焚烧炉炉渣、飞灰等。焚烧炉炉渣</w:t>
      </w:r>
      <w:r>
        <w:rPr>
          <w:rFonts w:hint="eastAsia" w:ascii="Times New Roman" w:hAnsi="Times New Roman" w:cs="Times New Roman"/>
          <w:sz w:val="24"/>
          <w:highlight w:val="none"/>
          <w:lang w:val="en-US" w:eastAsia="zh-CN"/>
        </w:rPr>
        <w:t>在厂区炉渣间内暂存，定期交由有资质单位处置</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飞灰</w:t>
      </w:r>
      <w:r>
        <w:rPr>
          <w:rFonts w:hint="eastAsia" w:ascii="Times New Roman" w:hAnsi="Times New Roman" w:cs="Times New Roman"/>
          <w:sz w:val="24"/>
          <w:highlight w:val="none"/>
          <w:lang w:val="en-US" w:eastAsia="zh-CN"/>
        </w:rPr>
        <w:t>暂存于厂区危废贮存库内，定期交由有资质单位处置</w:t>
      </w:r>
      <w:r>
        <w:rPr>
          <w:rFonts w:hint="default" w:ascii="Times New Roman" w:hAnsi="Times New Roman" w:cs="Times New Roman" w:eastAsiaTheme="minorEastAsia"/>
          <w:sz w:val="24"/>
          <w:highlight w:val="none"/>
          <w:lang w:val="en-US" w:eastAsia="zh-CN"/>
        </w:rPr>
        <w:t>。项目在正常工况下，不会由于固体废物中有害成分污染土壤环境。本工程厂址区地面设施的建设，可全面防控可能的污水发生地面漫流而进入土壤环境，因此污染物经地面漫流途径对土壤影响较小。</w:t>
      </w:r>
    </w:p>
    <w:p w14:paraId="40196CAB">
      <w:pPr>
        <w:adjustRightInd w:val="0"/>
        <w:snapToGrid w:val="0"/>
        <w:spacing w:line="500" w:lineRule="exact"/>
        <w:jc w:val="left"/>
        <w:rPr>
          <w:rFonts w:hint="default"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5.</w:t>
      </w:r>
      <w:r>
        <w:rPr>
          <w:rFonts w:hint="eastAsia" w:ascii="Times New Roman" w:hAnsi="Times New Roman" w:cs="Times New Roman"/>
          <w:b/>
          <w:bCs/>
          <w:sz w:val="24"/>
          <w:lang w:val="en-US" w:eastAsia="zh-CN"/>
        </w:rPr>
        <w:t>7</w:t>
      </w:r>
      <w:r>
        <w:rPr>
          <w:rFonts w:hint="eastAsia" w:ascii="Times New Roman" w:hAnsi="Times New Roman" w:cs="Times New Roman" w:eastAsiaTheme="minorEastAsia"/>
          <w:b/>
          <w:bCs/>
          <w:sz w:val="24"/>
          <w:lang w:val="en-US" w:eastAsia="zh-CN"/>
        </w:rPr>
        <w:t>.4.3垂直入渗途径</w:t>
      </w:r>
    </w:p>
    <w:p w14:paraId="11BC35F4">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本次评价采用《环境影响评价技术导则土壤环境（试行）》（HJ964-2018）中附录E土壤环境影响预测方法预测</w:t>
      </w:r>
      <w:r>
        <w:rPr>
          <w:rFonts w:hint="eastAsia" w:ascii="Times New Roman" w:hAnsi="Times New Roman" w:cs="Times New Roman"/>
          <w:sz w:val="24"/>
          <w:highlight w:val="none"/>
          <w:lang w:val="en-US" w:eastAsia="zh-CN"/>
        </w:rPr>
        <w:t>项目垂直入渗污染源渗入</w:t>
      </w:r>
      <w:r>
        <w:rPr>
          <w:rFonts w:hint="eastAsia" w:ascii="Times New Roman" w:hAnsi="Times New Roman" w:cs="Times New Roman" w:eastAsiaTheme="minorEastAsia"/>
          <w:sz w:val="24"/>
          <w:highlight w:val="none"/>
          <w:lang w:val="en-US" w:eastAsia="zh-CN"/>
        </w:rPr>
        <w:t>周边土壤量。</w:t>
      </w:r>
    </w:p>
    <w:p w14:paraId="16E1E3C3">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a）</w:t>
      </w:r>
      <w:r>
        <w:rPr>
          <w:rFonts w:hint="default" w:ascii="Times New Roman" w:hAnsi="Times New Roman" w:cs="Times New Roman" w:eastAsiaTheme="minorEastAsia"/>
          <w:sz w:val="24"/>
          <w:highlight w:val="none"/>
          <w:lang w:val="en-US" w:eastAsia="zh-CN"/>
        </w:rPr>
        <w:t>采用下列公式计算单位质量土壤中某种物质的增量：</w:t>
      </w:r>
    </w:p>
    <w:p w14:paraId="4823DF1B">
      <w:pPr>
        <w:adjustRightInd w:val="0"/>
        <w:snapToGrid w:val="0"/>
        <w:spacing w:line="500" w:lineRule="exact"/>
        <w:ind w:firstLine="480" w:firstLineChars="200"/>
        <w:jc w:val="center"/>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ΔS=n</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Is-Ls-Rs</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ρb×A×D</w:t>
      </w:r>
      <w:r>
        <w:rPr>
          <w:rFonts w:hint="eastAsia" w:ascii="Times New Roman" w:hAnsi="Times New Roman" w:cs="Times New Roman" w:eastAsiaTheme="minorEastAsia"/>
          <w:sz w:val="24"/>
          <w:highlight w:val="none"/>
          <w:lang w:val="en-US" w:eastAsia="zh-CN"/>
        </w:rPr>
        <w:t>)</w:t>
      </w:r>
    </w:p>
    <w:p w14:paraId="2BBD142E">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式中：ΔS——单位质量表层土壤中某种物质的增量，</w:t>
      </w:r>
      <w:r>
        <w:rPr>
          <w:rFonts w:hint="eastAsia" w:ascii="Times New Roman" w:hAnsi="Times New Roman" w:cs="Times New Roman" w:eastAsiaTheme="minorEastAsia"/>
          <w:sz w:val="24"/>
          <w:highlight w:val="none"/>
          <w:lang w:val="en-US" w:eastAsia="zh-CN"/>
        </w:rPr>
        <w:t>m</w:t>
      </w:r>
      <w:r>
        <w:rPr>
          <w:rFonts w:hint="default" w:ascii="Times New Roman" w:hAnsi="Times New Roman" w:cs="Times New Roman" w:eastAsiaTheme="minorEastAsia"/>
          <w:sz w:val="24"/>
          <w:highlight w:val="none"/>
          <w:lang w:val="en-US" w:eastAsia="zh-CN"/>
        </w:rPr>
        <w:t>g/kg；</w:t>
      </w:r>
    </w:p>
    <w:p w14:paraId="3AA3D6FD">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Is——预测评价范围内单位年份表层土壤中某种物质的输入量，g；</w:t>
      </w:r>
    </w:p>
    <w:p w14:paraId="76EEC04E">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Ls——预测评价范围内单位年份表层土壤中某种物质经淋溶排出的量，g</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考虑最不利影响，取值0</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w:t>
      </w:r>
    </w:p>
    <w:p w14:paraId="15A32290">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Rs——预测评价范围内单位年份表层土壤中某种物质经径流排出的量，g（考虑最不利影响，取值0）；</w:t>
      </w:r>
    </w:p>
    <w:p w14:paraId="3758C566">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ρb——土壤容重，kg/m</w:t>
      </w:r>
      <w:r>
        <w:rPr>
          <w:rFonts w:hint="default" w:ascii="Times New Roman" w:hAnsi="Times New Roman" w:cs="Times New Roman" w:eastAsiaTheme="minorEastAsia"/>
          <w:sz w:val="24"/>
          <w:highlight w:val="none"/>
          <w:vertAlign w:val="superscript"/>
          <w:lang w:val="en-US" w:eastAsia="zh-CN"/>
        </w:rPr>
        <w:t>3</w:t>
      </w:r>
      <w:r>
        <w:rPr>
          <w:rFonts w:hint="default" w:ascii="Times New Roman" w:hAnsi="Times New Roman" w:cs="Times New Roman" w:eastAsiaTheme="minorEastAsia"/>
          <w:sz w:val="24"/>
          <w:highlight w:val="none"/>
          <w:lang w:val="en-US" w:eastAsia="zh-CN"/>
        </w:rPr>
        <w:t>（</w:t>
      </w:r>
      <w:r>
        <w:rPr>
          <w:rFonts w:hint="eastAsia" w:ascii="Times New Roman" w:hAnsi="Times New Roman" w:cs="Times New Roman" w:eastAsiaTheme="minorEastAsia"/>
          <w:sz w:val="24"/>
          <w:highlight w:val="none"/>
          <w:lang w:val="en-US" w:eastAsia="zh-CN"/>
        </w:rPr>
        <w:t>1560</w:t>
      </w:r>
      <w:r>
        <w:rPr>
          <w:rFonts w:hint="default" w:ascii="Times New Roman" w:hAnsi="Times New Roman" w:cs="Times New Roman" w:eastAsiaTheme="minorEastAsia"/>
          <w:sz w:val="24"/>
          <w:highlight w:val="none"/>
          <w:lang w:val="en-US" w:eastAsia="zh-CN"/>
        </w:rPr>
        <w:t>kg/m</w:t>
      </w:r>
      <w:r>
        <w:rPr>
          <w:rFonts w:hint="default" w:ascii="Times New Roman" w:hAnsi="Times New Roman" w:cs="Times New Roman" w:eastAsiaTheme="minorEastAsia"/>
          <w:sz w:val="24"/>
          <w:highlight w:val="none"/>
          <w:vertAlign w:val="superscript"/>
          <w:lang w:val="en-US" w:eastAsia="zh-CN"/>
        </w:rPr>
        <w:t>3</w:t>
      </w:r>
      <w:r>
        <w:rPr>
          <w:rFonts w:hint="default" w:ascii="Times New Roman" w:hAnsi="Times New Roman" w:cs="Times New Roman" w:eastAsiaTheme="minorEastAsia"/>
          <w:sz w:val="24"/>
          <w:highlight w:val="none"/>
          <w:lang w:val="en-US" w:eastAsia="zh-CN"/>
        </w:rPr>
        <w:t>）；</w:t>
      </w:r>
    </w:p>
    <w:p w14:paraId="1B079A4A">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A——预测评价范围，m</w:t>
      </w:r>
      <w:r>
        <w:rPr>
          <w:rFonts w:hint="default" w:ascii="Times New Roman" w:hAnsi="Times New Roman" w:cs="Times New Roman" w:eastAsiaTheme="minorEastAsia"/>
          <w:sz w:val="24"/>
          <w:highlight w:val="none"/>
          <w:vertAlign w:val="superscript"/>
          <w:lang w:val="en-US" w:eastAsia="zh-CN"/>
        </w:rPr>
        <w:t>2</w:t>
      </w:r>
      <w:r>
        <w:rPr>
          <w:rFonts w:hint="default" w:ascii="Times New Roman" w:hAnsi="Times New Roman" w:cs="Times New Roman" w:eastAsiaTheme="minorEastAsia"/>
          <w:sz w:val="24"/>
          <w:highlight w:val="none"/>
          <w:lang w:val="en-US" w:eastAsia="zh-CN"/>
        </w:rPr>
        <w:t>（</w:t>
      </w:r>
      <w:r>
        <w:rPr>
          <w:rFonts w:hint="eastAsia" w:ascii="Times New Roman" w:hAnsi="Times New Roman" w:cs="Times New Roman" w:eastAsiaTheme="minorEastAsia"/>
          <w:sz w:val="24"/>
          <w:highlight w:val="none"/>
          <w:lang w:val="en-US" w:eastAsia="zh-CN"/>
        </w:rPr>
        <w:t>本项目根据土壤导则判定评价等级为二级，影响类型为污染影响型，调查范围为项目周边</w:t>
      </w:r>
      <w:r>
        <w:rPr>
          <w:rFonts w:hint="default" w:ascii="Times New Roman" w:hAnsi="Times New Roman" w:cs="Times New Roman" w:eastAsiaTheme="minorEastAsia"/>
          <w:sz w:val="24"/>
          <w:highlight w:val="none"/>
          <w:lang w:val="en-US" w:eastAsia="zh-CN"/>
        </w:rPr>
        <w:t>0.2km</w:t>
      </w:r>
      <w:r>
        <w:rPr>
          <w:rFonts w:hint="eastAsia" w:ascii="Times New Roman" w:hAnsi="Times New Roman" w:cs="Times New Roman" w:eastAsiaTheme="minorEastAsia"/>
          <w:sz w:val="24"/>
          <w:highlight w:val="none"/>
          <w:lang w:val="en-US" w:eastAsia="zh-CN"/>
        </w:rPr>
        <w:t>的矩形区域</w:t>
      </w:r>
      <w:r>
        <w:rPr>
          <w:rFonts w:hint="eastAsia" w:ascii="Times New Roman" w:hAnsi="Times New Roman" w:cs="Times New Roman"/>
          <w:sz w:val="24"/>
          <w:highlight w:val="none"/>
          <w:lang w:val="en-US" w:eastAsia="zh-CN"/>
        </w:rPr>
        <w:t>，评价范围面积</w:t>
      </w:r>
      <w:r>
        <w:rPr>
          <w:rFonts w:hint="eastAsia" w:ascii="Times New Roman" w:hAnsi="Times New Roman" w:cs="Times New Roman" w:eastAsiaTheme="minorEastAsia"/>
          <w:sz w:val="24"/>
          <w:highlight w:val="none"/>
          <w:lang w:val="en-US" w:eastAsia="zh-CN"/>
        </w:rPr>
        <w:t>占地</w:t>
      </w:r>
      <w:r>
        <w:rPr>
          <w:rFonts w:hint="eastAsia" w:ascii="Times New Roman" w:hAnsi="Times New Roman" w:cs="Times New Roman"/>
          <w:sz w:val="24"/>
          <w:highlight w:val="none"/>
          <w:lang w:val="en-US" w:eastAsia="zh-CN"/>
        </w:rPr>
        <w:t>80888.6</w:t>
      </w:r>
      <w:r>
        <w:rPr>
          <w:rFonts w:hint="eastAsia" w:ascii="Times New Roman" w:hAnsi="Times New Roman" w:cs="Times New Roman" w:eastAsiaTheme="minorEastAsia"/>
          <w:sz w:val="24"/>
          <w:highlight w:val="none"/>
          <w:lang w:val="en-US" w:eastAsia="zh-CN"/>
        </w:rPr>
        <w:t>m</w:t>
      </w:r>
      <w:r>
        <w:rPr>
          <w:rFonts w:hint="eastAsia" w:ascii="Times New Roman" w:hAnsi="Times New Roman" w:cs="Times New Roman" w:eastAsiaTheme="minorEastAsia"/>
          <w:sz w:val="24"/>
          <w:highlight w:val="none"/>
          <w:vertAlign w:val="superscript"/>
          <w:lang w:val="en-US" w:eastAsia="zh-CN"/>
        </w:rPr>
        <w:t>2</w:t>
      </w:r>
      <w:r>
        <w:rPr>
          <w:rFonts w:hint="default" w:ascii="Times New Roman" w:hAnsi="Times New Roman" w:cs="Times New Roman" w:eastAsiaTheme="minorEastAsia"/>
          <w:sz w:val="24"/>
          <w:highlight w:val="none"/>
          <w:lang w:val="en-US" w:eastAsia="zh-CN"/>
        </w:rPr>
        <w:t>）；</w:t>
      </w:r>
    </w:p>
    <w:p w14:paraId="4015D527">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D——表层土壤深度；</w:t>
      </w:r>
    </w:p>
    <w:p w14:paraId="240393C5">
      <w:pPr>
        <w:adjustRightInd w:val="0"/>
        <w:snapToGrid w:val="0"/>
        <w:spacing w:line="500" w:lineRule="exact"/>
        <w:ind w:firstLine="480" w:firstLineChars="200"/>
        <w:jc w:val="left"/>
        <w:rPr>
          <w:rFonts w:hint="eastAsia" w:ascii="Times New Roman" w:hAnsi="Times New Roman" w:cs="Times New Roman"/>
          <w:sz w:val="24"/>
          <w:highlight w:val="none"/>
          <w:lang w:val="en-US" w:eastAsia="zh-CN"/>
        </w:rPr>
      </w:pPr>
      <w:r>
        <w:rPr>
          <w:rFonts w:hint="default" w:ascii="Times New Roman" w:hAnsi="Times New Roman" w:cs="Times New Roman" w:eastAsiaTheme="minorEastAsia"/>
          <w:sz w:val="24"/>
          <w:highlight w:val="none"/>
          <w:lang w:val="en-US" w:eastAsia="zh-CN"/>
        </w:rPr>
        <w:t>N——持续年份，a</w:t>
      </w:r>
      <w:r>
        <w:rPr>
          <w:rFonts w:hint="eastAsia" w:ascii="Times New Roman" w:hAnsi="Times New Roman" w:cs="Times New Roman"/>
          <w:sz w:val="24"/>
          <w:highlight w:val="none"/>
          <w:lang w:val="en-US" w:eastAsia="zh-CN"/>
        </w:rPr>
        <w:t>。</w:t>
      </w:r>
    </w:p>
    <w:p w14:paraId="0114D3D4">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b）单位质量土壤中某种物质的预测值根据其增加叠加现状值进行计算，如下式：</w:t>
      </w:r>
    </w:p>
    <w:p w14:paraId="2960840A">
      <w:pPr>
        <w:adjustRightInd w:val="0"/>
        <w:snapToGrid w:val="0"/>
        <w:spacing w:line="500" w:lineRule="exact"/>
        <w:ind w:firstLine="480" w:firstLineChars="200"/>
        <w:jc w:val="center"/>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S=Sb+ΔS</w:t>
      </w:r>
    </w:p>
    <w:p w14:paraId="30393079">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式中</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Sb-单位质量土壤中污染物的现状值，g</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kg</w:t>
      </w:r>
      <w:r>
        <w:rPr>
          <w:rFonts w:hint="eastAsia" w:ascii="Times New Roman" w:hAnsi="Times New Roman" w:cs="Times New Roman" w:eastAsiaTheme="minorEastAsia"/>
          <w:sz w:val="24"/>
          <w:highlight w:val="none"/>
          <w:lang w:val="en-US" w:eastAsia="zh-CN"/>
        </w:rPr>
        <w:t>；</w:t>
      </w:r>
    </w:p>
    <w:p w14:paraId="3F8061A0">
      <w:pPr>
        <w:adjustRightInd w:val="0"/>
        <w:snapToGrid w:val="0"/>
        <w:spacing w:line="500" w:lineRule="exact"/>
        <w:ind w:firstLine="480" w:firstLineChars="200"/>
        <w:jc w:val="left"/>
        <w:rPr>
          <w:rFonts w:hint="eastAsia" w:ascii="Times New Roman" w:hAnsi="Times New Roman" w:cs="Times New Roman"/>
          <w:sz w:val="24"/>
          <w:highlight w:val="none"/>
          <w:lang w:val="zh-CN" w:eastAsia="zh-CN"/>
        </w:rPr>
      </w:pPr>
      <w:r>
        <w:rPr>
          <w:rFonts w:hint="default" w:ascii="Times New Roman" w:hAnsi="Times New Roman" w:cs="Times New Roman" w:eastAsiaTheme="minorEastAsia"/>
          <w:sz w:val="24"/>
          <w:highlight w:val="none"/>
          <w:lang w:val="en-US" w:eastAsia="zh-CN"/>
        </w:rPr>
        <w:t>S-单位质量土壤中污染物的预测值，g/kg。</w:t>
      </w:r>
    </w:p>
    <w:p w14:paraId="19960E03">
      <w:pPr>
        <w:widowControl/>
        <w:spacing w:line="360" w:lineRule="auto"/>
        <w:ind w:firstLine="480" w:firstLineChars="200"/>
        <w:rPr>
          <w:rFonts w:ascii="Times New Roman" w:hAnsi="Times New Roman"/>
          <w:color w:val="000000"/>
          <w:kern w:val="0"/>
          <w:sz w:val="24"/>
          <w:lang w:val="zh-CN"/>
        </w:rPr>
      </w:pPr>
      <w:r>
        <w:rPr>
          <w:rFonts w:ascii="Times New Roman" w:hAnsi="Times New Roman"/>
          <w:color w:val="000000"/>
          <w:kern w:val="0"/>
          <w:sz w:val="24"/>
          <w:lang w:val="zh-CN"/>
        </w:rPr>
        <w:t>①情景设置</w:t>
      </w:r>
    </w:p>
    <w:p w14:paraId="06494283">
      <w:pPr>
        <w:widowControl/>
        <w:spacing w:line="360" w:lineRule="auto"/>
        <w:ind w:firstLine="480" w:firstLineChars="200"/>
        <w:rPr>
          <w:rFonts w:ascii="Times New Roman" w:hAnsi="Times New Roman"/>
          <w:color w:val="000000"/>
          <w:kern w:val="0"/>
          <w:sz w:val="24"/>
          <w:lang w:val="zh-CN"/>
        </w:rPr>
      </w:pPr>
      <w:r>
        <w:rPr>
          <w:rFonts w:ascii="Times New Roman" w:hAnsi="Times New Roman"/>
          <w:color w:val="000000"/>
          <w:kern w:val="0"/>
          <w:sz w:val="24"/>
          <w:lang w:val="zh-CN"/>
        </w:rPr>
        <w:t>本次评价以最不利的因素考虑，按照</w:t>
      </w:r>
      <w:r>
        <w:rPr>
          <w:rFonts w:hint="eastAsia" w:ascii="Times New Roman" w:hAnsi="Times New Roman"/>
          <w:color w:val="000000"/>
          <w:kern w:val="0"/>
          <w:sz w:val="24"/>
          <w:lang w:val="en-US" w:eastAsia="zh-CN"/>
        </w:rPr>
        <w:t>集水池</w:t>
      </w:r>
      <w:r>
        <w:rPr>
          <w:rFonts w:ascii="Times New Roman" w:hAnsi="Times New Roman"/>
          <w:color w:val="000000"/>
          <w:kern w:val="0"/>
          <w:sz w:val="24"/>
          <w:lang w:val="zh-CN"/>
        </w:rPr>
        <w:t>防渗层破坏，由于</w:t>
      </w:r>
      <w:r>
        <w:rPr>
          <w:rFonts w:hint="eastAsia" w:ascii="Times New Roman" w:hAnsi="Times New Roman"/>
          <w:color w:val="000000"/>
          <w:kern w:val="0"/>
          <w:sz w:val="24"/>
          <w:lang w:val="en-US" w:eastAsia="zh-CN"/>
        </w:rPr>
        <w:t>集水池</w:t>
      </w:r>
      <w:r>
        <w:rPr>
          <w:rFonts w:ascii="Times New Roman" w:hAnsi="Times New Roman"/>
          <w:color w:val="000000"/>
          <w:kern w:val="0"/>
          <w:sz w:val="24"/>
          <w:lang w:val="zh-CN"/>
        </w:rPr>
        <w:t>为地下设施，一旦出现破损和泄漏难以发现和处理，有可能以渗坑的形式持续</w:t>
      </w:r>
      <w:r>
        <w:rPr>
          <w:rFonts w:hint="eastAsia" w:ascii="Times New Roman" w:hAnsi="Times New Roman"/>
          <w:color w:val="000000"/>
          <w:kern w:val="0"/>
          <w:sz w:val="24"/>
          <w:lang w:val="zh-CN"/>
        </w:rPr>
        <w:t>泄漏</w:t>
      </w:r>
      <w:r>
        <w:rPr>
          <w:rFonts w:ascii="Times New Roman" w:hAnsi="Times New Roman"/>
          <w:color w:val="000000"/>
          <w:kern w:val="0"/>
          <w:sz w:val="24"/>
          <w:lang w:val="zh-CN"/>
        </w:rPr>
        <w:t>，</w:t>
      </w:r>
      <w:r>
        <w:rPr>
          <w:rFonts w:ascii="Times New Roman" w:hAnsi="Times New Roman"/>
          <w:color w:val="000000"/>
          <w:kern w:val="0"/>
          <w:sz w:val="24"/>
        </w:rPr>
        <w:t>进而</w:t>
      </w:r>
      <w:r>
        <w:rPr>
          <w:rFonts w:ascii="Times New Roman" w:hAnsi="Times New Roman"/>
          <w:color w:val="000000"/>
          <w:kern w:val="0"/>
          <w:sz w:val="24"/>
          <w:lang w:val="zh-CN"/>
        </w:rPr>
        <w:t>污染物进入土壤。</w:t>
      </w:r>
    </w:p>
    <w:p w14:paraId="52068E9D">
      <w:pPr>
        <w:widowControl/>
        <w:spacing w:line="360" w:lineRule="auto"/>
        <w:ind w:firstLine="480" w:firstLineChars="200"/>
        <w:rPr>
          <w:rFonts w:ascii="Times New Roman" w:hAnsi="Times New Roman"/>
          <w:color w:val="000000"/>
          <w:kern w:val="0"/>
          <w:sz w:val="24"/>
        </w:rPr>
      </w:pPr>
      <w:r>
        <w:rPr>
          <w:rFonts w:ascii="Times New Roman" w:hAnsi="Times New Roman"/>
          <w:color w:val="000000"/>
          <w:kern w:val="0"/>
          <w:sz w:val="24"/>
          <w:lang w:val="zh-CN"/>
        </w:rPr>
        <w:t>②</w:t>
      </w:r>
      <w:r>
        <w:rPr>
          <w:rFonts w:ascii="Times New Roman" w:hAnsi="Times New Roman"/>
          <w:color w:val="000000"/>
          <w:kern w:val="0"/>
          <w:sz w:val="24"/>
        </w:rPr>
        <w:t>预测与评价因子</w:t>
      </w:r>
    </w:p>
    <w:p w14:paraId="2A027623">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Times New Roman" w:hAnsi="Times New Roman"/>
          <w:color w:val="000000"/>
          <w:kern w:val="0"/>
          <w:sz w:val="24"/>
          <w:lang w:val="zh-CN"/>
        </w:rPr>
      </w:pPr>
      <w:r>
        <w:rPr>
          <w:rFonts w:ascii="Times New Roman" w:hAnsi="Times New Roman"/>
          <w:color w:val="000000"/>
          <w:kern w:val="0"/>
          <w:sz w:val="24"/>
          <w:lang w:val="zh-CN"/>
        </w:rPr>
        <w:t>预测与评价时段为项目</w:t>
      </w:r>
      <w:r>
        <w:rPr>
          <w:rFonts w:hint="eastAsia" w:ascii="Times New Roman" w:hAnsi="Times New Roman"/>
          <w:color w:val="000000"/>
          <w:kern w:val="0"/>
          <w:sz w:val="24"/>
          <w:lang w:val="en-US" w:eastAsia="zh-CN"/>
        </w:rPr>
        <w:t>运行期</w:t>
      </w:r>
      <w:r>
        <w:rPr>
          <w:rFonts w:ascii="Times New Roman" w:hAnsi="Times New Roman"/>
          <w:color w:val="000000"/>
          <w:kern w:val="0"/>
          <w:sz w:val="24"/>
          <w:lang w:val="zh-CN"/>
        </w:rPr>
        <w:t>。污染影响型建设项目根据环境影响识别出的特征因子选取关键预测因子，结合</w:t>
      </w:r>
      <w:r>
        <w:rPr>
          <w:rFonts w:ascii="Times New Roman" w:hAnsi="Times New Roman"/>
          <w:color w:val="000000"/>
          <w:kern w:val="0"/>
          <w:sz w:val="24"/>
        </w:rPr>
        <w:t>本项目</w:t>
      </w:r>
      <w:r>
        <w:rPr>
          <w:rFonts w:ascii="Times New Roman" w:hAnsi="Times New Roman"/>
          <w:color w:val="000000"/>
          <w:kern w:val="0"/>
          <w:sz w:val="24"/>
          <w:lang w:val="zh-CN"/>
        </w:rPr>
        <w:t>污染物特性和《土壤环境质量 建设用地土壤污染风险管控标准</w:t>
      </w:r>
      <w:r>
        <w:rPr>
          <w:rFonts w:hint="eastAsia" w:ascii="Times New Roman" w:hAnsi="Times New Roman"/>
          <w:color w:val="000000"/>
          <w:kern w:val="0"/>
          <w:sz w:val="24"/>
          <w:lang w:val="zh-CN"/>
        </w:rPr>
        <w:t>（</w:t>
      </w:r>
      <w:r>
        <w:rPr>
          <w:rFonts w:ascii="Times New Roman" w:hAnsi="Times New Roman"/>
          <w:color w:val="000000"/>
          <w:kern w:val="0"/>
          <w:sz w:val="24"/>
          <w:lang w:val="zh-CN"/>
        </w:rPr>
        <w:t>试行</w:t>
      </w:r>
      <w:r>
        <w:rPr>
          <w:rFonts w:hint="eastAsia" w:ascii="Times New Roman" w:hAnsi="Times New Roman"/>
          <w:color w:val="000000"/>
          <w:kern w:val="0"/>
          <w:sz w:val="24"/>
          <w:lang w:val="zh-CN"/>
        </w:rPr>
        <w:t>）</w:t>
      </w:r>
      <w:r>
        <w:rPr>
          <w:rFonts w:ascii="Times New Roman" w:hAnsi="Times New Roman"/>
          <w:color w:val="000000"/>
          <w:kern w:val="0"/>
          <w:sz w:val="24"/>
          <w:lang w:val="zh-CN"/>
        </w:rPr>
        <w:t>》</w:t>
      </w:r>
      <w:r>
        <w:rPr>
          <w:rFonts w:hint="eastAsia" w:ascii="Times New Roman" w:hAnsi="Times New Roman"/>
          <w:color w:val="000000"/>
          <w:kern w:val="0"/>
          <w:sz w:val="24"/>
          <w:lang w:val="zh-CN"/>
        </w:rPr>
        <w:t>（</w:t>
      </w:r>
      <w:r>
        <w:rPr>
          <w:rFonts w:ascii="Times New Roman" w:hAnsi="Times New Roman"/>
          <w:color w:val="000000"/>
          <w:kern w:val="0"/>
          <w:sz w:val="24"/>
          <w:lang w:val="zh-CN"/>
        </w:rPr>
        <w:t>GB36600</w:t>
      </w:r>
      <w:r>
        <w:rPr>
          <w:rFonts w:ascii="Times New Roman" w:hAnsi="Times New Roman"/>
          <w:color w:val="000000"/>
          <w:kern w:val="0"/>
          <w:sz w:val="24"/>
        </w:rPr>
        <w:t>-</w:t>
      </w:r>
      <w:r>
        <w:rPr>
          <w:rFonts w:ascii="Times New Roman" w:hAnsi="Times New Roman"/>
          <w:color w:val="000000"/>
          <w:kern w:val="0"/>
          <w:sz w:val="24"/>
          <w:lang w:val="zh-CN"/>
        </w:rPr>
        <w:t>2018</w:t>
      </w:r>
      <w:r>
        <w:rPr>
          <w:rFonts w:hint="eastAsia" w:ascii="Times New Roman" w:hAnsi="Times New Roman"/>
          <w:color w:val="000000"/>
          <w:kern w:val="0"/>
          <w:sz w:val="24"/>
          <w:lang w:val="zh-CN"/>
        </w:rPr>
        <w:t>）</w:t>
      </w:r>
      <w:r>
        <w:rPr>
          <w:rFonts w:ascii="Times New Roman" w:hAnsi="Times New Roman"/>
          <w:color w:val="000000"/>
          <w:kern w:val="0"/>
          <w:sz w:val="24"/>
          <w:lang w:val="zh-CN"/>
        </w:rPr>
        <w:t>，本次评价根据项目特点选取</w:t>
      </w:r>
      <w:r>
        <w:rPr>
          <w:rFonts w:hint="eastAsia" w:ascii="Times New Roman" w:hAnsi="Times New Roman"/>
          <w:color w:val="000000"/>
          <w:kern w:val="0"/>
          <w:sz w:val="24"/>
          <w:lang w:val="en-US" w:eastAsia="zh-CN"/>
        </w:rPr>
        <w:t>集水池</w:t>
      </w:r>
      <w:r>
        <w:rPr>
          <w:rFonts w:ascii="Times New Roman" w:hAnsi="Times New Roman"/>
          <w:color w:val="000000"/>
          <w:kern w:val="0"/>
          <w:sz w:val="24"/>
          <w:lang w:val="zh-CN"/>
        </w:rPr>
        <w:t>泄漏进行预测，本次选取</w:t>
      </w:r>
      <w:r>
        <w:rPr>
          <w:rFonts w:hint="eastAsia" w:ascii="Times New Roman" w:hAnsi="Times New Roman"/>
          <w:color w:val="000000"/>
          <w:kern w:val="0"/>
          <w:sz w:val="24"/>
          <w:lang w:val="en-US" w:eastAsia="zh-CN"/>
        </w:rPr>
        <w:t>As和石油类</w:t>
      </w:r>
      <w:r>
        <w:rPr>
          <w:rFonts w:ascii="Times New Roman" w:hAnsi="Times New Roman"/>
          <w:color w:val="000000"/>
          <w:kern w:val="0"/>
          <w:sz w:val="24"/>
          <w:lang w:val="zh-CN"/>
        </w:rPr>
        <w:t>作为关键预测因子。</w:t>
      </w:r>
    </w:p>
    <w:p w14:paraId="2C5EFFDD">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Times New Roman" w:hAnsi="Times New Roman"/>
          <w:color w:val="000000"/>
          <w:kern w:val="0"/>
          <w:sz w:val="24"/>
        </w:rPr>
      </w:pPr>
      <w:r>
        <w:rPr>
          <w:rFonts w:ascii="Times New Roman" w:hAnsi="Times New Roman"/>
          <w:color w:val="000000"/>
          <w:kern w:val="0"/>
          <w:sz w:val="24"/>
          <w:lang w:val="zh-CN"/>
        </w:rPr>
        <w:t>③</w:t>
      </w:r>
      <w:r>
        <w:rPr>
          <w:rFonts w:ascii="Times New Roman" w:hAnsi="Times New Roman"/>
          <w:color w:val="000000"/>
          <w:kern w:val="0"/>
          <w:sz w:val="24"/>
        </w:rPr>
        <w:t>预测源强</w:t>
      </w:r>
    </w:p>
    <w:p w14:paraId="23D1231D">
      <w:pPr>
        <w:pStyle w:val="5"/>
        <w:keepNext w:val="0"/>
        <w:keepLines w:val="0"/>
        <w:pageBreakBefore w:val="0"/>
        <w:kinsoku/>
        <w:wordWrap/>
        <w:overflowPunct/>
        <w:topLinePunct w:val="0"/>
        <w:autoSpaceDE/>
        <w:autoSpaceDN/>
        <w:bidi w:val="0"/>
        <w:adjustRightInd/>
        <w:snapToGrid/>
        <w:spacing w:before="0" w:after="0" w:line="360" w:lineRule="auto"/>
        <w:ind w:left="0" w:leftChars="0" w:firstLine="480" w:firstLineChars="200"/>
        <w:textAlignment w:val="auto"/>
        <w:rPr>
          <w:rFonts w:hint="default" w:ascii="Times New Roman" w:hAnsi="Times New Roman"/>
          <w:sz w:val="24"/>
          <w:highlight w:val="none"/>
          <w:lang w:val="en-US" w:eastAsia="zh-CN"/>
        </w:rPr>
      </w:pPr>
      <w:r>
        <w:rPr>
          <w:rFonts w:hint="eastAsia" w:ascii="Times New Roman" w:hAnsi="Times New Roman"/>
          <w:sz w:val="24"/>
          <w:lang w:eastAsia="zh-CN"/>
        </w:rPr>
        <w:t>根据《地下工程防水技术规范》中二级防水标准，任意100m</w:t>
      </w:r>
      <w:r>
        <w:rPr>
          <w:rFonts w:hint="eastAsia" w:ascii="Times New Roman" w:hAnsi="Times New Roman"/>
          <w:sz w:val="24"/>
          <w:vertAlign w:val="superscript"/>
          <w:lang w:eastAsia="zh-CN"/>
        </w:rPr>
        <w:t>2</w:t>
      </w:r>
      <w:r>
        <w:rPr>
          <w:rFonts w:hint="eastAsia" w:ascii="Times New Roman" w:hAnsi="Times New Roman"/>
          <w:sz w:val="24"/>
          <w:lang w:eastAsia="zh-CN"/>
        </w:rPr>
        <w:t>防水面积上的湿渍不超过2处，单个湿渍的最大面积不大于0.1m</w:t>
      </w:r>
      <w:r>
        <w:rPr>
          <w:rFonts w:hint="eastAsia" w:ascii="Times New Roman" w:hAnsi="Times New Roman"/>
          <w:sz w:val="24"/>
          <w:vertAlign w:val="superscript"/>
          <w:lang w:eastAsia="zh-CN"/>
        </w:rPr>
        <w:t>2</w:t>
      </w:r>
      <w:r>
        <w:rPr>
          <w:rFonts w:hint="eastAsia" w:ascii="Times New Roman" w:hAnsi="Times New Roman"/>
          <w:sz w:val="24"/>
          <w:lang w:eastAsia="zh-CN"/>
        </w:rPr>
        <w:t>，单个漏水点最大漏水量按2L/d计，</w:t>
      </w:r>
      <w:r>
        <w:rPr>
          <w:rFonts w:hint="eastAsia" w:ascii="Times New Roman" w:hAnsi="Times New Roman"/>
          <w:sz w:val="24"/>
          <w:lang w:val="en-US" w:eastAsia="zh-CN"/>
        </w:rPr>
        <w:t>则</w:t>
      </w:r>
      <w:r>
        <w:rPr>
          <w:rFonts w:ascii="Times New Roman" w:hAnsi="Times New Roman"/>
          <w:sz w:val="24"/>
        </w:rPr>
        <w:t>在非正常状况下</w:t>
      </w:r>
      <w:r>
        <w:rPr>
          <w:rFonts w:hint="eastAsia" w:ascii="Times New Roman" w:hAnsi="Times New Roman"/>
          <w:sz w:val="24"/>
          <w:lang w:val="en-US" w:eastAsia="zh-CN"/>
        </w:rPr>
        <w:t>集水池</w:t>
      </w:r>
      <w:r>
        <w:rPr>
          <w:rFonts w:ascii="Times New Roman" w:hAnsi="Times New Roman"/>
          <w:sz w:val="24"/>
        </w:rPr>
        <w:t>防渗层破损</w:t>
      </w:r>
      <w:r>
        <w:rPr>
          <w:rFonts w:hint="eastAsia" w:ascii="Times New Roman" w:hAnsi="Times New Roman"/>
          <w:sz w:val="24"/>
          <w:lang w:eastAsia="zh-CN"/>
        </w:rPr>
        <w:t>，</w:t>
      </w:r>
      <w:r>
        <w:rPr>
          <w:rFonts w:hint="eastAsia" w:ascii="Times New Roman" w:hAnsi="Times New Roman"/>
          <w:sz w:val="24"/>
          <w:lang w:val="en-US" w:eastAsia="zh-CN"/>
        </w:rPr>
        <w:t>废水泄漏量为</w:t>
      </w:r>
      <w:r>
        <w:rPr>
          <w:rFonts w:ascii="Times New Roman" w:hAnsi="Times New Roman"/>
          <w:sz w:val="24"/>
        </w:rPr>
        <w:t>正常值的10倍，则</w:t>
      </w:r>
      <w:r>
        <w:rPr>
          <w:rFonts w:hint="eastAsia" w:ascii="Times New Roman" w:hAnsi="Times New Roman"/>
          <w:sz w:val="24"/>
          <w:lang w:val="en-US" w:eastAsia="zh-CN"/>
        </w:rPr>
        <w:t>集水池</w:t>
      </w:r>
      <w:r>
        <w:rPr>
          <w:rFonts w:ascii="Times New Roman" w:hAnsi="Times New Roman"/>
          <w:sz w:val="24"/>
        </w:rPr>
        <w:t>泄漏</w:t>
      </w:r>
      <w:r>
        <w:rPr>
          <w:rFonts w:hint="eastAsia" w:ascii="Times New Roman" w:hAnsi="Times New Roman"/>
          <w:sz w:val="24"/>
          <w:lang w:val="en-US" w:eastAsia="zh-CN"/>
        </w:rPr>
        <w:t>源强为40L/d。As</w:t>
      </w:r>
      <w:r>
        <w:rPr>
          <w:rFonts w:hint="eastAsia" w:ascii="Times New Roman" w:hAnsi="Times New Roman"/>
          <w:sz w:val="24"/>
          <w:highlight w:val="none"/>
          <w:lang w:val="en-US" w:eastAsia="zh-CN"/>
        </w:rPr>
        <w:t>在水中的浓度为0.076mg/L，石油类在水中的浓度为49mg/L持续泄漏时间90d。则</w:t>
      </w:r>
      <w:r>
        <w:rPr>
          <w:rFonts w:hint="eastAsia" w:ascii="Times New Roman" w:hAnsi="Times New Roman"/>
          <w:sz w:val="24"/>
          <w:lang w:val="en-US" w:eastAsia="zh-CN"/>
        </w:rPr>
        <w:t>As的泄漏量为0.2736g，石油类的泄漏量为1</w:t>
      </w:r>
      <w:r>
        <w:rPr>
          <w:rFonts w:hint="eastAsia" w:ascii="Times New Roman" w:hAnsi="Times New Roman" w:cs="Times New Roman"/>
          <w:sz w:val="24"/>
          <w:highlight w:val="none"/>
          <w:lang w:val="en-US" w:eastAsia="zh-CN"/>
        </w:rPr>
        <w:t>76.4</w:t>
      </w:r>
      <w:r>
        <w:rPr>
          <w:rFonts w:hint="eastAsia" w:ascii="Times New Roman" w:hAnsi="Times New Roman"/>
          <w:sz w:val="24"/>
          <w:lang w:val="en-US" w:eastAsia="zh-CN"/>
        </w:rPr>
        <w:t>g。</w:t>
      </w:r>
    </w:p>
    <w:p w14:paraId="20CACB81">
      <w:pPr>
        <w:pStyle w:val="5"/>
        <w:keepNext w:val="0"/>
        <w:keepLines w:val="0"/>
        <w:pageBreakBefore w:val="0"/>
        <w:kinsoku/>
        <w:wordWrap/>
        <w:overflowPunct/>
        <w:topLinePunct w:val="0"/>
        <w:autoSpaceDE/>
        <w:autoSpaceDN/>
        <w:bidi w:val="0"/>
        <w:adjustRightInd/>
        <w:snapToGrid/>
        <w:spacing w:before="0" w:after="0" w:line="360" w:lineRule="auto"/>
        <w:ind w:left="0" w:leftChars="0" w:firstLine="480" w:firstLineChars="200"/>
        <w:textAlignment w:val="auto"/>
        <w:rPr>
          <w:rFonts w:hint="default" w:ascii="Times New Roman" w:hAnsi="Times New Roman"/>
          <w:sz w:val="24"/>
          <w:lang w:val="en-US" w:eastAsia="zh-CN"/>
        </w:rPr>
      </w:pPr>
      <w:r>
        <w:rPr>
          <w:rFonts w:hint="default" w:ascii="Times New Roman" w:hAnsi="Times New Roman"/>
          <w:sz w:val="24"/>
          <w:lang w:val="en-US" w:eastAsia="zh-CN"/>
        </w:rPr>
        <w:t>④</w:t>
      </w:r>
      <w:r>
        <w:rPr>
          <w:rFonts w:hint="eastAsia" w:ascii="Times New Roman" w:hAnsi="Times New Roman"/>
          <w:sz w:val="24"/>
          <w:lang w:val="en-US" w:eastAsia="zh-CN"/>
        </w:rPr>
        <w:t>现状背景值</w:t>
      </w:r>
    </w:p>
    <w:p w14:paraId="0DD33BA1">
      <w:pPr>
        <w:pStyle w:val="5"/>
        <w:keepNext w:val="0"/>
        <w:keepLines w:val="0"/>
        <w:pageBreakBefore w:val="0"/>
        <w:kinsoku/>
        <w:wordWrap/>
        <w:overflowPunct/>
        <w:topLinePunct w:val="0"/>
        <w:autoSpaceDE/>
        <w:autoSpaceDN/>
        <w:bidi w:val="0"/>
        <w:adjustRightInd/>
        <w:snapToGrid/>
        <w:spacing w:before="0" w:after="0" w:line="360" w:lineRule="auto"/>
        <w:ind w:left="0" w:leftChars="0" w:firstLine="480" w:firstLineChars="200"/>
        <w:textAlignment w:val="auto"/>
        <w:rPr>
          <w:rFonts w:hint="default" w:ascii="Times New Roman" w:hAnsi="Times New Roman"/>
          <w:sz w:val="24"/>
          <w:lang w:val="en-US" w:eastAsia="zh-CN"/>
        </w:rPr>
      </w:pPr>
      <w:r>
        <w:rPr>
          <w:rFonts w:hint="eastAsia" w:ascii="Times New Roman" w:hAnsi="Times New Roman"/>
          <w:sz w:val="24"/>
          <w:lang w:val="en-US" w:eastAsia="zh-CN"/>
        </w:rPr>
        <w:t>根据监测报告，项目土壤T-735、T-736、T-737，0.5m处As背景值浓度为13.3mg/kg，石油类＜6mg/kg；1.5m处As背景值浓度为12.9mg/kg，石油类＜6mg/kg；3m处As背景值浓度为14.7mg/kg，石油类＜6mg/kg；</w:t>
      </w:r>
    </w:p>
    <w:p w14:paraId="48AA0CDE">
      <w:pPr>
        <w:pStyle w:val="5"/>
        <w:keepNext w:val="0"/>
        <w:keepLines w:val="0"/>
        <w:pageBreakBefore w:val="0"/>
        <w:kinsoku/>
        <w:wordWrap/>
        <w:overflowPunct/>
        <w:topLinePunct w:val="0"/>
        <w:autoSpaceDE/>
        <w:autoSpaceDN/>
        <w:bidi w:val="0"/>
        <w:adjustRightInd/>
        <w:snapToGrid/>
        <w:spacing w:before="0" w:after="0" w:line="360" w:lineRule="auto"/>
        <w:ind w:left="0" w:leftChars="0" w:firstLine="480" w:firstLineChars="200"/>
        <w:textAlignment w:val="auto"/>
        <w:rPr>
          <w:rFonts w:hint="default" w:ascii="Times New Roman" w:hAnsi="Times New Roman"/>
          <w:sz w:val="24"/>
          <w:lang w:val="en-US" w:eastAsia="zh-CN"/>
        </w:rPr>
      </w:pPr>
      <w:r>
        <w:rPr>
          <w:rFonts w:hint="default" w:ascii="Times New Roman" w:hAnsi="Times New Roman"/>
          <w:sz w:val="24"/>
          <w:lang w:val="en-US" w:eastAsia="zh-CN"/>
        </w:rPr>
        <w:t>⑤</w:t>
      </w:r>
      <w:r>
        <w:rPr>
          <w:rFonts w:hint="eastAsia" w:ascii="Times New Roman" w:hAnsi="Times New Roman"/>
          <w:sz w:val="24"/>
          <w:lang w:val="en-US" w:eastAsia="zh-CN"/>
        </w:rPr>
        <w:t>预测结果</w:t>
      </w:r>
    </w:p>
    <w:p w14:paraId="6D6C20B6">
      <w:pPr>
        <w:pStyle w:val="5"/>
        <w:keepNext w:val="0"/>
        <w:keepLines w:val="0"/>
        <w:pageBreakBefore w:val="0"/>
        <w:kinsoku/>
        <w:wordWrap/>
        <w:overflowPunct/>
        <w:topLinePunct w:val="0"/>
        <w:autoSpaceDE/>
        <w:autoSpaceDN/>
        <w:bidi w:val="0"/>
        <w:adjustRightInd/>
        <w:snapToGrid/>
        <w:spacing w:before="0" w:after="0" w:line="360" w:lineRule="auto"/>
        <w:ind w:left="0" w:leftChars="0" w:firstLine="480" w:firstLineChars="200"/>
        <w:textAlignment w:val="auto"/>
        <w:rPr>
          <w:rFonts w:hint="eastAsia" w:ascii="Times New Roman" w:hAnsi="Times New Roman"/>
          <w:sz w:val="24"/>
          <w:lang w:eastAsia="zh-CN"/>
        </w:rPr>
      </w:pPr>
      <w:r>
        <w:rPr>
          <w:rFonts w:hint="eastAsia" w:ascii="Times New Roman" w:hAnsi="Times New Roman"/>
          <w:sz w:val="24"/>
          <w:lang w:eastAsia="zh-CN"/>
        </w:rPr>
        <w:t>项目通过</w:t>
      </w:r>
      <w:r>
        <w:rPr>
          <w:rFonts w:hint="eastAsia" w:ascii="Times New Roman" w:hAnsi="Times New Roman"/>
          <w:sz w:val="24"/>
          <w:lang w:val="en-US" w:eastAsia="zh-CN"/>
        </w:rPr>
        <w:t>垂直入渗</w:t>
      </w:r>
      <w:r>
        <w:rPr>
          <w:rFonts w:hint="eastAsia" w:ascii="Times New Roman" w:hAnsi="Times New Roman"/>
          <w:sz w:val="24"/>
          <w:lang w:eastAsia="zh-CN"/>
        </w:rPr>
        <w:t>进入土壤的</w:t>
      </w:r>
      <w:r>
        <w:rPr>
          <w:rFonts w:hint="eastAsia" w:ascii="Times New Roman" w:hAnsi="Times New Roman"/>
          <w:sz w:val="24"/>
          <w:lang w:val="en-US" w:eastAsia="zh-CN"/>
        </w:rPr>
        <w:t>As和石油类</w:t>
      </w:r>
      <w:r>
        <w:rPr>
          <w:rFonts w:hint="eastAsia" w:ascii="Times New Roman" w:hAnsi="Times New Roman"/>
          <w:sz w:val="24"/>
          <w:lang w:eastAsia="zh-CN"/>
        </w:rPr>
        <w:t>计算参数选取及计算结果见下表所示：</w:t>
      </w:r>
    </w:p>
    <w:p w14:paraId="195BD42F">
      <w:pPr>
        <w:adjustRightInd w:val="0"/>
        <w:snapToGrid w:val="0"/>
        <w:spacing w:before="250" w:beforeLines="50"/>
        <w:jc w:val="center"/>
        <w:rPr>
          <w:rFonts w:hint="default"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表5.7-6  垂直入渗影响预测结果</w:t>
      </w:r>
    </w:p>
    <w:tbl>
      <w:tblPr>
        <w:tblStyle w:val="1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750"/>
        <w:gridCol w:w="1050"/>
        <w:gridCol w:w="1017"/>
        <w:gridCol w:w="750"/>
        <w:gridCol w:w="917"/>
        <w:gridCol w:w="1416"/>
        <w:gridCol w:w="950"/>
        <w:gridCol w:w="976"/>
      </w:tblGrid>
      <w:tr w14:paraId="5EABE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pct"/>
            <w:vAlign w:val="center"/>
          </w:tcPr>
          <w:p w14:paraId="0FCBF7B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预测因子</w:t>
            </w:r>
          </w:p>
        </w:tc>
        <w:tc>
          <w:tcPr>
            <w:tcW w:w="440" w:type="pct"/>
            <w:vAlign w:val="center"/>
          </w:tcPr>
          <w:p w14:paraId="26B10E5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输入量（g）</w:t>
            </w:r>
          </w:p>
        </w:tc>
        <w:tc>
          <w:tcPr>
            <w:tcW w:w="616" w:type="pct"/>
            <w:vAlign w:val="center"/>
          </w:tcPr>
          <w:p w14:paraId="650E282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表层土壤容重（kg/m</w:t>
            </w:r>
            <w:r>
              <w:rPr>
                <w:rFonts w:hint="eastAsia" w:ascii="Times New Roman" w:hAnsi="Times New Roman" w:cs="Times New Roman" w:eastAsiaTheme="minorEastAsia"/>
                <w:szCs w:val="21"/>
                <w:vertAlign w:val="superscript"/>
                <w:lang w:val="en-US" w:eastAsia="zh-CN"/>
              </w:rPr>
              <w:t>3</w:t>
            </w:r>
            <w:r>
              <w:rPr>
                <w:rFonts w:hint="eastAsia" w:ascii="Times New Roman" w:hAnsi="Times New Roman" w:cs="Times New Roman" w:eastAsiaTheme="minorEastAsia"/>
                <w:szCs w:val="21"/>
                <w:lang w:val="en-US" w:eastAsia="zh-CN"/>
              </w:rPr>
              <w:t>）</w:t>
            </w:r>
          </w:p>
        </w:tc>
        <w:tc>
          <w:tcPr>
            <w:tcW w:w="597" w:type="pct"/>
            <w:vAlign w:val="center"/>
          </w:tcPr>
          <w:p w14:paraId="4874175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预测评价范围</w:t>
            </w:r>
          </w:p>
        </w:tc>
        <w:tc>
          <w:tcPr>
            <w:tcW w:w="440" w:type="pct"/>
            <w:vAlign w:val="center"/>
          </w:tcPr>
          <w:p w14:paraId="2925F4A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土壤深度</w:t>
            </w:r>
          </w:p>
        </w:tc>
        <w:tc>
          <w:tcPr>
            <w:tcW w:w="538" w:type="pct"/>
            <w:vAlign w:val="center"/>
          </w:tcPr>
          <w:p w14:paraId="40F36A6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持续时间a</w:t>
            </w:r>
          </w:p>
        </w:tc>
        <w:tc>
          <w:tcPr>
            <w:tcW w:w="831" w:type="pct"/>
            <w:vAlign w:val="center"/>
          </w:tcPr>
          <w:p w14:paraId="117C689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土壤中污染物增加量mg/kg</w:t>
            </w:r>
          </w:p>
        </w:tc>
        <w:tc>
          <w:tcPr>
            <w:tcW w:w="557" w:type="pct"/>
            <w:vAlign w:val="center"/>
          </w:tcPr>
          <w:p w14:paraId="2477517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背景值（mg/kg）</w:t>
            </w:r>
          </w:p>
        </w:tc>
        <w:tc>
          <w:tcPr>
            <w:tcW w:w="572" w:type="pct"/>
            <w:vAlign w:val="center"/>
          </w:tcPr>
          <w:p w14:paraId="61818A9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预测值（mg/kg）</w:t>
            </w:r>
          </w:p>
        </w:tc>
      </w:tr>
      <w:tr w14:paraId="544CA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pct"/>
            <w:vMerge w:val="restart"/>
            <w:vAlign w:val="center"/>
          </w:tcPr>
          <w:p w14:paraId="3F9331A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As</w:t>
            </w:r>
          </w:p>
        </w:tc>
        <w:tc>
          <w:tcPr>
            <w:tcW w:w="440" w:type="pct"/>
            <w:vMerge w:val="restart"/>
            <w:vAlign w:val="center"/>
          </w:tcPr>
          <w:p w14:paraId="772A4938">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sz w:val="24"/>
                <w:lang w:val="en-US" w:eastAsia="zh-CN"/>
              </w:rPr>
              <w:t>0.2736</w:t>
            </w:r>
          </w:p>
        </w:tc>
        <w:tc>
          <w:tcPr>
            <w:tcW w:w="616" w:type="pct"/>
            <w:vAlign w:val="center"/>
          </w:tcPr>
          <w:p w14:paraId="04FA1514">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1560</w:t>
            </w:r>
          </w:p>
        </w:tc>
        <w:tc>
          <w:tcPr>
            <w:tcW w:w="597" w:type="pct"/>
            <w:vAlign w:val="center"/>
          </w:tcPr>
          <w:p w14:paraId="2DDF250B">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80888.6</w:t>
            </w:r>
          </w:p>
        </w:tc>
        <w:tc>
          <w:tcPr>
            <w:tcW w:w="440" w:type="pct"/>
            <w:vAlign w:val="center"/>
          </w:tcPr>
          <w:p w14:paraId="56FE1B15">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0.5</w:t>
            </w:r>
          </w:p>
        </w:tc>
        <w:tc>
          <w:tcPr>
            <w:tcW w:w="538" w:type="pct"/>
            <w:vAlign w:val="center"/>
          </w:tcPr>
          <w:p w14:paraId="28BA1B84">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0.247</w:t>
            </w:r>
          </w:p>
        </w:tc>
        <w:tc>
          <w:tcPr>
            <w:tcW w:w="831" w:type="pct"/>
            <w:vAlign w:val="center"/>
          </w:tcPr>
          <w:p w14:paraId="6F070E2B">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1.071×10</w:t>
            </w:r>
            <w:r>
              <w:rPr>
                <w:rFonts w:hint="eastAsia" w:ascii="Times New Roman" w:hAnsi="Times New Roman" w:eastAsia="华文中宋" w:cs="Times New Roman"/>
                <w:szCs w:val="21"/>
                <w:vertAlign w:val="superscript"/>
                <w:lang w:val="en-US" w:eastAsia="zh-CN"/>
              </w:rPr>
              <w:t>-9</w:t>
            </w:r>
          </w:p>
        </w:tc>
        <w:tc>
          <w:tcPr>
            <w:tcW w:w="557" w:type="pct"/>
            <w:vAlign w:val="center"/>
          </w:tcPr>
          <w:p w14:paraId="798E0559">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13.3</w:t>
            </w:r>
          </w:p>
        </w:tc>
        <w:tc>
          <w:tcPr>
            <w:tcW w:w="572" w:type="pct"/>
            <w:vAlign w:val="center"/>
          </w:tcPr>
          <w:p w14:paraId="76C4F7A8">
            <w:pPr>
              <w:spacing w:line="300" w:lineRule="exact"/>
              <w:jc w:val="center"/>
              <w:rPr>
                <w:rFonts w:hint="eastAsia"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58</w:t>
            </w:r>
          </w:p>
        </w:tc>
      </w:tr>
      <w:tr w14:paraId="1FE7C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pct"/>
            <w:vMerge w:val="continue"/>
            <w:vAlign w:val="center"/>
          </w:tcPr>
          <w:p w14:paraId="023A609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440" w:type="pct"/>
            <w:vMerge w:val="continue"/>
            <w:vAlign w:val="center"/>
          </w:tcPr>
          <w:p w14:paraId="42BCBB1D">
            <w:pPr>
              <w:spacing w:line="300" w:lineRule="exact"/>
              <w:jc w:val="center"/>
              <w:rPr>
                <w:rFonts w:hint="default" w:ascii="Times New Roman" w:hAnsi="Times New Roman" w:eastAsia="华文中宋" w:cs="Times New Roman"/>
                <w:szCs w:val="21"/>
                <w:lang w:val="en-US" w:eastAsia="zh-CN"/>
              </w:rPr>
            </w:pPr>
          </w:p>
        </w:tc>
        <w:tc>
          <w:tcPr>
            <w:tcW w:w="616" w:type="pct"/>
            <w:vAlign w:val="center"/>
          </w:tcPr>
          <w:p w14:paraId="62AA67E2">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1560</w:t>
            </w:r>
          </w:p>
        </w:tc>
        <w:tc>
          <w:tcPr>
            <w:tcW w:w="597" w:type="pct"/>
            <w:vAlign w:val="center"/>
          </w:tcPr>
          <w:p w14:paraId="3BDEF835">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80888.6</w:t>
            </w:r>
          </w:p>
        </w:tc>
        <w:tc>
          <w:tcPr>
            <w:tcW w:w="440" w:type="pct"/>
            <w:vAlign w:val="center"/>
          </w:tcPr>
          <w:p w14:paraId="0A6281AB">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1.5</w:t>
            </w:r>
          </w:p>
        </w:tc>
        <w:tc>
          <w:tcPr>
            <w:tcW w:w="538" w:type="pct"/>
            <w:vAlign w:val="center"/>
          </w:tcPr>
          <w:p w14:paraId="101D9BD5">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0.247</w:t>
            </w:r>
          </w:p>
        </w:tc>
        <w:tc>
          <w:tcPr>
            <w:tcW w:w="831" w:type="pct"/>
            <w:vAlign w:val="center"/>
          </w:tcPr>
          <w:p w14:paraId="66F87395">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3.57×10</w:t>
            </w:r>
            <w:r>
              <w:rPr>
                <w:rFonts w:hint="eastAsia" w:ascii="Times New Roman" w:hAnsi="Times New Roman" w:eastAsia="华文中宋" w:cs="Times New Roman"/>
                <w:szCs w:val="21"/>
                <w:vertAlign w:val="superscript"/>
                <w:lang w:val="en-US" w:eastAsia="zh-CN"/>
              </w:rPr>
              <w:t>-10</w:t>
            </w:r>
          </w:p>
        </w:tc>
        <w:tc>
          <w:tcPr>
            <w:tcW w:w="557" w:type="pct"/>
            <w:vAlign w:val="center"/>
          </w:tcPr>
          <w:p w14:paraId="61216120">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12.9</w:t>
            </w:r>
          </w:p>
        </w:tc>
        <w:tc>
          <w:tcPr>
            <w:tcW w:w="572" w:type="pct"/>
            <w:vAlign w:val="center"/>
          </w:tcPr>
          <w:p w14:paraId="7E91A490">
            <w:pPr>
              <w:spacing w:line="300" w:lineRule="exact"/>
              <w:jc w:val="center"/>
              <w:rPr>
                <w:rFonts w:hint="eastAsia"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12</w:t>
            </w:r>
          </w:p>
        </w:tc>
      </w:tr>
      <w:tr w14:paraId="69F32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pct"/>
            <w:vMerge w:val="continue"/>
            <w:vAlign w:val="center"/>
          </w:tcPr>
          <w:p w14:paraId="055EDEB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440" w:type="pct"/>
            <w:vMerge w:val="continue"/>
            <w:vAlign w:val="center"/>
          </w:tcPr>
          <w:p w14:paraId="1DF7AFAF">
            <w:pPr>
              <w:spacing w:line="300" w:lineRule="exact"/>
              <w:jc w:val="center"/>
              <w:rPr>
                <w:rFonts w:hint="default" w:ascii="Times New Roman" w:hAnsi="Times New Roman" w:eastAsia="华文中宋" w:cs="Times New Roman"/>
                <w:szCs w:val="21"/>
                <w:lang w:val="en-US" w:eastAsia="zh-CN"/>
              </w:rPr>
            </w:pPr>
          </w:p>
        </w:tc>
        <w:tc>
          <w:tcPr>
            <w:tcW w:w="616" w:type="pct"/>
            <w:vAlign w:val="center"/>
          </w:tcPr>
          <w:p w14:paraId="0604CD08">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1560</w:t>
            </w:r>
          </w:p>
        </w:tc>
        <w:tc>
          <w:tcPr>
            <w:tcW w:w="597" w:type="pct"/>
            <w:vAlign w:val="center"/>
          </w:tcPr>
          <w:p w14:paraId="0F975648">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80888.6</w:t>
            </w:r>
          </w:p>
        </w:tc>
        <w:tc>
          <w:tcPr>
            <w:tcW w:w="440" w:type="pct"/>
            <w:vAlign w:val="center"/>
          </w:tcPr>
          <w:p w14:paraId="5C7D14F4">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3.0</w:t>
            </w:r>
          </w:p>
        </w:tc>
        <w:tc>
          <w:tcPr>
            <w:tcW w:w="538" w:type="pct"/>
            <w:vAlign w:val="center"/>
          </w:tcPr>
          <w:p w14:paraId="73B981D3">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0.247</w:t>
            </w:r>
          </w:p>
        </w:tc>
        <w:tc>
          <w:tcPr>
            <w:tcW w:w="831" w:type="pct"/>
            <w:vAlign w:val="center"/>
          </w:tcPr>
          <w:p w14:paraId="2849D8FF">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1.785×10</w:t>
            </w:r>
            <w:r>
              <w:rPr>
                <w:rFonts w:hint="eastAsia" w:ascii="Times New Roman" w:hAnsi="Times New Roman" w:eastAsia="华文中宋" w:cs="Times New Roman"/>
                <w:szCs w:val="21"/>
                <w:vertAlign w:val="superscript"/>
                <w:lang w:val="en-US" w:eastAsia="zh-CN"/>
              </w:rPr>
              <w:t>-10</w:t>
            </w:r>
          </w:p>
        </w:tc>
        <w:tc>
          <w:tcPr>
            <w:tcW w:w="557" w:type="pct"/>
            <w:vAlign w:val="center"/>
          </w:tcPr>
          <w:p w14:paraId="13DC5086">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14.7</w:t>
            </w:r>
          </w:p>
        </w:tc>
        <w:tc>
          <w:tcPr>
            <w:tcW w:w="572" w:type="pct"/>
            <w:vAlign w:val="center"/>
          </w:tcPr>
          <w:p w14:paraId="38C27998">
            <w:pPr>
              <w:spacing w:line="300" w:lineRule="exact"/>
              <w:jc w:val="center"/>
              <w:rPr>
                <w:rFonts w:hint="eastAsia"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25</w:t>
            </w:r>
          </w:p>
        </w:tc>
      </w:tr>
      <w:tr w14:paraId="074FE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pct"/>
            <w:vMerge w:val="restart"/>
            <w:vAlign w:val="center"/>
          </w:tcPr>
          <w:p w14:paraId="704A49F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石油类</w:t>
            </w:r>
          </w:p>
        </w:tc>
        <w:tc>
          <w:tcPr>
            <w:tcW w:w="440" w:type="pct"/>
            <w:vMerge w:val="restart"/>
            <w:vAlign w:val="center"/>
          </w:tcPr>
          <w:p w14:paraId="4E574A9C">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176.4</w:t>
            </w:r>
          </w:p>
        </w:tc>
        <w:tc>
          <w:tcPr>
            <w:tcW w:w="616" w:type="pct"/>
            <w:vAlign w:val="center"/>
          </w:tcPr>
          <w:p w14:paraId="09086959">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1560</w:t>
            </w:r>
          </w:p>
        </w:tc>
        <w:tc>
          <w:tcPr>
            <w:tcW w:w="597" w:type="pct"/>
            <w:vAlign w:val="center"/>
          </w:tcPr>
          <w:p w14:paraId="19116BE5">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80888.6</w:t>
            </w:r>
          </w:p>
        </w:tc>
        <w:tc>
          <w:tcPr>
            <w:tcW w:w="440" w:type="pct"/>
            <w:vAlign w:val="center"/>
          </w:tcPr>
          <w:p w14:paraId="26379C44">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0.5</w:t>
            </w:r>
          </w:p>
        </w:tc>
        <w:tc>
          <w:tcPr>
            <w:tcW w:w="538" w:type="pct"/>
            <w:vAlign w:val="center"/>
          </w:tcPr>
          <w:p w14:paraId="241DD3B3">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0.247</w:t>
            </w:r>
          </w:p>
        </w:tc>
        <w:tc>
          <w:tcPr>
            <w:tcW w:w="831" w:type="pct"/>
            <w:vAlign w:val="center"/>
          </w:tcPr>
          <w:p w14:paraId="317EB9ED">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6.906×10</w:t>
            </w:r>
            <w:r>
              <w:rPr>
                <w:rFonts w:hint="eastAsia" w:ascii="Times New Roman" w:hAnsi="Times New Roman" w:eastAsia="华文中宋" w:cs="Times New Roman"/>
                <w:szCs w:val="21"/>
                <w:vertAlign w:val="superscript"/>
                <w:lang w:val="en-US" w:eastAsia="zh-CN"/>
              </w:rPr>
              <w:t>-7</w:t>
            </w:r>
          </w:p>
        </w:tc>
        <w:tc>
          <w:tcPr>
            <w:tcW w:w="557" w:type="pct"/>
            <w:vAlign w:val="center"/>
          </w:tcPr>
          <w:p w14:paraId="77762282">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6</w:t>
            </w:r>
          </w:p>
        </w:tc>
        <w:tc>
          <w:tcPr>
            <w:tcW w:w="572" w:type="pct"/>
            <w:vAlign w:val="center"/>
          </w:tcPr>
          <w:p w14:paraId="54F4EDEF">
            <w:pPr>
              <w:spacing w:line="300" w:lineRule="exact"/>
              <w:jc w:val="center"/>
              <w:rPr>
                <w:rFonts w:hint="eastAsia"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6</w:t>
            </w:r>
          </w:p>
        </w:tc>
      </w:tr>
      <w:tr w14:paraId="4C7AE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pct"/>
            <w:vMerge w:val="continue"/>
            <w:vAlign w:val="center"/>
          </w:tcPr>
          <w:p w14:paraId="2C93032F">
            <w:pPr>
              <w:spacing w:line="300" w:lineRule="exact"/>
              <w:jc w:val="center"/>
              <w:rPr>
                <w:rFonts w:hint="default" w:ascii="Times New Roman" w:hAnsi="Times New Roman" w:eastAsia="华文中宋" w:cs="Times New Roman"/>
                <w:szCs w:val="21"/>
                <w:lang w:val="en-US" w:eastAsia="zh-CN"/>
              </w:rPr>
            </w:pPr>
          </w:p>
        </w:tc>
        <w:tc>
          <w:tcPr>
            <w:tcW w:w="440" w:type="pct"/>
            <w:vMerge w:val="continue"/>
            <w:vAlign w:val="center"/>
          </w:tcPr>
          <w:p w14:paraId="781DDAA7">
            <w:pPr>
              <w:spacing w:line="300" w:lineRule="exact"/>
              <w:jc w:val="center"/>
              <w:rPr>
                <w:rFonts w:hint="default" w:ascii="Times New Roman" w:hAnsi="Times New Roman" w:eastAsia="华文中宋" w:cs="Times New Roman"/>
                <w:szCs w:val="21"/>
                <w:lang w:val="en-US" w:eastAsia="zh-CN"/>
              </w:rPr>
            </w:pPr>
          </w:p>
        </w:tc>
        <w:tc>
          <w:tcPr>
            <w:tcW w:w="616" w:type="pct"/>
            <w:vAlign w:val="center"/>
          </w:tcPr>
          <w:p w14:paraId="2AEFC457">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1560</w:t>
            </w:r>
          </w:p>
        </w:tc>
        <w:tc>
          <w:tcPr>
            <w:tcW w:w="597" w:type="pct"/>
            <w:vAlign w:val="center"/>
          </w:tcPr>
          <w:p w14:paraId="1A6AA301">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80888.6</w:t>
            </w:r>
          </w:p>
        </w:tc>
        <w:tc>
          <w:tcPr>
            <w:tcW w:w="440" w:type="pct"/>
            <w:vAlign w:val="center"/>
          </w:tcPr>
          <w:p w14:paraId="54DD61CA">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1.5</w:t>
            </w:r>
          </w:p>
        </w:tc>
        <w:tc>
          <w:tcPr>
            <w:tcW w:w="538" w:type="pct"/>
            <w:vAlign w:val="center"/>
          </w:tcPr>
          <w:p w14:paraId="2A7B63A9">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0.247</w:t>
            </w:r>
          </w:p>
        </w:tc>
        <w:tc>
          <w:tcPr>
            <w:tcW w:w="831" w:type="pct"/>
            <w:vAlign w:val="center"/>
          </w:tcPr>
          <w:p w14:paraId="40685DF0">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2.302×10</w:t>
            </w:r>
            <w:r>
              <w:rPr>
                <w:rFonts w:hint="eastAsia" w:ascii="Times New Roman" w:hAnsi="Times New Roman" w:eastAsia="华文中宋" w:cs="Times New Roman"/>
                <w:szCs w:val="21"/>
                <w:vertAlign w:val="superscript"/>
                <w:lang w:val="en-US" w:eastAsia="zh-CN"/>
              </w:rPr>
              <w:t>-7</w:t>
            </w:r>
          </w:p>
        </w:tc>
        <w:tc>
          <w:tcPr>
            <w:tcW w:w="557" w:type="pct"/>
            <w:vAlign w:val="center"/>
          </w:tcPr>
          <w:p w14:paraId="00F11DB7">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6</w:t>
            </w:r>
          </w:p>
        </w:tc>
        <w:tc>
          <w:tcPr>
            <w:tcW w:w="572" w:type="pct"/>
            <w:vAlign w:val="center"/>
          </w:tcPr>
          <w:p w14:paraId="3605029E">
            <w:pPr>
              <w:spacing w:line="300" w:lineRule="exact"/>
              <w:jc w:val="center"/>
              <w:rPr>
                <w:rFonts w:hint="eastAsia"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6</w:t>
            </w:r>
          </w:p>
        </w:tc>
      </w:tr>
      <w:tr w14:paraId="043EC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 w:type="pct"/>
            <w:vMerge w:val="continue"/>
            <w:vAlign w:val="center"/>
          </w:tcPr>
          <w:p w14:paraId="744791FB">
            <w:pPr>
              <w:spacing w:line="300" w:lineRule="exact"/>
              <w:jc w:val="center"/>
              <w:rPr>
                <w:rFonts w:hint="default" w:ascii="Times New Roman" w:hAnsi="Times New Roman" w:eastAsia="华文中宋" w:cs="Times New Roman"/>
                <w:szCs w:val="21"/>
                <w:lang w:val="en-US" w:eastAsia="zh-CN"/>
              </w:rPr>
            </w:pPr>
          </w:p>
        </w:tc>
        <w:tc>
          <w:tcPr>
            <w:tcW w:w="440" w:type="pct"/>
            <w:vMerge w:val="continue"/>
            <w:vAlign w:val="center"/>
          </w:tcPr>
          <w:p w14:paraId="1AE4E5DC">
            <w:pPr>
              <w:spacing w:line="300" w:lineRule="exact"/>
              <w:jc w:val="center"/>
              <w:rPr>
                <w:rFonts w:hint="default" w:ascii="Times New Roman" w:hAnsi="Times New Roman" w:eastAsia="华文中宋" w:cs="Times New Roman"/>
                <w:szCs w:val="21"/>
                <w:lang w:val="en-US" w:eastAsia="zh-CN"/>
              </w:rPr>
            </w:pPr>
          </w:p>
        </w:tc>
        <w:tc>
          <w:tcPr>
            <w:tcW w:w="616" w:type="pct"/>
            <w:vAlign w:val="center"/>
          </w:tcPr>
          <w:p w14:paraId="0017D1DD">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1560</w:t>
            </w:r>
          </w:p>
        </w:tc>
        <w:tc>
          <w:tcPr>
            <w:tcW w:w="597" w:type="pct"/>
            <w:vAlign w:val="center"/>
          </w:tcPr>
          <w:p w14:paraId="3ABDA2D5">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80888.6</w:t>
            </w:r>
          </w:p>
        </w:tc>
        <w:tc>
          <w:tcPr>
            <w:tcW w:w="440" w:type="pct"/>
            <w:vAlign w:val="center"/>
          </w:tcPr>
          <w:p w14:paraId="2BE75479">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3.0</w:t>
            </w:r>
          </w:p>
        </w:tc>
        <w:tc>
          <w:tcPr>
            <w:tcW w:w="538" w:type="pct"/>
            <w:vAlign w:val="center"/>
          </w:tcPr>
          <w:p w14:paraId="3532C1F1">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0.247</w:t>
            </w:r>
          </w:p>
        </w:tc>
        <w:tc>
          <w:tcPr>
            <w:tcW w:w="831" w:type="pct"/>
            <w:vAlign w:val="center"/>
          </w:tcPr>
          <w:p w14:paraId="76FF4AB8">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1.151×10</w:t>
            </w:r>
            <w:r>
              <w:rPr>
                <w:rFonts w:hint="eastAsia" w:ascii="Times New Roman" w:hAnsi="Times New Roman" w:eastAsia="华文中宋" w:cs="Times New Roman"/>
                <w:szCs w:val="21"/>
                <w:vertAlign w:val="superscript"/>
                <w:lang w:val="en-US" w:eastAsia="zh-CN"/>
              </w:rPr>
              <w:t>-7</w:t>
            </w:r>
          </w:p>
        </w:tc>
        <w:tc>
          <w:tcPr>
            <w:tcW w:w="557" w:type="pct"/>
            <w:vAlign w:val="center"/>
          </w:tcPr>
          <w:p w14:paraId="4EA5BFC6">
            <w:pPr>
              <w:spacing w:line="300" w:lineRule="exact"/>
              <w:jc w:val="center"/>
              <w:rPr>
                <w:rFonts w:hint="default"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6</w:t>
            </w:r>
          </w:p>
        </w:tc>
        <w:tc>
          <w:tcPr>
            <w:tcW w:w="572" w:type="pct"/>
            <w:vAlign w:val="center"/>
          </w:tcPr>
          <w:p w14:paraId="43B1C9FA">
            <w:pPr>
              <w:spacing w:line="300" w:lineRule="exact"/>
              <w:jc w:val="center"/>
              <w:rPr>
                <w:rFonts w:hint="eastAsia" w:ascii="Times New Roman" w:hAnsi="Times New Roman" w:eastAsia="华文中宋" w:cs="Times New Roman"/>
                <w:szCs w:val="21"/>
                <w:lang w:val="en-US" w:eastAsia="zh-CN"/>
              </w:rPr>
            </w:pPr>
            <w:r>
              <w:rPr>
                <w:rFonts w:hint="eastAsia" w:ascii="Times New Roman" w:hAnsi="Times New Roman" w:eastAsia="华文中宋" w:cs="Times New Roman"/>
                <w:szCs w:val="21"/>
                <w:lang w:val="en-US" w:eastAsia="zh-CN"/>
              </w:rPr>
              <w:t>6</w:t>
            </w:r>
          </w:p>
        </w:tc>
      </w:tr>
    </w:tbl>
    <w:p w14:paraId="35F902AB">
      <w:pPr>
        <w:adjustRightInd w:val="0"/>
        <w:snapToGrid w:val="0"/>
        <w:spacing w:line="500" w:lineRule="exact"/>
        <w:ind w:firstLine="480" w:firstLineChars="200"/>
        <w:jc w:val="left"/>
        <w:rPr>
          <w:rFonts w:hint="default" w:ascii="Times New Roman" w:hAnsi="Times New Roman" w:eastAsia="华文中宋" w:cs="Times New Roman"/>
          <w:snapToGrid w:val="0"/>
          <w:color w:val="auto"/>
          <w:kern w:val="0"/>
          <w:sz w:val="24"/>
          <w:szCs w:val="20"/>
          <w:lang w:val="en-US" w:eastAsia="zh-CN" w:bidi="ar-SA"/>
        </w:rPr>
      </w:pPr>
      <w:r>
        <w:rPr>
          <w:rFonts w:hint="eastAsia" w:ascii="Times New Roman" w:hAnsi="Times New Roman" w:cs="Times New Roman" w:eastAsiaTheme="minorEastAsia"/>
          <w:sz w:val="24"/>
          <w:highlight w:val="none"/>
          <w:lang w:val="en-US" w:eastAsia="zh-CN"/>
        </w:rPr>
        <w:t>由预测结果可知，各预测因子叠加背景值后均低于《土壤环境质量</w:t>
      </w:r>
      <w:r>
        <w:rPr>
          <w:rFonts w:hint="eastAsia" w:ascii="Times New Roman" w:hAnsi="Times New Roman" w:cs="Times New Roman"/>
          <w:sz w:val="24"/>
          <w:highlight w:val="none"/>
          <w:lang w:val="en-US" w:eastAsia="zh-CN"/>
        </w:rPr>
        <w:t xml:space="preserve"> </w:t>
      </w:r>
      <w:r>
        <w:rPr>
          <w:rFonts w:hint="eastAsia" w:ascii="Times New Roman" w:hAnsi="Times New Roman" w:cs="Times New Roman" w:eastAsiaTheme="minorEastAsia"/>
          <w:sz w:val="24"/>
          <w:highlight w:val="none"/>
          <w:lang w:val="en-US" w:eastAsia="zh-CN"/>
        </w:rPr>
        <w:t>建设用地土壤污染风险管控标准</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试行</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GB36600-2018</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中第二类用地的筛选值，说明本项目的运行不会对周围土壤环境产生</w:t>
      </w:r>
      <w:r>
        <w:rPr>
          <w:rFonts w:hint="eastAsia" w:ascii="Times New Roman" w:hAnsi="Times New Roman" w:cs="Times New Roman"/>
          <w:sz w:val="24"/>
          <w:highlight w:val="none"/>
          <w:lang w:val="en-US" w:eastAsia="zh-CN"/>
        </w:rPr>
        <w:t>较大的</w:t>
      </w:r>
      <w:r>
        <w:rPr>
          <w:rFonts w:hint="eastAsia" w:ascii="Times New Roman" w:hAnsi="Times New Roman" w:cs="Times New Roman" w:eastAsiaTheme="minorEastAsia"/>
          <w:sz w:val="24"/>
          <w:highlight w:val="none"/>
          <w:lang w:val="en-US" w:eastAsia="zh-CN"/>
        </w:rPr>
        <w:t>不利影响。</w:t>
      </w:r>
    </w:p>
    <w:p w14:paraId="01969654">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255" w:name="_Toc20515"/>
      <w:r>
        <w:rPr>
          <w:rFonts w:hint="eastAsia" w:ascii="Times New Roman" w:hAnsi="Times New Roman" w:cs="Times New Roman" w:eastAsiaTheme="minorEastAsia"/>
          <w:kern w:val="0"/>
          <w:sz w:val="24"/>
          <w:szCs w:val="24"/>
          <w:lang w:val="en-US" w:eastAsia="zh-CN"/>
        </w:rPr>
        <w:t>5.</w:t>
      </w:r>
      <w:r>
        <w:rPr>
          <w:rFonts w:hint="eastAsia" w:ascii="Times New Roman" w:hAnsi="Times New Roman" w:cs="Times New Roman"/>
          <w:kern w:val="0"/>
          <w:sz w:val="24"/>
          <w:szCs w:val="24"/>
          <w:lang w:val="en-US" w:eastAsia="zh-CN"/>
        </w:rPr>
        <w:t>7</w:t>
      </w:r>
      <w:r>
        <w:rPr>
          <w:rFonts w:hint="eastAsia" w:ascii="Times New Roman" w:hAnsi="Times New Roman" w:cs="Times New Roman" w:eastAsiaTheme="minorEastAsia"/>
          <w:kern w:val="0"/>
          <w:sz w:val="24"/>
          <w:szCs w:val="24"/>
          <w:lang w:val="en-US" w:eastAsia="zh-CN"/>
        </w:rPr>
        <w:t>.</w:t>
      </w:r>
      <w:r>
        <w:rPr>
          <w:rFonts w:hint="eastAsia" w:ascii="Times New Roman" w:hAnsi="Times New Roman" w:cs="Times New Roman"/>
          <w:kern w:val="0"/>
          <w:sz w:val="24"/>
          <w:szCs w:val="24"/>
          <w:lang w:val="en-US" w:eastAsia="zh-CN"/>
        </w:rPr>
        <w:t>5</w:t>
      </w:r>
      <w:r>
        <w:rPr>
          <w:rFonts w:hint="eastAsia" w:ascii="Times New Roman" w:hAnsi="Times New Roman" w:cs="Times New Roman" w:eastAsiaTheme="minorEastAsia"/>
          <w:kern w:val="0"/>
          <w:sz w:val="24"/>
          <w:szCs w:val="24"/>
          <w:lang w:val="en-US" w:eastAsia="zh-CN"/>
        </w:rPr>
        <w:t>评价结论</w:t>
      </w:r>
      <w:bookmarkEnd w:id="255"/>
    </w:p>
    <w:p w14:paraId="6777FA86">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本项目污水处理设施若发生渗漏，</w:t>
      </w:r>
      <w:r>
        <w:rPr>
          <w:rFonts w:hint="eastAsia" w:ascii="Times New Roman" w:hAnsi="Times New Roman" w:cs="Times New Roman"/>
          <w:sz w:val="24"/>
          <w:highlight w:val="none"/>
          <w:lang w:val="en-US" w:eastAsia="zh-CN"/>
        </w:rPr>
        <w:t>泄漏</w:t>
      </w:r>
      <w:r>
        <w:rPr>
          <w:rFonts w:hint="eastAsia" w:ascii="Times New Roman" w:hAnsi="Times New Roman" w:cs="Times New Roman" w:eastAsiaTheme="minorEastAsia"/>
          <w:sz w:val="24"/>
          <w:highlight w:val="none"/>
          <w:lang w:val="en-US" w:eastAsia="zh-CN"/>
        </w:rPr>
        <w:t>的污水可能通过地面漫流的方式污染土壤</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若同时防渗层同时发生破裂，则可能</w:t>
      </w:r>
      <w:r>
        <w:rPr>
          <w:rFonts w:hint="eastAsia" w:ascii="Times New Roman" w:hAnsi="Times New Roman" w:cs="Times New Roman"/>
          <w:sz w:val="24"/>
          <w:highlight w:val="none"/>
          <w:lang w:val="en-US" w:eastAsia="zh-CN"/>
        </w:rPr>
        <w:t>通过</w:t>
      </w:r>
      <w:r>
        <w:rPr>
          <w:rFonts w:hint="eastAsia" w:ascii="Times New Roman" w:hAnsi="Times New Roman" w:cs="Times New Roman" w:eastAsiaTheme="minorEastAsia"/>
          <w:sz w:val="24"/>
          <w:highlight w:val="none"/>
          <w:lang w:val="en-US" w:eastAsia="zh-CN"/>
        </w:rPr>
        <w:t>包气带进入地下水，同时污染地下水和土壤。</w:t>
      </w:r>
    </w:p>
    <w:p w14:paraId="547D401B">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w:t>
      </w:r>
      <w:r>
        <w:rPr>
          <w:rFonts w:hint="eastAsia" w:ascii="Times New Roman" w:hAnsi="Times New Roman" w:cs="Times New Roman"/>
          <w:sz w:val="24"/>
          <w:highlight w:val="none"/>
          <w:lang w:val="en-US" w:eastAsia="zh-CN"/>
        </w:rPr>
        <w:t>已</w:t>
      </w:r>
      <w:r>
        <w:rPr>
          <w:rFonts w:hint="eastAsia" w:ascii="Times New Roman" w:hAnsi="Times New Roman" w:cs="Times New Roman" w:eastAsiaTheme="minorEastAsia"/>
          <w:sz w:val="24"/>
          <w:highlight w:val="none"/>
          <w:lang w:val="en-US" w:eastAsia="zh-CN"/>
        </w:rPr>
        <w:t>采取了防止土壤污染的措施：对生产厂房和污水管线等有可能引起废水下渗环节划分了简单防渗区、一般防渗区、重点防渗区，并进行了分区防治</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严格</w:t>
      </w:r>
      <w:r>
        <w:rPr>
          <w:rFonts w:hint="eastAsia" w:ascii="Times New Roman" w:hAnsi="Times New Roman" w:cs="Times New Roman"/>
          <w:sz w:val="24"/>
          <w:highlight w:val="none"/>
          <w:lang w:val="en-US" w:eastAsia="zh-CN"/>
        </w:rPr>
        <w:t>按照</w:t>
      </w:r>
      <w:r>
        <w:rPr>
          <w:rFonts w:hint="eastAsia" w:ascii="Times New Roman" w:hAnsi="Times New Roman" w:cs="Times New Roman" w:eastAsiaTheme="minorEastAsia"/>
          <w:sz w:val="24"/>
          <w:highlight w:val="none"/>
          <w:lang w:val="en-US" w:eastAsia="zh-CN"/>
        </w:rPr>
        <w:t>要求进行防渗，对不同分区采取了相应的主动防渗措施、进行了防渗系统设计施工。</w:t>
      </w:r>
    </w:p>
    <w:p w14:paraId="0DD4171B">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在各项预防措施落实良好的情况下，本项目通过废水及固体废物污染土壤的途径不存在，对土壤环境影响较小</w:t>
      </w:r>
    </w:p>
    <w:p w14:paraId="243F4766">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综上，正常状况下，项目施工期、运营期及服务期满后，占地范围内土壤环境各评价因子均满足《</w:t>
      </w:r>
      <w:r>
        <w:rPr>
          <w:rFonts w:hint="eastAsia" w:ascii="Times New Roman" w:hAnsi="Times New Roman" w:cs="Times New Roman"/>
          <w:sz w:val="24"/>
          <w:highlight w:val="none"/>
          <w:lang w:val="en-US" w:eastAsia="zh-CN"/>
        </w:rPr>
        <w:t>土壤环境质量 建设用地土壤污染风险管控标准（试行）</w:t>
      </w:r>
      <w:r>
        <w:rPr>
          <w:rFonts w:hint="eastAsia"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GB36600-2018</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中二级标准。本项目占地类型为未利用荒地，项目在采取以上提出的一系列土壤环境保护措施后不会对土壤环境产生明显不良影响。因此，本项目土壤环境影响可接受。</w:t>
      </w:r>
    </w:p>
    <w:p w14:paraId="7FED1420">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256" w:name="_Toc20135"/>
      <w:r>
        <w:rPr>
          <w:rFonts w:hint="eastAsia" w:ascii="Times New Roman" w:hAnsi="Times New Roman" w:cs="Times New Roman" w:eastAsiaTheme="minorEastAsia"/>
          <w:kern w:val="0"/>
          <w:sz w:val="24"/>
          <w:szCs w:val="24"/>
          <w:lang w:val="en-US" w:eastAsia="zh-CN"/>
        </w:rPr>
        <w:t>5.</w:t>
      </w:r>
      <w:r>
        <w:rPr>
          <w:rFonts w:hint="eastAsia" w:ascii="Times New Roman" w:hAnsi="Times New Roman" w:cs="Times New Roman"/>
          <w:kern w:val="0"/>
          <w:sz w:val="24"/>
          <w:szCs w:val="24"/>
          <w:lang w:val="en-US" w:eastAsia="zh-CN"/>
        </w:rPr>
        <w:t>7.6</w:t>
      </w:r>
      <w:r>
        <w:rPr>
          <w:rFonts w:hint="eastAsia" w:ascii="Times New Roman" w:hAnsi="Times New Roman" w:cs="Times New Roman" w:eastAsiaTheme="minorEastAsia"/>
          <w:kern w:val="0"/>
          <w:sz w:val="24"/>
          <w:szCs w:val="24"/>
          <w:lang w:val="en-US" w:eastAsia="zh-CN"/>
        </w:rPr>
        <w:t>土壤环境影响评价自查表</w:t>
      </w:r>
      <w:bookmarkEnd w:id="256"/>
    </w:p>
    <w:p w14:paraId="67BAE683">
      <w:pPr>
        <w:pStyle w:val="5"/>
        <w:spacing w:after="0" w:line="360" w:lineRule="auto"/>
        <w:ind w:firstLine="480" w:firstLineChars="200"/>
        <w:rPr>
          <w:rFonts w:ascii="Times New Roman" w:hAnsi="Times New Roman"/>
          <w:kern w:val="0"/>
          <w:sz w:val="24"/>
        </w:rPr>
      </w:pPr>
      <w:r>
        <w:rPr>
          <w:rFonts w:hint="eastAsia" w:ascii="Times New Roman" w:hAnsi="Times New Roman"/>
          <w:kern w:val="0"/>
          <w:sz w:val="24"/>
        </w:rPr>
        <w:t>项目</w:t>
      </w:r>
      <w:r>
        <w:rPr>
          <w:rFonts w:ascii="Times New Roman" w:hAnsi="Times New Roman"/>
          <w:kern w:val="0"/>
          <w:sz w:val="24"/>
          <w:lang w:val="zh-CN"/>
        </w:rPr>
        <w:t>土壤环境影响评价自查表</w:t>
      </w:r>
      <w:r>
        <w:rPr>
          <w:rFonts w:hint="eastAsia" w:ascii="Times New Roman" w:hAnsi="Times New Roman"/>
          <w:kern w:val="0"/>
          <w:sz w:val="24"/>
        </w:rPr>
        <w:t>见表5.</w:t>
      </w:r>
      <w:r>
        <w:rPr>
          <w:rFonts w:hint="eastAsia" w:ascii="Times New Roman" w:hAnsi="Times New Roman"/>
          <w:kern w:val="0"/>
          <w:sz w:val="24"/>
          <w:lang w:val="en-US" w:eastAsia="zh-CN"/>
        </w:rPr>
        <w:t>7-7</w:t>
      </w:r>
      <w:r>
        <w:rPr>
          <w:rFonts w:hint="eastAsia" w:ascii="Times New Roman" w:hAnsi="Times New Roman"/>
          <w:kern w:val="0"/>
          <w:sz w:val="24"/>
        </w:rPr>
        <w:t>。</w:t>
      </w:r>
    </w:p>
    <w:p w14:paraId="7BF2D3ED">
      <w:pPr>
        <w:snapToGrid w:val="0"/>
        <w:spacing w:before="241"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表5.</w:t>
      </w:r>
      <w:r>
        <w:rPr>
          <w:rFonts w:hint="eastAsia" w:ascii="Times New Roman" w:hAnsi="Times New Roman" w:cs="Times New Roman"/>
          <w:b/>
          <w:szCs w:val="21"/>
          <w:lang w:val="en-US" w:eastAsia="zh-CN"/>
        </w:rPr>
        <w:t>7-7</w:t>
      </w:r>
      <w:r>
        <w:rPr>
          <w:rFonts w:hint="eastAsia" w:ascii="Times New Roman" w:hAnsi="Times New Roman" w:cs="Times New Roman" w:eastAsiaTheme="minorEastAsia"/>
          <w:b/>
          <w:szCs w:val="21"/>
          <w:lang w:val="en-US" w:eastAsia="zh-CN"/>
        </w:rPr>
        <w:t xml:space="preserve">  土壤环境影响评价自查表</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534"/>
        <w:gridCol w:w="979"/>
        <w:gridCol w:w="305"/>
        <w:gridCol w:w="1147"/>
        <w:gridCol w:w="1193"/>
        <w:gridCol w:w="838"/>
        <w:gridCol w:w="1045"/>
        <w:gridCol w:w="1055"/>
      </w:tblGrid>
      <w:tr w14:paraId="76A26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39" w:type="pct"/>
            <w:gridSpan w:val="2"/>
            <w:vAlign w:val="center"/>
          </w:tcPr>
          <w:p w14:paraId="481F704D">
            <w:pPr>
              <w:pStyle w:val="22"/>
              <w:keepNext w:val="0"/>
              <w:keepLines w:val="0"/>
              <w:suppressLineNumbers w:val="0"/>
              <w:spacing w:before="0" w:beforeAutospacing="0" w:after="0" w:afterAutospacing="0"/>
              <w:ind w:left="0" w:right="0"/>
              <w:rPr>
                <w:rFonts w:hint="default"/>
                <w:b/>
                <w:bCs/>
              </w:rPr>
            </w:pPr>
            <w:r>
              <w:rPr>
                <w:rFonts w:hint="eastAsia"/>
                <w:b/>
                <w:bCs/>
              </w:rPr>
              <w:t>工作内容</w:t>
            </w:r>
          </w:p>
        </w:tc>
        <w:tc>
          <w:tcPr>
            <w:tcW w:w="3241" w:type="pct"/>
            <w:gridSpan w:val="6"/>
            <w:vAlign w:val="center"/>
          </w:tcPr>
          <w:p w14:paraId="56211E73">
            <w:pPr>
              <w:pStyle w:val="22"/>
              <w:keepNext w:val="0"/>
              <w:keepLines w:val="0"/>
              <w:suppressLineNumbers w:val="0"/>
              <w:spacing w:before="0" w:beforeAutospacing="0" w:after="0" w:afterAutospacing="0"/>
              <w:ind w:left="0" w:right="0"/>
              <w:rPr>
                <w:rFonts w:hint="default"/>
                <w:b/>
                <w:bCs/>
              </w:rPr>
            </w:pPr>
            <w:r>
              <w:rPr>
                <w:rFonts w:hint="default"/>
                <w:b/>
                <w:bCs/>
              </w:rPr>
              <w:t>完成情况</w:t>
            </w:r>
          </w:p>
        </w:tc>
        <w:tc>
          <w:tcPr>
            <w:tcW w:w="619" w:type="pct"/>
            <w:vAlign w:val="center"/>
          </w:tcPr>
          <w:p w14:paraId="0211AEDE">
            <w:pPr>
              <w:pStyle w:val="22"/>
              <w:keepNext w:val="0"/>
              <w:keepLines w:val="0"/>
              <w:suppressLineNumbers w:val="0"/>
              <w:spacing w:before="0" w:beforeAutospacing="0" w:after="0" w:afterAutospacing="0"/>
              <w:ind w:left="0" w:right="0"/>
              <w:rPr>
                <w:rFonts w:hint="default"/>
                <w:b/>
                <w:bCs/>
              </w:rPr>
            </w:pPr>
            <w:r>
              <w:rPr>
                <w:rFonts w:hint="default"/>
                <w:b/>
                <w:bCs/>
              </w:rPr>
              <w:t>备注</w:t>
            </w:r>
          </w:p>
        </w:tc>
      </w:tr>
      <w:tr w14:paraId="252FE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7" w:type="pct"/>
            <w:vMerge w:val="restart"/>
            <w:vAlign w:val="center"/>
          </w:tcPr>
          <w:p w14:paraId="26B7907F">
            <w:pPr>
              <w:pStyle w:val="22"/>
              <w:keepNext w:val="0"/>
              <w:keepLines w:val="0"/>
              <w:suppressLineNumbers w:val="0"/>
              <w:spacing w:before="0" w:beforeAutospacing="0" w:after="0" w:afterAutospacing="0"/>
              <w:ind w:left="0" w:right="0"/>
              <w:rPr>
                <w:rFonts w:hint="default"/>
              </w:rPr>
            </w:pPr>
            <w:r>
              <w:rPr>
                <w:rFonts w:hint="default"/>
              </w:rPr>
              <w:t>影响识别</w:t>
            </w:r>
          </w:p>
        </w:tc>
        <w:tc>
          <w:tcPr>
            <w:tcW w:w="901" w:type="pct"/>
            <w:vAlign w:val="center"/>
          </w:tcPr>
          <w:p w14:paraId="72DF041E">
            <w:pPr>
              <w:pStyle w:val="22"/>
              <w:keepNext w:val="0"/>
              <w:keepLines w:val="0"/>
              <w:suppressLineNumbers w:val="0"/>
              <w:spacing w:before="0" w:beforeAutospacing="0" w:after="0" w:afterAutospacing="0"/>
              <w:ind w:left="0" w:right="0"/>
              <w:rPr>
                <w:rFonts w:hint="default"/>
              </w:rPr>
            </w:pPr>
            <w:r>
              <w:rPr>
                <w:rFonts w:hint="default"/>
              </w:rPr>
              <w:t>影响类型</w:t>
            </w:r>
          </w:p>
        </w:tc>
        <w:tc>
          <w:tcPr>
            <w:tcW w:w="3241" w:type="pct"/>
            <w:gridSpan w:val="6"/>
            <w:vAlign w:val="center"/>
          </w:tcPr>
          <w:p w14:paraId="54908357">
            <w:pPr>
              <w:pStyle w:val="22"/>
              <w:keepNext w:val="0"/>
              <w:keepLines w:val="0"/>
              <w:suppressLineNumbers w:val="0"/>
              <w:spacing w:before="0" w:beforeAutospacing="0" w:after="0" w:afterAutospacing="0"/>
              <w:ind w:left="0" w:right="0"/>
              <w:rPr>
                <w:rFonts w:hint="default"/>
              </w:rPr>
            </w:pPr>
            <w:r>
              <w:rPr>
                <w:rFonts w:hint="default"/>
              </w:rPr>
              <w:t>污染影响型</w:t>
            </w:r>
            <w:r>
              <w:rPr>
                <w:rFonts w:hint="default"/>
              </w:rPr>
              <w:sym w:font="Wingdings 2" w:char="F052"/>
            </w:r>
            <w:r>
              <w:rPr>
                <w:rFonts w:hint="default"/>
              </w:rPr>
              <w:t>；生态影响型□；两种兼有□</w:t>
            </w:r>
          </w:p>
        </w:tc>
        <w:tc>
          <w:tcPr>
            <w:tcW w:w="619" w:type="pct"/>
            <w:vAlign w:val="center"/>
          </w:tcPr>
          <w:p w14:paraId="3D1CC4B5">
            <w:pPr>
              <w:pStyle w:val="22"/>
              <w:keepNext w:val="0"/>
              <w:keepLines w:val="0"/>
              <w:suppressLineNumbers w:val="0"/>
              <w:spacing w:before="0" w:beforeAutospacing="0" w:after="0" w:afterAutospacing="0"/>
              <w:ind w:left="0" w:right="0"/>
              <w:rPr>
                <w:rFonts w:hint="default"/>
              </w:rPr>
            </w:pPr>
          </w:p>
        </w:tc>
      </w:tr>
      <w:tr w14:paraId="23C08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7" w:type="pct"/>
            <w:vMerge w:val="continue"/>
            <w:vAlign w:val="center"/>
          </w:tcPr>
          <w:p w14:paraId="0CA75DF3">
            <w:pPr>
              <w:pStyle w:val="22"/>
              <w:keepNext w:val="0"/>
              <w:keepLines w:val="0"/>
              <w:suppressLineNumbers w:val="0"/>
              <w:spacing w:before="0" w:beforeAutospacing="0" w:after="0" w:afterAutospacing="0"/>
              <w:ind w:left="0" w:right="0"/>
              <w:rPr>
                <w:rFonts w:hint="default"/>
              </w:rPr>
            </w:pPr>
          </w:p>
        </w:tc>
        <w:tc>
          <w:tcPr>
            <w:tcW w:w="901" w:type="pct"/>
            <w:vAlign w:val="center"/>
          </w:tcPr>
          <w:p w14:paraId="72FC5188">
            <w:pPr>
              <w:pStyle w:val="22"/>
              <w:keepNext w:val="0"/>
              <w:keepLines w:val="0"/>
              <w:suppressLineNumbers w:val="0"/>
              <w:spacing w:before="0" w:beforeAutospacing="0" w:after="0" w:afterAutospacing="0"/>
              <w:ind w:left="0" w:right="0"/>
              <w:rPr>
                <w:rFonts w:hint="default"/>
              </w:rPr>
            </w:pPr>
            <w:r>
              <w:rPr>
                <w:rFonts w:hint="default"/>
              </w:rPr>
              <w:t>土地利用类型</w:t>
            </w:r>
          </w:p>
        </w:tc>
        <w:tc>
          <w:tcPr>
            <w:tcW w:w="3241" w:type="pct"/>
            <w:gridSpan w:val="6"/>
            <w:vAlign w:val="center"/>
          </w:tcPr>
          <w:p w14:paraId="1DA43CEB">
            <w:pPr>
              <w:pStyle w:val="22"/>
              <w:keepNext w:val="0"/>
              <w:keepLines w:val="0"/>
              <w:suppressLineNumbers w:val="0"/>
              <w:spacing w:before="0" w:beforeAutospacing="0" w:after="0" w:afterAutospacing="0"/>
              <w:ind w:left="0" w:right="0"/>
              <w:rPr>
                <w:rFonts w:hint="default"/>
              </w:rPr>
            </w:pPr>
            <w:r>
              <w:rPr>
                <w:rFonts w:hint="default"/>
              </w:rPr>
              <w:t>建设用地</w:t>
            </w:r>
            <w:r>
              <w:rPr>
                <w:rFonts w:hint="default"/>
              </w:rPr>
              <w:sym w:font="Wingdings 2" w:char="F052"/>
            </w:r>
            <w:r>
              <w:rPr>
                <w:rFonts w:hint="default"/>
              </w:rPr>
              <w:t>；农用地□；未利用地□</w:t>
            </w:r>
          </w:p>
        </w:tc>
        <w:tc>
          <w:tcPr>
            <w:tcW w:w="619" w:type="pct"/>
            <w:vAlign w:val="center"/>
          </w:tcPr>
          <w:p w14:paraId="5E4BC6B0">
            <w:pPr>
              <w:pStyle w:val="22"/>
              <w:keepNext w:val="0"/>
              <w:keepLines w:val="0"/>
              <w:suppressLineNumbers w:val="0"/>
              <w:spacing w:before="0" w:beforeAutospacing="0" w:after="0" w:afterAutospacing="0"/>
              <w:ind w:left="0" w:right="0"/>
              <w:rPr>
                <w:rFonts w:hint="default"/>
              </w:rPr>
            </w:pPr>
          </w:p>
        </w:tc>
      </w:tr>
      <w:tr w14:paraId="0F6A3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7" w:type="pct"/>
            <w:vMerge w:val="continue"/>
            <w:vAlign w:val="center"/>
          </w:tcPr>
          <w:p w14:paraId="1EA262F8">
            <w:pPr>
              <w:pStyle w:val="22"/>
              <w:keepNext w:val="0"/>
              <w:keepLines w:val="0"/>
              <w:suppressLineNumbers w:val="0"/>
              <w:spacing w:before="0" w:beforeAutospacing="0" w:after="0" w:afterAutospacing="0"/>
              <w:ind w:left="0" w:right="0"/>
              <w:rPr>
                <w:rFonts w:hint="default"/>
              </w:rPr>
            </w:pPr>
          </w:p>
        </w:tc>
        <w:tc>
          <w:tcPr>
            <w:tcW w:w="901" w:type="pct"/>
            <w:vAlign w:val="center"/>
          </w:tcPr>
          <w:p w14:paraId="2C3FF2B9">
            <w:pPr>
              <w:pStyle w:val="22"/>
              <w:keepNext w:val="0"/>
              <w:keepLines w:val="0"/>
              <w:suppressLineNumbers w:val="0"/>
              <w:spacing w:before="0" w:beforeAutospacing="0" w:after="0" w:afterAutospacing="0"/>
              <w:ind w:left="0" w:right="0"/>
              <w:rPr>
                <w:rFonts w:hint="default"/>
              </w:rPr>
            </w:pPr>
            <w:r>
              <w:rPr>
                <w:rFonts w:hint="default"/>
              </w:rPr>
              <w:t>占地规模</w:t>
            </w:r>
          </w:p>
        </w:tc>
        <w:tc>
          <w:tcPr>
            <w:tcW w:w="3241" w:type="pct"/>
            <w:gridSpan w:val="6"/>
            <w:vAlign w:val="center"/>
          </w:tcPr>
          <w:p w14:paraId="20FC38C6">
            <w:pPr>
              <w:pStyle w:val="22"/>
              <w:keepNext w:val="0"/>
              <w:keepLines w:val="0"/>
              <w:suppressLineNumbers w:val="0"/>
              <w:spacing w:before="0" w:beforeAutospacing="0" w:after="0" w:afterAutospacing="0"/>
              <w:ind w:left="0" w:right="0"/>
              <w:rPr>
                <w:rFonts w:hint="default"/>
              </w:rPr>
            </w:pPr>
            <w:r>
              <w:rPr>
                <w:rFonts w:hint="eastAsia"/>
                <w:lang w:eastAsia="zh-CN"/>
              </w:rPr>
              <w:t>(</w:t>
            </w:r>
            <w:r>
              <w:rPr>
                <w:rFonts w:hint="eastAsia"/>
                <w:lang w:val="en-US" w:eastAsia="zh-CN"/>
              </w:rPr>
              <w:t>7826)</w:t>
            </w:r>
            <w:r>
              <w:rPr>
                <w:rFonts w:hint="default"/>
              </w:rPr>
              <w:t>m</w:t>
            </w:r>
            <w:r>
              <w:rPr>
                <w:rFonts w:hint="default"/>
                <w:vertAlign w:val="superscript"/>
              </w:rPr>
              <w:t>2</w:t>
            </w:r>
          </w:p>
        </w:tc>
        <w:tc>
          <w:tcPr>
            <w:tcW w:w="619" w:type="pct"/>
            <w:vAlign w:val="center"/>
          </w:tcPr>
          <w:p w14:paraId="493F1E0B">
            <w:pPr>
              <w:pStyle w:val="22"/>
              <w:keepNext w:val="0"/>
              <w:keepLines w:val="0"/>
              <w:suppressLineNumbers w:val="0"/>
              <w:spacing w:before="0" w:beforeAutospacing="0" w:after="0" w:afterAutospacing="0"/>
              <w:ind w:left="0" w:right="0"/>
              <w:rPr>
                <w:rFonts w:hint="default"/>
              </w:rPr>
            </w:pPr>
          </w:p>
        </w:tc>
      </w:tr>
      <w:tr w14:paraId="5E37A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7" w:type="pct"/>
            <w:vMerge w:val="continue"/>
            <w:vAlign w:val="center"/>
          </w:tcPr>
          <w:p w14:paraId="414E0628">
            <w:pPr>
              <w:pStyle w:val="22"/>
              <w:keepNext w:val="0"/>
              <w:keepLines w:val="0"/>
              <w:suppressLineNumbers w:val="0"/>
              <w:spacing w:before="0" w:beforeAutospacing="0" w:after="0" w:afterAutospacing="0"/>
              <w:ind w:left="0" w:right="0"/>
              <w:rPr>
                <w:rFonts w:hint="default"/>
              </w:rPr>
            </w:pPr>
          </w:p>
        </w:tc>
        <w:tc>
          <w:tcPr>
            <w:tcW w:w="901" w:type="pct"/>
            <w:vAlign w:val="center"/>
          </w:tcPr>
          <w:p w14:paraId="217A4C00">
            <w:pPr>
              <w:pStyle w:val="22"/>
              <w:keepNext w:val="0"/>
              <w:keepLines w:val="0"/>
              <w:suppressLineNumbers w:val="0"/>
              <w:spacing w:before="0" w:beforeAutospacing="0" w:after="0" w:afterAutospacing="0"/>
              <w:ind w:left="0" w:right="0"/>
              <w:rPr>
                <w:rFonts w:hint="default"/>
              </w:rPr>
            </w:pPr>
            <w:r>
              <w:rPr>
                <w:rFonts w:hint="default"/>
              </w:rPr>
              <w:t>敏感目标信息</w:t>
            </w:r>
          </w:p>
        </w:tc>
        <w:tc>
          <w:tcPr>
            <w:tcW w:w="3241" w:type="pct"/>
            <w:gridSpan w:val="6"/>
            <w:vAlign w:val="center"/>
          </w:tcPr>
          <w:p w14:paraId="1A2936F1">
            <w:pPr>
              <w:pStyle w:val="22"/>
              <w:keepNext w:val="0"/>
              <w:keepLines w:val="0"/>
              <w:suppressLineNumbers w:val="0"/>
              <w:spacing w:before="0" w:beforeAutospacing="0" w:after="0" w:afterAutospacing="0"/>
              <w:ind w:left="0" w:right="0"/>
              <w:rPr>
                <w:rFonts w:hint="default"/>
              </w:rPr>
            </w:pPr>
            <w:r>
              <w:rPr>
                <w:rFonts w:hint="default"/>
              </w:rPr>
              <w:t>敏感目标（</w:t>
            </w:r>
            <w:r>
              <w:rPr>
                <w:rFonts w:hint="default"/>
              </w:rPr>
              <w:tab/>
            </w:r>
            <w:r>
              <w:rPr>
                <w:rFonts w:hint="default"/>
              </w:rPr>
              <w:t>）、方位（</w:t>
            </w:r>
            <w:r>
              <w:rPr>
                <w:rFonts w:hint="default"/>
              </w:rPr>
              <w:tab/>
            </w:r>
            <w:r>
              <w:rPr>
                <w:rFonts w:hint="default"/>
              </w:rPr>
              <w:t>）、距离（）</w:t>
            </w:r>
          </w:p>
        </w:tc>
        <w:tc>
          <w:tcPr>
            <w:tcW w:w="619" w:type="pct"/>
            <w:vAlign w:val="center"/>
          </w:tcPr>
          <w:p w14:paraId="22E72F47">
            <w:pPr>
              <w:pStyle w:val="22"/>
              <w:keepNext w:val="0"/>
              <w:keepLines w:val="0"/>
              <w:suppressLineNumbers w:val="0"/>
              <w:spacing w:before="0" w:beforeAutospacing="0" w:after="0" w:afterAutospacing="0"/>
              <w:ind w:left="0" w:right="0"/>
              <w:rPr>
                <w:rFonts w:hint="default"/>
              </w:rPr>
            </w:pPr>
            <w:r>
              <w:rPr>
                <w:rFonts w:hint="default"/>
              </w:rPr>
              <w:t>无</w:t>
            </w:r>
          </w:p>
        </w:tc>
      </w:tr>
      <w:tr w14:paraId="6C1F9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7" w:type="pct"/>
            <w:vMerge w:val="continue"/>
            <w:vAlign w:val="center"/>
          </w:tcPr>
          <w:p w14:paraId="03FCFF49">
            <w:pPr>
              <w:pStyle w:val="22"/>
              <w:keepNext w:val="0"/>
              <w:keepLines w:val="0"/>
              <w:suppressLineNumbers w:val="0"/>
              <w:spacing w:before="0" w:beforeAutospacing="0" w:after="0" w:afterAutospacing="0"/>
              <w:ind w:left="0" w:right="0"/>
              <w:rPr>
                <w:rFonts w:hint="default"/>
              </w:rPr>
            </w:pPr>
          </w:p>
        </w:tc>
        <w:tc>
          <w:tcPr>
            <w:tcW w:w="901" w:type="pct"/>
            <w:vAlign w:val="center"/>
          </w:tcPr>
          <w:p w14:paraId="29988DF0">
            <w:pPr>
              <w:pStyle w:val="22"/>
              <w:keepNext w:val="0"/>
              <w:keepLines w:val="0"/>
              <w:suppressLineNumbers w:val="0"/>
              <w:spacing w:before="0" w:beforeAutospacing="0" w:after="0" w:afterAutospacing="0"/>
              <w:ind w:left="0" w:right="0"/>
              <w:rPr>
                <w:rFonts w:hint="default"/>
              </w:rPr>
            </w:pPr>
            <w:r>
              <w:rPr>
                <w:rFonts w:hint="default"/>
              </w:rPr>
              <w:t>影响途径</w:t>
            </w:r>
          </w:p>
        </w:tc>
        <w:tc>
          <w:tcPr>
            <w:tcW w:w="3241" w:type="pct"/>
            <w:gridSpan w:val="6"/>
            <w:vAlign w:val="center"/>
          </w:tcPr>
          <w:p w14:paraId="4A865759">
            <w:pPr>
              <w:pStyle w:val="22"/>
              <w:keepNext w:val="0"/>
              <w:keepLines w:val="0"/>
              <w:suppressLineNumbers w:val="0"/>
              <w:spacing w:before="0" w:beforeAutospacing="0" w:after="0" w:afterAutospacing="0"/>
              <w:ind w:left="0" w:right="0"/>
              <w:rPr>
                <w:rFonts w:hint="default"/>
              </w:rPr>
            </w:pPr>
            <w:r>
              <w:rPr>
                <w:rFonts w:hint="default"/>
              </w:rPr>
              <w:t>大气沉降</w:t>
            </w:r>
            <w:r>
              <w:rPr>
                <w:rFonts w:hint="default"/>
              </w:rPr>
              <w:sym w:font="Wingdings 2" w:char="F052"/>
            </w:r>
            <w:r>
              <w:rPr>
                <w:rFonts w:hint="default"/>
              </w:rPr>
              <w:t>；地面漫流</w:t>
            </w:r>
            <w:r>
              <w:rPr>
                <w:rFonts w:hint="default"/>
              </w:rPr>
              <w:sym w:font="Wingdings 2" w:char="0052"/>
            </w:r>
            <w:r>
              <w:rPr>
                <w:rFonts w:hint="default"/>
              </w:rPr>
              <w:t>；垂直入渗</w:t>
            </w:r>
            <w:r>
              <w:rPr>
                <w:rFonts w:hint="default"/>
              </w:rPr>
              <w:sym w:font="Wingdings 2" w:char="F052"/>
            </w:r>
            <w:r>
              <w:rPr>
                <w:rFonts w:hint="default"/>
              </w:rPr>
              <w:t>；地下水位</w:t>
            </w:r>
            <w:r>
              <w:rPr>
                <w:rFonts w:hint="eastAsia"/>
              </w:rPr>
              <w:t>□</w:t>
            </w:r>
            <w:r>
              <w:rPr>
                <w:rFonts w:hint="default"/>
              </w:rPr>
              <w:t>；其他（）</w:t>
            </w:r>
          </w:p>
        </w:tc>
        <w:tc>
          <w:tcPr>
            <w:tcW w:w="619" w:type="pct"/>
            <w:vAlign w:val="center"/>
          </w:tcPr>
          <w:p w14:paraId="3BBE1D8A">
            <w:pPr>
              <w:pStyle w:val="22"/>
              <w:keepNext w:val="0"/>
              <w:keepLines w:val="0"/>
              <w:suppressLineNumbers w:val="0"/>
              <w:spacing w:before="0" w:beforeAutospacing="0" w:after="0" w:afterAutospacing="0"/>
              <w:ind w:left="0" w:right="0"/>
              <w:rPr>
                <w:rFonts w:hint="default"/>
              </w:rPr>
            </w:pPr>
          </w:p>
        </w:tc>
      </w:tr>
      <w:tr w14:paraId="5718E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7" w:type="pct"/>
            <w:vMerge w:val="continue"/>
            <w:vAlign w:val="center"/>
          </w:tcPr>
          <w:p w14:paraId="7A0B4CA2">
            <w:pPr>
              <w:pStyle w:val="22"/>
              <w:keepNext w:val="0"/>
              <w:keepLines w:val="0"/>
              <w:suppressLineNumbers w:val="0"/>
              <w:spacing w:before="0" w:beforeAutospacing="0" w:after="0" w:afterAutospacing="0"/>
              <w:ind w:left="0" w:right="0"/>
              <w:rPr>
                <w:rFonts w:hint="default"/>
              </w:rPr>
            </w:pPr>
          </w:p>
        </w:tc>
        <w:tc>
          <w:tcPr>
            <w:tcW w:w="901" w:type="pct"/>
            <w:vAlign w:val="center"/>
          </w:tcPr>
          <w:p w14:paraId="71F93940">
            <w:pPr>
              <w:pStyle w:val="22"/>
              <w:keepNext w:val="0"/>
              <w:keepLines w:val="0"/>
              <w:suppressLineNumbers w:val="0"/>
              <w:spacing w:before="0" w:beforeAutospacing="0" w:after="0" w:afterAutospacing="0"/>
              <w:ind w:left="0" w:right="0"/>
              <w:rPr>
                <w:rFonts w:hint="default"/>
              </w:rPr>
            </w:pPr>
            <w:r>
              <w:rPr>
                <w:rFonts w:hint="default"/>
              </w:rPr>
              <w:t>全部污染物</w:t>
            </w:r>
          </w:p>
        </w:tc>
        <w:tc>
          <w:tcPr>
            <w:tcW w:w="3241" w:type="pct"/>
            <w:gridSpan w:val="6"/>
            <w:vAlign w:val="center"/>
          </w:tcPr>
          <w:p w14:paraId="2376D221">
            <w:pPr>
              <w:pStyle w:val="22"/>
              <w:keepNext w:val="0"/>
              <w:keepLines w:val="0"/>
              <w:suppressLineNumbers w:val="0"/>
              <w:spacing w:before="0" w:beforeAutospacing="0" w:after="0" w:afterAutospacing="0"/>
              <w:ind w:left="0" w:right="0"/>
              <w:rPr>
                <w:rFonts w:hint="default"/>
              </w:rPr>
            </w:pPr>
            <w:bookmarkStart w:id="257" w:name="OLE_LINK820"/>
            <w:r>
              <w:rPr>
                <w:rFonts w:hint="eastAsia"/>
                <w:sz w:val="21"/>
                <w:szCs w:val="21"/>
              </w:rPr>
              <w:t>COD</w:t>
            </w:r>
            <w:r>
              <w:rPr>
                <w:rFonts w:hint="eastAsia"/>
                <w:sz w:val="21"/>
                <w:szCs w:val="21"/>
                <w:lang w:eastAsia="zh-CN"/>
              </w:rPr>
              <w:t>、</w:t>
            </w:r>
            <w:r>
              <w:rPr>
                <w:rFonts w:hint="eastAsia"/>
                <w:sz w:val="21"/>
                <w:szCs w:val="21"/>
              </w:rPr>
              <w:t>BOD</w:t>
            </w:r>
            <w:r>
              <w:rPr>
                <w:rFonts w:hint="eastAsia"/>
                <w:sz w:val="21"/>
                <w:szCs w:val="21"/>
                <w:vertAlign w:val="subscript"/>
              </w:rPr>
              <w:t>5</w:t>
            </w:r>
            <w:r>
              <w:rPr>
                <w:rFonts w:hint="eastAsia"/>
                <w:sz w:val="21"/>
                <w:szCs w:val="21"/>
                <w:lang w:eastAsia="zh-CN"/>
              </w:rPr>
              <w:t>、</w:t>
            </w:r>
            <w:r>
              <w:rPr>
                <w:rFonts w:hint="eastAsia"/>
                <w:sz w:val="21"/>
                <w:szCs w:val="21"/>
              </w:rPr>
              <w:t>SS</w:t>
            </w:r>
            <w:r>
              <w:rPr>
                <w:rFonts w:hint="eastAsia"/>
                <w:sz w:val="21"/>
                <w:szCs w:val="21"/>
                <w:lang w:eastAsia="zh-CN"/>
              </w:rPr>
              <w:t>、</w:t>
            </w:r>
            <w:r>
              <w:rPr>
                <w:rFonts w:hint="eastAsia"/>
                <w:sz w:val="21"/>
                <w:szCs w:val="21"/>
              </w:rPr>
              <w:t>氨氮</w:t>
            </w:r>
            <w:r>
              <w:rPr>
                <w:rFonts w:hint="eastAsia"/>
                <w:sz w:val="21"/>
                <w:szCs w:val="21"/>
                <w:lang w:eastAsia="zh-CN"/>
              </w:rPr>
              <w:t>、</w:t>
            </w:r>
            <w:r>
              <w:rPr>
                <w:rFonts w:hint="eastAsia"/>
                <w:sz w:val="21"/>
                <w:szCs w:val="21"/>
              </w:rPr>
              <w:t>石油类</w:t>
            </w:r>
            <w:r>
              <w:rPr>
                <w:rFonts w:hint="eastAsia"/>
                <w:sz w:val="21"/>
                <w:szCs w:val="21"/>
                <w:lang w:eastAsia="zh-CN"/>
              </w:rPr>
              <w:t>、</w:t>
            </w:r>
            <w:r>
              <w:rPr>
                <w:rFonts w:hint="eastAsia" w:ascii="Times New Roman" w:hAnsi="Times New Roman" w:eastAsia="宋体" w:cs="Times New Roman"/>
                <w:sz w:val="21"/>
                <w:szCs w:val="21"/>
              </w:rPr>
              <w:t>总汞</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rPr>
              <w:t>总镉</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rPr>
              <w:t>总铅</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rPr>
              <w:t>总砷</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rPr>
              <w:t>总铬</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rPr>
              <w:t>六价铬</w:t>
            </w:r>
            <w:r>
              <w:rPr>
                <w:rFonts w:hint="eastAsia" w:ascii="Times New Roman" w:hAnsi="Times New Roman" w:eastAsia="宋体" w:cs="Times New Roman"/>
                <w:sz w:val="21"/>
                <w:szCs w:val="21"/>
                <w:lang w:eastAsia="zh-CN"/>
              </w:rPr>
              <w:t>、</w:t>
            </w:r>
            <w:r>
              <w:rPr>
                <w:rFonts w:hint="eastAsia"/>
                <w:sz w:val="21"/>
                <w:szCs w:val="21"/>
                <w:lang w:val="en-US" w:eastAsia="zh-CN"/>
              </w:rPr>
              <w:t>颗粒物</w:t>
            </w:r>
            <w:r>
              <w:rPr>
                <w:rFonts w:hint="eastAsia"/>
                <w:sz w:val="21"/>
                <w:szCs w:val="21"/>
                <w:lang w:eastAsia="zh-CN"/>
              </w:rPr>
              <w:t>、</w:t>
            </w:r>
            <w:r>
              <w:rPr>
                <w:rFonts w:hint="eastAsia"/>
                <w:sz w:val="21"/>
                <w:szCs w:val="21"/>
              </w:rPr>
              <w:t>NOx</w:t>
            </w:r>
            <w:r>
              <w:rPr>
                <w:rFonts w:hint="eastAsia"/>
                <w:sz w:val="21"/>
                <w:szCs w:val="21"/>
                <w:lang w:eastAsia="zh-CN"/>
              </w:rPr>
              <w:t>、</w:t>
            </w:r>
            <w:r>
              <w:rPr>
                <w:rFonts w:hint="eastAsia"/>
                <w:sz w:val="21"/>
                <w:szCs w:val="21"/>
              </w:rPr>
              <w:t>SO</w:t>
            </w:r>
            <w:r>
              <w:rPr>
                <w:rFonts w:hint="eastAsia"/>
                <w:sz w:val="21"/>
                <w:szCs w:val="21"/>
                <w:vertAlign w:val="subscript"/>
              </w:rPr>
              <w:t>2</w:t>
            </w:r>
            <w:r>
              <w:rPr>
                <w:rFonts w:hint="eastAsia"/>
                <w:sz w:val="21"/>
                <w:szCs w:val="21"/>
                <w:lang w:eastAsia="zh-CN"/>
              </w:rPr>
              <w:t>、</w:t>
            </w:r>
            <w:r>
              <w:rPr>
                <w:rFonts w:hint="eastAsia"/>
                <w:sz w:val="21"/>
                <w:szCs w:val="21"/>
              </w:rPr>
              <w:t>CO</w:t>
            </w:r>
            <w:r>
              <w:rPr>
                <w:rFonts w:hint="eastAsia"/>
                <w:sz w:val="21"/>
                <w:szCs w:val="21"/>
                <w:lang w:eastAsia="zh-CN"/>
              </w:rPr>
              <w:t>、</w:t>
            </w:r>
            <w:r>
              <w:rPr>
                <w:rFonts w:hint="eastAsia"/>
                <w:sz w:val="21"/>
                <w:szCs w:val="21"/>
              </w:rPr>
              <w:t>HCl</w:t>
            </w:r>
            <w:r>
              <w:rPr>
                <w:rFonts w:hint="eastAsia"/>
                <w:sz w:val="21"/>
                <w:szCs w:val="21"/>
                <w:lang w:eastAsia="zh-CN"/>
              </w:rPr>
              <w:t>、</w:t>
            </w:r>
            <w:r>
              <w:rPr>
                <w:rFonts w:hint="eastAsia"/>
                <w:sz w:val="21"/>
                <w:szCs w:val="21"/>
              </w:rPr>
              <w:t>HF</w:t>
            </w:r>
            <w:r>
              <w:rPr>
                <w:rFonts w:hint="eastAsia"/>
                <w:sz w:val="21"/>
                <w:szCs w:val="21"/>
                <w:lang w:eastAsia="zh-CN"/>
              </w:rPr>
              <w:t>、</w:t>
            </w:r>
            <w:r>
              <w:rPr>
                <w:rFonts w:hint="eastAsia"/>
                <w:sz w:val="21"/>
                <w:szCs w:val="21"/>
              </w:rPr>
              <w:t>汞及其化合物</w:t>
            </w:r>
            <w:r>
              <w:rPr>
                <w:rFonts w:hint="eastAsia"/>
                <w:sz w:val="21"/>
                <w:szCs w:val="21"/>
                <w:lang w:eastAsia="zh-CN"/>
              </w:rPr>
              <w:t>、</w:t>
            </w:r>
            <w:r>
              <w:rPr>
                <w:rFonts w:hint="eastAsia"/>
                <w:sz w:val="21"/>
                <w:szCs w:val="21"/>
              </w:rPr>
              <w:t>铅及其化合物</w:t>
            </w:r>
            <w:r>
              <w:rPr>
                <w:rFonts w:hint="eastAsia"/>
                <w:sz w:val="21"/>
                <w:szCs w:val="21"/>
                <w:lang w:eastAsia="zh-CN"/>
              </w:rPr>
              <w:t>、</w:t>
            </w:r>
            <w:r>
              <w:rPr>
                <w:rFonts w:hint="eastAsia"/>
                <w:sz w:val="21"/>
                <w:szCs w:val="21"/>
              </w:rPr>
              <w:t>镉及其化合物</w:t>
            </w:r>
            <w:r>
              <w:rPr>
                <w:rFonts w:hint="eastAsia"/>
                <w:sz w:val="21"/>
                <w:szCs w:val="21"/>
                <w:lang w:eastAsia="zh-CN"/>
              </w:rPr>
              <w:t>、</w:t>
            </w:r>
            <w:r>
              <w:rPr>
                <w:rFonts w:hint="eastAsia"/>
                <w:sz w:val="21"/>
                <w:szCs w:val="21"/>
              </w:rPr>
              <w:t>砷及其化合物</w:t>
            </w:r>
            <w:r>
              <w:rPr>
                <w:rFonts w:hint="eastAsia"/>
                <w:sz w:val="21"/>
                <w:szCs w:val="21"/>
                <w:lang w:eastAsia="zh-CN"/>
              </w:rPr>
              <w:t>、</w:t>
            </w:r>
            <w:r>
              <w:rPr>
                <w:rFonts w:hint="eastAsia"/>
                <w:sz w:val="21"/>
                <w:szCs w:val="21"/>
              </w:rPr>
              <w:t>铬及其化合物</w:t>
            </w:r>
            <w:r>
              <w:rPr>
                <w:rFonts w:hint="eastAsia"/>
                <w:sz w:val="21"/>
                <w:szCs w:val="21"/>
                <w:lang w:eastAsia="zh-CN"/>
              </w:rPr>
              <w:t>、</w:t>
            </w:r>
            <w:r>
              <w:rPr>
                <w:rFonts w:hint="eastAsia"/>
                <w:sz w:val="21"/>
                <w:szCs w:val="21"/>
              </w:rPr>
              <w:t>镍及其化合物</w:t>
            </w:r>
            <w:r>
              <w:rPr>
                <w:rFonts w:hint="eastAsia"/>
                <w:sz w:val="21"/>
                <w:szCs w:val="21"/>
                <w:lang w:eastAsia="zh-CN"/>
              </w:rPr>
              <w:t>、</w:t>
            </w:r>
            <w:r>
              <w:rPr>
                <w:rFonts w:hint="eastAsia"/>
                <w:sz w:val="21"/>
                <w:szCs w:val="21"/>
              </w:rPr>
              <w:t>锡及其化合物</w:t>
            </w:r>
            <w:r>
              <w:rPr>
                <w:rFonts w:hint="eastAsia"/>
                <w:sz w:val="21"/>
                <w:szCs w:val="21"/>
                <w:lang w:eastAsia="zh-CN"/>
              </w:rPr>
              <w:t>、</w:t>
            </w:r>
            <w:r>
              <w:rPr>
                <w:rFonts w:hint="eastAsia"/>
                <w:sz w:val="21"/>
                <w:szCs w:val="21"/>
              </w:rPr>
              <w:t>锑及其化合物</w:t>
            </w:r>
            <w:r>
              <w:rPr>
                <w:rFonts w:hint="eastAsia"/>
                <w:sz w:val="21"/>
                <w:szCs w:val="21"/>
                <w:lang w:eastAsia="zh-CN"/>
              </w:rPr>
              <w:t>、</w:t>
            </w:r>
            <w:r>
              <w:rPr>
                <w:rFonts w:hint="eastAsia"/>
                <w:sz w:val="21"/>
                <w:szCs w:val="21"/>
              </w:rPr>
              <w:t>铜及其化合物</w:t>
            </w:r>
            <w:r>
              <w:rPr>
                <w:rFonts w:hint="eastAsia"/>
                <w:sz w:val="21"/>
                <w:szCs w:val="21"/>
                <w:lang w:eastAsia="zh-CN"/>
              </w:rPr>
              <w:t>、</w:t>
            </w:r>
            <w:r>
              <w:rPr>
                <w:rFonts w:hint="eastAsia"/>
                <w:sz w:val="21"/>
                <w:szCs w:val="21"/>
              </w:rPr>
              <w:t>锰及其化合物</w:t>
            </w:r>
            <w:r>
              <w:rPr>
                <w:rFonts w:hint="eastAsia"/>
                <w:sz w:val="21"/>
                <w:szCs w:val="21"/>
                <w:lang w:eastAsia="zh-CN"/>
              </w:rPr>
              <w:t>、</w:t>
            </w:r>
            <w:r>
              <w:rPr>
                <w:rFonts w:hint="eastAsia"/>
                <w:sz w:val="21"/>
                <w:szCs w:val="21"/>
              </w:rPr>
              <w:t>二噁英类</w:t>
            </w:r>
            <w:r>
              <w:rPr>
                <w:rFonts w:hint="eastAsia"/>
                <w:sz w:val="21"/>
                <w:szCs w:val="21"/>
                <w:lang w:eastAsia="zh-CN"/>
              </w:rPr>
              <w:t>、非甲烷总烃、NH</w:t>
            </w:r>
            <w:r>
              <w:rPr>
                <w:rFonts w:hint="eastAsia"/>
                <w:sz w:val="21"/>
                <w:szCs w:val="21"/>
                <w:vertAlign w:val="subscript"/>
                <w:lang w:eastAsia="zh-CN"/>
              </w:rPr>
              <w:t>3</w:t>
            </w:r>
            <w:r>
              <w:rPr>
                <w:rFonts w:hint="eastAsia"/>
                <w:sz w:val="21"/>
                <w:szCs w:val="21"/>
                <w:lang w:eastAsia="zh-CN"/>
              </w:rPr>
              <w:t>、H</w:t>
            </w:r>
            <w:r>
              <w:rPr>
                <w:rFonts w:hint="eastAsia"/>
                <w:sz w:val="21"/>
                <w:szCs w:val="21"/>
                <w:vertAlign w:val="subscript"/>
                <w:lang w:eastAsia="zh-CN"/>
              </w:rPr>
              <w:t>2</w:t>
            </w:r>
            <w:r>
              <w:rPr>
                <w:rFonts w:hint="eastAsia"/>
                <w:sz w:val="21"/>
                <w:szCs w:val="21"/>
                <w:lang w:eastAsia="zh-CN"/>
              </w:rPr>
              <w:t>S</w:t>
            </w:r>
            <w:bookmarkEnd w:id="257"/>
          </w:p>
        </w:tc>
        <w:tc>
          <w:tcPr>
            <w:tcW w:w="619" w:type="pct"/>
            <w:vAlign w:val="center"/>
          </w:tcPr>
          <w:p w14:paraId="3DA8D7E5">
            <w:pPr>
              <w:pStyle w:val="22"/>
              <w:keepNext w:val="0"/>
              <w:keepLines w:val="0"/>
              <w:suppressLineNumbers w:val="0"/>
              <w:spacing w:before="0" w:beforeAutospacing="0" w:after="0" w:afterAutospacing="0"/>
              <w:ind w:left="0" w:right="0"/>
              <w:rPr>
                <w:rFonts w:hint="default"/>
              </w:rPr>
            </w:pPr>
          </w:p>
        </w:tc>
      </w:tr>
      <w:tr w14:paraId="146C2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7" w:type="pct"/>
            <w:vMerge w:val="continue"/>
            <w:vAlign w:val="center"/>
          </w:tcPr>
          <w:p w14:paraId="60CC9842">
            <w:pPr>
              <w:pStyle w:val="22"/>
              <w:keepNext w:val="0"/>
              <w:keepLines w:val="0"/>
              <w:suppressLineNumbers w:val="0"/>
              <w:spacing w:before="0" w:beforeAutospacing="0" w:after="0" w:afterAutospacing="0"/>
              <w:ind w:left="0" w:right="0"/>
              <w:rPr>
                <w:rFonts w:hint="default"/>
              </w:rPr>
            </w:pPr>
          </w:p>
        </w:tc>
        <w:tc>
          <w:tcPr>
            <w:tcW w:w="901" w:type="pct"/>
            <w:vAlign w:val="center"/>
          </w:tcPr>
          <w:p w14:paraId="53019169">
            <w:pPr>
              <w:pStyle w:val="22"/>
              <w:keepNext w:val="0"/>
              <w:keepLines w:val="0"/>
              <w:suppressLineNumbers w:val="0"/>
              <w:spacing w:before="0" w:beforeAutospacing="0" w:after="0" w:afterAutospacing="0"/>
              <w:ind w:left="0" w:right="0"/>
              <w:rPr>
                <w:rFonts w:hint="default"/>
              </w:rPr>
            </w:pPr>
            <w:r>
              <w:rPr>
                <w:rFonts w:hint="default"/>
              </w:rPr>
              <w:t>特征因子</w:t>
            </w:r>
          </w:p>
        </w:tc>
        <w:tc>
          <w:tcPr>
            <w:tcW w:w="3241" w:type="pct"/>
            <w:gridSpan w:val="6"/>
            <w:vAlign w:val="center"/>
          </w:tcPr>
          <w:p w14:paraId="7E0E1B10">
            <w:pPr>
              <w:pStyle w:val="22"/>
              <w:keepNext w:val="0"/>
              <w:keepLines w:val="0"/>
              <w:suppressLineNumbers w:val="0"/>
              <w:spacing w:before="0" w:beforeAutospacing="0" w:after="0" w:afterAutospacing="0"/>
              <w:ind w:left="0" w:right="0"/>
              <w:rPr>
                <w:rFonts w:hint="default"/>
                <w:lang w:val="en-US"/>
              </w:rPr>
            </w:pPr>
            <w:r>
              <w:rPr>
                <w:rFonts w:hint="eastAsia"/>
                <w:sz w:val="21"/>
                <w:szCs w:val="21"/>
                <w:lang w:val="en-US" w:eastAsia="zh-CN"/>
              </w:rPr>
              <w:t>二噁英、铅、汞、镉、砷</w:t>
            </w:r>
          </w:p>
        </w:tc>
        <w:tc>
          <w:tcPr>
            <w:tcW w:w="619" w:type="pct"/>
            <w:vAlign w:val="center"/>
          </w:tcPr>
          <w:p w14:paraId="6B8A31B8">
            <w:pPr>
              <w:pStyle w:val="22"/>
              <w:keepNext w:val="0"/>
              <w:keepLines w:val="0"/>
              <w:suppressLineNumbers w:val="0"/>
              <w:spacing w:before="0" w:beforeAutospacing="0" w:after="0" w:afterAutospacing="0"/>
              <w:ind w:left="0" w:right="0"/>
              <w:rPr>
                <w:rFonts w:hint="default"/>
              </w:rPr>
            </w:pPr>
          </w:p>
        </w:tc>
      </w:tr>
      <w:tr w14:paraId="775EA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7" w:type="pct"/>
            <w:vMerge w:val="continue"/>
            <w:vAlign w:val="center"/>
          </w:tcPr>
          <w:p w14:paraId="701A2DC7">
            <w:pPr>
              <w:pStyle w:val="22"/>
              <w:keepNext w:val="0"/>
              <w:keepLines w:val="0"/>
              <w:suppressLineNumbers w:val="0"/>
              <w:spacing w:before="0" w:beforeAutospacing="0" w:after="0" w:afterAutospacing="0"/>
              <w:ind w:left="0" w:right="0"/>
              <w:rPr>
                <w:rFonts w:hint="default"/>
              </w:rPr>
            </w:pPr>
          </w:p>
        </w:tc>
        <w:tc>
          <w:tcPr>
            <w:tcW w:w="901" w:type="pct"/>
            <w:vAlign w:val="center"/>
          </w:tcPr>
          <w:p w14:paraId="736828E4">
            <w:pPr>
              <w:pStyle w:val="22"/>
              <w:keepNext w:val="0"/>
              <w:keepLines w:val="0"/>
              <w:suppressLineNumbers w:val="0"/>
              <w:spacing w:before="0" w:beforeAutospacing="0" w:after="0" w:afterAutospacing="0"/>
              <w:ind w:left="0" w:right="0"/>
              <w:rPr>
                <w:rFonts w:hint="default"/>
              </w:rPr>
            </w:pPr>
            <w:r>
              <w:rPr>
                <w:rFonts w:hint="default"/>
              </w:rPr>
              <w:t>所属土壤环境影响评价项目类别</w:t>
            </w:r>
          </w:p>
        </w:tc>
        <w:tc>
          <w:tcPr>
            <w:tcW w:w="3241" w:type="pct"/>
            <w:gridSpan w:val="6"/>
            <w:vAlign w:val="center"/>
          </w:tcPr>
          <w:p w14:paraId="02C1A8C7">
            <w:pPr>
              <w:pStyle w:val="22"/>
              <w:keepNext w:val="0"/>
              <w:keepLines w:val="0"/>
              <w:suppressLineNumbers w:val="0"/>
              <w:spacing w:before="0" w:beforeAutospacing="0" w:after="0" w:afterAutospacing="0"/>
              <w:ind w:left="0" w:right="0"/>
              <w:rPr>
                <w:rFonts w:hint="default"/>
              </w:rPr>
            </w:pPr>
            <w:r>
              <w:rPr>
                <w:rFonts w:hint="eastAsia" w:ascii="宋体" w:hAnsi="宋体" w:cs="宋体"/>
              </w:rPr>
              <w:t>Ⅰ</w:t>
            </w:r>
            <w:r>
              <w:rPr>
                <w:rFonts w:hint="default"/>
              </w:rPr>
              <w:t>类</w:t>
            </w:r>
            <w:r>
              <w:rPr>
                <w:rFonts w:hint="default"/>
              </w:rPr>
              <w:sym w:font="Wingdings 2" w:char="0052"/>
            </w:r>
            <w:r>
              <w:rPr>
                <w:rFonts w:hint="default"/>
              </w:rPr>
              <w:t>；</w:t>
            </w:r>
            <w:r>
              <w:rPr>
                <w:rFonts w:hint="eastAsia" w:ascii="宋体" w:hAnsi="宋体" w:cs="宋体"/>
              </w:rPr>
              <w:t>Ⅱ</w:t>
            </w:r>
            <w:r>
              <w:rPr>
                <w:rFonts w:hint="default"/>
              </w:rPr>
              <w:t>类</w:t>
            </w:r>
            <w:r>
              <w:rPr>
                <w:rFonts w:hint="eastAsia"/>
                <w:lang w:eastAsia="zh-CN"/>
              </w:rPr>
              <w:t>□</w:t>
            </w:r>
            <w:r>
              <w:rPr>
                <w:rFonts w:hint="default"/>
              </w:rPr>
              <w:t>；</w:t>
            </w:r>
            <w:r>
              <w:rPr>
                <w:rFonts w:hint="eastAsia" w:ascii="宋体" w:hAnsi="宋体" w:cs="宋体"/>
              </w:rPr>
              <w:t>Ⅲ</w:t>
            </w:r>
            <w:r>
              <w:rPr>
                <w:rFonts w:hint="default"/>
              </w:rPr>
              <w:t>类</w:t>
            </w:r>
            <w:r>
              <w:rPr>
                <w:rFonts w:hint="eastAsia"/>
              </w:rPr>
              <w:t>□</w:t>
            </w:r>
            <w:r>
              <w:rPr>
                <w:rFonts w:hint="default"/>
              </w:rPr>
              <w:t>；</w:t>
            </w:r>
            <w:r>
              <w:rPr>
                <w:rFonts w:hint="eastAsia" w:ascii="宋体" w:hAnsi="宋体" w:cs="宋体"/>
              </w:rPr>
              <w:t>Ⅳ</w:t>
            </w:r>
            <w:r>
              <w:rPr>
                <w:rFonts w:hint="default"/>
              </w:rPr>
              <w:t>类</w:t>
            </w:r>
            <w:r>
              <w:rPr>
                <w:rFonts w:hint="eastAsia"/>
              </w:rPr>
              <w:t>□</w:t>
            </w:r>
          </w:p>
        </w:tc>
        <w:tc>
          <w:tcPr>
            <w:tcW w:w="619" w:type="pct"/>
            <w:vAlign w:val="center"/>
          </w:tcPr>
          <w:p w14:paraId="4B841802">
            <w:pPr>
              <w:pStyle w:val="22"/>
              <w:keepNext w:val="0"/>
              <w:keepLines w:val="0"/>
              <w:suppressLineNumbers w:val="0"/>
              <w:spacing w:before="0" w:beforeAutospacing="0" w:after="0" w:afterAutospacing="0"/>
              <w:ind w:left="0" w:right="0"/>
              <w:rPr>
                <w:rFonts w:hint="default"/>
              </w:rPr>
            </w:pPr>
          </w:p>
        </w:tc>
      </w:tr>
      <w:tr w14:paraId="58E24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7" w:type="pct"/>
            <w:vMerge w:val="continue"/>
            <w:vAlign w:val="center"/>
          </w:tcPr>
          <w:p w14:paraId="0BD02878">
            <w:pPr>
              <w:pStyle w:val="22"/>
              <w:keepNext w:val="0"/>
              <w:keepLines w:val="0"/>
              <w:suppressLineNumbers w:val="0"/>
              <w:spacing w:before="0" w:beforeAutospacing="0" w:after="0" w:afterAutospacing="0"/>
              <w:ind w:left="0" w:right="0"/>
              <w:rPr>
                <w:rFonts w:hint="default"/>
              </w:rPr>
            </w:pPr>
          </w:p>
        </w:tc>
        <w:tc>
          <w:tcPr>
            <w:tcW w:w="901" w:type="pct"/>
            <w:vAlign w:val="center"/>
          </w:tcPr>
          <w:p w14:paraId="077DA748">
            <w:pPr>
              <w:pStyle w:val="22"/>
              <w:keepNext w:val="0"/>
              <w:keepLines w:val="0"/>
              <w:suppressLineNumbers w:val="0"/>
              <w:spacing w:before="0" w:beforeAutospacing="0" w:after="0" w:afterAutospacing="0"/>
              <w:ind w:left="0" w:right="0"/>
              <w:rPr>
                <w:rFonts w:hint="default"/>
              </w:rPr>
            </w:pPr>
            <w:r>
              <w:rPr>
                <w:rFonts w:hint="default"/>
              </w:rPr>
              <w:t>敏感程度</w:t>
            </w:r>
          </w:p>
        </w:tc>
        <w:tc>
          <w:tcPr>
            <w:tcW w:w="3241" w:type="pct"/>
            <w:gridSpan w:val="6"/>
            <w:vAlign w:val="center"/>
          </w:tcPr>
          <w:p w14:paraId="789F40E0">
            <w:pPr>
              <w:pStyle w:val="22"/>
              <w:keepNext w:val="0"/>
              <w:keepLines w:val="0"/>
              <w:suppressLineNumbers w:val="0"/>
              <w:spacing w:before="0" w:beforeAutospacing="0" w:after="0" w:afterAutospacing="0"/>
              <w:ind w:left="0" w:right="0"/>
              <w:rPr>
                <w:rFonts w:hint="default"/>
              </w:rPr>
            </w:pPr>
            <w:r>
              <w:rPr>
                <w:rFonts w:hint="default"/>
              </w:rPr>
              <w:t>敏感</w:t>
            </w:r>
            <w:r>
              <w:rPr>
                <w:rFonts w:hint="eastAsia"/>
                <w:lang w:eastAsia="zh-CN"/>
              </w:rPr>
              <w:t>□</w:t>
            </w:r>
            <w:r>
              <w:rPr>
                <w:rFonts w:hint="default"/>
              </w:rPr>
              <w:t>；较敏感</w:t>
            </w:r>
            <w:r>
              <w:rPr>
                <w:rFonts w:hint="eastAsia"/>
                <w:lang w:eastAsia="zh-CN"/>
              </w:rPr>
              <w:t>□</w:t>
            </w:r>
            <w:r>
              <w:rPr>
                <w:rFonts w:hint="default"/>
              </w:rPr>
              <w:t>；不敏感</w:t>
            </w:r>
            <w:r>
              <w:rPr>
                <w:rFonts w:hint="eastAsia"/>
                <w:lang w:eastAsia="zh-CN"/>
              </w:rPr>
              <w:t>☑</w:t>
            </w:r>
          </w:p>
        </w:tc>
        <w:tc>
          <w:tcPr>
            <w:tcW w:w="619" w:type="pct"/>
            <w:vAlign w:val="center"/>
          </w:tcPr>
          <w:p w14:paraId="17C5AF05">
            <w:pPr>
              <w:pStyle w:val="22"/>
              <w:keepNext w:val="0"/>
              <w:keepLines w:val="0"/>
              <w:suppressLineNumbers w:val="0"/>
              <w:spacing w:before="0" w:beforeAutospacing="0" w:after="0" w:afterAutospacing="0"/>
              <w:ind w:left="0" w:right="0"/>
              <w:rPr>
                <w:rFonts w:hint="default"/>
              </w:rPr>
            </w:pPr>
          </w:p>
        </w:tc>
      </w:tr>
      <w:tr w14:paraId="71379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39" w:type="pct"/>
            <w:gridSpan w:val="2"/>
            <w:vAlign w:val="center"/>
          </w:tcPr>
          <w:p w14:paraId="31EE5BF4">
            <w:pPr>
              <w:pStyle w:val="22"/>
              <w:keepNext w:val="0"/>
              <w:keepLines w:val="0"/>
              <w:suppressLineNumbers w:val="0"/>
              <w:spacing w:before="0" w:beforeAutospacing="0" w:after="0" w:afterAutospacing="0"/>
              <w:ind w:left="0" w:right="0"/>
              <w:rPr>
                <w:rFonts w:hint="default"/>
                <w:highlight w:val="none"/>
              </w:rPr>
            </w:pPr>
            <w:r>
              <w:rPr>
                <w:rFonts w:hint="default"/>
                <w:highlight w:val="none"/>
              </w:rPr>
              <w:t>评价工作等级</w:t>
            </w:r>
          </w:p>
        </w:tc>
        <w:tc>
          <w:tcPr>
            <w:tcW w:w="3241" w:type="pct"/>
            <w:gridSpan w:val="6"/>
            <w:vAlign w:val="center"/>
          </w:tcPr>
          <w:p w14:paraId="0B96D1BA">
            <w:pPr>
              <w:pStyle w:val="22"/>
              <w:keepNext w:val="0"/>
              <w:keepLines w:val="0"/>
              <w:suppressLineNumbers w:val="0"/>
              <w:spacing w:before="0" w:beforeAutospacing="0" w:after="0" w:afterAutospacing="0"/>
              <w:ind w:left="0" w:right="0"/>
              <w:rPr>
                <w:rFonts w:hint="default"/>
                <w:highlight w:val="none"/>
              </w:rPr>
            </w:pPr>
            <w:r>
              <w:rPr>
                <w:rFonts w:hint="default"/>
                <w:highlight w:val="none"/>
              </w:rPr>
              <w:t>一级</w:t>
            </w:r>
            <w:r>
              <w:rPr>
                <w:rFonts w:hint="eastAsia"/>
                <w:highlight w:val="none"/>
                <w:lang w:eastAsia="zh-CN"/>
              </w:rPr>
              <w:t>□</w:t>
            </w:r>
            <w:r>
              <w:rPr>
                <w:rFonts w:hint="default"/>
                <w:highlight w:val="none"/>
              </w:rPr>
              <w:t>；二级</w:t>
            </w:r>
            <w:r>
              <w:rPr>
                <w:rFonts w:hint="default"/>
                <w:highlight w:val="none"/>
              </w:rPr>
              <w:sym w:font="Wingdings 2" w:char="0052"/>
            </w:r>
            <w:r>
              <w:rPr>
                <w:rFonts w:hint="default"/>
                <w:highlight w:val="none"/>
              </w:rPr>
              <w:t>；三级□</w:t>
            </w:r>
          </w:p>
        </w:tc>
        <w:tc>
          <w:tcPr>
            <w:tcW w:w="619" w:type="pct"/>
            <w:vAlign w:val="center"/>
          </w:tcPr>
          <w:p w14:paraId="41D22AF7">
            <w:pPr>
              <w:pStyle w:val="22"/>
              <w:keepNext w:val="0"/>
              <w:keepLines w:val="0"/>
              <w:suppressLineNumbers w:val="0"/>
              <w:spacing w:before="0" w:beforeAutospacing="0" w:after="0" w:afterAutospacing="0"/>
              <w:ind w:left="0" w:right="0"/>
              <w:rPr>
                <w:rFonts w:hint="default"/>
              </w:rPr>
            </w:pPr>
          </w:p>
        </w:tc>
      </w:tr>
      <w:tr w14:paraId="379FB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237" w:type="pct"/>
            <w:vMerge w:val="restart"/>
            <w:vAlign w:val="center"/>
          </w:tcPr>
          <w:p w14:paraId="64CB0054">
            <w:pPr>
              <w:pStyle w:val="22"/>
              <w:keepNext w:val="0"/>
              <w:keepLines w:val="0"/>
              <w:suppressLineNumbers w:val="0"/>
              <w:spacing w:before="0" w:beforeAutospacing="0" w:after="0" w:afterAutospacing="0"/>
              <w:ind w:left="0" w:right="0"/>
              <w:rPr>
                <w:rFonts w:hint="default"/>
              </w:rPr>
            </w:pPr>
            <w:r>
              <w:rPr>
                <w:rFonts w:hint="default"/>
              </w:rPr>
              <w:t>现状调查内容</w:t>
            </w:r>
          </w:p>
        </w:tc>
        <w:tc>
          <w:tcPr>
            <w:tcW w:w="901" w:type="pct"/>
            <w:vAlign w:val="center"/>
          </w:tcPr>
          <w:p w14:paraId="51470FAA">
            <w:pPr>
              <w:pStyle w:val="22"/>
              <w:keepNext w:val="0"/>
              <w:keepLines w:val="0"/>
              <w:suppressLineNumbers w:val="0"/>
              <w:spacing w:before="0" w:beforeAutospacing="0" w:after="0" w:afterAutospacing="0"/>
              <w:ind w:left="0" w:right="0"/>
              <w:rPr>
                <w:rFonts w:hint="default"/>
              </w:rPr>
            </w:pPr>
            <w:r>
              <w:rPr>
                <w:rFonts w:hint="default"/>
              </w:rPr>
              <w:t>资料收集</w:t>
            </w:r>
          </w:p>
        </w:tc>
        <w:tc>
          <w:tcPr>
            <w:tcW w:w="3241" w:type="pct"/>
            <w:gridSpan w:val="6"/>
            <w:vAlign w:val="center"/>
          </w:tcPr>
          <w:p w14:paraId="5D273DCD">
            <w:pPr>
              <w:pStyle w:val="22"/>
              <w:keepNext w:val="0"/>
              <w:keepLines w:val="0"/>
              <w:suppressLineNumbers w:val="0"/>
              <w:spacing w:before="0" w:beforeAutospacing="0" w:after="0" w:afterAutospacing="0"/>
              <w:ind w:left="0" w:right="0"/>
              <w:rPr>
                <w:rFonts w:hint="default"/>
              </w:rPr>
            </w:pPr>
            <w:r>
              <w:rPr>
                <w:rFonts w:hint="default"/>
              </w:rPr>
              <w:t>a</w:t>
            </w:r>
            <w:r>
              <w:rPr>
                <w:rFonts w:hint="eastAsia"/>
                <w:lang w:eastAsia="zh-CN"/>
              </w:rPr>
              <w:t>）</w:t>
            </w:r>
            <w:r>
              <w:rPr>
                <w:rFonts w:hint="eastAsia"/>
              </w:rPr>
              <w:t>□</w:t>
            </w:r>
            <w:r>
              <w:rPr>
                <w:rFonts w:hint="eastAsia"/>
                <w:lang w:eastAsia="zh-CN"/>
              </w:rPr>
              <w:t xml:space="preserve">; </w:t>
            </w:r>
            <w:r>
              <w:rPr>
                <w:rFonts w:hint="default"/>
              </w:rPr>
              <w:t>b</w:t>
            </w:r>
            <w:r>
              <w:rPr>
                <w:rFonts w:hint="eastAsia"/>
                <w:lang w:eastAsia="zh-CN"/>
              </w:rPr>
              <w:t>)</w:t>
            </w:r>
            <w:r>
              <w:rPr>
                <w:rFonts w:hint="default"/>
              </w:rPr>
              <w:sym w:font="Wingdings 2" w:char="F052"/>
            </w:r>
            <w:r>
              <w:rPr>
                <w:rFonts w:hint="eastAsia"/>
                <w:lang w:eastAsia="zh-CN"/>
              </w:rPr>
              <w:t xml:space="preserve">; </w:t>
            </w:r>
            <w:r>
              <w:rPr>
                <w:rFonts w:hint="default"/>
              </w:rPr>
              <w:t>c</w:t>
            </w:r>
            <w:r>
              <w:rPr>
                <w:rFonts w:hint="eastAsia"/>
                <w:lang w:eastAsia="zh-CN"/>
              </w:rPr>
              <w:t>)</w:t>
            </w:r>
            <w:r>
              <w:rPr>
                <w:rFonts w:hint="eastAsia"/>
              </w:rPr>
              <w:t>□</w:t>
            </w:r>
            <w:r>
              <w:rPr>
                <w:rFonts w:hint="eastAsia"/>
                <w:lang w:eastAsia="zh-CN"/>
              </w:rPr>
              <w:t xml:space="preserve">; </w:t>
            </w:r>
            <w:r>
              <w:rPr>
                <w:rFonts w:hint="default"/>
              </w:rPr>
              <w:t>d</w:t>
            </w:r>
            <w:r>
              <w:rPr>
                <w:rFonts w:hint="eastAsia"/>
                <w:lang w:eastAsia="zh-CN"/>
              </w:rPr>
              <w:t>)</w:t>
            </w:r>
            <w:r>
              <w:rPr>
                <w:rFonts w:hint="default"/>
              </w:rPr>
              <w:sym w:font="Wingdings 2" w:char="F052"/>
            </w:r>
          </w:p>
        </w:tc>
        <w:tc>
          <w:tcPr>
            <w:tcW w:w="619" w:type="pct"/>
            <w:vAlign w:val="center"/>
          </w:tcPr>
          <w:p w14:paraId="180E6D15">
            <w:pPr>
              <w:pStyle w:val="22"/>
              <w:keepNext w:val="0"/>
              <w:keepLines w:val="0"/>
              <w:suppressLineNumbers w:val="0"/>
              <w:spacing w:before="0" w:beforeAutospacing="0" w:after="0" w:afterAutospacing="0"/>
              <w:ind w:left="0" w:right="0"/>
              <w:rPr>
                <w:rFonts w:hint="default"/>
              </w:rPr>
            </w:pPr>
          </w:p>
        </w:tc>
      </w:tr>
      <w:tr w14:paraId="7175C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7" w:type="pct"/>
            <w:vMerge w:val="continue"/>
            <w:vAlign w:val="center"/>
          </w:tcPr>
          <w:p w14:paraId="2CE0FBB2">
            <w:pPr>
              <w:pStyle w:val="22"/>
              <w:keepNext w:val="0"/>
              <w:keepLines w:val="0"/>
              <w:suppressLineNumbers w:val="0"/>
              <w:spacing w:before="0" w:beforeAutospacing="0" w:after="0" w:afterAutospacing="0"/>
              <w:ind w:left="0" w:right="0"/>
              <w:rPr>
                <w:rFonts w:hint="default"/>
              </w:rPr>
            </w:pPr>
          </w:p>
        </w:tc>
        <w:tc>
          <w:tcPr>
            <w:tcW w:w="901" w:type="pct"/>
            <w:vAlign w:val="center"/>
          </w:tcPr>
          <w:p w14:paraId="6F1D31E8">
            <w:pPr>
              <w:pStyle w:val="22"/>
              <w:keepNext w:val="0"/>
              <w:keepLines w:val="0"/>
              <w:suppressLineNumbers w:val="0"/>
              <w:spacing w:before="0" w:beforeAutospacing="0" w:after="0" w:afterAutospacing="0"/>
              <w:ind w:left="0" w:right="0"/>
              <w:rPr>
                <w:rFonts w:hint="default"/>
                <w:highlight w:val="none"/>
              </w:rPr>
            </w:pPr>
            <w:r>
              <w:rPr>
                <w:rFonts w:hint="default"/>
                <w:highlight w:val="none"/>
              </w:rPr>
              <w:t>理化特性</w:t>
            </w:r>
          </w:p>
        </w:tc>
        <w:tc>
          <w:tcPr>
            <w:tcW w:w="3241" w:type="pct"/>
            <w:gridSpan w:val="6"/>
            <w:vAlign w:val="center"/>
          </w:tcPr>
          <w:p w14:paraId="47A3515D">
            <w:pPr>
              <w:pStyle w:val="22"/>
              <w:keepNext w:val="0"/>
              <w:keepLines w:val="0"/>
              <w:suppressLineNumbers w:val="0"/>
              <w:spacing w:before="0" w:beforeAutospacing="0" w:after="0" w:afterAutospacing="0"/>
              <w:ind w:left="0" w:right="0"/>
              <w:rPr>
                <w:rFonts w:hint="default" w:eastAsiaTheme="minorEastAsia"/>
                <w:highlight w:val="none"/>
                <w:lang w:val="en-US" w:eastAsia="zh-CN"/>
              </w:rPr>
            </w:pPr>
            <w:r>
              <w:rPr>
                <w:rFonts w:hint="default"/>
                <w:highlight w:val="none"/>
              </w:rPr>
              <w:t>黄棕色，</w:t>
            </w:r>
            <w:r>
              <w:rPr>
                <w:rFonts w:hint="eastAsia"/>
                <w:highlight w:val="none"/>
                <w:lang w:val="en-US" w:eastAsia="zh-CN"/>
              </w:rPr>
              <w:t>砂土</w:t>
            </w:r>
            <w:r>
              <w:rPr>
                <w:rFonts w:hint="default"/>
                <w:highlight w:val="none"/>
              </w:rPr>
              <w:t>；pH值</w:t>
            </w:r>
            <w:r>
              <w:rPr>
                <w:rFonts w:hint="eastAsia"/>
                <w:highlight w:val="none"/>
                <w:lang w:val="en-US" w:eastAsia="zh-CN"/>
              </w:rPr>
              <w:t>8.24</w:t>
            </w:r>
            <w:r>
              <w:rPr>
                <w:rFonts w:hint="default"/>
                <w:highlight w:val="none"/>
              </w:rPr>
              <w:t>，土壤容重</w:t>
            </w:r>
            <w:r>
              <w:rPr>
                <w:rFonts w:hint="eastAsia"/>
                <w:highlight w:val="none"/>
                <w:lang w:val="en-US" w:eastAsia="zh-CN"/>
              </w:rPr>
              <w:t>1.56</w:t>
            </w:r>
            <w:r>
              <w:rPr>
                <w:rFonts w:hint="default"/>
                <w:highlight w:val="none"/>
              </w:rPr>
              <w:t>g/cm</w:t>
            </w:r>
            <w:r>
              <w:rPr>
                <w:rFonts w:hint="default"/>
                <w:highlight w:val="none"/>
                <w:vertAlign w:val="superscript"/>
              </w:rPr>
              <w:t>3</w:t>
            </w:r>
            <w:r>
              <w:rPr>
                <w:rFonts w:hint="default"/>
                <w:highlight w:val="none"/>
              </w:rPr>
              <w:t>，孔隙度</w:t>
            </w:r>
            <w:r>
              <w:rPr>
                <w:rFonts w:hint="eastAsia"/>
                <w:highlight w:val="none"/>
                <w:lang w:val="en-US" w:eastAsia="zh-CN"/>
              </w:rPr>
              <w:t>39.4%</w:t>
            </w:r>
            <w:r>
              <w:rPr>
                <w:rFonts w:hint="default"/>
                <w:highlight w:val="none"/>
              </w:rPr>
              <w:t>，饱和导水率</w:t>
            </w:r>
            <w:r>
              <w:rPr>
                <w:rFonts w:hint="eastAsia"/>
                <w:highlight w:val="none"/>
                <w:lang w:val="en-US" w:eastAsia="zh-CN"/>
              </w:rPr>
              <w:t>3.09cm/s</w:t>
            </w:r>
            <w:r>
              <w:rPr>
                <w:rFonts w:hint="default"/>
                <w:highlight w:val="none"/>
              </w:rPr>
              <w:t>，氧化还原电位</w:t>
            </w:r>
            <w:r>
              <w:rPr>
                <w:rFonts w:hint="eastAsia"/>
                <w:highlight w:val="none"/>
                <w:lang w:val="en-US" w:eastAsia="zh-CN"/>
              </w:rPr>
              <w:t>456</w:t>
            </w:r>
            <w:r>
              <w:rPr>
                <w:rFonts w:hint="default"/>
                <w:highlight w:val="none"/>
              </w:rPr>
              <w:t>mV，阳离子交换量</w:t>
            </w:r>
            <w:r>
              <w:rPr>
                <w:rFonts w:hint="eastAsia"/>
                <w:highlight w:val="none"/>
                <w:lang w:val="en-US" w:eastAsia="zh-CN"/>
              </w:rPr>
              <w:t>4.97</w:t>
            </w:r>
          </w:p>
        </w:tc>
        <w:tc>
          <w:tcPr>
            <w:tcW w:w="619" w:type="pct"/>
            <w:vAlign w:val="center"/>
          </w:tcPr>
          <w:p w14:paraId="3DD7423F">
            <w:pPr>
              <w:pStyle w:val="22"/>
              <w:keepNext w:val="0"/>
              <w:keepLines w:val="0"/>
              <w:suppressLineNumbers w:val="0"/>
              <w:spacing w:before="0" w:beforeAutospacing="0" w:after="0" w:afterAutospacing="0"/>
              <w:ind w:left="0" w:right="0"/>
              <w:rPr>
                <w:rFonts w:hint="default"/>
              </w:rPr>
            </w:pPr>
            <w:r>
              <w:rPr>
                <w:rFonts w:hint="default"/>
              </w:rPr>
              <w:t>同附录C</w:t>
            </w:r>
          </w:p>
        </w:tc>
      </w:tr>
      <w:tr w14:paraId="6C8FD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7" w:type="pct"/>
            <w:vMerge w:val="continue"/>
            <w:vAlign w:val="center"/>
          </w:tcPr>
          <w:p w14:paraId="6AA910B6">
            <w:pPr>
              <w:pStyle w:val="22"/>
              <w:keepNext w:val="0"/>
              <w:keepLines w:val="0"/>
              <w:suppressLineNumbers w:val="0"/>
              <w:spacing w:before="0" w:beforeAutospacing="0" w:after="0" w:afterAutospacing="0"/>
              <w:ind w:left="0" w:right="0"/>
              <w:rPr>
                <w:rFonts w:hint="default"/>
              </w:rPr>
            </w:pPr>
          </w:p>
        </w:tc>
        <w:tc>
          <w:tcPr>
            <w:tcW w:w="901" w:type="pct"/>
            <w:vMerge w:val="restart"/>
            <w:vAlign w:val="center"/>
          </w:tcPr>
          <w:p w14:paraId="6CC21C39">
            <w:pPr>
              <w:pStyle w:val="22"/>
              <w:keepNext w:val="0"/>
              <w:keepLines w:val="0"/>
              <w:suppressLineNumbers w:val="0"/>
              <w:spacing w:before="0" w:beforeAutospacing="0" w:after="0" w:afterAutospacing="0"/>
              <w:ind w:left="0" w:right="0"/>
              <w:rPr>
                <w:rFonts w:hint="default"/>
              </w:rPr>
            </w:pPr>
            <w:r>
              <w:rPr>
                <w:rFonts w:hint="default"/>
              </w:rPr>
              <w:t>现状监测点位</w:t>
            </w:r>
          </w:p>
        </w:tc>
        <w:tc>
          <w:tcPr>
            <w:tcW w:w="757" w:type="pct"/>
            <w:gridSpan w:val="2"/>
            <w:vAlign w:val="center"/>
          </w:tcPr>
          <w:p w14:paraId="6A1D514A">
            <w:pPr>
              <w:pStyle w:val="22"/>
              <w:keepNext w:val="0"/>
              <w:keepLines w:val="0"/>
              <w:suppressLineNumbers w:val="0"/>
              <w:spacing w:before="0" w:beforeAutospacing="0" w:after="0" w:afterAutospacing="0"/>
              <w:ind w:left="0" w:right="0"/>
              <w:rPr>
                <w:rFonts w:hint="default"/>
              </w:rPr>
            </w:pPr>
          </w:p>
        </w:tc>
        <w:tc>
          <w:tcPr>
            <w:tcW w:w="675" w:type="pct"/>
            <w:vAlign w:val="center"/>
          </w:tcPr>
          <w:p w14:paraId="6BD3B0C3">
            <w:pPr>
              <w:pStyle w:val="22"/>
              <w:keepNext w:val="0"/>
              <w:keepLines w:val="0"/>
              <w:suppressLineNumbers w:val="0"/>
              <w:spacing w:before="0" w:beforeAutospacing="0" w:after="0" w:afterAutospacing="0"/>
              <w:ind w:left="0" w:right="0"/>
              <w:rPr>
                <w:rFonts w:hint="default"/>
              </w:rPr>
            </w:pPr>
            <w:r>
              <w:rPr>
                <w:rFonts w:hint="default"/>
              </w:rPr>
              <w:t>占地范围内</w:t>
            </w:r>
          </w:p>
        </w:tc>
        <w:tc>
          <w:tcPr>
            <w:tcW w:w="702" w:type="pct"/>
            <w:vAlign w:val="center"/>
          </w:tcPr>
          <w:p w14:paraId="0E61DB5D">
            <w:pPr>
              <w:pStyle w:val="22"/>
              <w:keepNext w:val="0"/>
              <w:keepLines w:val="0"/>
              <w:suppressLineNumbers w:val="0"/>
              <w:spacing w:before="0" w:beforeAutospacing="0" w:after="0" w:afterAutospacing="0"/>
              <w:ind w:left="0" w:right="0"/>
              <w:rPr>
                <w:rFonts w:hint="default"/>
              </w:rPr>
            </w:pPr>
            <w:r>
              <w:rPr>
                <w:rFonts w:hint="default"/>
              </w:rPr>
              <w:t>占地范围外</w:t>
            </w:r>
          </w:p>
        </w:tc>
        <w:tc>
          <w:tcPr>
            <w:tcW w:w="1106" w:type="pct"/>
            <w:gridSpan w:val="2"/>
            <w:vAlign w:val="center"/>
          </w:tcPr>
          <w:p w14:paraId="3D00EBEC">
            <w:pPr>
              <w:pStyle w:val="22"/>
              <w:keepNext w:val="0"/>
              <w:keepLines w:val="0"/>
              <w:suppressLineNumbers w:val="0"/>
              <w:spacing w:before="0" w:beforeAutospacing="0" w:after="0" w:afterAutospacing="0"/>
              <w:ind w:left="0" w:right="0"/>
              <w:rPr>
                <w:rFonts w:hint="default"/>
              </w:rPr>
            </w:pPr>
            <w:r>
              <w:rPr>
                <w:rFonts w:hint="default"/>
              </w:rPr>
              <w:t>深度</w:t>
            </w:r>
          </w:p>
        </w:tc>
        <w:tc>
          <w:tcPr>
            <w:tcW w:w="619" w:type="pct"/>
            <w:vMerge w:val="restart"/>
            <w:vAlign w:val="center"/>
          </w:tcPr>
          <w:p w14:paraId="0724223E">
            <w:pPr>
              <w:pStyle w:val="22"/>
              <w:keepNext w:val="0"/>
              <w:keepLines w:val="0"/>
              <w:suppressLineNumbers w:val="0"/>
              <w:spacing w:before="0" w:beforeAutospacing="0" w:after="0" w:afterAutospacing="0"/>
              <w:ind w:left="0" w:right="0"/>
              <w:rPr>
                <w:rFonts w:hint="default"/>
              </w:rPr>
            </w:pPr>
            <w:r>
              <w:rPr>
                <w:rFonts w:hint="default"/>
              </w:rPr>
              <w:t>点位布置图</w:t>
            </w:r>
          </w:p>
        </w:tc>
      </w:tr>
      <w:tr w14:paraId="25E3D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7" w:type="pct"/>
            <w:vMerge w:val="continue"/>
            <w:vAlign w:val="center"/>
          </w:tcPr>
          <w:p w14:paraId="19025AA1">
            <w:pPr>
              <w:pStyle w:val="22"/>
              <w:keepNext w:val="0"/>
              <w:keepLines w:val="0"/>
              <w:suppressLineNumbers w:val="0"/>
              <w:spacing w:before="0" w:beforeAutospacing="0" w:after="0" w:afterAutospacing="0"/>
              <w:ind w:left="0" w:right="0"/>
              <w:rPr>
                <w:rFonts w:hint="default"/>
              </w:rPr>
            </w:pPr>
          </w:p>
        </w:tc>
        <w:tc>
          <w:tcPr>
            <w:tcW w:w="901" w:type="pct"/>
            <w:vMerge w:val="continue"/>
            <w:vAlign w:val="center"/>
          </w:tcPr>
          <w:p w14:paraId="22B7FB5A">
            <w:pPr>
              <w:pStyle w:val="22"/>
              <w:keepNext w:val="0"/>
              <w:keepLines w:val="0"/>
              <w:suppressLineNumbers w:val="0"/>
              <w:spacing w:before="0" w:beforeAutospacing="0" w:after="0" w:afterAutospacing="0"/>
              <w:ind w:left="0" w:right="0"/>
              <w:rPr>
                <w:rFonts w:hint="default"/>
                <w:highlight w:val="none"/>
              </w:rPr>
            </w:pPr>
          </w:p>
        </w:tc>
        <w:tc>
          <w:tcPr>
            <w:tcW w:w="757" w:type="pct"/>
            <w:gridSpan w:val="2"/>
            <w:vAlign w:val="center"/>
          </w:tcPr>
          <w:p w14:paraId="61CFFBF1">
            <w:pPr>
              <w:pStyle w:val="22"/>
              <w:keepNext w:val="0"/>
              <w:keepLines w:val="0"/>
              <w:suppressLineNumbers w:val="0"/>
              <w:spacing w:before="0" w:beforeAutospacing="0" w:after="0" w:afterAutospacing="0"/>
              <w:ind w:left="0" w:right="0"/>
              <w:rPr>
                <w:rFonts w:hint="default"/>
                <w:highlight w:val="none"/>
              </w:rPr>
            </w:pPr>
            <w:r>
              <w:rPr>
                <w:rFonts w:hint="default"/>
                <w:highlight w:val="none"/>
              </w:rPr>
              <w:t>表层样点数</w:t>
            </w:r>
          </w:p>
        </w:tc>
        <w:tc>
          <w:tcPr>
            <w:tcW w:w="675" w:type="pct"/>
            <w:vAlign w:val="center"/>
          </w:tcPr>
          <w:p w14:paraId="54421DFC">
            <w:pPr>
              <w:pStyle w:val="22"/>
              <w:keepNext w:val="0"/>
              <w:keepLines w:val="0"/>
              <w:suppressLineNumbers w:val="0"/>
              <w:spacing w:before="0" w:beforeAutospacing="0" w:after="0" w:afterAutospacing="0"/>
              <w:ind w:left="0" w:right="0"/>
              <w:rPr>
                <w:rFonts w:hint="eastAsia" w:eastAsia="宋体"/>
                <w:highlight w:val="none"/>
                <w:lang w:eastAsia="zh-CN"/>
              </w:rPr>
            </w:pPr>
            <w:r>
              <w:rPr>
                <w:rFonts w:hint="eastAsia"/>
                <w:highlight w:val="none"/>
                <w:lang w:val="en-US" w:eastAsia="zh-CN"/>
              </w:rPr>
              <w:t>1</w:t>
            </w:r>
          </w:p>
        </w:tc>
        <w:tc>
          <w:tcPr>
            <w:tcW w:w="702" w:type="pct"/>
            <w:vAlign w:val="center"/>
          </w:tcPr>
          <w:p w14:paraId="6A9DC482">
            <w:pPr>
              <w:pStyle w:val="22"/>
              <w:keepNext w:val="0"/>
              <w:keepLines w:val="0"/>
              <w:suppressLineNumbers w:val="0"/>
              <w:spacing w:before="0" w:beforeAutospacing="0" w:after="0" w:afterAutospacing="0"/>
              <w:ind w:left="0" w:right="0"/>
              <w:rPr>
                <w:rFonts w:hint="eastAsia" w:eastAsia="宋体"/>
                <w:highlight w:val="none"/>
                <w:lang w:eastAsia="zh-CN"/>
              </w:rPr>
            </w:pPr>
            <w:r>
              <w:rPr>
                <w:rFonts w:hint="eastAsia"/>
                <w:highlight w:val="none"/>
                <w:lang w:val="en-US" w:eastAsia="zh-CN"/>
              </w:rPr>
              <w:t>2</w:t>
            </w:r>
          </w:p>
        </w:tc>
        <w:tc>
          <w:tcPr>
            <w:tcW w:w="1106" w:type="pct"/>
            <w:gridSpan w:val="2"/>
            <w:vAlign w:val="center"/>
          </w:tcPr>
          <w:p w14:paraId="561E483F">
            <w:pPr>
              <w:pStyle w:val="22"/>
              <w:keepNext w:val="0"/>
              <w:keepLines w:val="0"/>
              <w:suppressLineNumbers w:val="0"/>
              <w:spacing w:before="0" w:beforeAutospacing="0" w:after="0" w:afterAutospacing="0"/>
              <w:ind w:left="0" w:right="0"/>
              <w:rPr>
                <w:rFonts w:hint="default"/>
                <w:highlight w:val="none"/>
              </w:rPr>
            </w:pPr>
            <w:r>
              <w:rPr>
                <w:rFonts w:hint="default"/>
                <w:highlight w:val="none"/>
              </w:rPr>
              <w:t>0-0.2m</w:t>
            </w:r>
          </w:p>
        </w:tc>
        <w:tc>
          <w:tcPr>
            <w:tcW w:w="619" w:type="pct"/>
            <w:vMerge w:val="continue"/>
            <w:vAlign w:val="center"/>
          </w:tcPr>
          <w:p w14:paraId="0B3DC3C3">
            <w:pPr>
              <w:pStyle w:val="22"/>
              <w:keepNext w:val="0"/>
              <w:keepLines w:val="0"/>
              <w:suppressLineNumbers w:val="0"/>
              <w:spacing w:before="0" w:beforeAutospacing="0" w:after="0" w:afterAutospacing="0"/>
              <w:ind w:left="0" w:right="0"/>
              <w:rPr>
                <w:rFonts w:hint="default"/>
              </w:rPr>
            </w:pPr>
          </w:p>
        </w:tc>
      </w:tr>
      <w:tr w14:paraId="5770E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237" w:type="pct"/>
            <w:vMerge w:val="continue"/>
            <w:vAlign w:val="center"/>
          </w:tcPr>
          <w:p w14:paraId="2D6E1E3C">
            <w:pPr>
              <w:pStyle w:val="22"/>
              <w:keepNext w:val="0"/>
              <w:keepLines w:val="0"/>
              <w:suppressLineNumbers w:val="0"/>
              <w:spacing w:before="0" w:beforeAutospacing="0" w:after="0" w:afterAutospacing="0"/>
              <w:ind w:left="0" w:right="0"/>
              <w:rPr>
                <w:rFonts w:hint="default"/>
              </w:rPr>
            </w:pPr>
          </w:p>
        </w:tc>
        <w:tc>
          <w:tcPr>
            <w:tcW w:w="901" w:type="pct"/>
            <w:vMerge w:val="continue"/>
            <w:vAlign w:val="center"/>
          </w:tcPr>
          <w:p w14:paraId="01B40DF6">
            <w:pPr>
              <w:pStyle w:val="22"/>
              <w:keepNext w:val="0"/>
              <w:keepLines w:val="0"/>
              <w:suppressLineNumbers w:val="0"/>
              <w:spacing w:before="0" w:beforeAutospacing="0" w:after="0" w:afterAutospacing="0"/>
              <w:ind w:left="0" w:right="0"/>
              <w:rPr>
                <w:rFonts w:hint="default"/>
                <w:highlight w:val="none"/>
              </w:rPr>
            </w:pPr>
          </w:p>
        </w:tc>
        <w:tc>
          <w:tcPr>
            <w:tcW w:w="757" w:type="pct"/>
            <w:gridSpan w:val="2"/>
            <w:vAlign w:val="center"/>
          </w:tcPr>
          <w:p w14:paraId="277A2028">
            <w:pPr>
              <w:pStyle w:val="22"/>
              <w:keepNext w:val="0"/>
              <w:keepLines w:val="0"/>
              <w:suppressLineNumbers w:val="0"/>
              <w:spacing w:before="0" w:beforeAutospacing="0" w:after="0" w:afterAutospacing="0"/>
              <w:ind w:left="0" w:right="0"/>
              <w:rPr>
                <w:rFonts w:hint="default"/>
                <w:highlight w:val="none"/>
              </w:rPr>
            </w:pPr>
            <w:r>
              <w:rPr>
                <w:rFonts w:hint="default"/>
                <w:highlight w:val="none"/>
              </w:rPr>
              <w:t>柱状样点数</w:t>
            </w:r>
          </w:p>
        </w:tc>
        <w:tc>
          <w:tcPr>
            <w:tcW w:w="675" w:type="pct"/>
            <w:vAlign w:val="center"/>
          </w:tcPr>
          <w:p w14:paraId="42F88B95">
            <w:pPr>
              <w:pStyle w:val="22"/>
              <w:keepNext w:val="0"/>
              <w:keepLines w:val="0"/>
              <w:suppressLineNumbers w:val="0"/>
              <w:spacing w:before="0" w:beforeAutospacing="0" w:after="0" w:afterAutospacing="0"/>
              <w:ind w:left="0" w:right="0"/>
              <w:rPr>
                <w:rFonts w:hint="eastAsia" w:eastAsia="宋体"/>
                <w:highlight w:val="none"/>
                <w:lang w:eastAsia="zh-CN"/>
              </w:rPr>
            </w:pPr>
            <w:r>
              <w:rPr>
                <w:rFonts w:hint="eastAsia"/>
                <w:highlight w:val="none"/>
                <w:lang w:val="en-US" w:eastAsia="zh-CN"/>
              </w:rPr>
              <w:t>3</w:t>
            </w:r>
          </w:p>
        </w:tc>
        <w:tc>
          <w:tcPr>
            <w:tcW w:w="702" w:type="pct"/>
            <w:vAlign w:val="center"/>
          </w:tcPr>
          <w:p w14:paraId="0DB7EADF">
            <w:pPr>
              <w:pStyle w:val="22"/>
              <w:keepNext w:val="0"/>
              <w:keepLines w:val="0"/>
              <w:suppressLineNumbers w:val="0"/>
              <w:spacing w:before="0" w:beforeAutospacing="0" w:after="0" w:afterAutospacing="0"/>
              <w:ind w:left="0" w:right="0"/>
              <w:rPr>
                <w:rFonts w:hint="default"/>
                <w:highlight w:val="none"/>
              </w:rPr>
            </w:pPr>
            <w:r>
              <w:rPr>
                <w:rFonts w:hint="default"/>
                <w:highlight w:val="none"/>
              </w:rPr>
              <w:t>0</w:t>
            </w:r>
          </w:p>
        </w:tc>
        <w:tc>
          <w:tcPr>
            <w:tcW w:w="1106" w:type="pct"/>
            <w:gridSpan w:val="2"/>
            <w:vAlign w:val="center"/>
          </w:tcPr>
          <w:p w14:paraId="4BD329B4">
            <w:pPr>
              <w:pStyle w:val="22"/>
              <w:keepNext w:val="0"/>
              <w:keepLines w:val="0"/>
              <w:suppressLineNumbers w:val="0"/>
              <w:spacing w:before="0" w:beforeAutospacing="0" w:after="0" w:afterAutospacing="0"/>
              <w:ind w:left="0" w:right="0"/>
              <w:rPr>
                <w:rFonts w:hint="default"/>
                <w:highlight w:val="none"/>
              </w:rPr>
            </w:pPr>
            <w:r>
              <w:rPr>
                <w:rFonts w:hint="default"/>
                <w:highlight w:val="none"/>
              </w:rPr>
              <w:t>在0~0.5m、0.5</w:t>
            </w:r>
            <w:r>
              <w:rPr>
                <w:rFonts w:hint="eastAsia"/>
                <w:highlight w:val="none"/>
                <w:lang w:eastAsia="zh-CN"/>
              </w:rPr>
              <w:t>～</w:t>
            </w:r>
            <w:r>
              <w:rPr>
                <w:rFonts w:hint="default"/>
                <w:highlight w:val="none"/>
              </w:rPr>
              <w:t>1.5m、1.5</w:t>
            </w:r>
            <w:r>
              <w:rPr>
                <w:rFonts w:hint="eastAsia"/>
                <w:highlight w:val="none"/>
                <w:lang w:eastAsia="zh-CN"/>
              </w:rPr>
              <w:t>～</w:t>
            </w:r>
            <w:r>
              <w:rPr>
                <w:rFonts w:hint="default"/>
                <w:highlight w:val="none"/>
              </w:rPr>
              <w:t>3m分别取样</w:t>
            </w:r>
          </w:p>
        </w:tc>
        <w:tc>
          <w:tcPr>
            <w:tcW w:w="619" w:type="pct"/>
            <w:vMerge w:val="continue"/>
            <w:vAlign w:val="center"/>
          </w:tcPr>
          <w:p w14:paraId="02BBE461">
            <w:pPr>
              <w:pStyle w:val="22"/>
              <w:keepNext w:val="0"/>
              <w:keepLines w:val="0"/>
              <w:suppressLineNumbers w:val="0"/>
              <w:spacing w:before="0" w:beforeAutospacing="0" w:after="0" w:afterAutospacing="0"/>
              <w:ind w:left="0" w:right="0"/>
              <w:rPr>
                <w:rFonts w:hint="default"/>
              </w:rPr>
            </w:pPr>
          </w:p>
        </w:tc>
      </w:tr>
      <w:tr w14:paraId="63263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7" w:type="pct"/>
            <w:vMerge w:val="continue"/>
            <w:vAlign w:val="center"/>
          </w:tcPr>
          <w:p w14:paraId="51890B9B">
            <w:pPr>
              <w:pStyle w:val="22"/>
              <w:keepNext w:val="0"/>
              <w:keepLines w:val="0"/>
              <w:suppressLineNumbers w:val="0"/>
              <w:spacing w:before="0" w:beforeAutospacing="0" w:after="0" w:afterAutospacing="0"/>
              <w:ind w:left="0" w:right="0"/>
              <w:rPr>
                <w:rFonts w:hint="default"/>
              </w:rPr>
            </w:pPr>
          </w:p>
        </w:tc>
        <w:tc>
          <w:tcPr>
            <w:tcW w:w="901" w:type="pct"/>
            <w:vAlign w:val="center"/>
          </w:tcPr>
          <w:p w14:paraId="17B22EA4">
            <w:pPr>
              <w:pStyle w:val="22"/>
              <w:keepNext w:val="0"/>
              <w:keepLines w:val="0"/>
              <w:suppressLineNumbers w:val="0"/>
              <w:spacing w:before="0" w:beforeAutospacing="0" w:after="0" w:afterAutospacing="0"/>
              <w:ind w:left="0" w:right="0"/>
              <w:rPr>
                <w:rFonts w:hint="default"/>
              </w:rPr>
            </w:pPr>
            <w:r>
              <w:rPr>
                <w:rFonts w:hint="default"/>
              </w:rPr>
              <w:t>现状监测因子</w:t>
            </w:r>
          </w:p>
        </w:tc>
        <w:tc>
          <w:tcPr>
            <w:tcW w:w="3241" w:type="pct"/>
            <w:gridSpan w:val="6"/>
            <w:vAlign w:val="center"/>
          </w:tcPr>
          <w:p w14:paraId="05751F7D">
            <w:pPr>
              <w:pStyle w:val="22"/>
              <w:keepNext w:val="0"/>
              <w:keepLines w:val="0"/>
              <w:suppressLineNumbers w:val="0"/>
              <w:spacing w:before="0" w:beforeAutospacing="0" w:after="0" w:afterAutospacing="0"/>
              <w:ind w:left="0" w:right="0"/>
              <w:rPr>
                <w:rFonts w:hint="eastAsia" w:eastAsia="宋体"/>
                <w:lang w:eastAsia="zh-CN"/>
              </w:rPr>
            </w:pPr>
            <w:bookmarkStart w:id="258" w:name="OLE_LINK822"/>
            <w:r>
              <w:rPr>
                <w:rFonts w:hint="default"/>
              </w:rPr>
              <w:t>GB36600-2018中建设用地45项基本项目</w:t>
            </w:r>
            <w:bookmarkStart w:id="259" w:name="OLE_LINK821"/>
            <w:r>
              <w:rPr>
                <w:rFonts w:hint="eastAsia"/>
                <w:lang w:val="en-US" w:eastAsia="zh-CN"/>
              </w:rPr>
              <w:t>+</w:t>
            </w:r>
            <w:r>
              <w:rPr>
                <w:rFonts w:hint="default"/>
              </w:rPr>
              <w:t>锑</w:t>
            </w:r>
            <w:r>
              <w:rPr>
                <w:rFonts w:hint="eastAsia"/>
              </w:rPr>
              <w:t>、二噁英类</w:t>
            </w:r>
            <w:r>
              <w:rPr>
                <w:rFonts w:hint="default"/>
              </w:rPr>
              <w:t>、石油烃</w:t>
            </w:r>
            <w:bookmarkEnd w:id="259"/>
            <w:r>
              <w:rPr>
                <w:rFonts w:hint="default"/>
              </w:rPr>
              <w:t>，GB 15618-2018</w:t>
            </w:r>
            <w:r>
              <w:rPr>
                <w:rFonts w:hint="eastAsia"/>
                <w:lang w:val="en-US" w:eastAsia="zh-CN"/>
              </w:rPr>
              <w:t>+</w:t>
            </w:r>
            <w:r>
              <w:rPr>
                <w:rFonts w:hint="default"/>
              </w:rPr>
              <w:t>锑</w:t>
            </w:r>
            <w:r>
              <w:rPr>
                <w:rFonts w:hint="eastAsia"/>
              </w:rPr>
              <w:t>、二噁英类</w:t>
            </w:r>
            <w:r>
              <w:rPr>
                <w:rFonts w:hint="default"/>
              </w:rPr>
              <w:t>、石油烃</w:t>
            </w:r>
            <w:bookmarkEnd w:id="258"/>
          </w:p>
        </w:tc>
        <w:tc>
          <w:tcPr>
            <w:tcW w:w="619" w:type="pct"/>
            <w:vAlign w:val="center"/>
          </w:tcPr>
          <w:p w14:paraId="3C6530F6">
            <w:pPr>
              <w:pStyle w:val="22"/>
              <w:keepNext w:val="0"/>
              <w:keepLines w:val="0"/>
              <w:suppressLineNumbers w:val="0"/>
              <w:spacing w:before="0" w:beforeAutospacing="0" w:after="0" w:afterAutospacing="0"/>
              <w:ind w:left="0" w:right="0"/>
              <w:rPr>
                <w:rFonts w:hint="default"/>
              </w:rPr>
            </w:pPr>
          </w:p>
        </w:tc>
      </w:tr>
      <w:tr w14:paraId="2299B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7" w:type="pct"/>
            <w:vMerge w:val="restart"/>
            <w:vAlign w:val="center"/>
          </w:tcPr>
          <w:p w14:paraId="057A2A9B">
            <w:pPr>
              <w:pStyle w:val="22"/>
              <w:keepNext w:val="0"/>
              <w:keepLines w:val="0"/>
              <w:suppressLineNumbers w:val="0"/>
              <w:spacing w:before="0" w:beforeAutospacing="0" w:after="0" w:afterAutospacing="0"/>
              <w:ind w:left="0" w:right="0"/>
              <w:rPr>
                <w:rFonts w:hint="default"/>
              </w:rPr>
            </w:pPr>
            <w:r>
              <w:rPr>
                <w:rFonts w:hint="default"/>
              </w:rPr>
              <w:t>现状评</w:t>
            </w:r>
          </w:p>
          <w:p w14:paraId="2091427C">
            <w:pPr>
              <w:pStyle w:val="22"/>
              <w:keepNext w:val="0"/>
              <w:keepLines w:val="0"/>
              <w:suppressLineNumbers w:val="0"/>
              <w:spacing w:before="0" w:beforeAutospacing="0" w:after="0" w:afterAutospacing="0"/>
              <w:ind w:left="0" w:right="0"/>
              <w:rPr>
                <w:rFonts w:hint="default"/>
              </w:rPr>
            </w:pPr>
            <w:r>
              <w:rPr>
                <w:rFonts w:hint="default"/>
              </w:rPr>
              <w:t>价</w:t>
            </w:r>
          </w:p>
        </w:tc>
        <w:tc>
          <w:tcPr>
            <w:tcW w:w="901" w:type="pct"/>
            <w:vAlign w:val="center"/>
          </w:tcPr>
          <w:p w14:paraId="11B3D6E5">
            <w:pPr>
              <w:pStyle w:val="22"/>
              <w:keepNext w:val="0"/>
              <w:keepLines w:val="0"/>
              <w:suppressLineNumbers w:val="0"/>
              <w:spacing w:before="0" w:beforeAutospacing="0" w:after="0" w:afterAutospacing="0"/>
              <w:ind w:left="0" w:right="0"/>
              <w:rPr>
                <w:rFonts w:hint="default"/>
              </w:rPr>
            </w:pPr>
            <w:r>
              <w:rPr>
                <w:rFonts w:hint="default"/>
              </w:rPr>
              <w:t>评价因子</w:t>
            </w:r>
          </w:p>
        </w:tc>
        <w:tc>
          <w:tcPr>
            <w:tcW w:w="3241" w:type="pct"/>
            <w:gridSpan w:val="6"/>
            <w:vAlign w:val="center"/>
          </w:tcPr>
          <w:p w14:paraId="351DAD2B">
            <w:pPr>
              <w:pStyle w:val="22"/>
              <w:keepNext w:val="0"/>
              <w:keepLines w:val="0"/>
              <w:suppressLineNumbers w:val="0"/>
              <w:spacing w:before="0" w:beforeAutospacing="0" w:after="0" w:afterAutospacing="0"/>
              <w:ind w:left="0" w:right="0"/>
              <w:rPr>
                <w:rFonts w:hint="default"/>
              </w:rPr>
            </w:pPr>
            <w:r>
              <w:rPr>
                <w:rFonts w:hint="default"/>
              </w:rPr>
              <w:t>GB36600-2018中建设用地45项基本项目</w:t>
            </w:r>
            <w:r>
              <w:rPr>
                <w:rFonts w:hint="eastAsia"/>
                <w:lang w:val="en-US" w:eastAsia="zh-CN"/>
              </w:rPr>
              <w:t>+</w:t>
            </w:r>
            <w:r>
              <w:rPr>
                <w:rFonts w:hint="default"/>
              </w:rPr>
              <w:t>锑</w:t>
            </w:r>
            <w:r>
              <w:rPr>
                <w:rFonts w:hint="eastAsia"/>
              </w:rPr>
              <w:t>、二噁英类</w:t>
            </w:r>
            <w:r>
              <w:rPr>
                <w:rFonts w:hint="default"/>
              </w:rPr>
              <w:t>、石油烃，GB 15618-2018</w:t>
            </w:r>
            <w:r>
              <w:rPr>
                <w:rFonts w:hint="eastAsia"/>
                <w:lang w:val="en-US" w:eastAsia="zh-CN"/>
              </w:rPr>
              <w:t>+</w:t>
            </w:r>
            <w:r>
              <w:rPr>
                <w:rFonts w:hint="default"/>
              </w:rPr>
              <w:t>锑</w:t>
            </w:r>
            <w:r>
              <w:rPr>
                <w:rFonts w:hint="eastAsia"/>
              </w:rPr>
              <w:t>、二噁英类</w:t>
            </w:r>
            <w:r>
              <w:rPr>
                <w:rFonts w:hint="default"/>
              </w:rPr>
              <w:t>、石油烃</w:t>
            </w:r>
          </w:p>
        </w:tc>
        <w:tc>
          <w:tcPr>
            <w:tcW w:w="619" w:type="pct"/>
            <w:vAlign w:val="center"/>
          </w:tcPr>
          <w:p w14:paraId="6DDD821D">
            <w:pPr>
              <w:pStyle w:val="22"/>
              <w:keepNext w:val="0"/>
              <w:keepLines w:val="0"/>
              <w:suppressLineNumbers w:val="0"/>
              <w:spacing w:before="0" w:beforeAutospacing="0" w:after="0" w:afterAutospacing="0"/>
              <w:ind w:left="0" w:right="0"/>
              <w:rPr>
                <w:rFonts w:hint="default"/>
              </w:rPr>
            </w:pPr>
          </w:p>
        </w:tc>
      </w:tr>
      <w:tr w14:paraId="67174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7" w:type="pct"/>
            <w:vMerge w:val="continue"/>
            <w:vAlign w:val="center"/>
          </w:tcPr>
          <w:p w14:paraId="33804702">
            <w:pPr>
              <w:pStyle w:val="22"/>
              <w:keepNext w:val="0"/>
              <w:keepLines w:val="0"/>
              <w:suppressLineNumbers w:val="0"/>
              <w:spacing w:before="0" w:beforeAutospacing="0" w:after="0" w:afterAutospacing="0"/>
              <w:ind w:left="0" w:right="0"/>
              <w:rPr>
                <w:rFonts w:hint="default"/>
              </w:rPr>
            </w:pPr>
          </w:p>
        </w:tc>
        <w:tc>
          <w:tcPr>
            <w:tcW w:w="901" w:type="pct"/>
            <w:vAlign w:val="center"/>
          </w:tcPr>
          <w:p w14:paraId="743F3815">
            <w:pPr>
              <w:pStyle w:val="22"/>
              <w:keepNext w:val="0"/>
              <w:keepLines w:val="0"/>
              <w:suppressLineNumbers w:val="0"/>
              <w:spacing w:before="0" w:beforeAutospacing="0" w:after="0" w:afterAutospacing="0"/>
              <w:ind w:left="0" w:right="0"/>
              <w:rPr>
                <w:rFonts w:hint="default"/>
              </w:rPr>
            </w:pPr>
            <w:r>
              <w:rPr>
                <w:rFonts w:hint="default"/>
              </w:rPr>
              <w:t>评价标准</w:t>
            </w:r>
          </w:p>
        </w:tc>
        <w:tc>
          <w:tcPr>
            <w:tcW w:w="3241" w:type="pct"/>
            <w:gridSpan w:val="6"/>
            <w:vAlign w:val="center"/>
          </w:tcPr>
          <w:p w14:paraId="362CB1FF">
            <w:pPr>
              <w:pStyle w:val="22"/>
              <w:keepNext w:val="0"/>
              <w:keepLines w:val="0"/>
              <w:suppressLineNumbers w:val="0"/>
              <w:spacing w:before="0" w:beforeAutospacing="0" w:after="0" w:afterAutospacing="0"/>
              <w:ind w:left="0" w:right="0"/>
              <w:rPr>
                <w:rFonts w:hint="default"/>
              </w:rPr>
            </w:pPr>
            <w:r>
              <w:rPr>
                <w:rFonts w:hint="default"/>
              </w:rPr>
              <w:t>GB 15618</w:t>
            </w:r>
            <w:r>
              <w:rPr>
                <w:rFonts w:hint="eastAsia"/>
              </w:rPr>
              <w:t>☑</w:t>
            </w:r>
            <w:r>
              <w:rPr>
                <w:rFonts w:hint="default"/>
              </w:rPr>
              <w:t>；GB 36600</w:t>
            </w:r>
            <w:r>
              <w:rPr>
                <w:rFonts w:hint="default"/>
              </w:rPr>
              <w:sym w:font="Wingdings 2" w:char="F052"/>
            </w:r>
            <w:r>
              <w:rPr>
                <w:rFonts w:hint="default"/>
              </w:rPr>
              <w:t>；表D.1□；表D.2□；其他（）</w:t>
            </w:r>
          </w:p>
        </w:tc>
        <w:tc>
          <w:tcPr>
            <w:tcW w:w="619" w:type="pct"/>
            <w:vAlign w:val="center"/>
          </w:tcPr>
          <w:p w14:paraId="71D10533">
            <w:pPr>
              <w:pStyle w:val="22"/>
              <w:keepNext w:val="0"/>
              <w:keepLines w:val="0"/>
              <w:suppressLineNumbers w:val="0"/>
              <w:spacing w:before="0" w:beforeAutospacing="0" w:after="0" w:afterAutospacing="0"/>
              <w:ind w:left="0" w:right="0"/>
              <w:rPr>
                <w:rFonts w:hint="default"/>
              </w:rPr>
            </w:pPr>
          </w:p>
        </w:tc>
      </w:tr>
      <w:tr w14:paraId="43FD8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237" w:type="pct"/>
            <w:vMerge w:val="continue"/>
            <w:vAlign w:val="center"/>
          </w:tcPr>
          <w:p w14:paraId="76820E09">
            <w:pPr>
              <w:pStyle w:val="22"/>
              <w:keepNext w:val="0"/>
              <w:keepLines w:val="0"/>
              <w:suppressLineNumbers w:val="0"/>
              <w:spacing w:before="0" w:beforeAutospacing="0" w:after="0" w:afterAutospacing="0"/>
              <w:ind w:left="0" w:right="0"/>
              <w:rPr>
                <w:rFonts w:hint="default"/>
              </w:rPr>
            </w:pPr>
          </w:p>
        </w:tc>
        <w:tc>
          <w:tcPr>
            <w:tcW w:w="901" w:type="pct"/>
            <w:vAlign w:val="center"/>
          </w:tcPr>
          <w:p w14:paraId="72F37443">
            <w:pPr>
              <w:pStyle w:val="22"/>
              <w:keepNext w:val="0"/>
              <w:keepLines w:val="0"/>
              <w:suppressLineNumbers w:val="0"/>
              <w:spacing w:before="0" w:beforeAutospacing="0" w:after="0" w:afterAutospacing="0"/>
              <w:ind w:left="0" w:right="0"/>
              <w:rPr>
                <w:rFonts w:hint="default"/>
              </w:rPr>
            </w:pPr>
            <w:r>
              <w:rPr>
                <w:rFonts w:hint="default"/>
              </w:rPr>
              <w:t>现状评价结论</w:t>
            </w:r>
          </w:p>
        </w:tc>
        <w:tc>
          <w:tcPr>
            <w:tcW w:w="3241" w:type="pct"/>
            <w:gridSpan w:val="6"/>
            <w:vAlign w:val="center"/>
          </w:tcPr>
          <w:p w14:paraId="762BDE7F">
            <w:pPr>
              <w:pStyle w:val="22"/>
              <w:keepNext w:val="0"/>
              <w:keepLines w:val="0"/>
              <w:suppressLineNumbers w:val="0"/>
              <w:spacing w:before="0" w:beforeAutospacing="0" w:after="0" w:afterAutospacing="0"/>
              <w:ind w:left="0" w:right="0"/>
              <w:rPr>
                <w:rFonts w:hint="default"/>
              </w:rPr>
            </w:pPr>
            <w:r>
              <w:rPr>
                <w:rFonts w:hint="default"/>
              </w:rPr>
              <w:t>项目各土壤监测点位监测结果均能满足《</w:t>
            </w:r>
            <w:r>
              <w:rPr>
                <w:rFonts w:hint="eastAsia"/>
                <w:lang w:eastAsia="zh-CN"/>
              </w:rPr>
              <w:t>土壤环境质量 建设用地土壤污染风险管控标准（试行）</w:t>
            </w:r>
            <w:r>
              <w:rPr>
                <w:rFonts w:hint="default"/>
              </w:rPr>
              <w:t>》（GB36600-2018）表1、表2 风险筛选值（第二类用地）表明建设项目场地土壤环境质量状况较好。</w:t>
            </w:r>
          </w:p>
        </w:tc>
        <w:tc>
          <w:tcPr>
            <w:tcW w:w="619" w:type="pct"/>
            <w:vAlign w:val="center"/>
          </w:tcPr>
          <w:p w14:paraId="3E854A39">
            <w:pPr>
              <w:pStyle w:val="22"/>
              <w:keepNext w:val="0"/>
              <w:keepLines w:val="0"/>
              <w:suppressLineNumbers w:val="0"/>
              <w:spacing w:before="0" w:beforeAutospacing="0" w:after="0" w:afterAutospacing="0"/>
              <w:ind w:left="0" w:right="0"/>
              <w:rPr>
                <w:rFonts w:hint="default"/>
              </w:rPr>
            </w:pPr>
          </w:p>
        </w:tc>
      </w:tr>
      <w:tr w14:paraId="142F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7" w:type="pct"/>
            <w:vMerge w:val="restart"/>
            <w:vAlign w:val="center"/>
          </w:tcPr>
          <w:p w14:paraId="15DB54B3">
            <w:pPr>
              <w:pStyle w:val="22"/>
              <w:keepNext w:val="0"/>
              <w:keepLines w:val="0"/>
              <w:suppressLineNumbers w:val="0"/>
              <w:spacing w:before="0" w:beforeAutospacing="0" w:after="0" w:afterAutospacing="0"/>
              <w:ind w:left="0" w:right="0"/>
              <w:rPr>
                <w:rFonts w:hint="default"/>
              </w:rPr>
            </w:pPr>
            <w:r>
              <w:rPr>
                <w:rFonts w:hint="default"/>
              </w:rPr>
              <w:t>影响预测</w:t>
            </w:r>
          </w:p>
        </w:tc>
        <w:tc>
          <w:tcPr>
            <w:tcW w:w="901" w:type="pct"/>
            <w:vAlign w:val="center"/>
          </w:tcPr>
          <w:p w14:paraId="6FCF506D">
            <w:pPr>
              <w:pStyle w:val="22"/>
              <w:keepNext w:val="0"/>
              <w:keepLines w:val="0"/>
              <w:suppressLineNumbers w:val="0"/>
              <w:spacing w:before="0" w:beforeAutospacing="0" w:after="0" w:afterAutospacing="0"/>
              <w:ind w:left="0" w:right="0"/>
              <w:rPr>
                <w:rFonts w:hint="default"/>
              </w:rPr>
            </w:pPr>
            <w:r>
              <w:rPr>
                <w:rFonts w:hint="default"/>
              </w:rPr>
              <w:t>预测因子</w:t>
            </w:r>
          </w:p>
        </w:tc>
        <w:tc>
          <w:tcPr>
            <w:tcW w:w="3241" w:type="pct"/>
            <w:gridSpan w:val="6"/>
            <w:vAlign w:val="center"/>
          </w:tcPr>
          <w:p w14:paraId="0C0CD591">
            <w:pPr>
              <w:pStyle w:val="22"/>
              <w:keepNext w:val="0"/>
              <w:keepLines w:val="0"/>
              <w:suppressLineNumbers w:val="0"/>
              <w:spacing w:before="0" w:beforeAutospacing="0" w:after="0" w:afterAutospacing="0"/>
              <w:ind w:left="0" w:right="0"/>
              <w:rPr>
                <w:rFonts w:hint="default" w:eastAsiaTheme="minorEastAsia"/>
                <w:lang w:val="en-US" w:eastAsia="zh-CN"/>
              </w:rPr>
            </w:pPr>
            <w:bookmarkStart w:id="260" w:name="OLE_LINK825"/>
            <w:r>
              <w:rPr>
                <w:rFonts w:hint="eastAsia" w:ascii="Times New Roman" w:hAnsi="Times New Roman" w:eastAsia="宋体" w:cs="Times New Roman"/>
                <w:sz w:val="21"/>
                <w:szCs w:val="21"/>
              </w:rPr>
              <w:t>总砷</w:t>
            </w:r>
            <w:r>
              <w:rPr>
                <w:rFonts w:hint="eastAsia" w:ascii="Times New Roman" w:hAnsi="Times New Roman" w:eastAsia="宋体" w:cs="Times New Roman"/>
                <w:sz w:val="21"/>
                <w:szCs w:val="21"/>
                <w:lang w:eastAsia="zh-CN"/>
              </w:rPr>
              <w:t>、</w:t>
            </w:r>
            <w:r>
              <w:rPr>
                <w:rFonts w:hint="eastAsia"/>
                <w:sz w:val="21"/>
                <w:szCs w:val="21"/>
              </w:rPr>
              <w:t>二噁英类</w:t>
            </w:r>
            <w:r>
              <w:rPr>
                <w:rFonts w:hint="eastAsia"/>
                <w:sz w:val="21"/>
                <w:szCs w:val="21"/>
                <w:lang w:eastAsia="zh-CN"/>
              </w:rPr>
              <w:t>、</w:t>
            </w:r>
            <w:r>
              <w:rPr>
                <w:rFonts w:hint="eastAsia"/>
                <w:sz w:val="21"/>
                <w:szCs w:val="21"/>
              </w:rPr>
              <w:t>汞</w:t>
            </w:r>
            <w:r>
              <w:rPr>
                <w:rFonts w:hint="eastAsia"/>
                <w:sz w:val="21"/>
                <w:szCs w:val="21"/>
                <w:lang w:eastAsia="zh-CN"/>
              </w:rPr>
              <w:t>、</w:t>
            </w:r>
            <w:r>
              <w:rPr>
                <w:rFonts w:hint="eastAsia"/>
                <w:sz w:val="21"/>
                <w:szCs w:val="21"/>
              </w:rPr>
              <w:t>铅</w:t>
            </w:r>
            <w:r>
              <w:rPr>
                <w:rFonts w:hint="eastAsia"/>
                <w:sz w:val="21"/>
                <w:szCs w:val="21"/>
                <w:lang w:eastAsia="zh-CN"/>
              </w:rPr>
              <w:t>、</w:t>
            </w:r>
            <w:r>
              <w:rPr>
                <w:rFonts w:hint="eastAsia"/>
                <w:sz w:val="21"/>
                <w:szCs w:val="21"/>
              </w:rPr>
              <w:t>镉</w:t>
            </w:r>
            <w:r>
              <w:rPr>
                <w:rFonts w:hint="eastAsia"/>
                <w:sz w:val="21"/>
                <w:szCs w:val="21"/>
                <w:lang w:eastAsia="zh-CN"/>
              </w:rPr>
              <w:t>、</w:t>
            </w:r>
            <w:r>
              <w:rPr>
                <w:rFonts w:hint="eastAsia"/>
                <w:sz w:val="21"/>
                <w:szCs w:val="21"/>
              </w:rPr>
              <w:t>砷</w:t>
            </w:r>
            <w:r>
              <w:rPr>
                <w:rFonts w:hint="eastAsia"/>
                <w:sz w:val="21"/>
                <w:szCs w:val="21"/>
                <w:lang w:eastAsia="zh-CN"/>
              </w:rPr>
              <w:t>、</w:t>
            </w:r>
            <w:r>
              <w:rPr>
                <w:rFonts w:hint="eastAsia"/>
                <w:sz w:val="21"/>
                <w:szCs w:val="21"/>
              </w:rPr>
              <w:t>镍</w:t>
            </w:r>
            <w:r>
              <w:rPr>
                <w:rFonts w:hint="eastAsia"/>
                <w:sz w:val="21"/>
                <w:szCs w:val="21"/>
                <w:lang w:eastAsia="zh-CN"/>
              </w:rPr>
              <w:t>、</w:t>
            </w:r>
            <w:r>
              <w:rPr>
                <w:rFonts w:hint="eastAsia"/>
                <w:sz w:val="21"/>
                <w:szCs w:val="21"/>
              </w:rPr>
              <w:t>锑</w:t>
            </w:r>
            <w:r>
              <w:rPr>
                <w:rFonts w:hint="eastAsia"/>
                <w:sz w:val="21"/>
                <w:szCs w:val="21"/>
                <w:lang w:eastAsia="zh-CN"/>
              </w:rPr>
              <w:t>、</w:t>
            </w:r>
            <w:bookmarkEnd w:id="260"/>
            <w:r>
              <w:rPr>
                <w:rFonts w:hint="eastAsia"/>
                <w:sz w:val="21"/>
                <w:szCs w:val="21"/>
                <w:lang w:val="en-US" w:eastAsia="zh-CN"/>
              </w:rPr>
              <w:t>石油类</w:t>
            </w:r>
          </w:p>
        </w:tc>
        <w:tc>
          <w:tcPr>
            <w:tcW w:w="619" w:type="pct"/>
            <w:vAlign w:val="center"/>
          </w:tcPr>
          <w:p w14:paraId="4FFBEC08">
            <w:pPr>
              <w:pStyle w:val="22"/>
              <w:keepNext w:val="0"/>
              <w:keepLines w:val="0"/>
              <w:suppressLineNumbers w:val="0"/>
              <w:spacing w:before="0" w:beforeAutospacing="0" w:after="0" w:afterAutospacing="0"/>
              <w:ind w:left="0" w:right="0"/>
              <w:rPr>
                <w:rFonts w:hint="default"/>
              </w:rPr>
            </w:pPr>
          </w:p>
        </w:tc>
      </w:tr>
      <w:tr w14:paraId="04FCD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7" w:type="pct"/>
            <w:vMerge w:val="continue"/>
            <w:vAlign w:val="center"/>
          </w:tcPr>
          <w:p w14:paraId="1721B568">
            <w:pPr>
              <w:pStyle w:val="22"/>
              <w:keepNext w:val="0"/>
              <w:keepLines w:val="0"/>
              <w:suppressLineNumbers w:val="0"/>
              <w:spacing w:before="0" w:beforeAutospacing="0" w:after="0" w:afterAutospacing="0"/>
              <w:ind w:left="0" w:right="0"/>
              <w:rPr>
                <w:rFonts w:hint="default"/>
              </w:rPr>
            </w:pPr>
          </w:p>
        </w:tc>
        <w:tc>
          <w:tcPr>
            <w:tcW w:w="901" w:type="pct"/>
            <w:vAlign w:val="center"/>
          </w:tcPr>
          <w:p w14:paraId="679A7ED6">
            <w:pPr>
              <w:pStyle w:val="22"/>
              <w:keepNext w:val="0"/>
              <w:keepLines w:val="0"/>
              <w:suppressLineNumbers w:val="0"/>
              <w:spacing w:before="0" w:beforeAutospacing="0" w:after="0" w:afterAutospacing="0"/>
              <w:ind w:left="0" w:right="0"/>
              <w:rPr>
                <w:rFonts w:hint="default"/>
              </w:rPr>
            </w:pPr>
            <w:r>
              <w:rPr>
                <w:rFonts w:hint="default"/>
              </w:rPr>
              <w:t>预测方法</w:t>
            </w:r>
          </w:p>
        </w:tc>
        <w:tc>
          <w:tcPr>
            <w:tcW w:w="3241" w:type="pct"/>
            <w:gridSpan w:val="6"/>
            <w:vAlign w:val="center"/>
          </w:tcPr>
          <w:p w14:paraId="1054175B">
            <w:pPr>
              <w:pStyle w:val="22"/>
              <w:keepNext w:val="0"/>
              <w:keepLines w:val="0"/>
              <w:suppressLineNumbers w:val="0"/>
              <w:spacing w:before="0" w:beforeAutospacing="0" w:after="0" w:afterAutospacing="0"/>
              <w:ind w:left="0" w:right="0"/>
              <w:rPr>
                <w:rFonts w:hint="default"/>
              </w:rPr>
            </w:pPr>
            <w:r>
              <w:rPr>
                <w:rFonts w:hint="default"/>
              </w:rPr>
              <w:t>附录E</w:t>
            </w:r>
            <w:r>
              <w:rPr>
                <w:rFonts w:hint="default"/>
              </w:rPr>
              <w:sym w:font="Wingdings 2" w:char="F052"/>
            </w:r>
            <w:r>
              <w:rPr>
                <w:rFonts w:hint="default"/>
              </w:rPr>
              <w:t>；附录F□；其他（</w:t>
            </w:r>
            <w:r>
              <w:rPr>
                <w:rFonts w:hint="default"/>
              </w:rPr>
              <w:tab/>
            </w:r>
            <w:r>
              <w:rPr>
                <w:rFonts w:hint="default"/>
              </w:rPr>
              <w:t>）</w:t>
            </w:r>
          </w:p>
        </w:tc>
        <w:tc>
          <w:tcPr>
            <w:tcW w:w="619" w:type="pct"/>
            <w:vAlign w:val="center"/>
          </w:tcPr>
          <w:p w14:paraId="6670B81B">
            <w:pPr>
              <w:pStyle w:val="22"/>
              <w:keepNext w:val="0"/>
              <w:keepLines w:val="0"/>
              <w:suppressLineNumbers w:val="0"/>
              <w:spacing w:before="0" w:beforeAutospacing="0" w:after="0" w:afterAutospacing="0"/>
              <w:ind w:left="0" w:right="0"/>
              <w:rPr>
                <w:rFonts w:hint="default"/>
              </w:rPr>
            </w:pPr>
          </w:p>
        </w:tc>
      </w:tr>
      <w:tr w14:paraId="6657D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7" w:type="pct"/>
            <w:vMerge w:val="continue"/>
            <w:vAlign w:val="center"/>
          </w:tcPr>
          <w:p w14:paraId="41558872">
            <w:pPr>
              <w:pStyle w:val="22"/>
              <w:keepNext w:val="0"/>
              <w:keepLines w:val="0"/>
              <w:suppressLineNumbers w:val="0"/>
              <w:spacing w:before="0" w:beforeAutospacing="0" w:after="0" w:afterAutospacing="0"/>
              <w:ind w:left="0" w:right="0"/>
              <w:rPr>
                <w:rFonts w:hint="default"/>
              </w:rPr>
            </w:pPr>
          </w:p>
        </w:tc>
        <w:tc>
          <w:tcPr>
            <w:tcW w:w="901" w:type="pct"/>
            <w:vAlign w:val="center"/>
          </w:tcPr>
          <w:p w14:paraId="326E62A1">
            <w:pPr>
              <w:pStyle w:val="22"/>
              <w:keepNext w:val="0"/>
              <w:keepLines w:val="0"/>
              <w:suppressLineNumbers w:val="0"/>
              <w:spacing w:before="0" w:beforeAutospacing="0" w:after="0" w:afterAutospacing="0"/>
              <w:ind w:left="0" w:right="0"/>
              <w:rPr>
                <w:rFonts w:hint="default"/>
              </w:rPr>
            </w:pPr>
            <w:r>
              <w:rPr>
                <w:rFonts w:hint="default"/>
              </w:rPr>
              <w:t>预测分析内容</w:t>
            </w:r>
          </w:p>
        </w:tc>
        <w:tc>
          <w:tcPr>
            <w:tcW w:w="3241" w:type="pct"/>
            <w:gridSpan w:val="6"/>
            <w:vAlign w:val="center"/>
          </w:tcPr>
          <w:p w14:paraId="016313B2">
            <w:pPr>
              <w:pStyle w:val="22"/>
              <w:keepNext w:val="0"/>
              <w:keepLines w:val="0"/>
              <w:suppressLineNumbers w:val="0"/>
              <w:spacing w:before="0" w:beforeAutospacing="0" w:after="0" w:afterAutospacing="0"/>
              <w:ind w:left="0" w:right="0"/>
              <w:rPr>
                <w:rFonts w:hint="default"/>
              </w:rPr>
            </w:pPr>
            <w:r>
              <w:rPr>
                <w:rFonts w:hint="eastAsia"/>
              </w:rPr>
              <w:t>非正常工况下，集水池渗漏，对地下水环境的影响。</w:t>
            </w:r>
          </w:p>
        </w:tc>
        <w:tc>
          <w:tcPr>
            <w:tcW w:w="619" w:type="pct"/>
            <w:vAlign w:val="center"/>
          </w:tcPr>
          <w:p w14:paraId="75110FDC">
            <w:pPr>
              <w:pStyle w:val="22"/>
              <w:keepNext w:val="0"/>
              <w:keepLines w:val="0"/>
              <w:suppressLineNumbers w:val="0"/>
              <w:spacing w:before="0" w:beforeAutospacing="0" w:after="0" w:afterAutospacing="0"/>
              <w:ind w:left="0" w:right="0"/>
              <w:rPr>
                <w:rFonts w:hint="default"/>
              </w:rPr>
            </w:pPr>
          </w:p>
        </w:tc>
      </w:tr>
      <w:tr w14:paraId="22E1D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7" w:type="pct"/>
            <w:vMerge w:val="continue"/>
            <w:vAlign w:val="center"/>
          </w:tcPr>
          <w:p w14:paraId="0D222524">
            <w:pPr>
              <w:pStyle w:val="22"/>
              <w:keepNext w:val="0"/>
              <w:keepLines w:val="0"/>
              <w:suppressLineNumbers w:val="0"/>
              <w:spacing w:before="0" w:beforeAutospacing="0" w:after="0" w:afterAutospacing="0"/>
              <w:ind w:left="0" w:right="0"/>
              <w:rPr>
                <w:rFonts w:hint="default"/>
              </w:rPr>
            </w:pPr>
          </w:p>
        </w:tc>
        <w:tc>
          <w:tcPr>
            <w:tcW w:w="901" w:type="pct"/>
            <w:vAlign w:val="center"/>
          </w:tcPr>
          <w:p w14:paraId="547554CB">
            <w:pPr>
              <w:pStyle w:val="22"/>
              <w:keepNext w:val="0"/>
              <w:keepLines w:val="0"/>
              <w:suppressLineNumbers w:val="0"/>
              <w:spacing w:before="0" w:beforeAutospacing="0" w:after="0" w:afterAutospacing="0"/>
              <w:ind w:left="0" w:right="0"/>
              <w:rPr>
                <w:rFonts w:hint="default"/>
              </w:rPr>
            </w:pPr>
            <w:r>
              <w:rPr>
                <w:rFonts w:hint="default"/>
              </w:rPr>
              <w:t>预测结论</w:t>
            </w:r>
          </w:p>
        </w:tc>
        <w:tc>
          <w:tcPr>
            <w:tcW w:w="3241" w:type="pct"/>
            <w:gridSpan w:val="6"/>
            <w:vAlign w:val="center"/>
          </w:tcPr>
          <w:p w14:paraId="38DE5977">
            <w:pPr>
              <w:pStyle w:val="22"/>
              <w:keepNext w:val="0"/>
              <w:keepLines w:val="0"/>
              <w:suppressLineNumbers w:val="0"/>
              <w:spacing w:before="0" w:beforeAutospacing="0" w:after="0" w:afterAutospacing="0"/>
              <w:ind w:left="0" w:right="0"/>
              <w:rPr>
                <w:rFonts w:hint="default"/>
              </w:rPr>
            </w:pPr>
            <w:r>
              <w:rPr>
                <w:rFonts w:hint="default"/>
              </w:rPr>
              <w:t>达标结论：a）</w:t>
            </w:r>
            <w:r>
              <w:rPr>
                <w:rFonts w:hint="default"/>
              </w:rPr>
              <w:sym w:font="Wingdings 2" w:char="F052"/>
            </w:r>
            <w:r>
              <w:rPr>
                <w:rFonts w:hint="default"/>
              </w:rPr>
              <w:t>；b）□；c）</w:t>
            </w:r>
            <w:r>
              <w:rPr>
                <w:rFonts w:hint="default"/>
              </w:rPr>
              <w:sym w:font="Wingdings 2" w:char="F052"/>
            </w:r>
          </w:p>
          <w:p w14:paraId="219EF873">
            <w:pPr>
              <w:pStyle w:val="22"/>
              <w:keepNext w:val="0"/>
              <w:keepLines w:val="0"/>
              <w:suppressLineNumbers w:val="0"/>
              <w:spacing w:before="0" w:beforeAutospacing="0" w:after="0" w:afterAutospacing="0"/>
              <w:ind w:left="0" w:right="0"/>
              <w:rPr>
                <w:rFonts w:hint="default"/>
              </w:rPr>
            </w:pPr>
            <w:r>
              <w:rPr>
                <w:rFonts w:hint="default"/>
              </w:rPr>
              <w:t>不达标结论：a）□；b）□</w:t>
            </w:r>
          </w:p>
        </w:tc>
        <w:tc>
          <w:tcPr>
            <w:tcW w:w="619" w:type="pct"/>
            <w:vAlign w:val="center"/>
          </w:tcPr>
          <w:p w14:paraId="67757415">
            <w:pPr>
              <w:pStyle w:val="22"/>
              <w:keepNext w:val="0"/>
              <w:keepLines w:val="0"/>
              <w:suppressLineNumbers w:val="0"/>
              <w:spacing w:before="0" w:beforeAutospacing="0" w:after="0" w:afterAutospacing="0"/>
              <w:ind w:left="0" w:right="0"/>
              <w:rPr>
                <w:rFonts w:hint="default"/>
              </w:rPr>
            </w:pPr>
          </w:p>
        </w:tc>
      </w:tr>
      <w:tr w14:paraId="2F6FB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7" w:type="pct"/>
            <w:vMerge w:val="restart"/>
            <w:vAlign w:val="center"/>
          </w:tcPr>
          <w:p w14:paraId="017667C4">
            <w:pPr>
              <w:pStyle w:val="22"/>
              <w:keepNext w:val="0"/>
              <w:keepLines w:val="0"/>
              <w:suppressLineNumbers w:val="0"/>
              <w:spacing w:before="0" w:beforeAutospacing="0" w:after="0" w:afterAutospacing="0"/>
              <w:ind w:left="0" w:right="0"/>
              <w:rPr>
                <w:rFonts w:hint="default"/>
              </w:rPr>
            </w:pPr>
            <w:r>
              <w:rPr>
                <w:rFonts w:hint="default"/>
              </w:rPr>
              <w:t>防治措</w:t>
            </w:r>
          </w:p>
          <w:p w14:paraId="4C8B97BF">
            <w:pPr>
              <w:pStyle w:val="22"/>
              <w:keepNext w:val="0"/>
              <w:keepLines w:val="0"/>
              <w:suppressLineNumbers w:val="0"/>
              <w:spacing w:before="0" w:beforeAutospacing="0" w:after="0" w:afterAutospacing="0"/>
              <w:ind w:left="0" w:right="0"/>
              <w:rPr>
                <w:rFonts w:hint="default"/>
              </w:rPr>
            </w:pPr>
            <w:r>
              <w:rPr>
                <w:rFonts w:hint="default"/>
              </w:rPr>
              <w:t>施</w:t>
            </w:r>
          </w:p>
        </w:tc>
        <w:tc>
          <w:tcPr>
            <w:tcW w:w="901" w:type="pct"/>
            <w:vAlign w:val="center"/>
          </w:tcPr>
          <w:p w14:paraId="4E52CF36">
            <w:pPr>
              <w:pStyle w:val="22"/>
              <w:keepNext w:val="0"/>
              <w:keepLines w:val="0"/>
              <w:suppressLineNumbers w:val="0"/>
              <w:spacing w:before="0" w:beforeAutospacing="0" w:after="0" w:afterAutospacing="0"/>
              <w:ind w:left="0" w:right="0"/>
              <w:rPr>
                <w:rFonts w:hint="default"/>
              </w:rPr>
            </w:pPr>
            <w:r>
              <w:rPr>
                <w:rFonts w:hint="default"/>
              </w:rPr>
              <w:t>防控措施</w:t>
            </w:r>
          </w:p>
        </w:tc>
        <w:tc>
          <w:tcPr>
            <w:tcW w:w="3241" w:type="pct"/>
            <w:gridSpan w:val="6"/>
            <w:vAlign w:val="center"/>
          </w:tcPr>
          <w:p w14:paraId="73D1ED29">
            <w:pPr>
              <w:pStyle w:val="22"/>
              <w:keepNext w:val="0"/>
              <w:keepLines w:val="0"/>
              <w:suppressLineNumbers w:val="0"/>
              <w:spacing w:before="0" w:beforeAutospacing="0" w:after="0" w:afterAutospacing="0"/>
              <w:ind w:left="0" w:right="0"/>
              <w:rPr>
                <w:rFonts w:hint="default"/>
              </w:rPr>
            </w:pPr>
            <w:r>
              <w:rPr>
                <w:rFonts w:hint="default"/>
              </w:rPr>
              <w:t>土壤环境质量现状保障</w:t>
            </w:r>
            <w:r>
              <w:rPr>
                <w:rFonts w:hint="default"/>
              </w:rPr>
              <w:sym w:font="Wingdings 2" w:char="F052"/>
            </w:r>
            <w:r>
              <w:rPr>
                <w:rFonts w:hint="default"/>
              </w:rPr>
              <w:t>；源头控制</w:t>
            </w:r>
            <w:r>
              <w:rPr>
                <w:rFonts w:hint="default"/>
              </w:rPr>
              <w:sym w:font="Wingdings 2" w:char="F052"/>
            </w:r>
            <w:r>
              <w:rPr>
                <w:rFonts w:hint="default"/>
              </w:rPr>
              <w:t>；过程防控</w:t>
            </w:r>
            <w:r>
              <w:rPr>
                <w:rFonts w:hint="default"/>
              </w:rPr>
              <w:sym w:font="Wingdings 2" w:char="F052"/>
            </w:r>
            <w:r>
              <w:rPr>
                <w:rFonts w:hint="default"/>
              </w:rPr>
              <w:t>；其他（）</w:t>
            </w:r>
          </w:p>
        </w:tc>
        <w:tc>
          <w:tcPr>
            <w:tcW w:w="619" w:type="pct"/>
            <w:vAlign w:val="center"/>
          </w:tcPr>
          <w:p w14:paraId="3135CFDA">
            <w:pPr>
              <w:pStyle w:val="22"/>
              <w:keepNext w:val="0"/>
              <w:keepLines w:val="0"/>
              <w:suppressLineNumbers w:val="0"/>
              <w:spacing w:before="0" w:beforeAutospacing="0" w:after="0" w:afterAutospacing="0"/>
              <w:ind w:left="0" w:right="0"/>
              <w:rPr>
                <w:rFonts w:hint="default"/>
              </w:rPr>
            </w:pPr>
          </w:p>
        </w:tc>
      </w:tr>
      <w:tr w14:paraId="1C672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7" w:type="pct"/>
            <w:vMerge w:val="continue"/>
            <w:vAlign w:val="center"/>
          </w:tcPr>
          <w:p w14:paraId="677B01FD">
            <w:pPr>
              <w:pStyle w:val="22"/>
              <w:keepNext w:val="0"/>
              <w:keepLines w:val="0"/>
              <w:suppressLineNumbers w:val="0"/>
              <w:spacing w:before="0" w:beforeAutospacing="0" w:after="0" w:afterAutospacing="0"/>
              <w:ind w:left="0" w:right="0"/>
              <w:rPr>
                <w:rFonts w:hint="default"/>
              </w:rPr>
            </w:pPr>
          </w:p>
        </w:tc>
        <w:tc>
          <w:tcPr>
            <w:tcW w:w="901" w:type="pct"/>
            <w:vMerge w:val="restart"/>
            <w:vAlign w:val="center"/>
          </w:tcPr>
          <w:p w14:paraId="671B20D0">
            <w:pPr>
              <w:pStyle w:val="22"/>
              <w:keepNext w:val="0"/>
              <w:keepLines w:val="0"/>
              <w:suppressLineNumbers w:val="0"/>
              <w:spacing w:before="0" w:beforeAutospacing="0" w:after="0" w:afterAutospacing="0"/>
              <w:ind w:left="0" w:right="0"/>
              <w:rPr>
                <w:rFonts w:hint="default"/>
              </w:rPr>
            </w:pPr>
            <w:r>
              <w:rPr>
                <w:rFonts w:hint="default"/>
              </w:rPr>
              <w:t>跟踪监测</w:t>
            </w:r>
          </w:p>
        </w:tc>
        <w:tc>
          <w:tcPr>
            <w:tcW w:w="576" w:type="pct"/>
            <w:vAlign w:val="center"/>
          </w:tcPr>
          <w:p w14:paraId="1A91EBA4">
            <w:pPr>
              <w:pStyle w:val="22"/>
              <w:keepNext w:val="0"/>
              <w:keepLines w:val="0"/>
              <w:suppressLineNumbers w:val="0"/>
              <w:spacing w:before="0" w:beforeAutospacing="0" w:after="0" w:afterAutospacing="0"/>
              <w:ind w:left="0" w:right="0"/>
              <w:rPr>
                <w:rFonts w:hint="default"/>
              </w:rPr>
            </w:pPr>
            <w:r>
              <w:rPr>
                <w:rFonts w:hint="default"/>
              </w:rPr>
              <w:t>监测点数</w:t>
            </w:r>
          </w:p>
        </w:tc>
        <w:tc>
          <w:tcPr>
            <w:tcW w:w="2051" w:type="pct"/>
            <w:gridSpan w:val="4"/>
            <w:vAlign w:val="center"/>
          </w:tcPr>
          <w:p w14:paraId="7EA9F458">
            <w:pPr>
              <w:pStyle w:val="22"/>
              <w:keepNext w:val="0"/>
              <w:keepLines w:val="0"/>
              <w:suppressLineNumbers w:val="0"/>
              <w:spacing w:before="0" w:beforeAutospacing="0" w:after="0" w:afterAutospacing="0"/>
              <w:ind w:left="0" w:right="0"/>
              <w:rPr>
                <w:rFonts w:hint="default"/>
              </w:rPr>
            </w:pPr>
            <w:r>
              <w:rPr>
                <w:rFonts w:hint="default"/>
              </w:rPr>
              <w:t>监测指标</w:t>
            </w:r>
          </w:p>
        </w:tc>
        <w:tc>
          <w:tcPr>
            <w:tcW w:w="613" w:type="pct"/>
            <w:vAlign w:val="center"/>
          </w:tcPr>
          <w:p w14:paraId="200377D7">
            <w:pPr>
              <w:pStyle w:val="22"/>
              <w:keepNext w:val="0"/>
              <w:keepLines w:val="0"/>
              <w:suppressLineNumbers w:val="0"/>
              <w:spacing w:before="0" w:beforeAutospacing="0" w:after="0" w:afterAutospacing="0"/>
              <w:ind w:left="0" w:right="0"/>
              <w:rPr>
                <w:rFonts w:hint="default"/>
              </w:rPr>
            </w:pPr>
            <w:r>
              <w:rPr>
                <w:rFonts w:hint="default"/>
              </w:rPr>
              <w:t>监测频次</w:t>
            </w:r>
          </w:p>
        </w:tc>
        <w:tc>
          <w:tcPr>
            <w:tcW w:w="619" w:type="pct"/>
            <w:vMerge w:val="restart"/>
            <w:vAlign w:val="center"/>
          </w:tcPr>
          <w:p w14:paraId="1642DE81">
            <w:pPr>
              <w:pStyle w:val="22"/>
              <w:keepNext w:val="0"/>
              <w:keepLines w:val="0"/>
              <w:suppressLineNumbers w:val="0"/>
              <w:spacing w:before="0" w:beforeAutospacing="0" w:after="0" w:afterAutospacing="0"/>
              <w:ind w:left="0" w:right="0"/>
              <w:rPr>
                <w:rFonts w:hint="default"/>
              </w:rPr>
            </w:pPr>
          </w:p>
        </w:tc>
      </w:tr>
      <w:tr w14:paraId="5853E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7" w:type="pct"/>
            <w:vMerge w:val="continue"/>
            <w:vAlign w:val="center"/>
          </w:tcPr>
          <w:p w14:paraId="2097E0FC">
            <w:pPr>
              <w:pStyle w:val="22"/>
              <w:keepNext w:val="0"/>
              <w:keepLines w:val="0"/>
              <w:suppressLineNumbers w:val="0"/>
              <w:spacing w:before="0" w:beforeAutospacing="0" w:after="0" w:afterAutospacing="0"/>
              <w:ind w:left="0" w:right="0"/>
              <w:rPr>
                <w:rFonts w:hint="default"/>
              </w:rPr>
            </w:pPr>
          </w:p>
        </w:tc>
        <w:tc>
          <w:tcPr>
            <w:tcW w:w="901" w:type="pct"/>
            <w:vMerge w:val="continue"/>
            <w:vAlign w:val="center"/>
          </w:tcPr>
          <w:p w14:paraId="6E82BB72">
            <w:pPr>
              <w:pStyle w:val="22"/>
              <w:keepNext w:val="0"/>
              <w:keepLines w:val="0"/>
              <w:suppressLineNumbers w:val="0"/>
              <w:spacing w:before="0" w:beforeAutospacing="0" w:after="0" w:afterAutospacing="0"/>
              <w:ind w:left="0" w:right="0"/>
              <w:rPr>
                <w:rFonts w:hint="default"/>
              </w:rPr>
            </w:pPr>
          </w:p>
        </w:tc>
        <w:tc>
          <w:tcPr>
            <w:tcW w:w="576" w:type="pct"/>
            <w:vAlign w:val="center"/>
          </w:tcPr>
          <w:p w14:paraId="4FF38985">
            <w:pPr>
              <w:pStyle w:val="22"/>
              <w:keepNext w:val="0"/>
              <w:keepLines w:val="0"/>
              <w:suppressLineNumbers w:val="0"/>
              <w:spacing w:before="0" w:beforeAutospacing="0" w:after="0" w:afterAutospacing="0"/>
              <w:ind w:left="0" w:right="0"/>
              <w:rPr>
                <w:rFonts w:hint="default"/>
              </w:rPr>
            </w:pPr>
            <w:r>
              <w:rPr>
                <w:rFonts w:hint="default"/>
              </w:rPr>
              <w:t>1</w:t>
            </w:r>
          </w:p>
        </w:tc>
        <w:tc>
          <w:tcPr>
            <w:tcW w:w="2051" w:type="pct"/>
            <w:gridSpan w:val="4"/>
            <w:vAlign w:val="center"/>
          </w:tcPr>
          <w:p w14:paraId="57CFC730">
            <w:pPr>
              <w:pStyle w:val="22"/>
              <w:keepNext w:val="0"/>
              <w:keepLines w:val="0"/>
              <w:suppressLineNumbers w:val="0"/>
              <w:spacing w:before="0" w:beforeAutospacing="0" w:after="0" w:afterAutospacing="0"/>
              <w:ind w:left="0" w:right="0"/>
              <w:rPr>
                <w:rFonts w:hint="default"/>
              </w:rPr>
            </w:pPr>
            <w:r>
              <w:rPr>
                <w:rFonts w:hint="eastAsia" w:ascii="Times New Roman" w:hAnsi="Times New Roman" w:cs="Times New Roman" w:eastAsiaTheme="minorEastAsia"/>
                <w:szCs w:val="21"/>
                <w:lang w:val="en-US" w:eastAsia="zh-CN"/>
              </w:rPr>
              <w:t>砷、镉、六价铬、铜、铅、汞、镍、四氯化碳、氯仿、氯甲烷、</w:t>
            </w:r>
            <w:r>
              <w:rPr>
                <w:rFonts w:hint="default" w:ascii="Times New Roman" w:hAnsi="Times New Roman" w:cs="Times New Roman" w:eastAsiaTheme="minorEastAsia"/>
                <w:szCs w:val="21"/>
                <w:lang w:val="en-US" w:eastAsia="zh-CN"/>
              </w:rPr>
              <w:t>1,1-</w:t>
            </w:r>
            <w:r>
              <w:rPr>
                <w:rFonts w:hint="eastAsia" w:ascii="Times New Roman" w:hAnsi="Times New Roman" w:cs="Times New Roman" w:eastAsiaTheme="minorEastAsia"/>
                <w:szCs w:val="21"/>
                <w:lang w:val="en-US" w:eastAsia="zh-CN"/>
              </w:rPr>
              <w:t>二氯乙烷、</w:t>
            </w:r>
            <w:r>
              <w:rPr>
                <w:rFonts w:hint="default" w:ascii="Times New Roman" w:hAnsi="Times New Roman" w:cs="Times New Roman" w:eastAsiaTheme="minorEastAsia"/>
                <w:szCs w:val="21"/>
                <w:lang w:val="en-US" w:eastAsia="zh-CN"/>
              </w:rPr>
              <w:t>1,2-</w:t>
            </w:r>
            <w:r>
              <w:rPr>
                <w:rFonts w:hint="eastAsia" w:ascii="Times New Roman" w:hAnsi="Times New Roman" w:cs="Times New Roman" w:eastAsiaTheme="minorEastAsia"/>
                <w:szCs w:val="21"/>
                <w:lang w:val="en-US" w:eastAsia="zh-CN"/>
              </w:rPr>
              <w:t>二氯乙烷、</w:t>
            </w:r>
            <w:r>
              <w:rPr>
                <w:rFonts w:hint="default" w:ascii="Times New Roman" w:hAnsi="Times New Roman" w:cs="Times New Roman" w:eastAsiaTheme="minorEastAsia"/>
                <w:szCs w:val="21"/>
                <w:lang w:val="en-US" w:eastAsia="zh-CN"/>
              </w:rPr>
              <w:t>1,1-</w:t>
            </w:r>
            <w:r>
              <w:rPr>
                <w:rFonts w:hint="eastAsia" w:ascii="Times New Roman" w:hAnsi="Times New Roman" w:cs="Times New Roman" w:eastAsiaTheme="minorEastAsia"/>
                <w:szCs w:val="21"/>
                <w:lang w:val="en-US" w:eastAsia="zh-CN"/>
              </w:rPr>
              <w:t>二氯乙烯、顺</w:t>
            </w:r>
            <w:r>
              <w:rPr>
                <w:rFonts w:hint="default" w:ascii="Times New Roman" w:hAnsi="Times New Roman" w:cs="Times New Roman" w:eastAsiaTheme="minorEastAsia"/>
                <w:szCs w:val="21"/>
                <w:lang w:val="en-US" w:eastAsia="zh-CN"/>
              </w:rPr>
              <w:t>-1,2-</w:t>
            </w:r>
            <w:r>
              <w:rPr>
                <w:rFonts w:hint="eastAsia" w:ascii="Times New Roman" w:hAnsi="Times New Roman" w:cs="Times New Roman" w:eastAsiaTheme="minorEastAsia"/>
                <w:szCs w:val="21"/>
                <w:lang w:val="en-US" w:eastAsia="zh-CN"/>
              </w:rPr>
              <w:t>二氯乙烯、反</w:t>
            </w:r>
            <w:r>
              <w:rPr>
                <w:rFonts w:hint="default" w:ascii="Times New Roman" w:hAnsi="Times New Roman" w:cs="Times New Roman" w:eastAsiaTheme="minorEastAsia"/>
                <w:szCs w:val="21"/>
                <w:lang w:val="en-US" w:eastAsia="zh-CN"/>
              </w:rPr>
              <w:t>-1,2-</w:t>
            </w:r>
            <w:r>
              <w:rPr>
                <w:rFonts w:hint="eastAsia" w:ascii="Times New Roman" w:hAnsi="Times New Roman" w:cs="Times New Roman" w:eastAsiaTheme="minorEastAsia"/>
                <w:szCs w:val="21"/>
                <w:lang w:val="en-US" w:eastAsia="zh-CN"/>
              </w:rPr>
              <w:t>二氯乙烯、二氯甲烷、</w:t>
            </w:r>
            <w:r>
              <w:rPr>
                <w:rFonts w:hint="default" w:ascii="Times New Roman" w:hAnsi="Times New Roman" w:cs="Times New Roman" w:eastAsiaTheme="minorEastAsia"/>
                <w:szCs w:val="21"/>
                <w:lang w:val="en-US" w:eastAsia="zh-CN"/>
              </w:rPr>
              <w:t>1,2-</w:t>
            </w:r>
            <w:r>
              <w:rPr>
                <w:rFonts w:hint="eastAsia" w:ascii="Times New Roman" w:hAnsi="Times New Roman" w:cs="Times New Roman" w:eastAsiaTheme="minorEastAsia"/>
                <w:szCs w:val="21"/>
                <w:lang w:val="en-US" w:eastAsia="zh-CN"/>
              </w:rPr>
              <w:t>二氯丙烷、</w:t>
            </w:r>
            <w:r>
              <w:rPr>
                <w:rFonts w:hint="default" w:ascii="Times New Roman" w:hAnsi="Times New Roman" w:cs="Times New Roman" w:eastAsiaTheme="minorEastAsia"/>
                <w:szCs w:val="21"/>
                <w:lang w:val="en-US" w:eastAsia="zh-CN"/>
              </w:rPr>
              <w:t>1,1,1,2-</w:t>
            </w:r>
            <w:r>
              <w:rPr>
                <w:rFonts w:hint="eastAsia" w:ascii="Times New Roman" w:hAnsi="Times New Roman" w:cs="Times New Roman" w:eastAsiaTheme="minorEastAsia"/>
                <w:szCs w:val="21"/>
                <w:lang w:val="en-US" w:eastAsia="zh-CN"/>
              </w:rPr>
              <w:t>四氯乙烷、</w:t>
            </w:r>
            <w:r>
              <w:rPr>
                <w:rFonts w:hint="default" w:ascii="Times New Roman" w:hAnsi="Times New Roman" w:cs="Times New Roman" w:eastAsiaTheme="minorEastAsia"/>
                <w:szCs w:val="21"/>
                <w:lang w:val="en-US" w:eastAsia="zh-CN"/>
              </w:rPr>
              <w:t>1,1,2,2,-</w:t>
            </w:r>
            <w:r>
              <w:rPr>
                <w:rFonts w:hint="eastAsia" w:ascii="Times New Roman" w:hAnsi="Times New Roman" w:cs="Times New Roman" w:eastAsiaTheme="minorEastAsia"/>
                <w:szCs w:val="21"/>
                <w:lang w:val="en-US" w:eastAsia="zh-CN"/>
              </w:rPr>
              <w:t>四氯乙烷、四氯乙烯、</w:t>
            </w:r>
            <w:r>
              <w:rPr>
                <w:rFonts w:hint="default" w:ascii="Times New Roman" w:hAnsi="Times New Roman" w:cs="Times New Roman" w:eastAsiaTheme="minorEastAsia"/>
                <w:szCs w:val="21"/>
                <w:lang w:val="en-US" w:eastAsia="zh-CN"/>
              </w:rPr>
              <w:t>1,1,1-</w:t>
            </w:r>
            <w:r>
              <w:rPr>
                <w:rFonts w:hint="eastAsia" w:ascii="Times New Roman" w:hAnsi="Times New Roman" w:cs="Times New Roman" w:eastAsiaTheme="minorEastAsia"/>
                <w:szCs w:val="21"/>
                <w:lang w:val="en-US" w:eastAsia="zh-CN"/>
              </w:rPr>
              <w:t>三氯乙烷、</w:t>
            </w:r>
            <w:r>
              <w:rPr>
                <w:rFonts w:hint="default" w:ascii="Times New Roman" w:hAnsi="Times New Roman" w:cs="Times New Roman" w:eastAsiaTheme="minorEastAsia"/>
                <w:szCs w:val="21"/>
                <w:lang w:val="en-US" w:eastAsia="zh-CN"/>
              </w:rPr>
              <w:t>1,1,2-</w:t>
            </w:r>
            <w:r>
              <w:rPr>
                <w:rFonts w:hint="eastAsia" w:ascii="Times New Roman" w:hAnsi="Times New Roman" w:cs="Times New Roman" w:eastAsiaTheme="minorEastAsia"/>
                <w:szCs w:val="21"/>
                <w:lang w:val="en-US" w:eastAsia="zh-CN"/>
              </w:rPr>
              <w:t>三氯乙烷、三氯乙烯、</w:t>
            </w:r>
            <w:r>
              <w:rPr>
                <w:rFonts w:hint="default" w:ascii="Times New Roman" w:hAnsi="Times New Roman" w:cs="Times New Roman" w:eastAsiaTheme="minorEastAsia"/>
                <w:szCs w:val="21"/>
                <w:lang w:val="en-US" w:eastAsia="zh-CN"/>
              </w:rPr>
              <w:t>1,2,3-</w:t>
            </w:r>
            <w:r>
              <w:rPr>
                <w:rFonts w:hint="eastAsia" w:ascii="Times New Roman" w:hAnsi="Times New Roman" w:cs="Times New Roman" w:eastAsiaTheme="minorEastAsia"/>
                <w:szCs w:val="21"/>
                <w:lang w:val="en-US" w:eastAsia="zh-CN"/>
              </w:rPr>
              <w:t>三氯丙烷、氯乙烯、苯、氯苯、</w:t>
            </w:r>
            <w:r>
              <w:rPr>
                <w:rFonts w:hint="default" w:ascii="Times New Roman" w:hAnsi="Times New Roman" w:cs="Times New Roman" w:eastAsiaTheme="minorEastAsia"/>
                <w:szCs w:val="21"/>
                <w:lang w:val="en-US" w:eastAsia="zh-CN"/>
              </w:rPr>
              <w:t>1,2-</w:t>
            </w:r>
            <w:r>
              <w:rPr>
                <w:rFonts w:hint="eastAsia" w:ascii="Times New Roman" w:hAnsi="Times New Roman" w:cs="Times New Roman" w:eastAsiaTheme="minorEastAsia"/>
                <w:szCs w:val="21"/>
                <w:lang w:val="en-US" w:eastAsia="zh-CN"/>
              </w:rPr>
              <w:t>二氯苯、</w:t>
            </w:r>
            <w:r>
              <w:rPr>
                <w:rFonts w:hint="default" w:ascii="Times New Roman" w:hAnsi="Times New Roman" w:cs="Times New Roman" w:eastAsiaTheme="minorEastAsia"/>
                <w:szCs w:val="21"/>
                <w:lang w:val="en-US" w:eastAsia="zh-CN"/>
              </w:rPr>
              <w:t>1,4-</w:t>
            </w:r>
            <w:r>
              <w:rPr>
                <w:rFonts w:hint="eastAsia" w:ascii="Times New Roman" w:hAnsi="Times New Roman" w:cs="Times New Roman" w:eastAsiaTheme="minorEastAsia"/>
                <w:szCs w:val="21"/>
                <w:lang w:val="en-US" w:eastAsia="zh-CN"/>
              </w:rPr>
              <w:t>二氯苯、乙苯、苯乙烯、甲苯、间二甲苯</w:t>
            </w:r>
            <w:r>
              <w:rPr>
                <w:rFonts w:hint="default" w:ascii="Times New Roman" w:hAnsi="Times New Roman" w:cs="Times New Roman" w:eastAsiaTheme="minorEastAsia"/>
                <w:szCs w:val="21"/>
                <w:lang w:val="en-US" w:eastAsia="zh-CN"/>
              </w:rPr>
              <w:t>+</w:t>
            </w:r>
            <w:r>
              <w:rPr>
                <w:rFonts w:hint="eastAsia" w:ascii="Times New Roman" w:hAnsi="Times New Roman" w:cs="Times New Roman" w:eastAsiaTheme="minorEastAsia"/>
                <w:szCs w:val="21"/>
                <w:lang w:val="en-US" w:eastAsia="zh-CN"/>
              </w:rPr>
              <w:t>对二甲苯、邻二甲苯、硝基苯、苯胺、</w:t>
            </w:r>
            <w:r>
              <w:rPr>
                <w:rFonts w:hint="default" w:ascii="Times New Roman" w:hAnsi="Times New Roman" w:cs="Times New Roman" w:eastAsiaTheme="minorEastAsia"/>
                <w:szCs w:val="21"/>
                <w:lang w:val="en-US" w:eastAsia="zh-CN"/>
              </w:rPr>
              <w:t>2-</w:t>
            </w:r>
            <w:r>
              <w:rPr>
                <w:rFonts w:hint="eastAsia" w:ascii="Times New Roman" w:hAnsi="Times New Roman" w:cs="Times New Roman" w:eastAsiaTheme="minorEastAsia"/>
                <w:szCs w:val="21"/>
                <w:lang w:val="en-US" w:eastAsia="zh-CN"/>
              </w:rPr>
              <w:t>氯酚、苯并</w:t>
            </w:r>
            <w:r>
              <w:rPr>
                <w:rFonts w:hint="default" w:ascii="Times New Roman" w:hAnsi="Times New Roman" w:cs="Times New Roman" w:eastAsiaTheme="minorEastAsia"/>
                <w:szCs w:val="21"/>
                <w:lang w:val="en-US" w:eastAsia="zh-CN"/>
              </w:rPr>
              <w:t>[a]</w:t>
            </w:r>
            <w:r>
              <w:rPr>
                <w:rFonts w:hint="eastAsia" w:ascii="Times New Roman" w:hAnsi="Times New Roman" w:cs="Times New Roman" w:eastAsiaTheme="minorEastAsia"/>
                <w:szCs w:val="21"/>
                <w:lang w:val="en-US" w:eastAsia="zh-CN"/>
              </w:rPr>
              <w:t>蒽、苯并</w:t>
            </w:r>
            <w:r>
              <w:rPr>
                <w:rFonts w:hint="default" w:ascii="Times New Roman" w:hAnsi="Times New Roman" w:cs="Times New Roman" w:eastAsiaTheme="minorEastAsia"/>
                <w:szCs w:val="21"/>
                <w:lang w:val="en-US" w:eastAsia="zh-CN"/>
              </w:rPr>
              <w:t>[a]</w:t>
            </w:r>
            <w:r>
              <w:rPr>
                <w:rFonts w:hint="eastAsia" w:ascii="Times New Roman" w:hAnsi="Times New Roman" w:cs="Times New Roman" w:eastAsiaTheme="minorEastAsia"/>
                <w:szCs w:val="21"/>
                <w:lang w:val="en-US" w:eastAsia="zh-CN"/>
              </w:rPr>
              <w:t>芘、苯并</w:t>
            </w:r>
            <w:r>
              <w:rPr>
                <w:rFonts w:hint="default" w:ascii="Times New Roman" w:hAnsi="Times New Roman" w:cs="Times New Roman" w:eastAsiaTheme="minorEastAsia"/>
                <w:szCs w:val="21"/>
                <w:lang w:val="en-US" w:eastAsia="zh-CN"/>
              </w:rPr>
              <w:t>[b]</w:t>
            </w:r>
            <w:r>
              <w:rPr>
                <w:rFonts w:hint="eastAsia" w:ascii="Times New Roman" w:hAnsi="Times New Roman" w:cs="Times New Roman" w:eastAsiaTheme="minorEastAsia"/>
                <w:szCs w:val="21"/>
                <w:lang w:val="en-US" w:eastAsia="zh-CN"/>
              </w:rPr>
              <w:t>荧蒽、苯并</w:t>
            </w:r>
            <w:r>
              <w:rPr>
                <w:rFonts w:hint="default" w:ascii="Times New Roman" w:hAnsi="Times New Roman" w:cs="Times New Roman" w:eastAsiaTheme="minorEastAsia"/>
                <w:szCs w:val="21"/>
                <w:lang w:val="en-US" w:eastAsia="zh-CN"/>
              </w:rPr>
              <w:t>[k]</w:t>
            </w:r>
            <w:r>
              <w:rPr>
                <w:rFonts w:hint="eastAsia" w:ascii="Times New Roman" w:hAnsi="Times New Roman" w:cs="Times New Roman" w:eastAsiaTheme="minorEastAsia"/>
                <w:szCs w:val="21"/>
                <w:lang w:val="en-US" w:eastAsia="zh-CN"/>
              </w:rPr>
              <w:t>荧蒽、䓛、二苯并</w:t>
            </w:r>
            <w:r>
              <w:rPr>
                <w:rFonts w:hint="default" w:ascii="Times New Roman" w:hAnsi="Times New Roman" w:cs="Times New Roman" w:eastAsiaTheme="minorEastAsia"/>
                <w:szCs w:val="21"/>
                <w:lang w:val="en-US" w:eastAsia="zh-CN"/>
              </w:rPr>
              <w:t>[a,h]</w:t>
            </w:r>
            <w:r>
              <w:rPr>
                <w:rFonts w:hint="eastAsia" w:ascii="Times New Roman" w:hAnsi="Times New Roman" w:cs="Times New Roman" w:eastAsiaTheme="minorEastAsia"/>
                <w:szCs w:val="21"/>
                <w:lang w:val="en-US" w:eastAsia="zh-CN"/>
              </w:rPr>
              <w:t>蒽、茚并</w:t>
            </w:r>
            <w:r>
              <w:rPr>
                <w:rFonts w:hint="default" w:ascii="Times New Roman" w:hAnsi="Times New Roman" w:cs="Times New Roman" w:eastAsiaTheme="minorEastAsia"/>
                <w:szCs w:val="21"/>
                <w:lang w:val="en-US" w:eastAsia="zh-CN"/>
              </w:rPr>
              <w:t>[1,2,3-cd]</w:t>
            </w:r>
            <w:r>
              <w:rPr>
                <w:rFonts w:hint="eastAsia" w:ascii="Times New Roman" w:hAnsi="Times New Roman" w:cs="Times New Roman" w:eastAsiaTheme="minorEastAsia"/>
                <w:szCs w:val="21"/>
                <w:lang w:val="en-US" w:eastAsia="zh-CN"/>
              </w:rPr>
              <w:t>芘、萘、二噁英</w:t>
            </w:r>
          </w:p>
        </w:tc>
        <w:tc>
          <w:tcPr>
            <w:tcW w:w="613" w:type="pct"/>
            <w:vAlign w:val="center"/>
          </w:tcPr>
          <w:p w14:paraId="6D83EEEA">
            <w:pPr>
              <w:pStyle w:val="22"/>
              <w:keepNext w:val="0"/>
              <w:keepLines w:val="0"/>
              <w:suppressLineNumbers w:val="0"/>
              <w:spacing w:before="0" w:beforeAutospacing="0" w:after="0" w:afterAutospacing="0"/>
              <w:ind w:left="0" w:right="0"/>
              <w:rPr>
                <w:rFonts w:hint="default"/>
              </w:rPr>
            </w:pPr>
            <w:r>
              <w:rPr>
                <w:rFonts w:hint="eastAsia"/>
              </w:rPr>
              <w:t>1</w:t>
            </w:r>
            <w:r>
              <w:rPr>
                <w:rFonts w:hint="default"/>
              </w:rPr>
              <w:t>次/</w:t>
            </w:r>
            <w:r>
              <w:rPr>
                <w:rFonts w:hint="eastAsia"/>
                <w:lang w:val="en-US" w:eastAsia="zh-CN"/>
              </w:rPr>
              <w:t>5</w:t>
            </w:r>
            <w:r>
              <w:rPr>
                <w:rFonts w:hint="default"/>
              </w:rPr>
              <w:t>年</w:t>
            </w:r>
          </w:p>
        </w:tc>
        <w:tc>
          <w:tcPr>
            <w:tcW w:w="619" w:type="pct"/>
            <w:vMerge w:val="continue"/>
            <w:vAlign w:val="center"/>
          </w:tcPr>
          <w:p w14:paraId="7341008C">
            <w:pPr>
              <w:pStyle w:val="22"/>
              <w:keepNext w:val="0"/>
              <w:keepLines w:val="0"/>
              <w:suppressLineNumbers w:val="0"/>
              <w:spacing w:before="0" w:beforeAutospacing="0" w:after="0" w:afterAutospacing="0"/>
              <w:ind w:left="0" w:right="0"/>
              <w:rPr>
                <w:rFonts w:hint="default"/>
              </w:rPr>
            </w:pPr>
          </w:p>
        </w:tc>
      </w:tr>
      <w:tr w14:paraId="7A92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7" w:type="pct"/>
            <w:vMerge w:val="continue"/>
            <w:vAlign w:val="center"/>
          </w:tcPr>
          <w:p w14:paraId="5BD0CD68">
            <w:pPr>
              <w:pStyle w:val="22"/>
              <w:keepNext w:val="0"/>
              <w:keepLines w:val="0"/>
              <w:suppressLineNumbers w:val="0"/>
              <w:spacing w:before="0" w:beforeAutospacing="0" w:after="0" w:afterAutospacing="0"/>
              <w:ind w:left="0" w:right="0"/>
              <w:rPr>
                <w:rFonts w:hint="default"/>
              </w:rPr>
            </w:pPr>
          </w:p>
        </w:tc>
        <w:tc>
          <w:tcPr>
            <w:tcW w:w="901" w:type="pct"/>
            <w:vAlign w:val="center"/>
          </w:tcPr>
          <w:p w14:paraId="7B8FBAC9">
            <w:pPr>
              <w:pStyle w:val="22"/>
              <w:keepNext w:val="0"/>
              <w:keepLines w:val="0"/>
              <w:suppressLineNumbers w:val="0"/>
              <w:spacing w:before="0" w:beforeAutospacing="0" w:after="0" w:afterAutospacing="0"/>
              <w:ind w:left="0" w:right="0"/>
              <w:rPr>
                <w:rFonts w:hint="default"/>
              </w:rPr>
            </w:pPr>
            <w:r>
              <w:rPr>
                <w:rFonts w:hint="default"/>
              </w:rPr>
              <w:t>信息公开指标</w:t>
            </w:r>
          </w:p>
        </w:tc>
        <w:tc>
          <w:tcPr>
            <w:tcW w:w="3241" w:type="pct"/>
            <w:gridSpan w:val="6"/>
            <w:vAlign w:val="center"/>
          </w:tcPr>
          <w:p w14:paraId="71B5AFB1">
            <w:pPr>
              <w:pStyle w:val="22"/>
              <w:keepNext w:val="0"/>
              <w:keepLines w:val="0"/>
              <w:suppressLineNumbers w:val="0"/>
              <w:spacing w:before="0" w:beforeAutospacing="0" w:after="0" w:afterAutospacing="0"/>
              <w:ind w:left="0" w:right="0"/>
              <w:rPr>
                <w:rFonts w:hint="eastAsia" w:eastAsia="宋体"/>
                <w:lang w:val="en-US" w:eastAsia="zh-CN"/>
              </w:rPr>
            </w:pPr>
            <w:r>
              <w:rPr>
                <w:rFonts w:hint="eastAsia"/>
                <w:lang w:val="en-US" w:eastAsia="zh-CN"/>
              </w:rPr>
              <w:t>/</w:t>
            </w:r>
          </w:p>
        </w:tc>
        <w:tc>
          <w:tcPr>
            <w:tcW w:w="619" w:type="pct"/>
            <w:vMerge w:val="continue"/>
            <w:vAlign w:val="center"/>
          </w:tcPr>
          <w:p w14:paraId="76C027F9">
            <w:pPr>
              <w:pStyle w:val="22"/>
              <w:keepNext w:val="0"/>
              <w:keepLines w:val="0"/>
              <w:suppressLineNumbers w:val="0"/>
              <w:spacing w:before="0" w:beforeAutospacing="0" w:after="0" w:afterAutospacing="0"/>
              <w:ind w:left="0" w:right="0"/>
              <w:rPr>
                <w:rFonts w:hint="default"/>
              </w:rPr>
            </w:pPr>
          </w:p>
        </w:tc>
      </w:tr>
      <w:tr w14:paraId="3718A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39" w:type="pct"/>
            <w:gridSpan w:val="2"/>
            <w:vAlign w:val="center"/>
          </w:tcPr>
          <w:p w14:paraId="624800D2">
            <w:pPr>
              <w:pStyle w:val="22"/>
              <w:keepNext w:val="0"/>
              <w:keepLines w:val="0"/>
              <w:suppressLineNumbers w:val="0"/>
              <w:spacing w:before="0" w:beforeAutospacing="0" w:after="0" w:afterAutospacing="0"/>
              <w:ind w:left="0" w:right="0"/>
              <w:jc w:val="center"/>
              <w:rPr>
                <w:rFonts w:hint="default"/>
              </w:rPr>
            </w:pPr>
            <w:r>
              <w:rPr>
                <w:rFonts w:hint="default"/>
              </w:rPr>
              <w:t>评价结论</w:t>
            </w:r>
          </w:p>
        </w:tc>
        <w:tc>
          <w:tcPr>
            <w:tcW w:w="3241" w:type="pct"/>
            <w:gridSpan w:val="6"/>
            <w:vAlign w:val="center"/>
          </w:tcPr>
          <w:p w14:paraId="5C633297">
            <w:pPr>
              <w:keepNext w:val="0"/>
              <w:keepLines w:val="0"/>
              <w:widowControl/>
              <w:suppressLineNumbers w:val="0"/>
              <w:spacing w:before="0" w:beforeAutospacing="0" w:after="0" w:afterAutospacing="0" w:line="240" w:lineRule="auto"/>
              <w:ind w:left="0" w:leftChars="0" w:right="0" w:firstLine="0" w:firstLineChars="0"/>
              <w:jc w:val="center"/>
              <w:rPr>
                <w:rFonts w:hint="default"/>
              </w:rPr>
            </w:pPr>
            <w:r>
              <w:rPr>
                <w:rFonts w:hint="default" w:cs="Times New Roman"/>
                <w:kern w:val="0"/>
                <w:sz w:val="21"/>
                <w:szCs w:val="21"/>
                <w:lang w:val="zh-CN"/>
              </w:rPr>
              <w:t>项目通过定量与定性相结合的办法，从大气沉降、地面漫流和垂直入渗三个影响途径，分析项目运营对土壤环境的影响。</w:t>
            </w:r>
            <w:r>
              <w:rPr>
                <w:rFonts w:hint="default" w:cs="Times New Roman"/>
                <w:kern w:val="0"/>
                <w:sz w:val="21"/>
                <w:szCs w:val="21"/>
              </w:rPr>
              <w:t>本报告从最不利情况考虑</w:t>
            </w:r>
            <w:r>
              <w:rPr>
                <w:rFonts w:hint="eastAsia" w:ascii="Times New Roman" w:hAnsi="Times New Roman"/>
                <w:kern w:val="0"/>
                <w:sz w:val="21"/>
                <w:szCs w:val="21"/>
                <w:lang w:val="en-US" w:eastAsia="zh-CN"/>
              </w:rPr>
              <w:t>项目运行15年后土壤中各预测因子在叠加背景量，仍满足《土壤环境质量 建设用地土壤污染风险管控标准（试行）》（GB36600-2018）；</w:t>
            </w:r>
            <w:r>
              <w:rPr>
                <w:rFonts w:hint="default" w:cs="Times New Roman"/>
                <w:kern w:val="0"/>
                <w:sz w:val="21"/>
                <w:szCs w:val="21"/>
              </w:rPr>
              <w:t>项目采取了源头控制和分区防渗措施，正常情况下各类物料、固废、废水中污染物随地表漫流或垂直入渗影响土壤环境</w:t>
            </w:r>
            <w:r>
              <w:rPr>
                <w:rFonts w:hint="eastAsia" w:cs="Times New Roman"/>
                <w:kern w:val="0"/>
                <w:sz w:val="21"/>
                <w:szCs w:val="21"/>
                <w:lang w:eastAsia="zh-CN"/>
              </w:rPr>
              <w:t>，</w:t>
            </w:r>
            <w:r>
              <w:rPr>
                <w:rFonts w:hint="eastAsia" w:cs="Times New Roman"/>
                <w:kern w:val="0"/>
                <w:sz w:val="21"/>
                <w:szCs w:val="21"/>
                <w:lang w:val="en-US" w:eastAsia="zh-CN"/>
              </w:rPr>
              <w:t>经预测叠加背景值后</w:t>
            </w:r>
            <w:r>
              <w:rPr>
                <w:rFonts w:hint="eastAsia" w:ascii="Times New Roman" w:hAnsi="Times New Roman"/>
                <w:kern w:val="0"/>
                <w:sz w:val="21"/>
                <w:szCs w:val="21"/>
                <w:lang w:val="en-US" w:eastAsia="zh-CN"/>
              </w:rPr>
              <w:t>满足《土壤环境质量 建设用地土壤污染风险管控标准（试行）》（GB36600-2018）限值要求</w:t>
            </w:r>
            <w:r>
              <w:rPr>
                <w:rFonts w:hint="eastAsia" w:cs="Times New Roman"/>
                <w:kern w:val="0"/>
                <w:sz w:val="21"/>
                <w:szCs w:val="21"/>
                <w:lang w:eastAsia="zh-CN"/>
              </w:rPr>
              <w:t>；</w:t>
            </w:r>
            <w:r>
              <w:rPr>
                <w:rFonts w:hint="default" w:cs="Times New Roman"/>
                <w:kern w:val="0"/>
                <w:sz w:val="21"/>
                <w:szCs w:val="21"/>
                <w:lang w:val="zh-CN"/>
              </w:rPr>
              <w:t>项目厂区建有完善的环保设施及处置措施，正常情况下能有效防控污染物进入土壤环境，项目在严格做好大气污染防治设施及地面分区防渗措施的建设，采取必要的检修、监测、管理措施条件下，工程建设对土壤环境的影响可接受。</w:t>
            </w:r>
          </w:p>
        </w:tc>
        <w:tc>
          <w:tcPr>
            <w:tcW w:w="619" w:type="pct"/>
            <w:vAlign w:val="center"/>
          </w:tcPr>
          <w:p w14:paraId="162DB7E9">
            <w:pPr>
              <w:pStyle w:val="22"/>
              <w:keepNext w:val="0"/>
              <w:keepLines w:val="0"/>
              <w:suppressLineNumbers w:val="0"/>
              <w:spacing w:before="0" w:beforeAutospacing="0" w:after="0" w:afterAutospacing="0"/>
              <w:ind w:left="0" w:right="0"/>
              <w:rPr>
                <w:rFonts w:hint="default"/>
              </w:rPr>
            </w:pPr>
          </w:p>
        </w:tc>
      </w:tr>
      <w:tr w14:paraId="110AE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9"/>
            <w:vAlign w:val="center"/>
          </w:tcPr>
          <w:p w14:paraId="52F3A72D">
            <w:pPr>
              <w:pStyle w:val="22"/>
              <w:keepNext w:val="0"/>
              <w:keepLines w:val="0"/>
              <w:suppressLineNumbers w:val="0"/>
              <w:spacing w:before="0" w:beforeAutospacing="0" w:after="0" w:afterAutospacing="0"/>
              <w:ind w:left="0" w:right="0"/>
              <w:jc w:val="left"/>
              <w:rPr>
                <w:rFonts w:hint="default"/>
              </w:rPr>
            </w:pPr>
            <w:r>
              <w:rPr>
                <w:rFonts w:hint="default"/>
              </w:rPr>
              <w:t>注1：“□”为勾选项，可√；“（）”为内容填写项；“备注”为其他补充内容。</w:t>
            </w:r>
          </w:p>
          <w:p w14:paraId="43655DF1">
            <w:pPr>
              <w:pStyle w:val="22"/>
              <w:keepNext w:val="0"/>
              <w:keepLines w:val="0"/>
              <w:suppressLineNumbers w:val="0"/>
              <w:spacing w:before="0" w:beforeAutospacing="0" w:after="0" w:afterAutospacing="0"/>
              <w:ind w:left="0" w:right="0"/>
              <w:jc w:val="left"/>
              <w:rPr>
                <w:rFonts w:hint="default"/>
              </w:rPr>
            </w:pPr>
            <w:r>
              <w:rPr>
                <w:rFonts w:hint="default"/>
              </w:rPr>
              <w:t>注2：需要分别开展土壤环境影响评级工作的，分别填写</w:t>
            </w:r>
            <w:r>
              <w:rPr>
                <w:rFonts w:hint="eastAsia" w:ascii="宋体" w:hAnsi="宋体" w:cs="宋体"/>
              </w:rPr>
              <w:t>自查表。</w:t>
            </w:r>
          </w:p>
        </w:tc>
      </w:tr>
    </w:tbl>
    <w:p w14:paraId="70F1BBAA">
      <w:pPr>
        <w:pStyle w:val="3"/>
        <w:spacing w:before="120" w:after="120" w:line="500" w:lineRule="exact"/>
        <w:ind w:left="375" w:hanging="375" w:firstLineChars="0"/>
        <w:contextualSpacing/>
        <w:rPr>
          <w:rFonts w:hint="eastAsia" w:ascii="Times New Roman" w:hAnsi="Times New Roman" w:cs="Times New Roman" w:eastAsiaTheme="minorEastAsia"/>
          <w:snapToGrid w:val="0"/>
          <w:kern w:val="0"/>
          <w:sz w:val="28"/>
          <w:szCs w:val="28"/>
          <w:lang w:val="en-US" w:eastAsia="zh-CN"/>
        </w:rPr>
      </w:pPr>
      <w:bookmarkStart w:id="261" w:name="_Toc31102"/>
      <w:r>
        <w:rPr>
          <w:rFonts w:hint="eastAsia" w:ascii="Times New Roman" w:hAnsi="Times New Roman" w:cs="Times New Roman" w:eastAsiaTheme="minorEastAsia"/>
          <w:snapToGrid w:val="0"/>
          <w:kern w:val="0"/>
          <w:sz w:val="28"/>
          <w:szCs w:val="28"/>
          <w:lang w:val="en-US" w:eastAsia="zh-CN"/>
        </w:rPr>
        <w:t>5.8环境风险评价</w:t>
      </w:r>
      <w:bookmarkEnd w:id="261"/>
    </w:p>
    <w:p w14:paraId="6DC67F93">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根据《建设项目环境风险评价技术导则》</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HJ169-2018</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和《关于防范环境风险加强环境影响评价管理的通知》，项目实施后环境风险评价的基本内容包括风险调查、环境风险潜势初判、风险识别、风险事故情形分析、风险预测与评价、环境风险管理等</w:t>
      </w:r>
      <w:r>
        <w:rPr>
          <w:rFonts w:hint="eastAsia" w:ascii="Times New Roman" w:hAnsi="Times New Roman" w:cs="Times New Roman" w:eastAsiaTheme="minorEastAsia"/>
          <w:sz w:val="24"/>
          <w:lang w:val="en-US" w:eastAsia="zh-CN"/>
        </w:rPr>
        <w:t>，</w:t>
      </w:r>
      <w:r>
        <w:rPr>
          <w:rFonts w:hint="default" w:ascii="Times New Roman" w:hAnsi="Times New Roman" w:cs="Times New Roman" w:eastAsiaTheme="minorEastAsia"/>
          <w:sz w:val="24"/>
          <w:lang w:val="en-US" w:eastAsia="zh-CN"/>
        </w:rPr>
        <w:t>具体如下</w:t>
      </w:r>
      <w:r>
        <w:rPr>
          <w:rFonts w:hint="eastAsia" w:ascii="Times New Roman" w:hAnsi="Times New Roman" w:cs="Times New Roman" w:eastAsiaTheme="minorEastAsia"/>
          <w:sz w:val="24"/>
          <w:lang w:val="en-US" w:eastAsia="zh-CN"/>
        </w:rPr>
        <w:t>：</w:t>
      </w:r>
    </w:p>
    <w:p w14:paraId="43060161">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w:t>
      </w:r>
      <w:r>
        <w:rPr>
          <w:rFonts w:hint="default" w:ascii="Times New Roman" w:hAnsi="Times New Roman" w:cs="Times New Roman" w:eastAsiaTheme="minorEastAsia"/>
          <w:sz w:val="24"/>
          <w:lang w:val="en-US" w:eastAsia="zh-CN"/>
        </w:rPr>
        <w:t>项目风险调查。在分析建设项目物质及工艺系统危险性和环境敏感性的基础下，进行风险潜势的判断，确定风险评价等级。</w:t>
      </w:r>
    </w:p>
    <w:p w14:paraId="03AF7845">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（2）</w:t>
      </w:r>
      <w:r>
        <w:rPr>
          <w:rFonts w:hint="default" w:ascii="Times New Roman" w:hAnsi="Times New Roman" w:cs="Times New Roman" w:eastAsiaTheme="minorEastAsia"/>
          <w:sz w:val="24"/>
          <w:lang w:val="en-US" w:eastAsia="zh-CN"/>
        </w:rPr>
        <w:t>项目风险识别及风险事故情形分析。明确危险物质在生产系统中的主要分布，筛选具有代表性的风险事故情形，合理设定事故源项。</w:t>
      </w:r>
    </w:p>
    <w:p w14:paraId="0637ACBD">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（3）</w:t>
      </w:r>
      <w:r>
        <w:rPr>
          <w:rFonts w:hint="default" w:ascii="Times New Roman" w:hAnsi="Times New Roman" w:cs="Times New Roman" w:eastAsiaTheme="minorEastAsia"/>
          <w:sz w:val="24"/>
          <w:lang w:val="en-US" w:eastAsia="zh-CN"/>
        </w:rPr>
        <w:t>开展预测评价。各环境要素按确定的评价工作等级分别预测评价，并分析说明环境风险危害范围与程度，提出环境风险防范的基本要求。</w:t>
      </w:r>
    </w:p>
    <w:p w14:paraId="4E1B9AA5">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（4）</w:t>
      </w:r>
      <w:r>
        <w:rPr>
          <w:rFonts w:hint="default" w:ascii="Times New Roman" w:hAnsi="Times New Roman" w:cs="Times New Roman" w:eastAsiaTheme="minorEastAsia"/>
          <w:sz w:val="24"/>
          <w:lang w:val="en-US" w:eastAsia="zh-CN"/>
        </w:rPr>
        <w:t>提出环境风险管理对策，明确环境风险防范措施及突发环境事件应急预案编制要求。</w:t>
      </w:r>
    </w:p>
    <w:p w14:paraId="5BCC9F27">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（5）</w:t>
      </w:r>
      <w:r>
        <w:rPr>
          <w:rFonts w:hint="default" w:ascii="Times New Roman" w:hAnsi="Times New Roman" w:cs="Times New Roman" w:eastAsiaTheme="minorEastAsia"/>
          <w:sz w:val="24"/>
          <w:lang w:val="en-US" w:eastAsia="zh-CN"/>
        </w:rPr>
        <w:t>综合环境风险评价过程，给出评价结论与建议。</w:t>
      </w:r>
    </w:p>
    <w:p w14:paraId="5CC97431">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262" w:name="_Toc6009"/>
      <w:bookmarkStart w:id="263" w:name="_Toc24960"/>
      <w:r>
        <w:rPr>
          <w:rFonts w:hint="eastAsia" w:ascii="Times New Roman" w:hAnsi="Times New Roman" w:cs="Times New Roman" w:eastAsiaTheme="minorEastAsia"/>
          <w:kern w:val="0"/>
          <w:sz w:val="24"/>
          <w:szCs w:val="24"/>
          <w:lang w:val="en-US" w:eastAsia="zh-CN"/>
        </w:rPr>
        <w:t>5.8.1环境风险分析</w:t>
      </w:r>
      <w:bookmarkEnd w:id="262"/>
      <w:bookmarkEnd w:id="263"/>
    </w:p>
    <w:p w14:paraId="2B9B7F6E">
      <w:pPr>
        <w:adjustRightInd w:val="0"/>
        <w:snapToGrid w:val="0"/>
        <w:spacing w:line="500" w:lineRule="exact"/>
        <w:jc w:val="left"/>
        <w:rPr>
          <w:rFonts w:hint="default" w:ascii="Times New Roman" w:hAnsi="Times New Roman" w:cs="Times New Roman" w:eastAsiaTheme="minorEastAsia"/>
          <w:b/>
          <w:bCs/>
          <w:sz w:val="24"/>
          <w:lang w:val="en-US" w:eastAsia="zh-CN"/>
        </w:rPr>
      </w:pPr>
      <w:bookmarkStart w:id="264" w:name="_Toc27260"/>
      <w:r>
        <w:rPr>
          <w:rFonts w:hint="eastAsia" w:ascii="Times New Roman" w:hAnsi="Times New Roman" w:cs="Times New Roman" w:eastAsiaTheme="minorEastAsia"/>
          <w:b/>
          <w:bCs/>
          <w:sz w:val="24"/>
          <w:lang w:val="en-US" w:eastAsia="zh-CN"/>
        </w:rPr>
        <w:t>5.8.1.1风险调查</w:t>
      </w:r>
      <w:bookmarkEnd w:id="264"/>
    </w:p>
    <w:p w14:paraId="5CC0355A">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（1）评价等级确定</w:t>
      </w:r>
    </w:p>
    <w:p w14:paraId="2F06561A">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根据建设项目危险物质数量和分布情况、生产工艺特点，本项目主要风险物质为柴油</w:t>
      </w:r>
      <w:r>
        <w:rPr>
          <w:rFonts w:hint="eastAsia" w:ascii="Times New Roman" w:hAnsi="Times New Roman" w:cs="Times New Roman"/>
          <w:sz w:val="24"/>
          <w:highlight w:val="none"/>
          <w:lang w:val="en-US" w:eastAsia="zh-CN"/>
        </w:rPr>
        <w:t>、次氯酸钠、氢氧化钠、医疗废物、污泥、废活性炭</w:t>
      </w:r>
      <w:r>
        <w:rPr>
          <w:rFonts w:hint="eastAsia" w:ascii="Times New Roman" w:hAnsi="Times New Roman" w:cs="Times New Roman" w:eastAsiaTheme="minorEastAsia"/>
          <w:sz w:val="24"/>
          <w:highlight w:val="none"/>
          <w:lang w:val="en-US" w:eastAsia="zh-CN"/>
        </w:rPr>
        <w:t>。</w:t>
      </w:r>
    </w:p>
    <w:p w14:paraId="5FA0DBAB">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根据《建设项目环境风险评价技术导则》（HJ 169-2018）附录C.1.1 危险物质数量与临界量比值（Q），项目危险物质数量与临界量比值Q=0.</w:t>
      </w:r>
      <w:r>
        <w:rPr>
          <w:rFonts w:hint="eastAsia" w:ascii="Times New Roman" w:hAnsi="Times New Roman" w:cs="Times New Roman"/>
          <w:sz w:val="24"/>
          <w:highlight w:val="none"/>
          <w:lang w:val="en-US" w:eastAsia="zh-CN"/>
        </w:rPr>
        <w:t>526</w:t>
      </w:r>
      <w:r>
        <w:rPr>
          <w:rFonts w:hint="eastAsia" w:ascii="Times New Roman" w:hAnsi="Times New Roman" w:cs="Times New Roman" w:eastAsiaTheme="minorEastAsia"/>
          <w:sz w:val="24"/>
          <w:highlight w:val="none"/>
          <w:lang w:val="en-US" w:eastAsia="zh-CN"/>
        </w:rPr>
        <w:t>，Q＜1，该项目环境风险潜势为I。</w:t>
      </w:r>
    </w:p>
    <w:p w14:paraId="7FADF5BD">
      <w:pPr>
        <w:adjustRightInd w:val="0"/>
        <w:snapToGrid w:val="0"/>
        <w:spacing w:before="250"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表5.8-1  危险物质数量与临界量比值</w:t>
      </w:r>
    </w:p>
    <w:tbl>
      <w:tblPr>
        <w:tblStyle w:val="1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7"/>
        <w:gridCol w:w="1578"/>
        <w:gridCol w:w="1641"/>
        <w:gridCol w:w="2853"/>
      </w:tblGrid>
      <w:tr w14:paraId="46BF9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36" w:type="pct"/>
            <w:vMerge w:val="restart"/>
            <w:tcBorders>
              <w:tl2br w:val="nil"/>
              <w:tr2bl w:val="nil"/>
            </w:tcBorders>
            <w:noWrap w:val="0"/>
            <w:vAlign w:val="center"/>
          </w:tcPr>
          <w:p w14:paraId="7824E091">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物质</w:t>
            </w:r>
          </w:p>
        </w:tc>
        <w:tc>
          <w:tcPr>
            <w:tcW w:w="3563" w:type="pct"/>
            <w:gridSpan w:val="3"/>
            <w:tcBorders>
              <w:tl2br w:val="nil"/>
              <w:tr2bl w:val="nil"/>
            </w:tcBorders>
            <w:noWrap w:val="0"/>
            <w:vAlign w:val="center"/>
          </w:tcPr>
          <w:p w14:paraId="4780D1BB">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危险源辨识</w:t>
            </w:r>
          </w:p>
        </w:tc>
      </w:tr>
      <w:tr w14:paraId="642A1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36" w:type="pct"/>
            <w:vMerge w:val="continue"/>
            <w:tcBorders>
              <w:tl2br w:val="nil"/>
              <w:tr2bl w:val="nil"/>
            </w:tcBorders>
            <w:noWrap w:val="0"/>
            <w:vAlign w:val="center"/>
          </w:tcPr>
          <w:p w14:paraId="17FC282A">
            <w:pPr>
              <w:spacing w:line="300" w:lineRule="exact"/>
              <w:jc w:val="center"/>
              <w:rPr>
                <w:rFonts w:hint="default" w:ascii="Times New Roman" w:hAnsi="Times New Roman" w:cs="Times New Roman" w:eastAsiaTheme="minorEastAsia"/>
                <w:szCs w:val="21"/>
                <w:lang w:val="en-US" w:eastAsia="zh-CN"/>
              </w:rPr>
            </w:pPr>
          </w:p>
        </w:tc>
        <w:tc>
          <w:tcPr>
            <w:tcW w:w="926" w:type="pct"/>
            <w:tcBorders>
              <w:tl2br w:val="nil"/>
              <w:tr2bl w:val="nil"/>
            </w:tcBorders>
            <w:noWrap w:val="0"/>
            <w:vAlign w:val="center"/>
          </w:tcPr>
          <w:p w14:paraId="635C0837">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临界量（t）</w:t>
            </w:r>
          </w:p>
        </w:tc>
        <w:tc>
          <w:tcPr>
            <w:tcW w:w="963" w:type="pct"/>
            <w:tcBorders>
              <w:tl2br w:val="nil"/>
              <w:tr2bl w:val="nil"/>
            </w:tcBorders>
            <w:noWrap w:val="0"/>
            <w:vAlign w:val="center"/>
          </w:tcPr>
          <w:p w14:paraId="5992234A">
            <w:pPr>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最大</w:t>
            </w:r>
            <w:r>
              <w:rPr>
                <w:rFonts w:hint="default" w:ascii="Times New Roman" w:hAnsi="Times New Roman" w:cs="Times New Roman" w:eastAsiaTheme="minorEastAsia"/>
                <w:szCs w:val="21"/>
                <w:lang w:val="en-US" w:eastAsia="zh-CN"/>
              </w:rPr>
              <w:t>贮存量（t）</w:t>
            </w:r>
          </w:p>
        </w:tc>
        <w:tc>
          <w:tcPr>
            <w:tcW w:w="1674" w:type="pct"/>
            <w:tcBorders>
              <w:tl2br w:val="nil"/>
              <w:tr2bl w:val="nil"/>
            </w:tcBorders>
            <w:noWrap w:val="0"/>
            <w:vAlign w:val="center"/>
          </w:tcPr>
          <w:p w14:paraId="5BBB0FAE">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比值</w:t>
            </w:r>
          </w:p>
        </w:tc>
      </w:tr>
      <w:tr w14:paraId="0FEF4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47" w:type="dxa"/>
            <w:tcBorders>
              <w:tl2br w:val="nil"/>
              <w:tr2bl w:val="nil"/>
            </w:tcBorders>
            <w:noWrap w:val="0"/>
            <w:vAlign w:val="center"/>
          </w:tcPr>
          <w:p w14:paraId="183C108B">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柴油</w:t>
            </w:r>
          </w:p>
        </w:tc>
        <w:tc>
          <w:tcPr>
            <w:tcW w:w="1578" w:type="dxa"/>
            <w:tcBorders>
              <w:tl2br w:val="nil"/>
              <w:tr2bl w:val="nil"/>
            </w:tcBorders>
            <w:noWrap w:val="0"/>
            <w:vAlign w:val="center"/>
          </w:tcPr>
          <w:p w14:paraId="638D25DA">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2500</w:t>
            </w:r>
          </w:p>
        </w:tc>
        <w:tc>
          <w:tcPr>
            <w:tcW w:w="1641" w:type="dxa"/>
            <w:tcBorders>
              <w:tl2br w:val="nil"/>
              <w:tr2bl w:val="nil"/>
            </w:tcBorders>
            <w:noWrap w:val="0"/>
            <w:vAlign w:val="center"/>
          </w:tcPr>
          <w:p w14:paraId="2459BB9B">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2.55</w:t>
            </w:r>
          </w:p>
        </w:tc>
        <w:tc>
          <w:tcPr>
            <w:tcW w:w="2853" w:type="dxa"/>
            <w:tcBorders>
              <w:tl2br w:val="nil"/>
              <w:tr2bl w:val="nil"/>
            </w:tcBorders>
            <w:noWrap w:val="0"/>
            <w:vAlign w:val="center"/>
          </w:tcPr>
          <w:p w14:paraId="5828557D">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0.001</w:t>
            </w:r>
          </w:p>
        </w:tc>
      </w:tr>
      <w:tr w14:paraId="29402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47" w:type="dxa"/>
            <w:tcBorders>
              <w:tl2br w:val="nil"/>
              <w:tr2bl w:val="nil"/>
            </w:tcBorders>
            <w:noWrap w:val="0"/>
            <w:vAlign w:val="center"/>
          </w:tcPr>
          <w:p w14:paraId="483FC835">
            <w:pPr>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次氯酸钠</w:t>
            </w:r>
          </w:p>
        </w:tc>
        <w:tc>
          <w:tcPr>
            <w:tcW w:w="1578" w:type="dxa"/>
            <w:tcBorders>
              <w:tl2br w:val="nil"/>
              <w:tr2bl w:val="nil"/>
            </w:tcBorders>
            <w:noWrap w:val="0"/>
            <w:vAlign w:val="center"/>
          </w:tcPr>
          <w:p w14:paraId="7F8EBBB4">
            <w:pPr>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5</w:t>
            </w:r>
          </w:p>
        </w:tc>
        <w:tc>
          <w:tcPr>
            <w:tcW w:w="1641" w:type="dxa"/>
            <w:tcBorders>
              <w:tl2br w:val="nil"/>
              <w:tr2bl w:val="nil"/>
            </w:tcBorders>
            <w:noWrap w:val="0"/>
            <w:vAlign w:val="center"/>
          </w:tcPr>
          <w:p w14:paraId="7F41C730">
            <w:pPr>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0.5</w:t>
            </w:r>
          </w:p>
        </w:tc>
        <w:tc>
          <w:tcPr>
            <w:tcW w:w="2853" w:type="dxa"/>
            <w:tcBorders>
              <w:tl2br w:val="nil"/>
              <w:tr2bl w:val="nil"/>
            </w:tcBorders>
            <w:noWrap w:val="0"/>
            <w:vAlign w:val="center"/>
          </w:tcPr>
          <w:p w14:paraId="53B8C27E">
            <w:pPr>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0.1</w:t>
            </w:r>
          </w:p>
        </w:tc>
      </w:tr>
      <w:tr w14:paraId="1D14E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47" w:type="dxa"/>
            <w:tcBorders>
              <w:tl2br w:val="nil"/>
              <w:tr2bl w:val="nil"/>
            </w:tcBorders>
            <w:noWrap w:val="0"/>
            <w:vAlign w:val="center"/>
          </w:tcPr>
          <w:p w14:paraId="753AC6D5">
            <w:pPr>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氢氧化钠</w:t>
            </w:r>
          </w:p>
        </w:tc>
        <w:tc>
          <w:tcPr>
            <w:tcW w:w="1578" w:type="dxa"/>
            <w:tcBorders>
              <w:tl2br w:val="nil"/>
              <w:tr2bl w:val="nil"/>
            </w:tcBorders>
            <w:noWrap w:val="0"/>
            <w:vAlign w:val="center"/>
          </w:tcPr>
          <w:p w14:paraId="394066FB">
            <w:pPr>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50</w:t>
            </w:r>
          </w:p>
        </w:tc>
        <w:tc>
          <w:tcPr>
            <w:tcW w:w="1641" w:type="dxa"/>
            <w:tcBorders>
              <w:tl2br w:val="nil"/>
              <w:tr2bl w:val="nil"/>
            </w:tcBorders>
            <w:noWrap w:val="0"/>
            <w:vAlign w:val="center"/>
          </w:tcPr>
          <w:p w14:paraId="2031EA78">
            <w:pPr>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10</w:t>
            </w:r>
          </w:p>
        </w:tc>
        <w:tc>
          <w:tcPr>
            <w:tcW w:w="2853" w:type="dxa"/>
            <w:tcBorders>
              <w:tl2br w:val="nil"/>
              <w:tr2bl w:val="nil"/>
            </w:tcBorders>
            <w:noWrap w:val="0"/>
            <w:vAlign w:val="center"/>
          </w:tcPr>
          <w:p w14:paraId="7DB32D80">
            <w:pPr>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0.2</w:t>
            </w:r>
          </w:p>
        </w:tc>
      </w:tr>
      <w:tr w14:paraId="551C2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47" w:type="dxa"/>
            <w:tcBorders>
              <w:tl2br w:val="nil"/>
              <w:tr2bl w:val="nil"/>
            </w:tcBorders>
            <w:noWrap w:val="0"/>
            <w:vAlign w:val="center"/>
          </w:tcPr>
          <w:p w14:paraId="3FEF114D">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医疗废物</w:t>
            </w:r>
          </w:p>
        </w:tc>
        <w:tc>
          <w:tcPr>
            <w:tcW w:w="1578" w:type="dxa"/>
            <w:tcBorders>
              <w:tl2br w:val="nil"/>
              <w:tr2bl w:val="nil"/>
            </w:tcBorders>
            <w:noWrap w:val="0"/>
            <w:vAlign w:val="center"/>
          </w:tcPr>
          <w:p w14:paraId="54527E5A">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50</w:t>
            </w:r>
          </w:p>
        </w:tc>
        <w:tc>
          <w:tcPr>
            <w:tcW w:w="1641" w:type="dxa"/>
            <w:tcBorders>
              <w:tl2br w:val="nil"/>
              <w:tr2bl w:val="nil"/>
            </w:tcBorders>
            <w:noWrap w:val="0"/>
            <w:vAlign w:val="center"/>
          </w:tcPr>
          <w:p w14:paraId="4C4CA68C">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10</w:t>
            </w:r>
          </w:p>
        </w:tc>
        <w:tc>
          <w:tcPr>
            <w:tcW w:w="2853" w:type="dxa"/>
            <w:tcBorders>
              <w:tl2br w:val="nil"/>
              <w:tr2bl w:val="nil"/>
            </w:tcBorders>
            <w:noWrap w:val="0"/>
            <w:vAlign w:val="center"/>
          </w:tcPr>
          <w:p w14:paraId="4634D588">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0.2</w:t>
            </w:r>
          </w:p>
        </w:tc>
      </w:tr>
      <w:tr w14:paraId="37635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47" w:type="dxa"/>
            <w:tcBorders>
              <w:tl2br w:val="nil"/>
              <w:tr2bl w:val="nil"/>
            </w:tcBorders>
            <w:noWrap w:val="0"/>
            <w:vAlign w:val="center"/>
          </w:tcPr>
          <w:p w14:paraId="364A5E24">
            <w:pPr>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污泥</w:t>
            </w:r>
          </w:p>
        </w:tc>
        <w:tc>
          <w:tcPr>
            <w:tcW w:w="1578" w:type="dxa"/>
            <w:tcBorders>
              <w:tl2br w:val="nil"/>
              <w:tr2bl w:val="nil"/>
            </w:tcBorders>
            <w:noWrap w:val="0"/>
            <w:vAlign w:val="center"/>
          </w:tcPr>
          <w:p w14:paraId="436C63BF">
            <w:pPr>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50</w:t>
            </w:r>
          </w:p>
        </w:tc>
        <w:tc>
          <w:tcPr>
            <w:tcW w:w="1641" w:type="dxa"/>
            <w:tcBorders>
              <w:tl2br w:val="nil"/>
              <w:tr2bl w:val="nil"/>
            </w:tcBorders>
            <w:noWrap w:val="0"/>
            <w:vAlign w:val="center"/>
          </w:tcPr>
          <w:p w14:paraId="295C1EF7">
            <w:pPr>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eastAsiaTheme="minorEastAsia"/>
                <w:szCs w:val="21"/>
                <w:lang w:val="en-US" w:eastAsia="zh-CN"/>
              </w:rPr>
              <w:t>0.</w:t>
            </w:r>
            <w:r>
              <w:rPr>
                <w:rFonts w:hint="eastAsia" w:ascii="Times New Roman" w:hAnsi="Times New Roman" w:cs="Times New Roman"/>
                <w:szCs w:val="21"/>
                <w:lang w:val="en-US" w:eastAsia="zh-CN"/>
              </w:rPr>
              <w:t>958</w:t>
            </w:r>
          </w:p>
        </w:tc>
        <w:tc>
          <w:tcPr>
            <w:tcW w:w="2853" w:type="dxa"/>
            <w:tcBorders>
              <w:tl2br w:val="nil"/>
              <w:tr2bl w:val="nil"/>
            </w:tcBorders>
            <w:noWrap w:val="0"/>
            <w:vAlign w:val="center"/>
          </w:tcPr>
          <w:p w14:paraId="330B7D13">
            <w:pPr>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0.019</w:t>
            </w:r>
          </w:p>
        </w:tc>
      </w:tr>
      <w:tr w14:paraId="7302D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47" w:type="dxa"/>
            <w:tcBorders>
              <w:tl2br w:val="nil"/>
              <w:tr2bl w:val="nil"/>
            </w:tcBorders>
            <w:noWrap w:val="0"/>
            <w:vAlign w:val="center"/>
          </w:tcPr>
          <w:p w14:paraId="734B593C">
            <w:pPr>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废活性炭</w:t>
            </w:r>
          </w:p>
        </w:tc>
        <w:tc>
          <w:tcPr>
            <w:tcW w:w="1578" w:type="dxa"/>
            <w:tcBorders>
              <w:tl2br w:val="nil"/>
              <w:tr2bl w:val="nil"/>
            </w:tcBorders>
            <w:noWrap w:val="0"/>
            <w:vAlign w:val="center"/>
          </w:tcPr>
          <w:p w14:paraId="41A7A8B5">
            <w:pPr>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50</w:t>
            </w:r>
          </w:p>
        </w:tc>
        <w:tc>
          <w:tcPr>
            <w:tcW w:w="1641" w:type="dxa"/>
            <w:tcBorders>
              <w:tl2br w:val="nil"/>
              <w:tr2bl w:val="nil"/>
            </w:tcBorders>
            <w:noWrap w:val="0"/>
            <w:vAlign w:val="center"/>
          </w:tcPr>
          <w:p w14:paraId="26C824AA">
            <w:pPr>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0.303</w:t>
            </w:r>
          </w:p>
        </w:tc>
        <w:tc>
          <w:tcPr>
            <w:tcW w:w="2853" w:type="dxa"/>
            <w:tcBorders>
              <w:tl2br w:val="nil"/>
              <w:tr2bl w:val="nil"/>
            </w:tcBorders>
            <w:noWrap w:val="0"/>
            <w:vAlign w:val="center"/>
          </w:tcPr>
          <w:p w14:paraId="058B34C5">
            <w:pPr>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0.006</w:t>
            </w:r>
          </w:p>
        </w:tc>
      </w:tr>
      <w:tr w14:paraId="1886C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66" w:type="dxa"/>
            <w:gridSpan w:val="3"/>
            <w:tcBorders>
              <w:tl2br w:val="nil"/>
              <w:tr2bl w:val="nil"/>
            </w:tcBorders>
            <w:noWrap w:val="0"/>
            <w:vAlign w:val="center"/>
          </w:tcPr>
          <w:p w14:paraId="21BAC12F">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合计</w:t>
            </w:r>
          </w:p>
        </w:tc>
        <w:tc>
          <w:tcPr>
            <w:tcW w:w="2853" w:type="dxa"/>
            <w:tcBorders>
              <w:tl2br w:val="nil"/>
              <w:tr2bl w:val="nil"/>
            </w:tcBorders>
            <w:noWrap w:val="0"/>
            <w:vAlign w:val="center"/>
          </w:tcPr>
          <w:p w14:paraId="34C2FD69">
            <w:pPr>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0.526</w:t>
            </w:r>
          </w:p>
        </w:tc>
      </w:tr>
    </w:tbl>
    <w:p w14:paraId="355D82D3">
      <w:pPr>
        <w:ind w:firstLine="0" w:firstLineChars="0"/>
        <w:rPr>
          <w:b/>
          <w:bCs/>
          <w:kern w:val="0"/>
          <w:highlight w:val="none"/>
        </w:rPr>
      </w:pPr>
      <w:r>
        <w:rPr>
          <w:rFonts w:hint="eastAsia"/>
          <w:b/>
          <w:bCs/>
          <w:kern w:val="0"/>
          <w:highlight w:val="none"/>
        </w:rPr>
        <w:t>注：柴油储罐罐容为</w:t>
      </w:r>
      <w:r>
        <w:rPr>
          <w:rFonts w:hint="eastAsia"/>
          <w:b/>
          <w:bCs/>
          <w:kern w:val="0"/>
          <w:highlight w:val="none"/>
          <w:lang w:val="en-US" w:eastAsia="zh-CN"/>
        </w:rPr>
        <w:t>3</w:t>
      </w:r>
      <w:r>
        <w:rPr>
          <w:rFonts w:hint="eastAsia"/>
          <w:b/>
          <w:bCs/>
          <w:kern w:val="0"/>
          <w:highlight w:val="none"/>
        </w:rPr>
        <w:t>m</w:t>
      </w:r>
      <w:r>
        <w:rPr>
          <w:rFonts w:hint="eastAsia"/>
          <w:b/>
          <w:bCs/>
          <w:kern w:val="0"/>
          <w:highlight w:val="none"/>
          <w:vertAlign w:val="superscript"/>
        </w:rPr>
        <w:t>3</w:t>
      </w:r>
      <w:r>
        <w:rPr>
          <w:rFonts w:hint="eastAsia"/>
          <w:b/>
          <w:bCs/>
          <w:kern w:val="0"/>
          <w:highlight w:val="none"/>
        </w:rPr>
        <w:t>，柴油密度为0.85g/cm</w:t>
      </w:r>
      <w:r>
        <w:rPr>
          <w:rFonts w:hint="eastAsia"/>
          <w:b/>
          <w:bCs/>
          <w:kern w:val="0"/>
          <w:highlight w:val="none"/>
          <w:vertAlign w:val="superscript"/>
        </w:rPr>
        <w:t>3</w:t>
      </w:r>
      <w:r>
        <w:rPr>
          <w:rFonts w:hint="eastAsia"/>
          <w:b/>
          <w:bCs/>
          <w:kern w:val="0"/>
          <w:highlight w:val="none"/>
        </w:rPr>
        <w:t>。</w:t>
      </w:r>
    </w:p>
    <w:p w14:paraId="2C08B0BB">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根据《建设项目环境风险评价技术导则》（HJ 169-2018）中评价工作等级划分要求，变更后环境风险仅进行简单分析。</w:t>
      </w:r>
    </w:p>
    <w:p w14:paraId="795470BF">
      <w:pPr>
        <w:snapToGrid w:val="0"/>
        <w:spacing w:before="241"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w:t>
      </w:r>
      <w:r>
        <w:rPr>
          <w:rFonts w:hint="eastAsia" w:ascii="Times New Roman" w:hAnsi="Times New Roman" w:cs="Times New Roman"/>
          <w:b/>
          <w:szCs w:val="21"/>
          <w:lang w:val="en-US" w:eastAsia="zh-CN"/>
        </w:rPr>
        <w:t>5.8-2</w:t>
      </w:r>
      <w:r>
        <w:rPr>
          <w:rFonts w:hint="eastAsia" w:ascii="Times New Roman" w:hAnsi="Times New Roman" w:cs="Times New Roman" w:eastAsiaTheme="minorEastAsia"/>
          <w:b/>
          <w:szCs w:val="21"/>
          <w:lang w:val="en-US" w:eastAsia="zh-CN"/>
        </w:rPr>
        <w:t xml:space="preserve">  环境风险评价等级划分表</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14:paraId="48DE9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000" w:type="pct"/>
            <w:shd w:val="clear" w:color="auto" w:fill="auto"/>
            <w:vAlign w:val="center"/>
          </w:tcPr>
          <w:p w14:paraId="212A57C7">
            <w:pPr>
              <w:pStyle w:val="22"/>
              <w:keepNext w:val="0"/>
              <w:keepLines w:val="0"/>
              <w:suppressLineNumbers w:val="0"/>
              <w:spacing w:before="0" w:beforeAutospacing="0" w:after="0" w:afterAutospacing="0"/>
              <w:ind w:left="0" w:right="0"/>
              <w:rPr>
                <w:rFonts w:hint="default"/>
              </w:rPr>
            </w:pPr>
            <w:r>
              <w:rPr>
                <w:rFonts w:hint="eastAsia"/>
              </w:rPr>
              <w:t>环境风险潜势</w:t>
            </w:r>
          </w:p>
        </w:tc>
        <w:tc>
          <w:tcPr>
            <w:tcW w:w="1000" w:type="pct"/>
            <w:shd w:val="clear" w:color="auto" w:fill="auto"/>
            <w:vAlign w:val="center"/>
          </w:tcPr>
          <w:p w14:paraId="1BE875AD">
            <w:pPr>
              <w:pStyle w:val="22"/>
              <w:keepNext w:val="0"/>
              <w:keepLines w:val="0"/>
              <w:suppressLineNumbers w:val="0"/>
              <w:spacing w:before="0" w:beforeAutospacing="0" w:after="0" w:afterAutospacing="0"/>
              <w:ind w:left="0" w:right="0"/>
              <w:rPr>
                <w:rFonts w:hint="default"/>
              </w:rPr>
            </w:pPr>
            <w:r>
              <w:rPr>
                <w:rFonts w:hint="eastAsia"/>
              </w:rPr>
              <w:t>IV、IV</w:t>
            </w:r>
            <w:r>
              <w:rPr>
                <w:rFonts w:hint="eastAsia"/>
                <w:vertAlign w:val="superscript"/>
              </w:rPr>
              <w:t>+</w:t>
            </w:r>
          </w:p>
        </w:tc>
        <w:tc>
          <w:tcPr>
            <w:tcW w:w="1000" w:type="pct"/>
            <w:shd w:val="clear" w:color="auto" w:fill="auto"/>
            <w:vAlign w:val="center"/>
          </w:tcPr>
          <w:p w14:paraId="4C29B6D9">
            <w:pPr>
              <w:pStyle w:val="22"/>
              <w:keepNext w:val="0"/>
              <w:keepLines w:val="0"/>
              <w:suppressLineNumbers w:val="0"/>
              <w:spacing w:before="0" w:beforeAutospacing="0" w:after="0" w:afterAutospacing="0"/>
              <w:ind w:left="0" w:right="0"/>
              <w:rPr>
                <w:rFonts w:hint="default"/>
              </w:rPr>
            </w:pPr>
            <w:r>
              <w:rPr>
                <w:rFonts w:hint="eastAsia"/>
                <w:lang w:eastAsia="zh-CN"/>
              </w:rPr>
              <w:t>Ⅲ</w:t>
            </w:r>
          </w:p>
        </w:tc>
        <w:tc>
          <w:tcPr>
            <w:tcW w:w="1000" w:type="pct"/>
            <w:shd w:val="clear" w:color="auto" w:fill="auto"/>
            <w:vAlign w:val="center"/>
          </w:tcPr>
          <w:p w14:paraId="67BF4728">
            <w:pPr>
              <w:pStyle w:val="22"/>
              <w:keepNext w:val="0"/>
              <w:keepLines w:val="0"/>
              <w:suppressLineNumbers w:val="0"/>
              <w:spacing w:before="0" w:beforeAutospacing="0" w:after="0" w:afterAutospacing="0"/>
              <w:ind w:left="0" w:right="0"/>
              <w:rPr>
                <w:rFonts w:hint="default"/>
              </w:rPr>
            </w:pPr>
            <w:r>
              <w:rPr>
                <w:rFonts w:hint="eastAsia"/>
              </w:rPr>
              <w:t>II</w:t>
            </w:r>
          </w:p>
        </w:tc>
        <w:tc>
          <w:tcPr>
            <w:tcW w:w="1000" w:type="pct"/>
            <w:shd w:val="clear" w:color="auto" w:fill="auto"/>
            <w:vAlign w:val="center"/>
          </w:tcPr>
          <w:p w14:paraId="276E07E3">
            <w:pPr>
              <w:pStyle w:val="22"/>
              <w:keepNext w:val="0"/>
              <w:keepLines w:val="0"/>
              <w:suppressLineNumbers w:val="0"/>
              <w:spacing w:before="0" w:beforeAutospacing="0" w:after="0" w:afterAutospacing="0"/>
              <w:ind w:left="0" w:right="0"/>
              <w:rPr>
                <w:rFonts w:hint="default"/>
              </w:rPr>
            </w:pPr>
            <w:r>
              <w:rPr>
                <w:rFonts w:hint="eastAsia"/>
              </w:rPr>
              <w:t>I</w:t>
            </w:r>
          </w:p>
        </w:tc>
      </w:tr>
      <w:tr w14:paraId="7CD9F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000" w:type="pct"/>
            <w:shd w:val="clear" w:color="auto" w:fill="auto"/>
            <w:vAlign w:val="center"/>
          </w:tcPr>
          <w:p w14:paraId="03DD6DAC">
            <w:pPr>
              <w:pStyle w:val="22"/>
              <w:keepNext w:val="0"/>
              <w:keepLines w:val="0"/>
              <w:suppressLineNumbers w:val="0"/>
              <w:spacing w:before="0" w:beforeAutospacing="0" w:after="0" w:afterAutospacing="0"/>
              <w:ind w:left="0" w:right="0"/>
              <w:rPr>
                <w:rFonts w:hint="default"/>
              </w:rPr>
            </w:pPr>
            <w:r>
              <w:rPr>
                <w:rFonts w:hint="eastAsia"/>
              </w:rPr>
              <w:t>评价工作等级</w:t>
            </w:r>
          </w:p>
        </w:tc>
        <w:tc>
          <w:tcPr>
            <w:tcW w:w="1000" w:type="pct"/>
            <w:shd w:val="clear" w:color="auto" w:fill="auto"/>
            <w:vAlign w:val="center"/>
          </w:tcPr>
          <w:p w14:paraId="373C4D5E">
            <w:pPr>
              <w:pStyle w:val="22"/>
              <w:keepNext w:val="0"/>
              <w:keepLines w:val="0"/>
              <w:suppressLineNumbers w:val="0"/>
              <w:spacing w:before="0" w:beforeAutospacing="0" w:after="0" w:afterAutospacing="0"/>
              <w:ind w:left="0" w:right="0"/>
              <w:rPr>
                <w:rFonts w:hint="default"/>
              </w:rPr>
            </w:pPr>
            <w:r>
              <w:rPr>
                <w:rFonts w:hint="eastAsia"/>
              </w:rPr>
              <w:t>一</w:t>
            </w:r>
          </w:p>
        </w:tc>
        <w:tc>
          <w:tcPr>
            <w:tcW w:w="1000" w:type="pct"/>
            <w:shd w:val="clear" w:color="auto" w:fill="auto"/>
            <w:vAlign w:val="center"/>
          </w:tcPr>
          <w:p w14:paraId="7AD6F604">
            <w:pPr>
              <w:pStyle w:val="22"/>
              <w:keepNext w:val="0"/>
              <w:keepLines w:val="0"/>
              <w:suppressLineNumbers w:val="0"/>
              <w:spacing w:before="0" w:beforeAutospacing="0" w:after="0" w:afterAutospacing="0"/>
              <w:ind w:left="0" w:right="0"/>
              <w:rPr>
                <w:rFonts w:hint="default"/>
              </w:rPr>
            </w:pPr>
            <w:r>
              <w:rPr>
                <w:rFonts w:hint="eastAsia"/>
              </w:rPr>
              <w:t>二</w:t>
            </w:r>
          </w:p>
        </w:tc>
        <w:tc>
          <w:tcPr>
            <w:tcW w:w="1000" w:type="pct"/>
            <w:shd w:val="clear" w:color="auto" w:fill="auto"/>
            <w:vAlign w:val="center"/>
          </w:tcPr>
          <w:p w14:paraId="4CCD1480">
            <w:pPr>
              <w:pStyle w:val="22"/>
              <w:keepNext w:val="0"/>
              <w:keepLines w:val="0"/>
              <w:suppressLineNumbers w:val="0"/>
              <w:spacing w:before="0" w:beforeAutospacing="0" w:after="0" w:afterAutospacing="0"/>
              <w:ind w:left="0" w:right="0"/>
              <w:rPr>
                <w:rFonts w:hint="default"/>
              </w:rPr>
            </w:pPr>
            <w:r>
              <w:rPr>
                <w:rFonts w:hint="eastAsia"/>
              </w:rPr>
              <w:t>三</w:t>
            </w:r>
          </w:p>
        </w:tc>
        <w:tc>
          <w:tcPr>
            <w:tcW w:w="1000" w:type="pct"/>
            <w:shd w:val="clear" w:color="auto" w:fill="auto"/>
            <w:vAlign w:val="center"/>
          </w:tcPr>
          <w:p w14:paraId="0E6BEE6B">
            <w:pPr>
              <w:pStyle w:val="22"/>
              <w:keepNext w:val="0"/>
              <w:keepLines w:val="0"/>
              <w:suppressLineNumbers w:val="0"/>
              <w:spacing w:before="0" w:beforeAutospacing="0" w:after="0" w:afterAutospacing="0"/>
              <w:ind w:left="0" w:right="0"/>
              <w:rPr>
                <w:rFonts w:hint="default"/>
              </w:rPr>
            </w:pPr>
            <w:r>
              <w:rPr>
                <w:rFonts w:hint="eastAsia"/>
              </w:rPr>
              <w:t>简单分析</w:t>
            </w:r>
          </w:p>
        </w:tc>
      </w:tr>
      <w:tr w14:paraId="31FDB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5000" w:type="pct"/>
            <w:gridSpan w:val="5"/>
            <w:shd w:val="clear" w:color="auto" w:fill="auto"/>
            <w:vAlign w:val="center"/>
          </w:tcPr>
          <w:p w14:paraId="6A81CBAF">
            <w:pPr>
              <w:pStyle w:val="22"/>
              <w:keepNext w:val="0"/>
              <w:keepLines w:val="0"/>
              <w:suppressLineNumbers w:val="0"/>
              <w:spacing w:before="0" w:beforeAutospacing="0" w:after="0" w:afterAutospacing="0"/>
              <w:ind w:left="0" w:right="0"/>
              <w:rPr>
                <w:rFonts w:hint="default"/>
              </w:rPr>
            </w:pPr>
            <w:r>
              <w:rPr>
                <w:rFonts w:hint="eastAsia"/>
              </w:rPr>
              <w:t>注：简单分析是相对于详细评价工作内容而言，在描述危险物质、环境影响途径、环境危害后果、风险防范措施等方面给出定性说明，见附录A。</w:t>
            </w:r>
          </w:p>
        </w:tc>
      </w:tr>
    </w:tbl>
    <w:p w14:paraId="4289BB4A">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（2）评价范围</w:t>
      </w:r>
    </w:p>
    <w:p w14:paraId="7EE5DA7E">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项目环境风险潜势为I，仅进行简单分析，不设评价范围。</w:t>
      </w:r>
    </w:p>
    <w:p w14:paraId="7D09BE94">
      <w:pPr>
        <w:adjustRightInd w:val="0"/>
        <w:snapToGrid w:val="0"/>
        <w:spacing w:line="500" w:lineRule="exact"/>
        <w:jc w:val="left"/>
        <w:rPr>
          <w:rFonts w:hint="default" w:ascii="Times New Roman" w:hAnsi="Times New Roman" w:cs="Times New Roman" w:eastAsiaTheme="minorEastAsia"/>
          <w:b/>
          <w:bCs/>
          <w:sz w:val="24"/>
          <w:lang w:val="en-US" w:eastAsia="zh-CN"/>
        </w:rPr>
      </w:pPr>
      <w:bookmarkStart w:id="265" w:name="_Toc17028"/>
      <w:r>
        <w:rPr>
          <w:rFonts w:hint="eastAsia" w:ascii="Times New Roman" w:hAnsi="Times New Roman" w:cs="Times New Roman" w:eastAsiaTheme="minorEastAsia"/>
          <w:b/>
          <w:bCs/>
          <w:sz w:val="24"/>
          <w:lang w:val="en-US" w:eastAsia="zh-CN"/>
        </w:rPr>
        <w:t>5.8.1.2风险识别</w:t>
      </w:r>
      <w:bookmarkEnd w:id="265"/>
    </w:p>
    <w:p w14:paraId="0958FBF3">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建成后，全厂涉及的危险物质主要有原料和次生危险废物（有毒有害物质）、辅料柴油、焚烧处置及贮存过程中产生的二氧化硫、氮氧化物、氯化氢、氟化氢、一氧化碳、氨、硫化氢、重金属以及二噁英类有毒有害物质和产生的含少量重金属废水等，其危险特性见表</w:t>
      </w:r>
      <w:r>
        <w:rPr>
          <w:rFonts w:hint="eastAsia" w:ascii="Times New Roman" w:hAnsi="Times New Roman" w:cs="Times New Roman"/>
          <w:sz w:val="24"/>
          <w:highlight w:val="none"/>
          <w:lang w:val="en-US" w:eastAsia="zh-CN"/>
        </w:rPr>
        <w:t>5.8-3</w:t>
      </w:r>
      <w:r>
        <w:rPr>
          <w:rFonts w:hint="eastAsia" w:ascii="Times New Roman" w:hAnsi="Times New Roman" w:cs="Times New Roman" w:eastAsiaTheme="minorEastAsia"/>
          <w:sz w:val="24"/>
          <w:highlight w:val="none"/>
          <w:lang w:val="en-US" w:eastAsia="zh-CN"/>
        </w:rPr>
        <w:t>。</w:t>
      </w:r>
    </w:p>
    <w:p w14:paraId="074791EE">
      <w:pPr>
        <w:adjustRightInd w:val="0"/>
        <w:snapToGrid w:val="0"/>
        <w:spacing w:before="250"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表5.8-3  物质危险性识别一览表</w:t>
      </w:r>
    </w:p>
    <w:tbl>
      <w:tblPr>
        <w:tblStyle w:val="12"/>
        <w:tblW w:w="495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4"/>
        <w:gridCol w:w="2299"/>
        <w:gridCol w:w="2392"/>
        <w:gridCol w:w="2059"/>
      </w:tblGrid>
      <w:tr w14:paraId="63D83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3" w:type="pct"/>
            <w:tcBorders>
              <w:tl2br w:val="nil"/>
              <w:tr2bl w:val="nil"/>
            </w:tcBorders>
            <w:vAlign w:val="center"/>
          </w:tcPr>
          <w:p w14:paraId="65E9207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物质名称</w:t>
            </w:r>
          </w:p>
        </w:tc>
        <w:tc>
          <w:tcPr>
            <w:tcW w:w="1361" w:type="pct"/>
            <w:tcBorders>
              <w:tl2br w:val="nil"/>
              <w:tr2bl w:val="nil"/>
            </w:tcBorders>
            <w:vAlign w:val="center"/>
          </w:tcPr>
          <w:p w14:paraId="0E0FFFE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分布</w:t>
            </w:r>
          </w:p>
        </w:tc>
        <w:tc>
          <w:tcPr>
            <w:tcW w:w="1416" w:type="pct"/>
            <w:tcBorders>
              <w:tl2br w:val="nil"/>
              <w:tr2bl w:val="nil"/>
            </w:tcBorders>
            <w:vAlign w:val="center"/>
          </w:tcPr>
          <w:p w14:paraId="64E93F2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毒性毒理</w:t>
            </w:r>
          </w:p>
        </w:tc>
        <w:tc>
          <w:tcPr>
            <w:tcW w:w="1219" w:type="pct"/>
            <w:tcBorders>
              <w:tl2br w:val="nil"/>
              <w:tr2bl w:val="nil"/>
            </w:tcBorders>
            <w:vAlign w:val="center"/>
          </w:tcPr>
          <w:p w14:paraId="6E0B05C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燃烧、爆炸性</w:t>
            </w:r>
          </w:p>
        </w:tc>
      </w:tr>
      <w:tr w14:paraId="4A40F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3" w:type="pct"/>
            <w:tcBorders>
              <w:tl2br w:val="nil"/>
              <w:tr2bl w:val="nil"/>
            </w:tcBorders>
            <w:vAlign w:val="center"/>
          </w:tcPr>
          <w:p w14:paraId="73CB4BE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危险废物（医疗废物）</w:t>
            </w:r>
          </w:p>
        </w:tc>
        <w:tc>
          <w:tcPr>
            <w:tcW w:w="1361" w:type="pct"/>
            <w:tcBorders>
              <w:tl2br w:val="nil"/>
              <w:tr2bl w:val="nil"/>
            </w:tcBorders>
            <w:vAlign w:val="center"/>
          </w:tcPr>
          <w:p w14:paraId="0CF852A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危废贮存</w:t>
            </w:r>
            <w:r>
              <w:rPr>
                <w:rFonts w:hint="eastAsia" w:ascii="Times New Roman" w:hAnsi="Times New Roman" w:cs="Times New Roman"/>
                <w:szCs w:val="21"/>
                <w:lang w:val="en-US" w:eastAsia="zh-CN"/>
              </w:rPr>
              <w:t>库</w:t>
            </w:r>
            <w:r>
              <w:rPr>
                <w:rFonts w:hint="default" w:ascii="Times New Roman" w:hAnsi="Times New Roman" w:cs="Times New Roman" w:eastAsiaTheme="minorEastAsia"/>
                <w:szCs w:val="21"/>
                <w:lang w:val="en-US" w:eastAsia="zh-CN"/>
              </w:rPr>
              <w:t>、废液储存罐、医废冷冻库</w:t>
            </w:r>
          </w:p>
        </w:tc>
        <w:tc>
          <w:tcPr>
            <w:tcW w:w="1416" w:type="pct"/>
            <w:tcBorders>
              <w:tl2br w:val="nil"/>
              <w:tr2bl w:val="nil"/>
            </w:tcBorders>
            <w:vAlign w:val="center"/>
          </w:tcPr>
          <w:p w14:paraId="534AA76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具有毒性等危险特性</w:t>
            </w:r>
          </w:p>
        </w:tc>
        <w:tc>
          <w:tcPr>
            <w:tcW w:w="1219" w:type="pct"/>
            <w:tcBorders>
              <w:tl2br w:val="nil"/>
              <w:tr2bl w:val="nil"/>
            </w:tcBorders>
            <w:vAlign w:val="center"/>
          </w:tcPr>
          <w:p w14:paraId="0D55172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一般的危险废物具有可燃性</w:t>
            </w:r>
          </w:p>
        </w:tc>
      </w:tr>
      <w:tr w14:paraId="37C4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3" w:type="pct"/>
            <w:tcBorders>
              <w:tl2br w:val="nil"/>
              <w:tr2bl w:val="nil"/>
            </w:tcBorders>
            <w:vAlign w:val="center"/>
          </w:tcPr>
          <w:p w14:paraId="5D823F2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柴油</w:t>
            </w:r>
          </w:p>
        </w:tc>
        <w:tc>
          <w:tcPr>
            <w:tcW w:w="1361" w:type="pct"/>
            <w:tcBorders>
              <w:tl2br w:val="nil"/>
              <w:tr2bl w:val="nil"/>
            </w:tcBorders>
            <w:vAlign w:val="center"/>
          </w:tcPr>
          <w:p w14:paraId="3B940CF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柴油储罐</w:t>
            </w:r>
          </w:p>
        </w:tc>
        <w:tc>
          <w:tcPr>
            <w:tcW w:w="1416" w:type="pct"/>
            <w:tcBorders>
              <w:tl2br w:val="nil"/>
              <w:tr2bl w:val="nil"/>
            </w:tcBorders>
            <w:vAlign w:val="center"/>
          </w:tcPr>
          <w:p w14:paraId="4B97354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皮肤吸收、呼吸道吸</w:t>
            </w:r>
          </w:p>
          <w:p w14:paraId="18FADEB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入</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具有麻醉和刺激作用</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可引起皮炎以及眼、鼻刺激症状、头晕和头痛等</w:t>
            </w:r>
          </w:p>
        </w:tc>
        <w:tc>
          <w:tcPr>
            <w:tcW w:w="1219" w:type="pct"/>
            <w:tcBorders>
              <w:tl2br w:val="nil"/>
              <w:tr2bl w:val="nil"/>
            </w:tcBorders>
            <w:vAlign w:val="center"/>
          </w:tcPr>
          <w:p w14:paraId="68FBED2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易燃物</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遇明火、高热或与氧化剂接触</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可引起燃烧和爆炸</w:t>
            </w:r>
          </w:p>
        </w:tc>
      </w:tr>
      <w:tr w14:paraId="7C02B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3" w:type="pct"/>
            <w:tcBorders>
              <w:tl2br w:val="nil"/>
              <w:tr2bl w:val="nil"/>
            </w:tcBorders>
            <w:vAlign w:val="center"/>
          </w:tcPr>
          <w:p w14:paraId="25BCE1B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生产废气</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含酸性气体、重金属、二噁英类</w:t>
            </w:r>
            <w:r>
              <w:rPr>
                <w:rFonts w:hint="eastAsia" w:ascii="Times New Roman" w:hAnsi="Times New Roman" w:cs="Times New Roman" w:eastAsiaTheme="minorEastAsia"/>
                <w:szCs w:val="21"/>
                <w:lang w:val="en-US" w:eastAsia="zh-CN"/>
              </w:rPr>
              <w:t>）</w:t>
            </w:r>
          </w:p>
        </w:tc>
        <w:tc>
          <w:tcPr>
            <w:tcW w:w="1361" w:type="pct"/>
            <w:tcBorders>
              <w:tl2br w:val="nil"/>
              <w:tr2bl w:val="nil"/>
            </w:tcBorders>
            <w:vAlign w:val="center"/>
          </w:tcPr>
          <w:p w14:paraId="114B37D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焚烧车间、烟气净化设施、烟气管道</w:t>
            </w:r>
          </w:p>
        </w:tc>
        <w:tc>
          <w:tcPr>
            <w:tcW w:w="1416" w:type="pct"/>
            <w:tcBorders>
              <w:tl2br w:val="nil"/>
              <w:tr2bl w:val="nil"/>
            </w:tcBorders>
            <w:vAlign w:val="center"/>
          </w:tcPr>
          <w:p w14:paraId="448E80A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具有一定刺激性和腐</w:t>
            </w:r>
          </w:p>
          <w:p w14:paraId="4488BF5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蚀性</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以及毒性</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二嚅英类具有致癌性</w:t>
            </w:r>
          </w:p>
        </w:tc>
        <w:tc>
          <w:tcPr>
            <w:tcW w:w="1219" w:type="pct"/>
            <w:tcBorders>
              <w:tl2br w:val="nil"/>
              <w:tr2bl w:val="nil"/>
            </w:tcBorders>
            <w:vAlign w:val="center"/>
          </w:tcPr>
          <w:p w14:paraId="5BD9509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不燃烧</w:t>
            </w:r>
          </w:p>
        </w:tc>
      </w:tr>
      <w:tr w14:paraId="40C8E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3" w:type="pct"/>
            <w:tcBorders>
              <w:tl2br w:val="nil"/>
              <w:tr2bl w:val="nil"/>
            </w:tcBorders>
            <w:vAlign w:val="center"/>
          </w:tcPr>
          <w:p w14:paraId="41DD04B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生产废气</w:t>
            </w:r>
          </w:p>
          <w:p w14:paraId="39574A0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含氨、硫化氢</w:t>
            </w:r>
            <w:r>
              <w:rPr>
                <w:rFonts w:hint="eastAsia" w:ascii="Times New Roman" w:hAnsi="Times New Roman" w:cs="Times New Roman" w:eastAsiaTheme="minorEastAsia"/>
                <w:szCs w:val="21"/>
                <w:lang w:val="en-US" w:eastAsia="zh-CN"/>
              </w:rPr>
              <w:t>）</w:t>
            </w:r>
          </w:p>
        </w:tc>
        <w:tc>
          <w:tcPr>
            <w:tcW w:w="1361" w:type="pct"/>
            <w:tcBorders>
              <w:tl2br w:val="nil"/>
              <w:tr2bl w:val="nil"/>
            </w:tcBorders>
            <w:vAlign w:val="center"/>
          </w:tcPr>
          <w:p w14:paraId="38955ED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危废贮存</w:t>
            </w:r>
            <w:r>
              <w:rPr>
                <w:rFonts w:hint="eastAsia" w:ascii="Times New Roman" w:hAnsi="Times New Roman" w:cs="Times New Roman"/>
                <w:szCs w:val="21"/>
                <w:lang w:val="en-US" w:eastAsia="zh-CN"/>
              </w:rPr>
              <w:t>库</w:t>
            </w:r>
            <w:r>
              <w:rPr>
                <w:rFonts w:hint="default" w:ascii="Times New Roman" w:hAnsi="Times New Roman" w:cs="Times New Roman" w:eastAsiaTheme="minorEastAsia"/>
                <w:szCs w:val="21"/>
                <w:lang w:val="en-US" w:eastAsia="zh-CN"/>
              </w:rPr>
              <w:t>以及废气净化设施、烟气管道</w:t>
            </w:r>
          </w:p>
        </w:tc>
        <w:tc>
          <w:tcPr>
            <w:tcW w:w="1416" w:type="pct"/>
            <w:tcBorders>
              <w:tl2br w:val="nil"/>
              <w:tr2bl w:val="nil"/>
            </w:tcBorders>
            <w:vAlign w:val="center"/>
          </w:tcPr>
          <w:p w14:paraId="631DC45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具有一定毒性、刺激性</w:t>
            </w:r>
          </w:p>
        </w:tc>
        <w:tc>
          <w:tcPr>
            <w:tcW w:w="1219" w:type="pct"/>
            <w:tcBorders>
              <w:tl2br w:val="nil"/>
              <w:tr2bl w:val="nil"/>
            </w:tcBorders>
            <w:vAlign w:val="center"/>
          </w:tcPr>
          <w:p w14:paraId="619042C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氨不燃</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硫化氢易燃</w:t>
            </w:r>
          </w:p>
        </w:tc>
      </w:tr>
      <w:tr w14:paraId="0BC0D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3" w:type="pct"/>
            <w:tcBorders>
              <w:tl2br w:val="nil"/>
              <w:tr2bl w:val="nil"/>
            </w:tcBorders>
            <w:vAlign w:val="center"/>
          </w:tcPr>
          <w:p w14:paraId="1B1AB70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生产废水</w:t>
            </w:r>
          </w:p>
        </w:tc>
        <w:tc>
          <w:tcPr>
            <w:tcW w:w="1361" w:type="pct"/>
            <w:tcBorders>
              <w:tl2br w:val="nil"/>
              <w:tr2bl w:val="nil"/>
            </w:tcBorders>
            <w:vAlign w:val="center"/>
          </w:tcPr>
          <w:p w14:paraId="458C57C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集水池</w:t>
            </w:r>
          </w:p>
        </w:tc>
        <w:tc>
          <w:tcPr>
            <w:tcW w:w="1416" w:type="pct"/>
            <w:tcBorders>
              <w:tl2br w:val="nil"/>
              <w:tr2bl w:val="nil"/>
            </w:tcBorders>
            <w:vAlign w:val="center"/>
          </w:tcPr>
          <w:p w14:paraId="755A299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具有一定毒性</w:t>
            </w:r>
          </w:p>
        </w:tc>
        <w:tc>
          <w:tcPr>
            <w:tcW w:w="1219" w:type="pct"/>
            <w:tcBorders>
              <w:tl2br w:val="nil"/>
              <w:tr2bl w:val="nil"/>
            </w:tcBorders>
            <w:vAlign w:val="center"/>
          </w:tcPr>
          <w:p w14:paraId="5853C41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不具有燃烧、爆炸性</w:t>
            </w:r>
          </w:p>
        </w:tc>
      </w:tr>
    </w:tbl>
    <w:p w14:paraId="22709A0E">
      <w:pPr>
        <w:adjustRightInd w:val="0"/>
        <w:snapToGrid w:val="0"/>
        <w:spacing w:line="500" w:lineRule="exact"/>
        <w:jc w:val="left"/>
        <w:rPr>
          <w:rFonts w:hint="eastAsia" w:ascii="Times New Roman" w:hAnsi="Times New Roman" w:cs="Times New Roman" w:eastAsiaTheme="minorEastAsia"/>
          <w:b/>
          <w:bCs/>
          <w:sz w:val="24"/>
          <w:lang w:val="en-US" w:eastAsia="zh-CN"/>
        </w:rPr>
      </w:pPr>
      <w:bookmarkStart w:id="266" w:name="_Toc23271"/>
      <w:r>
        <w:rPr>
          <w:rFonts w:hint="eastAsia" w:ascii="Times New Roman" w:hAnsi="Times New Roman" w:cs="Times New Roman" w:eastAsiaTheme="minorEastAsia"/>
          <w:b/>
          <w:bCs/>
          <w:sz w:val="24"/>
          <w:lang w:val="en-US" w:eastAsia="zh-CN"/>
        </w:rPr>
        <w:t>5.8.1.3生产系统危险性识别</w:t>
      </w:r>
      <w:bookmarkEnd w:id="266"/>
    </w:p>
    <w:p w14:paraId="6B1AABA6">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（1）危险单元划分</w:t>
      </w:r>
    </w:p>
    <w:p w14:paraId="7344C7B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根据项目工艺流程和平面布置功能分区，结合物质危险性识别结果，全厂危险单元划分以及危险单位内危险物质最大存在量见表5.8-4。</w:t>
      </w:r>
    </w:p>
    <w:p w14:paraId="2EA68703">
      <w:pPr>
        <w:adjustRightInd w:val="0"/>
        <w:snapToGrid w:val="0"/>
        <w:spacing w:before="250"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表5.8-4  本项目危险单元划分及危险物质最大存在量</w:t>
      </w:r>
    </w:p>
    <w:tbl>
      <w:tblPr>
        <w:tblStyle w:val="12"/>
        <w:tblW w:w="4997" w:type="pct"/>
        <w:tblInd w:w="0" w:type="dxa"/>
        <w:tblLayout w:type="autofit"/>
        <w:tblCellMar>
          <w:top w:w="0" w:type="dxa"/>
          <w:left w:w="108" w:type="dxa"/>
          <w:bottom w:w="0" w:type="dxa"/>
          <w:right w:w="108" w:type="dxa"/>
        </w:tblCellMar>
      </w:tblPr>
      <w:tblGrid>
        <w:gridCol w:w="1476"/>
        <w:gridCol w:w="1056"/>
        <w:gridCol w:w="269"/>
        <w:gridCol w:w="2047"/>
        <w:gridCol w:w="1924"/>
        <w:gridCol w:w="1745"/>
      </w:tblGrid>
      <w:tr w14:paraId="28A7CEDA">
        <w:tblPrEx>
          <w:tblCellMar>
            <w:top w:w="0" w:type="dxa"/>
            <w:left w:w="108" w:type="dxa"/>
            <w:bottom w:w="0" w:type="dxa"/>
            <w:right w:w="108" w:type="dxa"/>
          </w:tblCellMar>
        </w:tblPrEx>
        <w:trPr>
          <w:trHeight w:val="340" w:hRule="atLeast"/>
        </w:trPr>
        <w:tc>
          <w:tcPr>
            <w:tcW w:w="8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938F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危险单元序号</w:t>
            </w:r>
          </w:p>
        </w:tc>
        <w:tc>
          <w:tcPr>
            <w:tcW w:w="202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20D7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危险单元名称</w:t>
            </w:r>
          </w:p>
        </w:tc>
        <w:tc>
          <w:tcPr>
            <w:tcW w:w="11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6F38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存在危险物质</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AC51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最大存在量</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t</w:t>
            </w:r>
            <w:r>
              <w:rPr>
                <w:rFonts w:hint="eastAsia" w:ascii="Times New Roman" w:hAnsi="Times New Roman" w:cs="Times New Roman" w:eastAsiaTheme="minorEastAsia"/>
                <w:szCs w:val="21"/>
                <w:lang w:val="en-US" w:eastAsia="zh-CN"/>
              </w:rPr>
              <w:t>）</w:t>
            </w:r>
          </w:p>
        </w:tc>
      </w:tr>
      <w:tr w14:paraId="48724A81">
        <w:tblPrEx>
          <w:tblCellMar>
            <w:top w:w="0" w:type="dxa"/>
            <w:left w:w="108" w:type="dxa"/>
            <w:bottom w:w="0" w:type="dxa"/>
            <w:right w:w="108" w:type="dxa"/>
          </w:tblCellMar>
        </w:tblPrEx>
        <w:trPr>
          <w:trHeight w:val="340" w:hRule="atLeast"/>
        </w:trPr>
        <w:tc>
          <w:tcPr>
            <w:tcW w:w="86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6A20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p>
        </w:tc>
        <w:tc>
          <w:tcPr>
            <w:tcW w:w="66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D4A5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焚烧车间</w:t>
            </w:r>
          </w:p>
        </w:tc>
        <w:tc>
          <w:tcPr>
            <w:tcW w:w="136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C2B1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焚烧处置线</w:t>
            </w:r>
          </w:p>
        </w:tc>
        <w:tc>
          <w:tcPr>
            <w:tcW w:w="11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664C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危险废物</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8916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r>
      <w:tr w14:paraId="5862674A">
        <w:tblPrEx>
          <w:tblCellMar>
            <w:top w:w="0" w:type="dxa"/>
            <w:left w:w="108" w:type="dxa"/>
            <w:bottom w:w="0" w:type="dxa"/>
            <w:right w:w="108" w:type="dxa"/>
          </w:tblCellMar>
        </w:tblPrEx>
        <w:trPr>
          <w:trHeight w:val="340" w:hRule="atLeast"/>
        </w:trPr>
        <w:tc>
          <w:tcPr>
            <w:tcW w:w="86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8CCC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E151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36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BB7A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焚烧烟气净化处理设施</w:t>
            </w:r>
          </w:p>
        </w:tc>
        <w:tc>
          <w:tcPr>
            <w:tcW w:w="11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3470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焚烧烟气</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66D2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r>
      <w:tr w14:paraId="4F1E1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9" w:type="pct"/>
            <w:tcBorders>
              <w:tl2br w:val="nil"/>
              <w:tr2bl w:val="nil"/>
            </w:tcBorders>
            <w:shd w:val="clear" w:color="auto" w:fill="auto"/>
            <w:noWrap/>
            <w:vAlign w:val="center"/>
          </w:tcPr>
          <w:p w14:paraId="79252FB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w:t>
            </w:r>
          </w:p>
        </w:tc>
        <w:tc>
          <w:tcPr>
            <w:tcW w:w="2028" w:type="pct"/>
            <w:gridSpan w:val="3"/>
            <w:tcBorders>
              <w:tl2br w:val="nil"/>
              <w:tr2bl w:val="nil"/>
            </w:tcBorders>
            <w:shd w:val="clear" w:color="auto" w:fill="auto"/>
            <w:noWrap/>
            <w:vAlign w:val="center"/>
          </w:tcPr>
          <w:p w14:paraId="62ED49D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危废贮存库</w:t>
            </w:r>
          </w:p>
        </w:tc>
        <w:tc>
          <w:tcPr>
            <w:tcW w:w="1177" w:type="pct"/>
            <w:tcBorders>
              <w:tl2br w:val="nil"/>
              <w:tr2bl w:val="nil"/>
            </w:tcBorders>
            <w:shd w:val="clear" w:color="auto" w:fill="auto"/>
            <w:noWrap/>
            <w:vAlign w:val="center"/>
          </w:tcPr>
          <w:p w14:paraId="235B1E3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危险废物</w:t>
            </w:r>
          </w:p>
        </w:tc>
        <w:tc>
          <w:tcPr>
            <w:tcW w:w="925" w:type="pct"/>
            <w:tcBorders>
              <w:tl2br w:val="nil"/>
              <w:tr2bl w:val="nil"/>
            </w:tcBorders>
            <w:shd w:val="clear" w:color="auto" w:fill="auto"/>
            <w:noWrap/>
            <w:vAlign w:val="center"/>
          </w:tcPr>
          <w:p w14:paraId="07C29D3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w:t>
            </w:r>
          </w:p>
        </w:tc>
      </w:tr>
      <w:tr w14:paraId="635AD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9" w:type="pct"/>
            <w:vMerge w:val="restart"/>
            <w:tcBorders>
              <w:tl2br w:val="nil"/>
              <w:tr2bl w:val="nil"/>
            </w:tcBorders>
            <w:shd w:val="clear" w:color="auto" w:fill="auto"/>
            <w:noWrap/>
            <w:vAlign w:val="center"/>
          </w:tcPr>
          <w:p w14:paraId="62D1A6E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w:t>
            </w:r>
            <w:r>
              <w:rPr>
                <w:rFonts w:hint="default" w:ascii="Times New Roman" w:hAnsi="Times New Roman" w:cs="Times New Roman" w:eastAsiaTheme="minorEastAsia"/>
                <w:szCs w:val="21"/>
                <w:lang w:val="en-US" w:eastAsia="zh-CN"/>
              </w:rPr>
              <w:t>#</w:t>
            </w:r>
          </w:p>
        </w:tc>
        <w:tc>
          <w:tcPr>
            <w:tcW w:w="2028" w:type="pct"/>
            <w:gridSpan w:val="3"/>
            <w:tcBorders>
              <w:tl2br w:val="nil"/>
              <w:tr2bl w:val="nil"/>
            </w:tcBorders>
            <w:shd w:val="clear" w:color="auto" w:fill="auto"/>
            <w:noWrap/>
            <w:vAlign w:val="center"/>
          </w:tcPr>
          <w:p w14:paraId="0E501B5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医废暂存库</w:t>
            </w:r>
          </w:p>
        </w:tc>
        <w:tc>
          <w:tcPr>
            <w:tcW w:w="1177" w:type="pct"/>
            <w:tcBorders>
              <w:tl2br w:val="nil"/>
              <w:tr2bl w:val="nil"/>
            </w:tcBorders>
            <w:shd w:val="clear" w:color="auto" w:fill="auto"/>
            <w:noWrap/>
            <w:vAlign w:val="center"/>
          </w:tcPr>
          <w:p w14:paraId="2485E1E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医疗废物</w:t>
            </w:r>
          </w:p>
        </w:tc>
        <w:tc>
          <w:tcPr>
            <w:tcW w:w="925" w:type="pct"/>
            <w:tcBorders>
              <w:tl2br w:val="nil"/>
              <w:tr2bl w:val="nil"/>
            </w:tcBorders>
            <w:shd w:val="clear" w:color="auto" w:fill="auto"/>
            <w:noWrap/>
            <w:vAlign w:val="center"/>
          </w:tcPr>
          <w:p w14:paraId="24BAA1D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10</w:t>
            </w:r>
          </w:p>
        </w:tc>
      </w:tr>
      <w:tr w14:paraId="46328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9" w:type="pct"/>
            <w:tcBorders>
              <w:tl2br w:val="nil"/>
              <w:tr2bl w:val="nil"/>
            </w:tcBorders>
            <w:shd w:val="clear" w:color="auto" w:fill="auto"/>
            <w:noWrap/>
            <w:vAlign w:val="center"/>
          </w:tcPr>
          <w:p w14:paraId="67E9602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w:t>
            </w:r>
            <w:r>
              <w:rPr>
                <w:rFonts w:hint="default" w:ascii="Times New Roman" w:hAnsi="Times New Roman" w:cs="Times New Roman" w:eastAsiaTheme="minorEastAsia"/>
                <w:szCs w:val="21"/>
                <w:lang w:val="en-US" w:eastAsia="zh-CN"/>
              </w:rPr>
              <w:t>#</w:t>
            </w:r>
          </w:p>
        </w:tc>
        <w:tc>
          <w:tcPr>
            <w:tcW w:w="825" w:type="pct"/>
            <w:gridSpan w:val="2"/>
            <w:tcBorders>
              <w:tl2br w:val="nil"/>
              <w:tr2bl w:val="nil"/>
            </w:tcBorders>
            <w:shd w:val="clear" w:color="auto" w:fill="auto"/>
            <w:noWrap/>
            <w:vAlign w:val="center"/>
          </w:tcPr>
          <w:p w14:paraId="23577D6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储罐区</w:t>
            </w:r>
          </w:p>
        </w:tc>
        <w:tc>
          <w:tcPr>
            <w:tcW w:w="1202" w:type="pct"/>
            <w:tcBorders>
              <w:tl2br w:val="nil"/>
              <w:tr2bl w:val="nil"/>
            </w:tcBorders>
            <w:shd w:val="clear" w:color="auto" w:fill="auto"/>
            <w:noWrap/>
            <w:vAlign w:val="center"/>
          </w:tcPr>
          <w:p w14:paraId="687E425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柴油储罐</w:t>
            </w:r>
          </w:p>
        </w:tc>
        <w:tc>
          <w:tcPr>
            <w:tcW w:w="1177" w:type="pct"/>
            <w:tcBorders>
              <w:tl2br w:val="nil"/>
              <w:tr2bl w:val="nil"/>
            </w:tcBorders>
            <w:shd w:val="clear" w:color="auto" w:fill="auto"/>
            <w:noWrap/>
            <w:vAlign w:val="center"/>
          </w:tcPr>
          <w:p w14:paraId="0F7DE97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0#柴油</w:t>
            </w:r>
          </w:p>
        </w:tc>
        <w:tc>
          <w:tcPr>
            <w:tcW w:w="925" w:type="pct"/>
            <w:tcBorders>
              <w:tl2br w:val="nil"/>
              <w:tr2bl w:val="nil"/>
            </w:tcBorders>
            <w:shd w:val="clear" w:color="auto" w:fill="auto"/>
            <w:noWrap/>
            <w:vAlign w:val="center"/>
          </w:tcPr>
          <w:p w14:paraId="5AF1D6A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2.55</w:t>
            </w:r>
          </w:p>
        </w:tc>
      </w:tr>
      <w:tr w14:paraId="33B4F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9" w:type="pct"/>
            <w:tcBorders>
              <w:tl2br w:val="nil"/>
              <w:tr2bl w:val="nil"/>
            </w:tcBorders>
            <w:shd w:val="clear" w:color="auto" w:fill="auto"/>
            <w:noWrap/>
            <w:vAlign w:val="center"/>
          </w:tcPr>
          <w:p w14:paraId="688F7B1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w:t>
            </w:r>
            <w:r>
              <w:rPr>
                <w:rFonts w:hint="default" w:ascii="Times New Roman" w:hAnsi="Times New Roman" w:cs="Times New Roman" w:eastAsiaTheme="minorEastAsia"/>
                <w:szCs w:val="21"/>
                <w:lang w:val="en-US" w:eastAsia="zh-CN"/>
              </w:rPr>
              <w:t>#</w:t>
            </w:r>
          </w:p>
        </w:tc>
        <w:tc>
          <w:tcPr>
            <w:tcW w:w="2028" w:type="pct"/>
            <w:gridSpan w:val="3"/>
            <w:tcBorders>
              <w:tl2br w:val="nil"/>
              <w:tr2bl w:val="nil"/>
            </w:tcBorders>
            <w:shd w:val="clear" w:color="auto" w:fill="auto"/>
            <w:noWrap/>
            <w:vAlign w:val="center"/>
          </w:tcPr>
          <w:p w14:paraId="3B0C514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集水池</w:t>
            </w:r>
          </w:p>
        </w:tc>
        <w:tc>
          <w:tcPr>
            <w:tcW w:w="1177" w:type="pct"/>
            <w:tcBorders>
              <w:tl2br w:val="nil"/>
              <w:tr2bl w:val="nil"/>
            </w:tcBorders>
            <w:shd w:val="clear" w:color="auto" w:fill="auto"/>
            <w:noWrap/>
            <w:vAlign w:val="center"/>
          </w:tcPr>
          <w:p w14:paraId="47CC2AB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生产废水</w:t>
            </w:r>
          </w:p>
        </w:tc>
        <w:tc>
          <w:tcPr>
            <w:tcW w:w="925" w:type="pct"/>
            <w:tcBorders>
              <w:tl2br w:val="nil"/>
              <w:tr2bl w:val="nil"/>
            </w:tcBorders>
            <w:shd w:val="clear" w:color="auto" w:fill="auto"/>
            <w:noWrap/>
            <w:vAlign w:val="center"/>
          </w:tcPr>
          <w:p w14:paraId="6456B91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r>
    </w:tbl>
    <w:p w14:paraId="6517E66B">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（2）生产系统危险性识别</w:t>
      </w:r>
    </w:p>
    <w:p w14:paraId="2CD1DDDC">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本项目为危险废物治理，生产系统危险性识别情况见表5.8-5。</w:t>
      </w:r>
    </w:p>
    <w:p w14:paraId="65DB13DB">
      <w:pPr>
        <w:adjustRightInd w:val="0"/>
        <w:snapToGrid w:val="0"/>
        <w:spacing w:before="250"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表5.8-5  本项目生产系统危险性识别</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2"/>
        <w:gridCol w:w="587"/>
        <w:gridCol w:w="1341"/>
        <w:gridCol w:w="1167"/>
        <w:gridCol w:w="1250"/>
        <w:gridCol w:w="2866"/>
        <w:gridCol w:w="899"/>
      </w:tblGrid>
      <w:tr w14:paraId="7761A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72" w:type="pct"/>
            <w:gridSpan w:val="3"/>
            <w:shd w:val="clear" w:color="auto" w:fill="auto"/>
            <w:noWrap/>
            <w:vAlign w:val="center"/>
          </w:tcPr>
          <w:p w14:paraId="74D5F77A">
            <w:pPr>
              <w:pStyle w:val="22"/>
              <w:keepNext w:val="0"/>
              <w:keepLines w:val="0"/>
              <w:suppressLineNumbers w:val="0"/>
              <w:spacing w:before="0" w:beforeAutospacing="0" w:after="0" w:afterAutospacing="0"/>
              <w:ind w:left="0" w:right="0"/>
              <w:rPr>
                <w:rFonts w:hint="default"/>
              </w:rPr>
            </w:pPr>
            <w:r>
              <w:rPr>
                <w:rFonts w:hint="default"/>
              </w:rPr>
              <w:t>危险单元</w:t>
            </w:r>
          </w:p>
        </w:tc>
        <w:tc>
          <w:tcPr>
            <w:tcW w:w="684" w:type="pct"/>
            <w:shd w:val="clear" w:color="auto" w:fill="auto"/>
            <w:noWrap/>
            <w:vAlign w:val="center"/>
          </w:tcPr>
          <w:p w14:paraId="4003069E">
            <w:pPr>
              <w:pStyle w:val="22"/>
              <w:keepNext w:val="0"/>
              <w:keepLines w:val="0"/>
              <w:suppressLineNumbers w:val="0"/>
              <w:spacing w:before="0" w:beforeAutospacing="0" w:after="0" w:afterAutospacing="0"/>
              <w:ind w:left="0" w:right="0"/>
              <w:rPr>
                <w:rFonts w:hint="default"/>
              </w:rPr>
            </w:pPr>
            <w:r>
              <w:rPr>
                <w:rFonts w:hint="default"/>
              </w:rPr>
              <w:t>存在</w:t>
            </w:r>
          </w:p>
          <w:p w14:paraId="2654EBCE">
            <w:pPr>
              <w:pStyle w:val="22"/>
              <w:keepNext w:val="0"/>
              <w:keepLines w:val="0"/>
              <w:suppressLineNumbers w:val="0"/>
              <w:spacing w:before="0" w:beforeAutospacing="0" w:after="0" w:afterAutospacing="0"/>
              <w:ind w:left="0" w:right="0"/>
              <w:rPr>
                <w:rFonts w:hint="default"/>
              </w:rPr>
            </w:pPr>
            <w:r>
              <w:rPr>
                <w:rFonts w:hint="default"/>
              </w:rPr>
              <w:t>危险物质</w:t>
            </w:r>
          </w:p>
        </w:tc>
        <w:tc>
          <w:tcPr>
            <w:tcW w:w="733" w:type="pct"/>
            <w:shd w:val="clear" w:color="auto" w:fill="auto"/>
            <w:noWrap/>
            <w:vAlign w:val="center"/>
          </w:tcPr>
          <w:p w14:paraId="20C5E25D">
            <w:pPr>
              <w:pStyle w:val="22"/>
              <w:keepNext w:val="0"/>
              <w:keepLines w:val="0"/>
              <w:suppressLineNumbers w:val="0"/>
              <w:spacing w:before="0" w:beforeAutospacing="0" w:after="0" w:afterAutospacing="0"/>
              <w:ind w:left="0" w:right="0"/>
              <w:rPr>
                <w:rFonts w:hint="default"/>
              </w:rPr>
            </w:pPr>
            <w:r>
              <w:rPr>
                <w:rFonts w:hint="default"/>
              </w:rPr>
              <w:t>危险性</w:t>
            </w:r>
          </w:p>
        </w:tc>
        <w:tc>
          <w:tcPr>
            <w:tcW w:w="1681" w:type="pct"/>
            <w:shd w:val="clear" w:color="auto" w:fill="auto"/>
            <w:noWrap/>
            <w:vAlign w:val="center"/>
          </w:tcPr>
          <w:p w14:paraId="46A93087">
            <w:pPr>
              <w:pStyle w:val="22"/>
              <w:keepNext w:val="0"/>
              <w:keepLines w:val="0"/>
              <w:suppressLineNumbers w:val="0"/>
              <w:spacing w:before="0" w:beforeAutospacing="0" w:after="0" w:afterAutospacing="0"/>
              <w:ind w:left="0" w:right="0"/>
              <w:rPr>
                <w:rFonts w:hint="default"/>
              </w:rPr>
            </w:pPr>
            <w:r>
              <w:rPr>
                <w:rFonts w:hint="default"/>
              </w:rPr>
              <w:t>存在条件、转化为事故的</w:t>
            </w:r>
          </w:p>
          <w:p w14:paraId="714B3960">
            <w:pPr>
              <w:pStyle w:val="22"/>
              <w:keepNext w:val="0"/>
              <w:keepLines w:val="0"/>
              <w:suppressLineNumbers w:val="0"/>
              <w:spacing w:before="0" w:beforeAutospacing="0" w:after="0" w:afterAutospacing="0"/>
              <w:ind w:left="0" w:right="0"/>
              <w:rPr>
                <w:rFonts w:hint="default"/>
              </w:rPr>
            </w:pPr>
            <w:r>
              <w:rPr>
                <w:rFonts w:hint="default"/>
              </w:rPr>
              <w:t>触发因素</w:t>
            </w:r>
          </w:p>
        </w:tc>
        <w:tc>
          <w:tcPr>
            <w:tcW w:w="527" w:type="pct"/>
            <w:shd w:val="clear" w:color="auto" w:fill="auto"/>
            <w:noWrap/>
            <w:vAlign w:val="center"/>
          </w:tcPr>
          <w:p w14:paraId="6512B044">
            <w:pPr>
              <w:pStyle w:val="22"/>
              <w:keepNext w:val="0"/>
              <w:keepLines w:val="0"/>
              <w:suppressLineNumbers w:val="0"/>
              <w:spacing w:before="0" w:beforeAutospacing="0" w:after="0" w:afterAutospacing="0"/>
              <w:ind w:left="0" w:right="0"/>
              <w:rPr>
                <w:rFonts w:hint="default"/>
              </w:rPr>
            </w:pPr>
            <w:r>
              <w:rPr>
                <w:rFonts w:hint="default"/>
              </w:rPr>
              <w:t>重点</w:t>
            </w:r>
          </w:p>
          <w:p w14:paraId="521315F8">
            <w:pPr>
              <w:pStyle w:val="22"/>
              <w:keepNext w:val="0"/>
              <w:keepLines w:val="0"/>
              <w:suppressLineNumbers w:val="0"/>
              <w:spacing w:before="0" w:beforeAutospacing="0" w:after="0" w:afterAutospacing="0"/>
              <w:ind w:left="0" w:right="0"/>
              <w:rPr>
                <w:rFonts w:hint="default"/>
              </w:rPr>
            </w:pPr>
            <w:r>
              <w:rPr>
                <w:rFonts w:hint="default"/>
              </w:rPr>
              <w:t>风险源</w:t>
            </w:r>
          </w:p>
        </w:tc>
      </w:tr>
      <w:tr w14:paraId="264B4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1" w:type="pct"/>
            <w:vMerge w:val="restart"/>
            <w:shd w:val="clear" w:color="auto" w:fill="auto"/>
            <w:noWrap/>
            <w:vAlign w:val="center"/>
          </w:tcPr>
          <w:p w14:paraId="71B682CC">
            <w:pPr>
              <w:pStyle w:val="22"/>
              <w:keepNext w:val="0"/>
              <w:keepLines w:val="0"/>
              <w:suppressLineNumbers w:val="0"/>
              <w:spacing w:before="0" w:beforeAutospacing="0" w:after="0" w:afterAutospacing="0"/>
              <w:ind w:left="0" w:right="0"/>
              <w:rPr>
                <w:rFonts w:hint="default"/>
              </w:rPr>
            </w:pPr>
            <w:r>
              <w:rPr>
                <w:rFonts w:hint="default"/>
              </w:rPr>
              <w:t>1#</w:t>
            </w:r>
          </w:p>
        </w:tc>
        <w:tc>
          <w:tcPr>
            <w:tcW w:w="344" w:type="pct"/>
            <w:vMerge w:val="restart"/>
            <w:shd w:val="clear" w:color="auto" w:fill="auto"/>
            <w:noWrap/>
            <w:vAlign w:val="center"/>
          </w:tcPr>
          <w:p w14:paraId="2DC24274">
            <w:pPr>
              <w:pStyle w:val="22"/>
              <w:keepNext w:val="0"/>
              <w:keepLines w:val="0"/>
              <w:suppressLineNumbers w:val="0"/>
              <w:spacing w:before="0" w:beforeAutospacing="0" w:after="0" w:afterAutospacing="0"/>
              <w:ind w:left="0" w:right="0"/>
              <w:rPr>
                <w:rFonts w:hint="default"/>
              </w:rPr>
            </w:pPr>
            <w:r>
              <w:rPr>
                <w:rFonts w:hint="default"/>
              </w:rPr>
              <w:t>焚烧</w:t>
            </w:r>
          </w:p>
          <w:p w14:paraId="5E4FD19A">
            <w:pPr>
              <w:pStyle w:val="22"/>
              <w:keepNext w:val="0"/>
              <w:keepLines w:val="0"/>
              <w:suppressLineNumbers w:val="0"/>
              <w:spacing w:before="0" w:beforeAutospacing="0" w:after="0" w:afterAutospacing="0"/>
              <w:ind w:left="0" w:right="0"/>
              <w:rPr>
                <w:rFonts w:hint="default"/>
              </w:rPr>
            </w:pPr>
            <w:r>
              <w:rPr>
                <w:rFonts w:hint="default"/>
              </w:rPr>
              <w:t>车间</w:t>
            </w:r>
          </w:p>
        </w:tc>
        <w:tc>
          <w:tcPr>
            <w:tcW w:w="786" w:type="pct"/>
            <w:shd w:val="clear" w:color="auto" w:fill="auto"/>
            <w:noWrap/>
            <w:vAlign w:val="center"/>
          </w:tcPr>
          <w:p w14:paraId="56ED6A38">
            <w:pPr>
              <w:pStyle w:val="22"/>
              <w:keepNext w:val="0"/>
              <w:keepLines w:val="0"/>
              <w:suppressLineNumbers w:val="0"/>
              <w:spacing w:before="0" w:beforeAutospacing="0" w:after="0" w:afterAutospacing="0"/>
              <w:ind w:left="0" w:right="0"/>
              <w:rPr>
                <w:rFonts w:hint="default"/>
              </w:rPr>
            </w:pPr>
            <w:r>
              <w:rPr>
                <w:rFonts w:hint="default"/>
              </w:rPr>
              <w:t>焚烧处置线</w:t>
            </w:r>
          </w:p>
        </w:tc>
        <w:tc>
          <w:tcPr>
            <w:tcW w:w="684" w:type="pct"/>
            <w:shd w:val="clear" w:color="auto" w:fill="auto"/>
            <w:noWrap/>
            <w:vAlign w:val="center"/>
          </w:tcPr>
          <w:p w14:paraId="1ACA9B30">
            <w:pPr>
              <w:pStyle w:val="22"/>
              <w:keepNext w:val="0"/>
              <w:keepLines w:val="0"/>
              <w:suppressLineNumbers w:val="0"/>
              <w:spacing w:before="0" w:beforeAutospacing="0" w:after="0" w:afterAutospacing="0"/>
              <w:ind w:left="0" w:right="0"/>
              <w:rPr>
                <w:rFonts w:hint="default"/>
              </w:rPr>
            </w:pPr>
            <w:r>
              <w:rPr>
                <w:rFonts w:hint="default"/>
              </w:rPr>
              <w:t>危险废物</w:t>
            </w:r>
          </w:p>
        </w:tc>
        <w:tc>
          <w:tcPr>
            <w:tcW w:w="733" w:type="pct"/>
            <w:shd w:val="clear" w:color="auto" w:fill="auto"/>
            <w:noWrap/>
            <w:vAlign w:val="center"/>
          </w:tcPr>
          <w:p w14:paraId="7B7BF849">
            <w:pPr>
              <w:pStyle w:val="22"/>
              <w:keepNext w:val="0"/>
              <w:keepLines w:val="0"/>
              <w:suppressLineNumbers w:val="0"/>
              <w:spacing w:before="0" w:beforeAutospacing="0" w:after="0" w:afterAutospacing="0"/>
              <w:ind w:left="0" w:right="0"/>
              <w:rPr>
                <w:rFonts w:hint="default"/>
              </w:rPr>
            </w:pPr>
            <w:r>
              <w:rPr>
                <w:rFonts w:hint="default"/>
              </w:rPr>
              <w:t>毒性、燃</w:t>
            </w:r>
          </w:p>
          <w:p w14:paraId="7F61D0EB">
            <w:pPr>
              <w:pStyle w:val="22"/>
              <w:keepNext w:val="0"/>
              <w:keepLines w:val="0"/>
              <w:suppressLineNumbers w:val="0"/>
              <w:spacing w:before="0" w:beforeAutospacing="0" w:after="0" w:afterAutospacing="0"/>
              <w:ind w:left="0" w:right="0"/>
              <w:rPr>
                <w:rFonts w:hint="default"/>
              </w:rPr>
            </w:pPr>
            <w:r>
              <w:rPr>
                <w:rFonts w:hint="default"/>
              </w:rPr>
              <w:t>爆危险性</w:t>
            </w:r>
          </w:p>
        </w:tc>
        <w:tc>
          <w:tcPr>
            <w:tcW w:w="1681" w:type="pct"/>
            <w:shd w:val="clear" w:color="auto" w:fill="auto"/>
            <w:noWrap/>
            <w:vAlign w:val="center"/>
          </w:tcPr>
          <w:p w14:paraId="5F3C1038">
            <w:pPr>
              <w:pStyle w:val="22"/>
              <w:keepNext w:val="0"/>
              <w:keepLines w:val="0"/>
              <w:suppressLineNumbers w:val="0"/>
              <w:spacing w:before="0" w:beforeAutospacing="0" w:after="0" w:afterAutospacing="0"/>
              <w:ind w:left="0" w:right="0"/>
              <w:rPr>
                <w:rFonts w:hint="default"/>
              </w:rPr>
            </w:pPr>
            <w:r>
              <w:rPr>
                <w:rFonts w:hint="default"/>
              </w:rPr>
              <w:t>温度、压力等控制不当</w:t>
            </w:r>
            <w:r>
              <w:rPr>
                <w:rFonts w:hint="eastAsia"/>
              </w:rPr>
              <w:t>，</w:t>
            </w:r>
          </w:p>
          <w:p w14:paraId="394AB331">
            <w:pPr>
              <w:pStyle w:val="22"/>
              <w:keepNext w:val="0"/>
              <w:keepLines w:val="0"/>
              <w:suppressLineNumbers w:val="0"/>
              <w:spacing w:before="0" w:beforeAutospacing="0" w:after="0" w:afterAutospacing="0"/>
              <w:ind w:left="0" w:right="0"/>
              <w:rPr>
                <w:rFonts w:hint="default"/>
              </w:rPr>
            </w:pPr>
            <w:r>
              <w:rPr>
                <w:rFonts w:hint="default"/>
              </w:rPr>
              <w:t>误操作</w:t>
            </w:r>
            <w:r>
              <w:rPr>
                <w:rFonts w:hint="eastAsia"/>
              </w:rPr>
              <w:t>；</w:t>
            </w:r>
            <w:r>
              <w:rPr>
                <w:rFonts w:hint="default"/>
              </w:rPr>
              <w:t>腐蚀、泄漏</w:t>
            </w:r>
            <w:r>
              <w:rPr>
                <w:rFonts w:hint="eastAsia"/>
              </w:rPr>
              <w:t>；</w:t>
            </w:r>
          </w:p>
        </w:tc>
        <w:tc>
          <w:tcPr>
            <w:tcW w:w="527" w:type="pct"/>
            <w:shd w:val="clear" w:color="auto" w:fill="auto"/>
            <w:noWrap/>
            <w:vAlign w:val="center"/>
          </w:tcPr>
          <w:p w14:paraId="05D39B7E">
            <w:pPr>
              <w:pStyle w:val="22"/>
              <w:keepNext w:val="0"/>
              <w:keepLines w:val="0"/>
              <w:suppressLineNumbers w:val="0"/>
              <w:spacing w:before="0" w:beforeAutospacing="0" w:after="0" w:afterAutospacing="0"/>
              <w:ind w:left="0" w:right="0"/>
              <w:rPr>
                <w:rFonts w:hint="default"/>
              </w:rPr>
            </w:pPr>
            <w:r>
              <w:rPr>
                <w:rFonts w:hint="default"/>
              </w:rPr>
              <w:t>是</w:t>
            </w:r>
          </w:p>
        </w:tc>
      </w:tr>
      <w:tr w14:paraId="18365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1" w:type="pct"/>
            <w:vMerge w:val="continue"/>
            <w:shd w:val="clear" w:color="auto" w:fill="auto"/>
            <w:noWrap/>
            <w:vAlign w:val="center"/>
          </w:tcPr>
          <w:p w14:paraId="07AFEC5A">
            <w:pPr>
              <w:pStyle w:val="22"/>
              <w:keepNext w:val="0"/>
              <w:keepLines w:val="0"/>
              <w:suppressLineNumbers w:val="0"/>
              <w:spacing w:before="0" w:beforeAutospacing="0" w:after="0" w:afterAutospacing="0"/>
              <w:ind w:left="0" w:right="0"/>
              <w:rPr>
                <w:rFonts w:hint="default"/>
              </w:rPr>
            </w:pPr>
          </w:p>
        </w:tc>
        <w:tc>
          <w:tcPr>
            <w:tcW w:w="344" w:type="pct"/>
            <w:vMerge w:val="continue"/>
            <w:shd w:val="clear" w:color="auto" w:fill="auto"/>
            <w:noWrap/>
            <w:vAlign w:val="center"/>
          </w:tcPr>
          <w:p w14:paraId="5460B4AB">
            <w:pPr>
              <w:pStyle w:val="22"/>
              <w:keepNext w:val="0"/>
              <w:keepLines w:val="0"/>
              <w:suppressLineNumbers w:val="0"/>
              <w:spacing w:before="0" w:beforeAutospacing="0" w:after="0" w:afterAutospacing="0"/>
              <w:ind w:left="0" w:right="0"/>
              <w:rPr>
                <w:rFonts w:hint="default"/>
              </w:rPr>
            </w:pPr>
          </w:p>
        </w:tc>
        <w:tc>
          <w:tcPr>
            <w:tcW w:w="786" w:type="pct"/>
            <w:shd w:val="clear" w:color="auto" w:fill="auto"/>
            <w:noWrap/>
            <w:vAlign w:val="center"/>
          </w:tcPr>
          <w:p w14:paraId="4F247A05">
            <w:pPr>
              <w:pStyle w:val="22"/>
              <w:keepNext w:val="0"/>
              <w:keepLines w:val="0"/>
              <w:suppressLineNumbers w:val="0"/>
              <w:spacing w:before="0" w:beforeAutospacing="0" w:after="0" w:afterAutospacing="0"/>
              <w:ind w:left="0" w:right="0"/>
              <w:rPr>
                <w:rFonts w:hint="default"/>
              </w:rPr>
            </w:pPr>
            <w:r>
              <w:rPr>
                <w:rFonts w:hint="default"/>
              </w:rPr>
              <w:t>焚烧烟气净化处理设施</w:t>
            </w:r>
          </w:p>
        </w:tc>
        <w:tc>
          <w:tcPr>
            <w:tcW w:w="684" w:type="pct"/>
            <w:shd w:val="clear" w:color="auto" w:fill="auto"/>
            <w:noWrap/>
            <w:vAlign w:val="center"/>
          </w:tcPr>
          <w:p w14:paraId="77C6FFB9">
            <w:pPr>
              <w:pStyle w:val="22"/>
              <w:keepNext w:val="0"/>
              <w:keepLines w:val="0"/>
              <w:suppressLineNumbers w:val="0"/>
              <w:spacing w:before="0" w:beforeAutospacing="0" w:after="0" w:afterAutospacing="0"/>
              <w:ind w:left="0" w:right="0"/>
              <w:rPr>
                <w:rFonts w:hint="default"/>
              </w:rPr>
            </w:pPr>
            <w:r>
              <w:rPr>
                <w:rFonts w:hint="default"/>
              </w:rPr>
              <w:t>焚烧烟气</w:t>
            </w:r>
          </w:p>
        </w:tc>
        <w:tc>
          <w:tcPr>
            <w:tcW w:w="733" w:type="pct"/>
            <w:shd w:val="clear" w:color="auto" w:fill="auto"/>
            <w:noWrap/>
            <w:vAlign w:val="center"/>
          </w:tcPr>
          <w:p w14:paraId="1096AA61">
            <w:pPr>
              <w:pStyle w:val="22"/>
              <w:keepNext w:val="0"/>
              <w:keepLines w:val="0"/>
              <w:suppressLineNumbers w:val="0"/>
              <w:spacing w:before="0" w:beforeAutospacing="0" w:after="0" w:afterAutospacing="0"/>
              <w:ind w:left="0" w:right="0"/>
              <w:rPr>
                <w:rFonts w:hint="default"/>
              </w:rPr>
            </w:pPr>
            <w:r>
              <w:rPr>
                <w:rFonts w:hint="default"/>
              </w:rPr>
              <w:t>毒性、燃</w:t>
            </w:r>
          </w:p>
          <w:p w14:paraId="1DAB50CC">
            <w:pPr>
              <w:pStyle w:val="22"/>
              <w:keepNext w:val="0"/>
              <w:keepLines w:val="0"/>
              <w:suppressLineNumbers w:val="0"/>
              <w:spacing w:before="0" w:beforeAutospacing="0" w:after="0" w:afterAutospacing="0"/>
              <w:ind w:left="0" w:right="0"/>
              <w:rPr>
                <w:rFonts w:hint="default"/>
              </w:rPr>
            </w:pPr>
            <w:r>
              <w:rPr>
                <w:rFonts w:hint="default"/>
              </w:rPr>
              <w:t>爆危险性</w:t>
            </w:r>
          </w:p>
        </w:tc>
        <w:tc>
          <w:tcPr>
            <w:tcW w:w="1681" w:type="pct"/>
            <w:shd w:val="clear" w:color="auto" w:fill="auto"/>
            <w:noWrap/>
            <w:vAlign w:val="center"/>
          </w:tcPr>
          <w:p w14:paraId="649958E8">
            <w:pPr>
              <w:pStyle w:val="22"/>
              <w:keepNext w:val="0"/>
              <w:keepLines w:val="0"/>
              <w:suppressLineNumbers w:val="0"/>
              <w:spacing w:before="0" w:beforeAutospacing="0" w:after="0" w:afterAutospacing="0"/>
              <w:ind w:left="0" w:right="0"/>
              <w:rPr>
                <w:rFonts w:hint="default"/>
              </w:rPr>
            </w:pPr>
            <w:r>
              <w:rPr>
                <w:rFonts w:hint="default"/>
              </w:rPr>
              <w:t>废气处理设施故障</w:t>
            </w:r>
            <w:r>
              <w:rPr>
                <w:rFonts w:hint="eastAsia"/>
              </w:rPr>
              <w:t>；</w:t>
            </w:r>
            <w:r>
              <w:rPr>
                <w:rFonts w:hint="default"/>
              </w:rPr>
              <w:t>更换</w:t>
            </w:r>
          </w:p>
          <w:p w14:paraId="4C4754AC">
            <w:pPr>
              <w:pStyle w:val="22"/>
              <w:keepNext w:val="0"/>
              <w:keepLines w:val="0"/>
              <w:suppressLineNumbers w:val="0"/>
              <w:spacing w:before="0" w:beforeAutospacing="0" w:after="0" w:afterAutospacing="0"/>
              <w:ind w:left="0" w:right="0"/>
              <w:rPr>
                <w:rFonts w:hint="default"/>
              </w:rPr>
            </w:pPr>
            <w:r>
              <w:rPr>
                <w:rFonts w:hint="default"/>
              </w:rPr>
              <w:t>不及时</w:t>
            </w:r>
            <w:r>
              <w:rPr>
                <w:rFonts w:hint="eastAsia"/>
              </w:rPr>
              <w:t>；</w:t>
            </w:r>
          </w:p>
        </w:tc>
        <w:tc>
          <w:tcPr>
            <w:tcW w:w="527" w:type="pct"/>
            <w:shd w:val="clear" w:color="auto" w:fill="auto"/>
            <w:noWrap/>
            <w:vAlign w:val="center"/>
          </w:tcPr>
          <w:p w14:paraId="529E817D">
            <w:pPr>
              <w:pStyle w:val="22"/>
              <w:keepNext w:val="0"/>
              <w:keepLines w:val="0"/>
              <w:suppressLineNumbers w:val="0"/>
              <w:spacing w:before="0" w:beforeAutospacing="0" w:after="0" w:afterAutospacing="0"/>
              <w:ind w:left="0" w:right="0"/>
              <w:rPr>
                <w:rFonts w:hint="default"/>
              </w:rPr>
            </w:pPr>
            <w:r>
              <w:rPr>
                <w:rFonts w:hint="default"/>
              </w:rPr>
              <w:t>否</w:t>
            </w:r>
          </w:p>
        </w:tc>
      </w:tr>
      <w:tr w14:paraId="1C2DF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1" w:type="pct"/>
            <w:shd w:val="clear" w:color="auto" w:fill="auto"/>
            <w:noWrap/>
            <w:vAlign w:val="center"/>
          </w:tcPr>
          <w:p w14:paraId="6E0652D7">
            <w:pPr>
              <w:pStyle w:val="22"/>
              <w:keepNext w:val="0"/>
              <w:keepLines w:val="0"/>
              <w:suppressLineNumbers w:val="0"/>
              <w:spacing w:before="0" w:beforeAutospacing="0" w:after="0" w:afterAutospacing="0"/>
              <w:ind w:left="0" w:right="0"/>
              <w:rPr>
                <w:rFonts w:hint="default"/>
              </w:rPr>
            </w:pPr>
            <w:r>
              <w:rPr>
                <w:rFonts w:hint="default"/>
              </w:rPr>
              <w:t>2#</w:t>
            </w:r>
          </w:p>
        </w:tc>
        <w:tc>
          <w:tcPr>
            <w:tcW w:w="1131" w:type="pct"/>
            <w:gridSpan w:val="2"/>
            <w:shd w:val="clear" w:color="auto" w:fill="auto"/>
            <w:noWrap/>
            <w:vAlign w:val="center"/>
          </w:tcPr>
          <w:p w14:paraId="62C0AE42">
            <w:pPr>
              <w:pStyle w:val="22"/>
              <w:keepNext w:val="0"/>
              <w:keepLines w:val="0"/>
              <w:suppressLineNumbers w:val="0"/>
              <w:spacing w:before="0" w:beforeAutospacing="0" w:after="0" w:afterAutospacing="0"/>
              <w:ind w:left="0" w:right="0"/>
              <w:rPr>
                <w:rFonts w:hint="default"/>
                <w:lang w:val="en-US"/>
              </w:rPr>
            </w:pPr>
            <w:r>
              <w:rPr>
                <w:rFonts w:hint="eastAsia"/>
                <w:lang w:val="en-US" w:eastAsia="zh-CN"/>
              </w:rPr>
              <w:t>危废贮存库</w:t>
            </w:r>
          </w:p>
        </w:tc>
        <w:tc>
          <w:tcPr>
            <w:tcW w:w="684" w:type="pct"/>
            <w:shd w:val="clear" w:color="auto" w:fill="auto"/>
            <w:noWrap/>
            <w:vAlign w:val="center"/>
          </w:tcPr>
          <w:p w14:paraId="58E193E5">
            <w:pPr>
              <w:pStyle w:val="22"/>
              <w:keepNext w:val="0"/>
              <w:keepLines w:val="0"/>
              <w:suppressLineNumbers w:val="0"/>
              <w:spacing w:before="0" w:beforeAutospacing="0" w:after="0" w:afterAutospacing="0"/>
              <w:ind w:left="0" w:right="0"/>
              <w:rPr>
                <w:rFonts w:hint="default"/>
              </w:rPr>
            </w:pPr>
            <w:r>
              <w:rPr>
                <w:rFonts w:hint="default"/>
              </w:rPr>
              <w:t>危险废物</w:t>
            </w:r>
          </w:p>
        </w:tc>
        <w:tc>
          <w:tcPr>
            <w:tcW w:w="733" w:type="pct"/>
            <w:shd w:val="clear" w:color="auto" w:fill="auto"/>
            <w:noWrap/>
            <w:vAlign w:val="center"/>
          </w:tcPr>
          <w:p w14:paraId="209F8A47">
            <w:pPr>
              <w:pStyle w:val="22"/>
              <w:keepNext w:val="0"/>
              <w:keepLines w:val="0"/>
              <w:suppressLineNumbers w:val="0"/>
              <w:spacing w:before="0" w:beforeAutospacing="0" w:after="0" w:afterAutospacing="0"/>
              <w:ind w:left="0" w:right="0"/>
              <w:rPr>
                <w:rFonts w:hint="default"/>
              </w:rPr>
            </w:pPr>
            <w:r>
              <w:rPr>
                <w:rFonts w:hint="default"/>
              </w:rPr>
              <w:t>毒性、燃</w:t>
            </w:r>
          </w:p>
          <w:p w14:paraId="3F0D1F54">
            <w:pPr>
              <w:pStyle w:val="22"/>
              <w:keepNext w:val="0"/>
              <w:keepLines w:val="0"/>
              <w:suppressLineNumbers w:val="0"/>
              <w:spacing w:before="0" w:beforeAutospacing="0" w:after="0" w:afterAutospacing="0"/>
              <w:ind w:left="0" w:right="0"/>
              <w:rPr>
                <w:rFonts w:hint="default"/>
              </w:rPr>
            </w:pPr>
            <w:r>
              <w:rPr>
                <w:rFonts w:hint="default"/>
              </w:rPr>
              <w:t>爆危险性</w:t>
            </w:r>
          </w:p>
        </w:tc>
        <w:tc>
          <w:tcPr>
            <w:tcW w:w="1681" w:type="pct"/>
            <w:shd w:val="clear" w:color="auto" w:fill="auto"/>
            <w:noWrap/>
            <w:vAlign w:val="center"/>
          </w:tcPr>
          <w:p w14:paraId="34F9C957">
            <w:pPr>
              <w:pStyle w:val="22"/>
              <w:keepNext w:val="0"/>
              <w:keepLines w:val="0"/>
              <w:suppressLineNumbers w:val="0"/>
              <w:spacing w:before="0" w:beforeAutospacing="0" w:after="0" w:afterAutospacing="0"/>
              <w:ind w:left="0" w:right="0"/>
              <w:rPr>
                <w:rFonts w:hint="default"/>
              </w:rPr>
            </w:pPr>
            <w:r>
              <w:rPr>
                <w:rFonts w:hint="default"/>
              </w:rPr>
              <w:t>遇明火</w:t>
            </w:r>
            <w:r>
              <w:rPr>
                <w:rFonts w:hint="eastAsia"/>
              </w:rPr>
              <w:t>；</w:t>
            </w:r>
            <w:r>
              <w:rPr>
                <w:rFonts w:hint="default"/>
              </w:rPr>
              <w:t>暂存时间长</w:t>
            </w:r>
            <w:r>
              <w:rPr>
                <w:rFonts w:hint="eastAsia"/>
              </w:rPr>
              <w:t>；</w:t>
            </w:r>
            <w:r>
              <w:rPr>
                <w:rFonts w:hint="default"/>
              </w:rPr>
              <w:t>防</w:t>
            </w:r>
          </w:p>
          <w:p w14:paraId="759543AB">
            <w:pPr>
              <w:pStyle w:val="22"/>
              <w:keepNext w:val="0"/>
              <w:keepLines w:val="0"/>
              <w:suppressLineNumbers w:val="0"/>
              <w:spacing w:before="0" w:beforeAutospacing="0" w:after="0" w:afterAutospacing="0"/>
              <w:ind w:left="0" w:right="0"/>
              <w:rPr>
                <w:rFonts w:hint="default"/>
              </w:rPr>
            </w:pPr>
            <w:r>
              <w:rPr>
                <w:rFonts w:hint="default"/>
              </w:rPr>
              <w:t>渗措施失效破裂</w:t>
            </w:r>
            <w:r>
              <w:rPr>
                <w:rFonts w:hint="eastAsia"/>
              </w:rPr>
              <w:t>；</w:t>
            </w:r>
            <w:r>
              <w:rPr>
                <w:rFonts w:hint="default"/>
              </w:rPr>
              <w:t>包装破</w:t>
            </w:r>
          </w:p>
          <w:p w14:paraId="7FA36C88">
            <w:pPr>
              <w:pStyle w:val="22"/>
              <w:keepNext w:val="0"/>
              <w:keepLines w:val="0"/>
              <w:suppressLineNumbers w:val="0"/>
              <w:spacing w:before="0" w:beforeAutospacing="0" w:after="0" w:afterAutospacing="0"/>
              <w:ind w:left="0" w:right="0"/>
              <w:rPr>
                <w:rFonts w:hint="default"/>
              </w:rPr>
            </w:pPr>
            <w:r>
              <w:rPr>
                <w:rFonts w:hint="default"/>
              </w:rPr>
              <w:t>损、破裂</w:t>
            </w:r>
            <w:r>
              <w:rPr>
                <w:rFonts w:hint="eastAsia"/>
              </w:rPr>
              <w:t>；</w:t>
            </w:r>
          </w:p>
        </w:tc>
        <w:tc>
          <w:tcPr>
            <w:tcW w:w="527" w:type="pct"/>
            <w:shd w:val="clear" w:color="auto" w:fill="auto"/>
            <w:noWrap/>
            <w:vAlign w:val="center"/>
          </w:tcPr>
          <w:p w14:paraId="2AEC5ADE">
            <w:pPr>
              <w:pStyle w:val="22"/>
              <w:keepNext w:val="0"/>
              <w:keepLines w:val="0"/>
              <w:suppressLineNumbers w:val="0"/>
              <w:spacing w:before="0" w:beforeAutospacing="0" w:after="0" w:afterAutospacing="0"/>
              <w:ind w:left="0" w:right="0"/>
              <w:rPr>
                <w:rFonts w:hint="default"/>
              </w:rPr>
            </w:pPr>
            <w:r>
              <w:rPr>
                <w:rFonts w:hint="default"/>
              </w:rPr>
              <w:t>是</w:t>
            </w:r>
          </w:p>
        </w:tc>
      </w:tr>
      <w:tr w14:paraId="5AC63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1" w:type="pct"/>
            <w:shd w:val="clear" w:color="auto" w:fill="auto"/>
            <w:noWrap/>
            <w:vAlign w:val="center"/>
          </w:tcPr>
          <w:p w14:paraId="32B27745">
            <w:pPr>
              <w:pStyle w:val="22"/>
              <w:keepNext w:val="0"/>
              <w:keepLines w:val="0"/>
              <w:suppressLineNumbers w:val="0"/>
              <w:spacing w:before="0" w:beforeAutospacing="0" w:after="0" w:afterAutospacing="0"/>
              <w:ind w:left="0" w:right="0"/>
              <w:rPr>
                <w:rFonts w:hint="default"/>
              </w:rPr>
            </w:pPr>
            <w:r>
              <w:rPr>
                <w:rFonts w:hint="default"/>
              </w:rPr>
              <w:t>3#</w:t>
            </w:r>
          </w:p>
        </w:tc>
        <w:tc>
          <w:tcPr>
            <w:tcW w:w="1131" w:type="pct"/>
            <w:gridSpan w:val="2"/>
            <w:shd w:val="clear" w:color="auto" w:fill="auto"/>
            <w:noWrap/>
            <w:vAlign w:val="center"/>
          </w:tcPr>
          <w:p w14:paraId="530CC071">
            <w:pPr>
              <w:pStyle w:val="22"/>
              <w:keepNext w:val="0"/>
              <w:keepLines w:val="0"/>
              <w:suppressLineNumbers w:val="0"/>
              <w:spacing w:before="0" w:beforeAutospacing="0" w:after="0" w:afterAutospacing="0"/>
              <w:ind w:left="0" w:right="0"/>
              <w:rPr>
                <w:rFonts w:hint="default"/>
              </w:rPr>
            </w:pPr>
            <w:r>
              <w:rPr>
                <w:rFonts w:hint="default"/>
              </w:rPr>
              <w:t>医废</w:t>
            </w:r>
            <w:r>
              <w:rPr>
                <w:rFonts w:hint="eastAsia"/>
                <w:lang w:val="en-US" w:eastAsia="zh-CN"/>
              </w:rPr>
              <w:t>暂存</w:t>
            </w:r>
            <w:r>
              <w:rPr>
                <w:rFonts w:hint="default"/>
              </w:rPr>
              <w:t>库</w:t>
            </w:r>
          </w:p>
        </w:tc>
        <w:tc>
          <w:tcPr>
            <w:tcW w:w="684" w:type="pct"/>
            <w:shd w:val="clear" w:color="auto" w:fill="auto"/>
            <w:noWrap/>
            <w:vAlign w:val="center"/>
          </w:tcPr>
          <w:p w14:paraId="0B272F05">
            <w:pPr>
              <w:pStyle w:val="22"/>
              <w:keepNext w:val="0"/>
              <w:keepLines w:val="0"/>
              <w:suppressLineNumbers w:val="0"/>
              <w:spacing w:before="0" w:beforeAutospacing="0" w:after="0" w:afterAutospacing="0"/>
              <w:ind w:left="0" w:right="0"/>
              <w:rPr>
                <w:rFonts w:hint="default"/>
              </w:rPr>
            </w:pPr>
            <w:r>
              <w:rPr>
                <w:rFonts w:hint="default"/>
              </w:rPr>
              <w:t>医疗废物</w:t>
            </w:r>
          </w:p>
        </w:tc>
        <w:tc>
          <w:tcPr>
            <w:tcW w:w="733" w:type="pct"/>
            <w:shd w:val="clear" w:color="auto" w:fill="auto"/>
            <w:noWrap/>
            <w:vAlign w:val="center"/>
          </w:tcPr>
          <w:p w14:paraId="66A1FE08">
            <w:pPr>
              <w:pStyle w:val="22"/>
              <w:keepNext w:val="0"/>
              <w:keepLines w:val="0"/>
              <w:suppressLineNumbers w:val="0"/>
              <w:spacing w:before="0" w:beforeAutospacing="0" w:after="0" w:afterAutospacing="0"/>
              <w:ind w:left="0" w:right="0"/>
              <w:rPr>
                <w:rFonts w:hint="default"/>
              </w:rPr>
            </w:pPr>
            <w:r>
              <w:rPr>
                <w:rFonts w:hint="default"/>
              </w:rPr>
              <w:t>毒性、燃</w:t>
            </w:r>
          </w:p>
          <w:p w14:paraId="0B3EFFA5">
            <w:pPr>
              <w:pStyle w:val="22"/>
              <w:keepNext w:val="0"/>
              <w:keepLines w:val="0"/>
              <w:suppressLineNumbers w:val="0"/>
              <w:spacing w:before="0" w:beforeAutospacing="0" w:after="0" w:afterAutospacing="0"/>
              <w:ind w:left="0" w:right="0"/>
              <w:rPr>
                <w:rFonts w:hint="default"/>
              </w:rPr>
            </w:pPr>
            <w:r>
              <w:rPr>
                <w:rFonts w:hint="default"/>
              </w:rPr>
              <w:t>爆危险性</w:t>
            </w:r>
          </w:p>
        </w:tc>
        <w:tc>
          <w:tcPr>
            <w:tcW w:w="1681" w:type="pct"/>
            <w:shd w:val="clear" w:color="auto" w:fill="auto"/>
            <w:noWrap/>
            <w:vAlign w:val="center"/>
          </w:tcPr>
          <w:p w14:paraId="4BD18044">
            <w:pPr>
              <w:pStyle w:val="22"/>
              <w:keepNext w:val="0"/>
              <w:keepLines w:val="0"/>
              <w:suppressLineNumbers w:val="0"/>
              <w:spacing w:before="0" w:beforeAutospacing="0" w:after="0" w:afterAutospacing="0"/>
              <w:ind w:left="0" w:right="0"/>
              <w:rPr>
                <w:rFonts w:hint="default"/>
              </w:rPr>
            </w:pPr>
            <w:r>
              <w:rPr>
                <w:rFonts w:hint="default"/>
              </w:rPr>
              <w:t>遇明火</w:t>
            </w:r>
            <w:r>
              <w:rPr>
                <w:rFonts w:hint="eastAsia"/>
              </w:rPr>
              <w:t>；</w:t>
            </w:r>
            <w:r>
              <w:rPr>
                <w:rFonts w:hint="default"/>
              </w:rPr>
              <w:t>暂存时间长</w:t>
            </w:r>
            <w:r>
              <w:rPr>
                <w:rFonts w:hint="eastAsia"/>
              </w:rPr>
              <w:t>；</w:t>
            </w:r>
            <w:r>
              <w:rPr>
                <w:rFonts w:hint="default"/>
              </w:rPr>
              <w:t>防</w:t>
            </w:r>
          </w:p>
          <w:p w14:paraId="0471B563">
            <w:pPr>
              <w:pStyle w:val="22"/>
              <w:keepNext w:val="0"/>
              <w:keepLines w:val="0"/>
              <w:suppressLineNumbers w:val="0"/>
              <w:spacing w:before="0" w:beforeAutospacing="0" w:after="0" w:afterAutospacing="0"/>
              <w:ind w:left="0" w:right="0"/>
              <w:rPr>
                <w:rFonts w:hint="default"/>
              </w:rPr>
            </w:pPr>
            <w:r>
              <w:rPr>
                <w:rFonts w:hint="default"/>
              </w:rPr>
              <w:t>渗措施失效破裂</w:t>
            </w:r>
            <w:r>
              <w:rPr>
                <w:rFonts w:hint="eastAsia"/>
              </w:rPr>
              <w:t>；</w:t>
            </w:r>
          </w:p>
        </w:tc>
        <w:tc>
          <w:tcPr>
            <w:tcW w:w="527" w:type="pct"/>
            <w:shd w:val="clear" w:color="auto" w:fill="auto"/>
            <w:noWrap/>
            <w:vAlign w:val="center"/>
          </w:tcPr>
          <w:p w14:paraId="0172E0A2">
            <w:pPr>
              <w:pStyle w:val="22"/>
              <w:keepNext w:val="0"/>
              <w:keepLines w:val="0"/>
              <w:suppressLineNumbers w:val="0"/>
              <w:spacing w:before="0" w:beforeAutospacing="0" w:after="0" w:afterAutospacing="0"/>
              <w:ind w:left="0" w:right="0"/>
              <w:rPr>
                <w:rFonts w:hint="default"/>
              </w:rPr>
            </w:pPr>
            <w:r>
              <w:rPr>
                <w:rFonts w:hint="default"/>
              </w:rPr>
              <w:t>是</w:t>
            </w:r>
          </w:p>
        </w:tc>
      </w:tr>
      <w:tr w14:paraId="22716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1" w:type="pct"/>
            <w:shd w:val="clear" w:color="auto" w:fill="auto"/>
            <w:noWrap/>
            <w:vAlign w:val="center"/>
          </w:tcPr>
          <w:p w14:paraId="05D27266">
            <w:pPr>
              <w:pStyle w:val="22"/>
              <w:keepNext w:val="0"/>
              <w:keepLines w:val="0"/>
              <w:suppressLineNumbers w:val="0"/>
              <w:spacing w:before="0" w:beforeAutospacing="0" w:after="0" w:afterAutospacing="0"/>
              <w:ind w:left="0" w:right="0"/>
              <w:rPr>
                <w:rFonts w:hint="default"/>
              </w:rPr>
            </w:pPr>
            <w:r>
              <w:rPr>
                <w:rFonts w:hint="default"/>
              </w:rPr>
              <w:t>4#</w:t>
            </w:r>
          </w:p>
        </w:tc>
        <w:tc>
          <w:tcPr>
            <w:tcW w:w="1131" w:type="pct"/>
            <w:gridSpan w:val="2"/>
            <w:shd w:val="clear" w:color="auto" w:fill="auto"/>
            <w:noWrap/>
            <w:vAlign w:val="center"/>
          </w:tcPr>
          <w:p w14:paraId="76D131C7">
            <w:pPr>
              <w:pStyle w:val="22"/>
              <w:keepNext w:val="0"/>
              <w:keepLines w:val="0"/>
              <w:suppressLineNumbers w:val="0"/>
              <w:spacing w:before="0" w:beforeAutospacing="0" w:after="0" w:afterAutospacing="0"/>
              <w:ind w:left="0" w:right="0"/>
              <w:rPr>
                <w:rFonts w:hint="default"/>
              </w:rPr>
            </w:pPr>
            <w:r>
              <w:rPr>
                <w:rFonts w:hint="default"/>
              </w:rPr>
              <w:t>柴油储罐</w:t>
            </w:r>
          </w:p>
        </w:tc>
        <w:tc>
          <w:tcPr>
            <w:tcW w:w="684" w:type="pct"/>
            <w:shd w:val="clear" w:color="auto" w:fill="auto"/>
            <w:noWrap/>
            <w:vAlign w:val="center"/>
          </w:tcPr>
          <w:p w14:paraId="75B7C94B">
            <w:pPr>
              <w:pStyle w:val="22"/>
              <w:keepNext w:val="0"/>
              <w:keepLines w:val="0"/>
              <w:suppressLineNumbers w:val="0"/>
              <w:spacing w:before="0" w:beforeAutospacing="0" w:after="0" w:afterAutospacing="0"/>
              <w:ind w:left="0" w:right="0"/>
              <w:rPr>
                <w:rFonts w:hint="default"/>
              </w:rPr>
            </w:pPr>
            <w:r>
              <w:rPr>
                <w:rFonts w:hint="default"/>
              </w:rPr>
              <w:t>柴油</w:t>
            </w:r>
          </w:p>
        </w:tc>
        <w:tc>
          <w:tcPr>
            <w:tcW w:w="733" w:type="pct"/>
            <w:shd w:val="clear" w:color="auto" w:fill="auto"/>
            <w:noWrap/>
            <w:vAlign w:val="center"/>
          </w:tcPr>
          <w:p w14:paraId="5784D14B">
            <w:pPr>
              <w:pStyle w:val="22"/>
              <w:keepNext w:val="0"/>
              <w:keepLines w:val="0"/>
              <w:suppressLineNumbers w:val="0"/>
              <w:spacing w:before="0" w:beforeAutospacing="0" w:after="0" w:afterAutospacing="0"/>
              <w:ind w:left="0" w:right="0"/>
              <w:rPr>
                <w:rFonts w:hint="default"/>
              </w:rPr>
            </w:pPr>
            <w:r>
              <w:rPr>
                <w:rFonts w:hint="default"/>
              </w:rPr>
              <w:t>毒性、燃</w:t>
            </w:r>
          </w:p>
          <w:p w14:paraId="26A49216">
            <w:pPr>
              <w:pStyle w:val="22"/>
              <w:keepNext w:val="0"/>
              <w:keepLines w:val="0"/>
              <w:suppressLineNumbers w:val="0"/>
              <w:spacing w:before="0" w:beforeAutospacing="0" w:after="0" w:afterAutospacing="0"/>
              <w:ind w:left="0" w:right="0"/>
              <w:rPr>
                <w:rFonts w:hint="default"/>
              </w:rPr>
            </w:pPr>
            <w:r>
              <w:rPr>
                <w:rFonts w:hint="default"/>
              </w:rPr>
              <w:t>爆危险性</w:t>
            </w:r>
          </w:p>
        </w:tc>
        <w:tc>
          <w:tcPr>
            <w:tcW w:w="1681" w:type="pct"/>
            <w:shd w:val="clear" w:color="auto" w:fill="auto"/>
            <w:noWrap/>
            <w:vAlign w:val="center"/>
          </w:tcPr>
          <w:p w14:paraId="4C851F5B">
            <w:pPr>
              <w:pStyle w:val="22"/>
              <w:keepNext w:val="0"/>
              <w:keepLines w:val="0"/>
              <w:suppressLineNumbers w:val="0"/>
              <w:spacing w:before="0" w:beforeAutospacing="0" w:after="0" w:afterAutospacing="0"/>
              <w:ind w:left="0" w:right="0"/>
              <w:rPr>
                <w:rFonts w:hint="default"/>
              </w:rPr>
            </w:pPr>
            <w:r>
              <w:rPr>
                <w:rFonts w:hint="default"/>
              </w:rPr>
              <w:t>遇明火</w:t>
            </w:r>
            <w:r>
              <w:rPr>
                <w:rFonts w:hint="eastAsia"/>
              </w:rPr>
              <w:t>，</w:t>
            </w:r>
            <w:r>
              <w:rPr>
                <w:rFonts w:hint="default"/>
              </w:rPr>
              <w:t>腐蚀</w:t>
            </w:r>
            <w:r>
              <w:rPr>
                <w:rFonts w:hint="eastAsia"/>
              </w:rPr>
              <w:t>，</w:t>
            </w:r>
            <w:r>
              <w:rPr>
                <w:rFonts w:hint="default"/>
              </w:rPr>
              <w:t>误操</w:t>
            </w:r>
            <w:r>
              <w:rPr>
                <w:rFonts w:hint="eastAsia"/>
              </w:rPr>
              <w:t>，</w:t>
            </w:r>
          </w:p>
          <w:p w14:paraId="51381751">
            <w:pPr>
              <w:pStyle w:val="22"/>
              <w:keepNext w:val="0"/>
              <w:keepLines w:val="0"/>
              <w:suppressLineNumbers w:val="0"/>
              <w:spacing w:before="0" w:beforeAutospacing="0" w:after="0" w:afterAutospacing="0"/>
              <w:ind w:left="0" w:right="0"/>
              <w:rPr>
                <w:rFonts w:hint="default"/>
              </w:rPr>
            </w:pPr>
            <w:r>
              <w:rPr>
                <w:rFonts w:hint="default"/>
              </w:rPr>
              <w:t>罐体破裂</w:t>
            </w:r>
            <w:r>
              <w:rPr>
                <w:rFonts w:hint="eastAsia"/>
              </w:rPr>
              <w:t>。</w:t>
            </w:r>
          </w:p>
        </w:tc>
        <w:tc>
          <w:tcPr>
            <w:tcW w:w="527" w:type="pct"/>
            <w:shd w:val="clear" w:color="auto" w:fill="auto"/>
            <w:noWrap/>
            <w:vAlign w:val="center"/>
          </w:tcPr>
          <w:p w14:paraId="32FCF7CE">
            <w:pPr>
              <w:pStyle w:val="22"/>
              <w:keepNext w:val="0"/>
              <w:keepLines w:val="0"/>
              <w:suppressLineNumbers w:val="0"/>
              <w:spacing w:before="0" w:beforeAutospacing="0" w:after="0" w:afterAutospacing="0"/>
              <w:ind w:left="0" w:right="0"/>
              <w:rPr>
                <w:rFonts w:hint="default"/>
              </w:rPr>
            </w:pPr>
            <w:r>
              <w:rPr>
                <w:rFonts w:hint="default"/>
              </w:rPr>
              <w:t>是</w:t>
            </w:r>
          </w:p>
        </w:tc>
      </w:tr>
      <w:tr w14:paraId="7532F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1" w:type="pct"/>
            <w:shd w:val="clear" w:color="auto" w:fill="auto"/>
            <w:noWrap/>
            <w:vAlign w:val="center"/>
          </w:tcPr>
          <w:p w14:paraId="1462BD4F">
            <w:pPr>
              <w:pStyle w:val="22"/>
              <w:keepNext w:val="0"/>
              <w:keepLines w:val="0"/>
              <w:suppressLineNumbers w:val="0"/>
              <w:spacing w:before="0" w:beforeAutospacing="0" w:after="0" w:afterAutospacing="0"/>
              <w:ind w:left="0" w:right="0"/>
              <w:rPr>
                <w:rFonts w:hint="default"/>
              </w:rPr>
            </w:pPr>
            <w:r>
              <w:rPr>
                <w:rFonts w:hint="eastAsia"/>
              </w:rPr>
              <w:t>5#</w:t>
            </w:r>
          </w:p>
        </w:tc>
        <w:tc>
          <w:tcPr>
            <w:tcW w:w="1131" w:type="pct"/>
            <w:gridSpan w:val="2"/>
            <w:shd w:val="clear" w:color="auto" w:fill="auto"/>
            <w:noWrap/>
            <w:vAlign w:val="center"/>
          </w:tcPr>
          <w:p w14:paraId="0EB7A0B1">
            <w:pPr>
              <w:pStyle w:val="22"/>
              <w:keepNext w:val="0"/>
              <w:keepLines w:val="0"/>
              <w:suppressLineNumbers w:val="0"/>
              <w:spacing w:before="0" w:beforeAutospacing="0" w:after="0" w:afterAutospacing="0"/>
              <w:ind w:left="0" w:right="0"/>
              <w:rPr>
                <w:rFonts w:hint="default"/>
              </w:rPr>
            </w:pPr>
            <w:r>
              <w:rPr>
                <w:rFonts w:hint="eastAsia"/>
              </w:rPr>
              <w:t>集水池</w:t>
            </w:r>
          </w:p>
        </w:tc>
        <w:tc>
          <w:tcPr>
            <w:tcW w:w="684" w:type="pct"/>
            <w:shd w:val="clear" w:color="auto" w:fill="auto"/>
            <w:noWrap/>
            <w:vAlign w:val="center"/>
          </w:tcPr>
          <w:p w14:paraId="46DA5641">
            <w:pPr>
              <w:pStyle w:val="22"/>
              <w:keepNext w:val="0"/>
              <w:keepLines w:val="0"/>
              <w:suppressLineNumbers w:val="0"/>
              <w:spacing w:before="0" w:beforeAutospacing="0" w:after="0" w:afterAutospacing="0"/>
              <w:ind w:left="0" w:right="0"/>
              <w:rPr>
                <w:rFonts w:hint="default"/>
              </w:rPr>
            </w:pPr>
            <w:r>
              <w:rPr>
                <w:rFonts w:hint="default"/>
              </w:rPr>
              <w:t>生产废水</w:t>
            </w:r>
          </w:p>
        </w:tc>
        <w:tc>
          <w:tcPr>
            <w:tcW w:w="733" w:type="pct"/>
            <w:shd w:val="clear" w:color="auto" w:fill="auto"/>
            <w:noWrap/>
            <w:vAlign w:val="center"/>
          </w:tcPr>
          <w:p w14:paraId="10349382">
            <w:pPr>
              <w:pStyle w:val="22"/>
              <w:keepNext w:val="0"/>
              <w:keepLines w:val="0"/>
              <w:suppressLineNumbers w:val="0"/>
              <w:spacing w:before="0" w:beforeAutospacing="0" w:after="0" w:afterAutospacing="0"/>
              <w:ind w:left="0" w:right="0"/>
              <w:rPr>
                <w:rFonts w:hint="default"/>
              </w:rPr>
            </w:pPr>
            <w:r>
              <w:rPr>
                <w:rFonts w:hint="default"/>
              </w:rPr>
              <w:t>毒性</w:t>
            </w:r>
          </w:p>
        </w:tc>
        <w:tc>
          <w:tcPr>
            <w:tcW w:w="1681" w:type="pct"/>
            <w:shd w:val="clear" w:color="auto" w:fill="auto"/>
            <w:noWrap/>
            <w:vAlign w:val="center"/>
          </w:tcPr>
          <w:p w14:paraId="7466533C">
            <w:pPr>
              <w:pStyle w:val="22"/>
              <w:keepNext w:val="0"/>
              <w:keepLines w:val="0"/>
              <w:suppressLineNumbers w:val="0"/>
              <w:spacing w:before="0" w:beforeAutospacing="0" w:after="0" w:afterAutospacing="0"/>
              <w:ind w:left="0" w:right="0"/>
              <w:rPr>
                <w:rFonts w:hint="default"/>
              </w:rPr>
            </w:pPr>
            <w:r>
              <w:rPr>
                <w:rFonts w:hint="default"/>
              </w:rPr>
              <w:t>腐蚀、误操作，管道破损，防渗措施失效；</w:t>
            </w:r>
          </w:p>
        </w:tc>
        <w:tc>
          <w:tcPr>
            <w:tcW w:w="527" w:type="pct"/>
            <w:shd w:val="clear" w:color="auto" w:fill="auto"/>
            <w:noWrap/>
            <w:vAlign w:val="center"/>
          </w:tcPr>
          <w:p w14:paraId="729E8F5D">
            <w:pPr>
              <w:pStyle w:val="22"/>
              <w:keepNext w:val="0"/>
              <w:keepLines w:val="0"/>
              <w:suppressLineNumbers w:val="0"/>
              <w:spacing w:before="0" w:beforeAutospacing="0" w:after="0" w:afterAutospacing="0"/>
              <w:ind w:left="0" w:right="0"/>
              <w:rPr>
                <w:rFonts w:hint="default"/>
              </w:rPr>
            </w:pPr>
            <w:r>
              <w:rPr>
                <w:rFonts w:hint="default"/>
              </w:rPr>
              <w:t>是</w:t>
            </w:r>
          </w:p>
        </w:tc>
      </w:tr>
    </w:tbl>
    <w:p w14:paraId="1F4E01A1">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本项目产生的次生危废均委托有资质单位处置或送入本项目焚烧炉中进行焚烧处置，如危险废物储存和运输过程中操作不当、防渗材料破裂、贮存容器破损，都将导致危险废物泄漏，造成环境污染。</w:t>
      </w:r>
    </w:p>
    <w:p w14:paraId="35BC67BC">
      <w:pPr>
        <w:adjustRightInd w:val="0"/>
        <w:snapToGrid w:val="0"/>
        <w:spacing w:line="500" w:lineRule="exact"/>
        <w:jc w:val="left"/>
        <w:rPr>
          <w:rFonts w:hint="eastAsia" w:ascii="Times New Roman" w:hAnsi="Times New Roman" w:cs="Times New Roman" w:eastAsiaTheme="minorEastAsia"/>
          <w:b/>
          <w:bCs/>
          <w:sz w:val="24"/>
          <w:lang w:val="en-US" w:eastAsia="zh-CN"/>
        </w:rPr>
      </w:pPr>
      <w:bookmarkStart w:id="267" w:name="_Toc5271"/>
      <w:bookmarkStart w:id="268" w:name="_Toc8382"/>
      <w:bookmarkStart w:id="269" w:name="_Toc13625"/>
      <w:r>
        <w:rPr>
          <w:rFonts w:hint="eastAsia" w:ascii="Times New Roman" w:hAnsi="Times New Roman" w:cs="Times New Roman" w:eastAsiaTheme="minorEastAsia"/>
          <w:b/>
          <w:bCs/>
          <w:sz w:val="24"/>
          <w:lang w:val="en-US" w:eastAsia="zh-CN"/>
        </w:rPr>
        <w:t>5.8.1.4 伴生/次伴生影响识别</w:t>
      </w:r>
      <w:bookmarkEnd w:id="267"/>
      <w:bookmarkEnd w:id="268"/>
      <w:bookmarkEnd w:id="269"/>
    </w:p>
    <w:p w14:paraId="58E7203D">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项目全厂生产所使用的物料部分具有潜在的危害，在贮存、运输和生产过程中可能发生泄漏、火灾爆炸，部分物料在泄漏、火灾爆炸过程中遇水、热或其他物料等会产生伴生和次生危害，本项目涉及的风险物质事故状况下的伴生/次生危害具体见下表。</w:t>
      </w:r>
    </w:p>
    <w:p w14:paraId="63E9BFBA">
      <w:pPr>
        <w:adjustRightInd w:val="0"/>
        <w:snapToGrid w:val="0"/>
        <w:spacing w:before="250"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表5.8-6  事故状况下的伴生/次生危害一览表</w:t>
      </w:r>
    </w:p>
    <w:tbl>
      <w:tblPr>
        <w:tblStyle w:val="12"/>
        <w:tblW w:w="4999" w:type="pct"/>
        <w:tblInd w:w="0" w:type="dxa"/>
        <w:tblLayout w:type="fixed"/>
        <w:tblCellMar>
          <w:top w:w="0" w:type="dxa"/>
          <w:left w:w="108" w:type="dxa"/>
          <w:bottom w:w="0" w:type="dxa"/>
          <w:right w:w="108" w:type="dxa"/>
        </w:tblCellMar>
      </w:tblPr>
      <w:tblGrid>
        <w:gridCol w:w="760"/>
        <w:gridCol w:w="854"/>
        <w:gridCol w:w="1469"/>
        <w:gridCol w:w="1880"/>
        <w:gridCol w:w="1869"/>
        <w:gridCol w:w="1688"/>
      </w:tblGrid>
      <w:tr w14:paraId="56337A03">
        <w:tblPrEx>
          <w:tblCellMar>
            <w:top w:w="0" w:type="dxa"/>
            <w:left w:w="108" w:type="dxa"/>
            <w:bottom w:w="0" w:type="dxa"/>
            <w:right w:w="108" w:type="dxa"/>
          </w:tblCellMar>
        </w:tblPrEx>
        <w:trPr>
          <w:trHeight w:val="340" w:hRule="atLeast"/>
        </w:trPr>
        <w:tc>
          <w:tcPr>
            <w:tcW w:w="44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7381A">
            <w:pPr>
              <w:pStyle w:val="22"/>
              <w:keepNext w:val="0"/>
              <w:keepLines w:val="0"/>
              <w:suppressLineNumbers w:val="0"/>
              <w:spacing w:before="0" w:beforeAutospacing="0" w:after="0" w:afterAutospacing="0"/>
              <w:ind w:left="0" w:right="0"/>
              <w:rPr>
                <w:rFonts w:hint="default"/>
              </w:rPr>
            </w:pPr>
            <w:r>
              <w:rPr>
                <w:rFonts w:hint="eastAsia"/>
              </w:rPr>
              <w:t>物质</w:t>
            </w:r>
          </w:p>
          <w:p w14:paraId="1144F0E5">
            <w:pPr>
              <w:pStyle w:val="22"/>
              <w:keepNext w:val="0"/>
              <w:keepLines w:val="0"/>
              <w:suppressLineNumbers w:val="0"/>
              <w:spacing w:before="0" w:beforeAutospacing="0" w:after="0" w:afterAutospacing="0"/>
              <w:ind w:left="0" w:right="0"/>
              <w:rPr>
                <w:rFonts w:hint="default"/>
              </w:rPr>
            </w:pPr>
            <w:r>
              <w:rPr>
                <w:rFonts w:hint="eastAsia"/>
              </w:rPr>
              <w:t>名称</w:t>
            </w:r>
          </w:p>
        </w:tc>
        <w:tc>
          <w:tcPr>
            <w:tcW w:w="50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B6EA4">
            <w:pPr>
              <w:pStyle w:val="22"/>
              <w:keepNext w:val="0"/>
              <w:keepLines w:val="0"/>
              <w:suppressLineNumbers w:val="0"/>
              <w:spacing w:before="0" w:beforeAutospacing="0" w:after="0" w:afterAutospacing="0"/>
              <w:ind w:left="0" w:right="0"/>
              <w:rPr>
                <w:rFonts w:hint="default"/>
              </w:rPr>
            </w:pPr>
            <w:r>
              <w:rPr>
                <w:rFonts w:hint="eastAsia"/>
              </w:rPr>
              <w:t>条件</w:t>
            </w:r>
          </w:p>
        </w:tc>
        <w:tc>
          <w:tcPr>
            <w:tcW w:w="86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4E919">
            <w:pPr>
              <w:pStyle w:val="22"/>
              <w:keepNext w:val="0"/>
              <w:keepLines w:val="0"/>
              <w:suppressLineNumbers w:val="0"/>
              <w:spacing w:before="0" w:beforeAutospacing="0" w:after="0" w:afterAutospacing="0"/>
              <w:ind w:left="0" w:right="0"/>
              <w:rPr>
                <w:rFonts w:hint="default"/>
              </w:rPr>
            </w:pPr>
            <w:r>
              <w:rPr>
                <w:rFonts w:hint="eastAsia"/>
              </w:rPr>
              <w:t>伴生/次生事故及产物</w:t>
            </w:r>
          </w:p>
        </w:tc>
        <w:tc>
          <w:tcPr>
            <w:tcW w:w="319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D087B">
            <w:pPr>
              <w:pStyle w:val="22"/>
              <w:keepNext w:val="0"/>
              <w:keepLines w:val="0"/>
              <w:suppressLineNumbers w:val="0"/>
              <w:spacing w:before="0" w:beforeAutospacing="0" w:after="0" w:afterAutospacing="0"/>
              <w:ind w:left="0" w:right="0"/>
              <w:rPr>
                <w:rFonts w:hint="default"/>
              </w:rPr>
            </w:pPr>
            <w:r>
              <w:rPr>
                <w:rFonts w:hint="eastAsia"/>
              </w:rPr>
              <w:t>危害后果</w:t>
            </w:r>
          </w:p>
        </w:tc>
      </w:tr>
      <w:tr w14:paraId="1BD84C46">
        <w:tblPrEx>
          <w:tblCellMar>
            <w:top w:w="0" w:type="dxa"/>
            <w:left w:w="108" w:type="dxa"/>
            <w:bottom w:w="0" w:type="dxa"/>
            <w:right w:w="108" w:type="dxa"/>
          </w:tblCellMar>
        </w:tblPrEx>
        <w:trPr>
          <w:trHeight w:val="340" w:hRule="atLeast"/>
        </w:trPr>
        <w:tc>
          <w:tcPr>
            <w:tcW w:w="4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16ED8">
            <w:pPr>
              <w:pStyle w:val="22"/>
              <w:keepNext w:val="0"/>
              <w:keepLines w:val="0"/>
              <w:suppressLineNumbers w:val="0"/>
              <w:spacing w:before="0" w:beforeAutospacing="0" w:after="0" w:afterAutospacing="0"/>
              <w:ind w:left="0" w:right="0"/>
              <w:rPr>
                <w:rFonts w:hint="default"/>
              </w:rPr>
            </w:pPr>
          </w:p>
        </w:tc>
        <w:tc>
          <w:tcPr>
            <w:tcW w:w="50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B93A4">
            <w:pPr>
              <w:pStyle w:val="22"/>
              <w:keepNext w:val="0"/>
              <w:keepLines w:val="0"/>
              <w:suppressLineNumbers w:val="0"/>
              <w:spacing w:before="0" w:beforeAutospacing="0" w:after="0" w:afterAutospacing="0"/>
              <w:ind w:left="0" w:right="0"/>
              <w:rPr>
                <w:rFonts w:hint="default"/>
              </w:rPr>
            </w:pPr>
          </w:p>
        </w:tc>
        <w:tc>
          <w:tcPr>
            <w:tcW w:w="8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3FDEA">
            <w:pPr>
              <w:pStyle w:val="22"/>
              <w:keepNext w:val="0"/>
              <w:keepLines w:val="0"/>
              <w:suppressLineNumbers w:val="0"/>
              <w:spacing w:before="0" w:beforeAutospacing="0" w:after="0" w:afterAutospacing="0"/>
              <w:ind w:left="0" w:right="0"/>
              <w:rPr>
                <w:rFonts w:hint="default"/>
              </w:rPr>
            </w:pPr>
          </w:p>
        </w:tc>
        <w:tc>
          <w:tcPr>
            <w:tcW w:w="11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B2955">
            <w:pPr>
              <w:pStyle w:val="22"/>
              <w:keepNext w:val="0"/>
              <w:keepLines w:val="0"/>
              <w:suppressLineNumbers w:val="0"/>
              <w:spacing w:before="0" w:beforeAutospacing="0" w:after="0" w:afterAutospacing="0"/>
              <w:ind w:left="0" w:right="0"/>
              <w:rPr>
                <w:rFonts w:hint="default"/>
              </w:rPr>
            </w:pPr>
            <w:r>
              <w:rPr>
                <w:rFonts w:hint="eastAsia"/>
              </w:rPr>
              <w:t>大气环境</w:t>
            </w: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F9B51">
            <w:pPr>
              <w:pStyle w:val="22"/>
              <w:keepNext w:val="0"/>
              <w:keepLines w:val="0"/>
              <w:suppressLineNumbers w:val="0"/>
              <w:spacing w:before="0" w:beforeAutospacing="0" w:after="0" w:afterAutospacing="0"/>
              <w:ind w:left="0" w:right="0"/>
              <w:rPr>
                <w:rFonts w:hint="default"/>
              </w:rPr>
            </w:pPr>
            <w:r>
              <w:rPr>
                <w:rFonts w:hint="eastAsia"/>
              </w:rPr>
              <w:t>地表水环境</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E3394">
            <w:pPr>
              <w:pStyle w:val="22"/>
              <w:keepNext w:val="0"/>
              <w:keepLines w:val="0"/>
              <w:suppressLineNumbers w:val="0"/>
              <w:spacing w:before="0" w:beforeAutospacing="0" w:after="0" w:afterAutospacing="0"/>
              <w:ind w:left="0" w:right="0"/>
              <w:rPr>
                <w:rFonts w:hint="default"/>
              </w:rPr>
            </w:pPr>
            <w:r>
              <w:rPr>
                <w:rFonts w:hint="eastAsia"/>
              </w:rPr>
              <w:t>土壤、地下水环境</w:t>
            </w:r>
          </w:p>
        </w:tc>
      </w:tr>
      <w:tr w14:paraId="32039F7D">
        <w:tblPrEx>
          <w:tblCellMar>
            <w:top w:w="0" w:type="dxa"/>
            <w:left w:w="108" w:type="dxa"/>
            <w:bottom w:w="0" w:type="dxa"/>
            <w:right w:w="108" w:type="dxa"/>
          </w:tblCellMar>
        </w:tblPrEx>
        <w:trPr>
          <w:trHeight w:val="340" w:hRule="atLeast"/>
        </w:trPr>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D9CBB">
            <w:pPr>
              <w:pStyle w:val="22"/>
              <w:keepNext w:val="0"/>
              <w:keepLines w:val="0"/>
              <w:suppressLineNumbers w:val="0"/>
              <w:spacing w:before="0" w:beforeAutospacing="0" w:after="0" w:afterAutospacing="0"/>
              <w:ind w:left="0" w:right="0"/>
              <w:rPr>
                <w:rFonts w:hint="default"/>
              </w:rPr>
            </w:pPr>
            <w:r>
              <w:rPr>
                <w:rFonts w:hint="eastAsia"/>
              </w:rPr>
              <w:t>风险</w:t>
            </w:r>
          </w:p>
          <w:p w14:paraId="737D6AD3">
            <w:pPr>
              <w:pStyle w:val="22"/>
              <w:keepNext w:val="0"/>
              <w:keepLines w:val="0"/>
              <w:suppressLineNumbers w:val="0"/>
              <w:spacing w:before="0" w:beforeAutospacing="0" w:after="0" w:afterAutospacing="0"/>
              <w:ind w:left="0" w:right="0"/>
              <w:rPr>
                <w:rFonts w:hint="default"/>
              </w:rPr>
            </w:pPr>
            <w:r>
              <w:rPr>
                <w:rFonts w:hint="eastAsia"/>
              </w:rPr>
              <w:t>物质</w:t>
            </w:r>
          </w:p>
        </w:tc>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F538E">
            <w:pPr>
              <w:pStyle w:val="22"/>
              <w:keepNext w:val="0"/>
              <w:keepLines w:val="0"/>
              <w:suppressLineNumbers w:val="0"/>
              <w:spacing w:before="0" w:beforeAutospacing="0" w:after="0" w:afterAutospacing="0"/>
              <w:ind w:left="0" w:right="0"/>
              <w:rPr>
                <w:rFonts w:hint="default"/>
              </w:rPr>
            </w:pPr>
            <w:r>
              <w:rPr>
                <w:rFonts w:hint="eastAsia"/>
              </w:rPr>
              <w:t>受热、明火导致燃烧</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8969D">
            <w:pPr>
              <w:pStyle w:val="22"/>
              <w:keepNext w:val="0"/>
              <w:keepLines w:val="0"/>
              <w:suppressLineNumbers w:val="0"/>
              <w:spacing w:before="0" w:beforeAutospacing="0" w:after="0" w:afterAutospacing="0"/>
              <w:ind w:left="0" w:right="0"/>
              <w:rPr>
                <w:rFonts w:hint="default"/>
              </w:rPr>
            </w:pPr>
            <w:r>
              <w:rPr>
                <w:rFonts w:hint="default"/>
              </w:rPr>
              <w:t>燃烧、爆炸</w:t>
            </w:r>
            <w:r>
              <w:rPr>
                <w:rFonts w:hint="eastAsia"/>
              </w:rPr>
              <w:t>，</w:t>
            </w:r>
            <w:r>
              <w:rPr>
                <w:rFonts w:hint="default"/>
              </w:rPr>
              <w:t>产生CO、CO</w:t>
            </w:r>
            <w:r>
              <w:rPr>
                <w:rFonts w:hint="default"/>
                <w:vertAlign w:val="subscript"/>
              </w:rPr>
              <w:t>2</w:t>
            </w:r>
            <w:r>
              <w:rPr>
                <w:rFonts w:hint="default"/>
              </w:rPr>
              <w:t>及其他有害气体</w:t>
            </w:r>
          </w:p>
        </w:tc>
        <w:tc>
          <w:tcPr>
            <w:tcW w:w="11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3B368">
            <w:pPr>
              <w:pStyle w:val="22"/>
              <w:keepNext w:val="0"/>
              <w:keepLines w:val="0"/>
              <w:suppressLineNumbers w:val="0"/>
              <w:spacing w:before="0" w:beforeAutospacing="0" w:after="0" w:afterAutospacing="0"/>
              <w:ind w:left="0" w:right="0"/>
              <w:rPr>
                <w:rFonts w:hint="default"/>
              </w:rPr>
            </w:pPr>
            <w:r>
              <w:rPr>
                <w:rFonts w:hint="default"/>
              </w:rPr>
              <w:t>有毒物质自身和次生的有毒物质以气态形式进入大气，造成大气污染</w:t>
            </w: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636C0">
            <w:pPr>
              <w:pStyle w:val="22"/>
              <w:keepNext w:val="0"/>
              <w:keepLines w:val="0"/>
              <w:suppressLineNumbers w:val="0"/>
              <w:spacing w:before="0" w:beforeAutospacing="0" w:after="0" w:afterAutospacing="0"/>
              <w:ind w:left="0" w:right="0"/>
              <w:rPr>
                <w:rFonts w:hint="default"/>
              </w:rPr>
            </w:pPr>
            <w:r>
              <w:rPr>
                <w:rFonts w:hint="default"/>
              </w:rPr>
              <w:t>有毒物质混入消防水、雨水中，经厂区排水管网、径流方式进入地表水体，造成水体污染</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65410">
            <w:pPr>
              <w:pStyle w:val="22"/>
              <w:keepNext w:val="0"/>
              <w:keepLines w:val="0"/>
              <w:suppressLineNumbers w:val="0"/>
              <w:spacing w:before="0" w:beforeAutospacing="0" w:after="0" w:afterAutospacing="0"/>
              <w:ind w:left="0" w:right="0"/>
              <w:rPr>
                <w:rFonts w:hint="default"/>
              </w:rPr>
            </w:pPr>
            <w:r>
              <w:rPr>
                <w:rFonts w:hint="default"/>
              </w:rPr>
              <w:t>有毒物质渗透进入土壤，造成土壤及地下水污染</w:t>
            </w:r>
          </w:p>
        </w:tc>
      </w:tr>
    </w:tbl>
    <w:p w14:paraId="463E9ABE">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火灾爆炸事故往往由于不完全燃烧后产生有毒物质而造成次生污染，本项目原辅材料以及产品一旦发生燃烧，不完全燃烧将产生有毒气体CO、氮氧化物释放进入大气，如不及时采取有效的减缓措施，将对周边人群造成更为严重的健康危害。</w:t>
      </w:r>
    </w:p>
    <w:p w14:paraId="09B00555">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此外，堵漏或其他应急处置过程中使用的拦截、堵漏、降解等材料，掺杂一定的物料后，若事故后随意丢弃、排放，将对环境产生二次污染。</w:t>
      </w:r>
    </w:p>
    <w:p w14:paraId="29440D8F">
      <w:pPr>
        <w:adjustRightInd w:val="0"/>
        <w:snapToGrid w:val="0"/>
        <w:spacing w:line="500" w:lineRule="exact"/>
        <w:jc w:val="left"/>
        <w:rPr>
          <w:rFonts w:hint="eastAsia" w:ascii="Times New Roman" w:hAnsi="Times New Roman" w:cs="Times New Roman" w:eastAsiaTheme="minorEastAsia"/>
          <w:b/>
          <w:bCs/>
          <w:sz w:val="24"/>
          <w:lang w:val="en-US" w:eastAsia="zh-CN"/>
        </w:rPr>
      </w:pPr>
      <w:bookmarkStart w:id="270" w:name="_Toc27906"/>
      <w:r>
        <w:rPr>
          <w:rFonts w:hint="eastAsia" w:ascii="Times New Roman" w:hAnsi="Times New Roman" w:cs="Times New Roman" w:eastAsiaTheme="minorEastAsia"/>
          <w:b/>
          <w:bCs/>
          <w:sz w:val="24"/>
          <w:lang w:val="en-US" w:eastAsia="zh-CN"/>
        </w:rPr>
        <w:t>5.8.1.5危险物质环境转移途径识别</w:t>
      </w:r>
      <w:bookmarkEnd w:id="270"/>
    </w:p>
    <w:p w14:paraId="25038E1C">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发生事故时，污染物可通过扩散、地表径流、地下径流等方式进入大气、河流、土壤、地下水环境等，污染物的转移途径如表</w:t>
      </w:r>
      <w:r>
        <w:rPr>
          <w:rFonts w:hint="eastAsia" w:ascii="Times New Roman" w:hAnsi="Times New Roman" w:cs="Times New Roman"/>
          <w:sz w:val="24"/>
          <w:highlight w:val="none"/>
          <w:lang w:val="en-US" w:eastAsia="zh-CN"/>
        </w:rPr>
        <w:t>5.8-7</w:t>
      </w:r>
      <w:r>
        <w:rPr>
          <w:rFonts w:hint="eastAsia" w:ascii="Times New Roman" w:hAnsi="Times New Roman" w:cs="Times New Roman" w:eastAsiaTheme="minorEastAsia"/>
          <w:sz w:val="24"/>
          <w:highlight w:val="none"/>
          <w:lang w:val="en-US" w:eastAsia="zh-CN"/>
        </w:rPr>
        <w:t>所示。</w:t>
      </w:r>
    </w:p>
    <w:p w14:paraId="5E1D4316">
      <w:pPr>
        <w:adjustRightInd w:val="0"/>
        <w:snapToGrid w:val="0"/>
        <w:spacing w:before="250"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表5.8-7  危险物质转移途径识别</w:t>
      </w:r>
    </w:p>
    <w:tbl>
      <w:tblPr>
        <w:tblStyle w:val="12"/>
        <w:tblW w:w="4996" w:type="pct"/>
        <w:tblInd w:w="0" w:type="dxa"/>
        <w:tblLayout w:type="fixed"/>
        <w:tblCellMar>
          <w:top w:w="0" w:type="dxa"/>
          <w:left w:w="108" w:type="dxa"/>
          <w:bottom w:w="0" w:type="dxa"/>
          <w:right w:w="108" w:type="dxa"/>
        </w:tblCellMar>
      </w:tblPr>
      <w:tblGrid>
        <w:gridCol w:w="1539"/>
        <w:gridCol w:w="1796"/>
        <w:gridCol w:w="1191"/>
        <w:gridCol w:w="927"/>
        <w:gridCol w:w="1527"/>
        <w:gridCol w:w="1534"/>
      </w:tblGrid>
      <w:tr w14:paraId="6CEFD953">
        <w:tblPrEx>
          <w:tblCellMar>
            <w:top w:w="0" w:type="dxa"/>
            <w:left w:w="108" w:type="dxa"/>
            <w:bottom w:w="0" w:type="dxa"/>
            <w:right w:w="108" w:type="dxa"/>
          </w:tblCellMar>
        </w:tblPrEx>
        <w:trPr>
          <w:trHeight w:val="270" w:hRule="atLeast"/>
        </w:trPr>
        <w:tc>
          <w:tcPr>
            <w:tcW w:w="90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5E81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事故类型/成因</w:t>
            </w:r>
          </w:p>
        </w:tc>
        <w:tc>
          <w:tcPr>
            <w:tcW w:w="105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D8E7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事故位置</w:t>
            </w:r>
          </w:p>
        </w:tc>
        <w:tc>
          <w:tcPr>
            <w:tcW w:w="69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6937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事故危害</w:t>
            </w:r>
          </w:p>
          <w:p w14:paraId="623A4ED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形式</w:t>
            </w:r>
          </w:p>
        </w:tc>
        <w:tc>
          <w:tcPr>
            <w:tcW w:w="23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0EAD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污染物转移途径</w:t>
            </w:r>
          </w:p>
        </w:tc>
      </w:tr>
      <w:tr w14:paraId="2CE5CCBB">
        <w:tblPrEx>
          <w:tblCellMar>
            <w:top w:w="0" w:type="dxa"/>
            <w:left w:w="108" w:type="dxa"/>
            <w:bottom w:w="0" w:type="dxa"/>
            <w:right w:w="108" w:type="dxa"/>
          </w:tblCellMar>
        </w:tblPrEx>
        <w:trPr>
          <w:trHeight w:val="270" w:hRule="atLeast"/>
        </w:trPr>
        <w:tc>
          <w:tcPr>
            <w:tcW w:w="90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C3D87">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804E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D47C7">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1B1C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大气</w:t>
            </w:r>
          </w:p>
        </w:tc>
        <w:tc>
          <w:tcPr>
            <w:tcW w:w="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3B2C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排水系统</w:t>
            </w:r>
          </w:p>
        </w:tc>
        <w:tc>
          <w:tcPr>
            <w:tcW w:w="9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E135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土壤、地下水</w:t>
            </w:r>
          </w:p>
        </w:tc>
      </w:tr>
      <w:tr w14:paraId="345C8870">
        <w:tblPrEx>
          <w:tblCellMar>
            <w:top w:w="0" w:type="dxa"/>
            <w:left w:w="108" w:type="dxa"/>
            <w:bottom w:w="0" w:type="dxa"/>
            <w:right w:w="108" w:type="dxa"/>
          </w:tblCellMar>
        </w:tblPrEx>
        <w:trPr>
          <w:trHeight w:val="270" w:hRule="atLeast"/>
        </w:trPr>
        <w:tc>
          <w:tcPr>
            <w:tcW w:w="90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1684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泄漏</w:t>
            </w:r>
          </w:p>
        </w:tc>
        <w:tc>
          <w:tcPr>
            <w:tcW w:w="105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D4C2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仓库、车间、储</w:t>
            </w:r>
          </w:p>
          <w:p w14:paraId="471523B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罐区、</w:t>
            </w:r>
            <w:r>
              <w:rPr>
                <w:rFonts w:hint="eastAsia" w:ascii="Times New Roman" w:hAnsi="Times New Roman" w:cs="Times New Roman" w:eastAsiaTheme="minorEastAsia"/>
                <w:szCs w:val="21"/>
                <w:lang w:val="en-US" w:eastAsia="zh-CN"/>
              </w:rPr>
              <w:t>危废贮存库</w:t>
            </w:r>
            <w:r>
              <w:rPr>
                <w:rFonts w:hint="default" w:ascii="Times New Roman" w:hAnsi="Times New Roman" w:cs="Times New Roman" w:eastAsiaTheme="minorEastAsia"/>
                <w:szCs w:val="21"/>
                <w:lang w:val="en-US" w:eastAsia="zh-CN"/>
              </w:rPr>
              <w:t>等</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9875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气态</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E758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扩散</w:t>
            </w:r>
          </w:p>
        </w:tc>
        <w:tc>
          <w:tcPr>
            <w:tcW w:w="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D8AD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9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CFB5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沉降</w:t>
            </w:r>
          </w:p>
        </w:tc>
      </w:tr>
      <w:tr w14:paraId="02E75681">
        <w:tblPrEx>
          <w:tblCellMar>
            <w:top w:w="0" w:type="dxa"/>
            <w:left w:w="108" w:type="dxa"/>
            <w:bottom w:w="0" w:type="dxa"/>
            <w:right w:w="108" w:type="dxa"/>
          </w:tblCellMar>
        </w:tblPrEx>
        <w:trPr>
          <w:trHeight w:val="270" w:hRule="atLeast"/>
        </w:trPr>
        <w:tc>
          <w:tcPr>
            <w:tcW w:w="90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F8E1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3A733">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5182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液态</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9CFC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D84B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漫流</w:t>
            </w:r>
          </w:p>
        </w:tc>
        <w:tc>
          <w:tcPr>
            <w:tcW w:w="9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B877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渗透、吸收</w:t>
            </w:r>
          </w:p>
        </w:tc>
      </w:tr>
      <w:tr w14:paraId="2B2B6378">
        <w:tblPrEx>
          <w:tblCellMar>
            <w:top w:w="0" w:type="dxa"/>
            <w:left w:w="108" w:type="dxa"/>
            <w:bottom w:w="0" w:type="dxa"/>
            <w:right w:w="108" w:type="dxa"/>
          </w:tblCellMar>
        </w:tblPrEx>
        <w:trPr>
          <w:trHeight w:val="270" w:hRule="atLeast"/>
        </w:trPr>
        <w:tc>
          <w:tcPr>
            <w:tcW w:w="90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9EC17">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E134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0252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3A13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BBE9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生产废水、雨</w:t>
            </w:r>
          </w:p>
          <w:p w14:paraId="771903C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水、消防废水</w:t>
            </w:r>
          </w:p>
        </w:tc>
        <w:tc>
          <w:tcPr>
            <w:tcW w:w="9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B7BF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渗透、吸收</w:t>
            </w:r>
          </w:p>
        </w:tc>
      </w:tr>
      <w:tr w14:paraId="7D4B932E">
        <w:tblPrEx>
          <w:tblCellMar>
            <w:top w:w="0" w:type="dxa"/>
            <w:left w:w="108" w:type="dxa"/>
            <w:bottom w:w="0" w:type="dxa"/>
            <w:right w:w="108" w:type="dxa"/>
          </w:tblCellMar>
        </w:tblPrEx>
        <w:trPr>
          <w:trHeight w:val="270" w:hRule="atLeast"/>
        </w:trPr>
        <w:tc>
          <w:tcPr>
            <w:tcW w:w="90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6E0D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火灾、爆炸引发的次伴生污染</w:t>
            </w:r>
          </w:p>
        </w:tc>
        <w:tc>
          <w:tcPr>
            <w:tcW w:w="105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7FC7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危废贮存库</w:t>
            </w:r>
            <w:r>
              <w:rPr>
                <w:rFonts w:hint="default" w:ascii="Times New Roman" w:hAnsi="Times New Roman" w:cs="Times New Roman" w:eastAsiaTheme="minorEastAsia"/>
                <w:szCs w:val="21"/>
                <w:lang w:val="en-US" w:eastAsia="zh-CN"/>
              </w:rPr>
              <w:t>、生产车间、化学品仓库、储罐区等</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0CA0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毒物蒸发</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50B2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扩散</w:t>
            </w:r>
          </w:p>
        </w:tc>
        <w:tc>
          <w:tcPr>
            <w:tcW w:w="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FB0C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9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0120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沉降</w:t>
            </w:r>
          </w:p>
        </w:tc>
      </w:tr>
      <w:tr w14:paraId="19A8A320">
        <w:tblPrEx>
          <w:tblCellMar>
            <w:top w:w="0" w:type="dxa"/>
            <w:left w:w="108" w:type="dxa"/>
            <w:bottom w:w="0" w:type="dxa"/>
            <w:right w:w="108" w:type="dxa"/>
          </w:tblCellMar>
        </w:tblPrEx>
        <w:trPr>
          <w:trHeight w:val="270" w:hRule="atLeast"/>
        </w:trPr>
        <w:tc>
          <w:tcPr>
            <w:tcW w:w="90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2BB87">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A1EE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8F39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烟雾</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5106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扩散</w:t>
            </w:r>
          </w:p>
        </w:tc>
        <w:tc>
          <w:tcPr>
            <w:tcW w:w="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EF22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9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94A1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沉降</w:t>
            </w:r>
          </w:p>
        </w:tc>
      </w:tr>
      <w:tr w14:paraId="0BBE0346">
        <w:tblPrEx>
          <w:tblCellMar>
            <w:top w:w="0" w:type="dxa"/>
            <w:left w:w="108" w:type="dxa"/>
            <w:bottom w:w="0" w:type="dxa"/>
            <w:right w:w="108" w:type="dxa"/>
          </w:tblCellMar>
        </w:tblPrEx>
        <w:trPr>
          <w:trHeight w:val="270" w:hRule="atLeast"/>
        </w:trPr>
        <w:tc>
          <w:tcPr>
            <w:tcW w:w="90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57267">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5172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1CEB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伴生毒物</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79C7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扩散</w:t>
            </w:r>
          </w:p>
        </w:tc>
        <w:tc>
          <w:tcPr>
            <w:tcW w:w="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FB16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9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BB75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沉降</w:t>
            </w:r>
          </w:p>
        </w:tc>
      </w:tr>
      <w:tr w14:paraId="75A7F545">
        <w:tblPrEx>
          <w:tblCellMar>
            <w:top w:w="0" w:type="dxa"/>
            <w:left w:w="108" w:type="dxa"/>
            <w:bottom w:w="0" w:type="dxa"/>
            <w:right w:w="108" w:type="dxa"/>
          </w:tblCellMar>
        </w:tblPrEx>
        <w:trPr>
          <w:trHeight w:val="270" w:hRule="atLeast"/>
        </w:trPr>
        <w:tc>
          <w:tcPr>
            <w:tcW w:w="90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EAD2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5FBF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5E44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消防废水</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6EEF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3212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生产废水、雨</w:t>
            </w:r>
          </w:p>
          <w:p w14:paraId="21FF5E5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水、消防废水</w:t>
            </w:r>
          </w:p>
        </w:tc>
        <w:tc>
          <w:tcPr>
            <w:tcW w:w="9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3B57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渗透、吸收</w:t>
            </w:r>
          </w:p>
        </w:tc>
      </w:tr>
      <w:tr w14:paraId="48CEB7AC">
        <w:tblPrEx>
          <w:tblCellMar>
            <w:top w:w="0" w:type="dxa"/>
            <w:left w:w="108" w:type="dxa"/>
            <w:bottom w:w="0" w:type="dxa"/>
            <w:right w:w="108" w:type="dxa"/>
          </w:tblCellMar>
        </w:tblPrEx>
        <w:trPr>
          <w:trHeight w:val="270" w:hRule="atLeast"/>
        </w:trPr>
        <w:tc>
          <w:tcPr>
            <w:tcW w:w="90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1B5E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环境风险防控设施失灵或非正常操作</w:t>
            </w:r>
          </w:p>
        </w:tc>
        <w:tc>
          <w:tcPr>
            <w:tcW w:w="105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F424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环境风险防控设</w:t>
            </w:r>
          </w:p>
          <w:p w14:paraId="2A8FB14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施</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03D7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气态</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3B4C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扩散</w:t>
            </w:r>
          </w:p>
        </w:tc>
        <w:tc>
          <w:tcPr>
            <w:tcW w:w="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45EF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9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9505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r>
      <w:tr w14:paraId="75EEFBF8">
        <w:tblPrEx>
          <w:tblCellMar>
            <w:top w:w="0" w:type="dxa"/>
            <w:left w:w="108" w:type="dxa"/>
            <w:bottom w:w="0" w:type="dxa"/>
            <w:right w:w="108" w:type="dxa"/>
          </w:tblCellMar>
        </w:tblPrEx>
        <w:trPr>
          <w:trHeight w:val="573" w:hRule="atLeast"/>
        </w:trPr>
        <w:tc>
          <w:tcPr>
            <w:tcW w:w="90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B7AE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0C2D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D6A0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液态</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EBC6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C3E7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生产废水、雨</w:t>
            </w:r>
          </w:p>
          <w:p w14:paraId="0001C75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水、消防废水</w:t>
            </w:r>
          </w:p>
        </w:tc>
        <w:tc>
          <w:tcPr>
            <w:tcW w:w="9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AAD4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渗透、吸收</w:t>
            </w:r>
          </w:p>
        </w:tc>
      </w:tr>
      <w:tr w14:paraId="79CA2638">
        <w:tblPrEx>
          <w:tblCellMar>
            <w:top w:w="0" w:type="dxa"/>
            <w:left w:w="108" w:type="dxa"/>
            <w:bottom w:w="0" w:type="dxa"/>
            <w:right w:w="108" w:type="dxa"/>
          </w:tblCellMar>
        </w:tblPrEx>
        <w:trPr>
          <w:trHeight w:val="270" w:hRule="atLeast"/>
        </w:trPr>
        <w:tc>
          <w:tcPr>
            <w:tcW w:w="90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0010C">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09EE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86E2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固态</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BE2B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5171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9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E105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渗透、吸收</w:t>
            </w:r>
          </w:p>
        </w:tc>
      </w:tr>
      <w:tr w14:paraId="3E845351">
        <w:tblPrEx>
          <w:tblCellMar>
            <w:top w:w="0" w:type="dxa"/>
            <w:left w:w="108" w:type="dxa"/>
            <w:bottom w:w="0" w:type="dxa"/>
            <w:right w:w="108" w:type="dxa"/>
          </w:tblCellMar>
        </w:tblPrEx>
        <w:trPr>
          <w:trHeight w:val="270" w:hRule="atLeast"/>
        </w:trPr>
        <w:tc>
          <w:tcPr>
            <w:tcW w:w="90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6568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污染治理设施非正常运行</w:t>
            </w:r>
          </w:p>
        </w:tc>
        <w:tc>
          <w:tcPr>
            <w:tcW w:w="10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88CF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集水池</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7BBA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废水</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FE63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E31D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生产废水</w:t>
            </w:r>
          </w:p>
        </w:tc>
        <w:tc>
          <w:tcPr>
            <w:tcW w:w="9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CF24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渗透、吸收</w:t>
            </w:r>
          </w:p>
        </w:tc>
      </w:tr>
      <w:tr w14:paraId="12C76ECF">
        <w:tblPrEx>
          <w:tblCellMar>
            <w:top w:w="0" w:type="dxa"/>
            <w:left w:w="108" w:type="dxa"/>
            <w:bottom w:w="0" w:type="dxa"/>
            <w:right w:w="108" w:type="dxa"/>
          </w:tblCellMar>
        </w:tblPrEx>
        <w:trPr>
          <w:trHeight w:val="270" w:hRule="atLeast"/>
        </w:trPr>
        <w:tc>
          <w:tcPr>
            <w:tcW w:w="90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B68B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E395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废气处理系统</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8DFD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废气</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4B67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扩散</w:t>
            </w:r>
          </w:p>
        </w:tc>
        <w:tc>
          <w:tcPr>
            <w:tcW w:w="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48A4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9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7CA1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沉降</w:t>
            </w:r>
          </w:p>
        </w:tc>
      </w:tr>
      <w:tr w14:paraId="2AEA6DF9">
        <w:tblPrEx>
          <w:tblCellMar>
            <w:top w:w="0" w:type="dxa"/>
            <w:left w:w="108" w:type="dxa"/>
            <w:bottom w:w="0" w:type="dxa"/>
            <w:right w:w="108" w:type="dxa"/>
          </w:tblCellMar>
        </w:tblPrEx>
        <w:trPr>
          <w:trHeight w:val="270" w:hRule="atLeast"/>
        </w:trPr>
        <w:tc>
          <w:tcPr>
            <w:tcW w:w="90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E2BB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78BF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危废贮存库</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9E3C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固废</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7FB5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8B1A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9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614B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渗透、吸收</w:t>
            </w:r>
          </w:p>
        </w:tc>
      </w:tr>
      <w:tr w14:paraId="16431264">
        <w:tblPrEx>
          <w:tblCellMar>
            <w:top w:w="0" w:type="dxa"/>
            <w:left w:w="108" w:type="dxa"/>
            <w:bottom w:w="0" w:type="dxa"/>
            <w:right w:w="108" w:type="dxa"/>
          </w:tblCellMar>
        </w:tblPrEx>
        <w:trPr>
          <w:trHeight w:val="270" w:hRule="atLeast"/>
        </w:trPr>
        <w:tc>
          <w:tcPr>
            <w:tcW w:w="90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774A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储运系统故障</w:t>
            </w:r>
          </w:p>
        </w:tc>
        <w:tc>
          <w:tcPr>
            <w:tcW w:w="105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02C2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储存系统</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C607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热辐射</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95B7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扩散</w:t>
            </w:r>
          </w:p>
        </w:tc>
        <w:tc>
          <w:tcPr>
            <w:tcW w:w="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26CF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9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B3B2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沉降</w:t>
            </w:r>
          </w:p>
        </w:tc>
      </w:tr>
      <w:tr w14:paraId="3DCC7B97">
        <w:tblPrEx>
          <w:tblCellMar>
            <w:top w:w="0" w:type="dxa"/>
            <w:left w:w="108" w:type="dxa"/>
            <w:bottom w:w="0" w:type="dxa"/>
            <w:right w:w="108" w:type="dxa"/>
          </w:tblCellMar>
        </w:tblPrEx>
        <w:trPr>
          <w:trHeight w:val="270" w:hRule="atLeast"/>
        </w:trPr>
        <w:tc>
          <w:tcPr>
            <w:tcW w:w="90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DF5E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2393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3440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毒雾蒸发</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8CC9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扩散</w:t>
            </w:r>
          </w:p>
        </w:tc>
        <w:tc>
          <w:tcPr>
            <w:tcW w:w="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F212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9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FB9F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沉降</w:t>
            </w:r>
          </w:p>
        </w:tc>
      </w:tr>
      <w:tr w14:paraId="0BCA5816">
        <w:tblPrEx>
          <w:tblCellMar>
            <w:top w:w="0" w:type="dxa"/>
            <w:left w:w="108" w:type="dxa"/>
            <w:bottom w:w="0" w:type="dxa"/>
            <w:right w:w="108" w:type="dxa"/>
          </w:tblCellMar>
        </w:tblPrEx>
        <w:trPr>
          <w:trHeight w:val="270" w:hRule="atLeast"/>
        </w:trPr>
        <w:tc>
          <w:tcPr>
            <w:tcW w:w="90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BB87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B671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73D4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烟雾</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8678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扩散</w:t>
            </w:r>
          </w:p>
        </w:tc>
        <w:tc>
          <w:tcPr>
            <w:tcW w:w="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BD7A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9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1AF1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沉降</w:t>
            </w:r>
          </w:p>
        </w:tc>
      </w:tr>
      <w:tr w14:paraId="060E29EA">
        <w:tblPrEx>
          <w:tblCellMar>
            <w:top w:w="0" w:type="dxa"/>
            <w:left w:w="108" w:type="dxa"/>
            <w:bottom w:w="0" w:type="dxa"/>
            <w:right w:w="108" w:type="dxa"/>
          </w:tblCellMar>
        </w:tblPrEx>
        <w:trPr>
          <w:trHeight w:val="270" w:hRule="atLeast"/>
        </w:trPr>
        <w:tc>
          <w:tcPr>
            <w:tcW w:w="90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92D8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5354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4FC9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伴生毒物</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651E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扩散</w:t>
            </w:r>
          </w:p>
        </w:tc>
        <w:tc>
          <w:tcPr>
            <w:tcW w:w="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C85D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9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3211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沉降</w:t>
            </w:r>
          </w:p>
        </w:tc>
      </w:tr>
      <w:tr w14:paraId="33DA0DCC">
        <w:tblPrEx>
          <w:tblCellMar>
            <w:top w:w="0" w:type="dxa"/>
            <w:left w:w="108" w:type="dxa"/>
            <w:bottom w:w="0" w:type="dxa"/>
            <w:right w:w="108" w:type="dxa"/>
          </w:tblCellMar>
        </w:tblPrEx>
        <w:trPr>
          <w:trHeight w:val="270" w:hRule="atLeast"/>
        </w:trPr>
        <w:tc>
          <w:tcPr>
            <w:tcW w:w="90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F6B0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5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9311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输送系统</w:t>
            </w: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D664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液态</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37D5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9205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生产废水、雨</w:t>
            </w:r>
          </w:p>
          <w:p w14:paraId="6AB876B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水、消防废水</w:t>
            </w:r>
          </w:p>
        </w:tc>
        <w:tc>
          <w:tcPr>
            <w:tcW w:w="9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D4FE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渗透、吸收</w:t>
            </w:r>
          </w:p>
        </w:tc>
      </w:tr>
      <w:tr w14:paraId="0EDEB870">
        <w:tblPrEx>
          <w:tblCellMar>
            <w:top w:w="0" w:type="dxa"/>
            <w:left w:w="108" w:type="dxa"/>
            <w:bottom w:w="0" w:type="dxa"/>
            <w:right w:w="108" w:type="dxa"/>
          </w:tblCellMar>
        </w:tblPrEx>
        <w:trPr>
          <w:trHeight w:val="270" w:hRule="atLeast"/>
        </w:trPr>
        <w:tc>
          <w:tcPr>
            <w:tcW w:w="90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1946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0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4AD9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1623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固态</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9DA7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5166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w:t>
            </w:r>
          </w:p>
        </w:tc>
        <w:tc>
          <w:tcPr>
            <w:tcW w:w="9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9D19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渗透、吸收</w:t>
            </w:r>
          </w:p>
        </w:tc>
      </w:tr>
    </w:tbl>
    <w:p w14:paraId="3D1B796E">
      <w:pPr>
        <w:adjustRightInd w:val="0"/>
        <w:snapToGrid w:val="0"/>
        <w:spacing w:line="500" w:lineRule="exact"/>
        <w:jc w:val="left"/>
        <w:rPr>
          <w:rFonts w:hint="eastAsia" w:ascii="Times New Roman" w:hAnsi="Times New Roman" w:cs="Times New Roman" w:eastAsiaTheme="minorEastAsia"/>
          <w:b/>
          <w:bCs/>
          <w:sz w:val="24"/>
          <w:lang w:val="en-US" w:eastAsia="zh-CN"/>
        </w:rPr>
      </w:pPr>
      <w:bookmarkStart w:id="271" w:name="_Toc28142"/>
      <w:bookmarkStart w:id="272" w:name="_Toc7639"/>
      <w:bookmarkStart w:id="273" w:name="_Toc17632"/>
      <w:r>
        <w:rPr>
          <w:rFonts w:hint="eastAsia" w:ascii="Times New Roman" w:hAnsi="Times New Roman" w:cs="Times New Roman" w:eastAsiaTheme="minorEastAsia"/>
          <w:b/>
          <w:bCs/>
          <w:sz w:val="24"/>
          <w:lang w:val="en-US" w:eastAsia="zh-CN"/>
        </w:rPr>
        <w:t>5.8.1.6风险识别结果</w:t>
      </w:r>
      <w:bookmarkEnd w:id="271"/>
      <w:bookmarkEnd w:id="272"/>
      <w:bookmarkEnd w:id="273"/>
    </w:p>
    <w:p w14:paraId="3252A2CD">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根据上述分析，本项目环境风险识别结果见表</w:t>
      </w:r>
      <w:r>
        <w:rPr>
          <w:rFonts w:hint="eastAsia" w:ascii="Times New Roman" w:hAnsi="Times New Roman" w:cs="Times New Roman"/>
          <w:sz w:val="24"/>
          <w:highlight w:val="none"/>
          <w:lang w:val="en-US" w:eastAsia="zh-CN"/>
        </w:rPr>
        <w:t>5.8-8</w:t>
      </w:r>
      <w:r>
        <w:rPr>
          <w:rFonts w:hint="eastAsia" w:ascii="Times New Roman" w:hAnsi="Times New Roman" w:cs="Times New Roman" w:eastAsiaTheme="minorEastAsia"/>
          <w:sz w:val="24"/>
          <w:highlight w:val="none"/>
          <w:lang w:val="en-US" w:eastAsia="zh-CN"/>
        </w:rPr>
        <w:t>。</w:t>
      </w:r>
    </w:p>
    <w:p w14:paraId="256D3E98">
      <w:pPr>
        <w:snapToGrid w:val="0"/>
        <w:spacing w:before="241"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w:t>
      </w:r>
      <w:r>
        <w:rPr>
          <w:rFonts w:hint="eastAsia" w:ascii="Times New Roman" w:hAnsi="Times New Roman" w:cs="Times New Roman"/>
          <w:b/>
          <w:szCs w:val="21"/>
          <w:lang w:val="en-US" w:eastAsia="zh-CN"/>
        </w:rPr>
        <w:t>5.8-8</w:t>
      </w:r>
      <w:r>
        <w:rPr>
          <w:rFonts w:hint="eastAsia" w:ascii="Times New Roman" w:hAnsi="Times New Roman" w:cs="Times New Roman" w:eastAsiaTheme="minorEastAsia"/>
          <w:b/>
          <w:szCs w:val="21"/>
          <w:lang w:val="en-US" w:eastAsia="zh-CN"/>
        </w:rPr>
        <w:t xml:space="preserve">  本项目环境风险识别结果</w:t>
      </w:r>
    </w:p>
    <w:tbl>
      <w:tblPr>
        <w:tblStyle w:val="12"/>
        <w:tblW w:w="4999" w:type="pct"/>
        <w:tblInd w:w="0" w:type="dxa"/>
        <w:tblLayout w:type="fixed"/>
        <w:tblCellMar>
          <w:top w:w="0" w:type="dxa"/>
          <w:left w:w="108" w:type="dxa"/>
          <w:bottom w:w="0" w:type="dxa"/>
          <w:right w:w="108" w:type="dxa"/>
        </w:tblCellMar>
      </w:tblPr>
      <w:tblGrid>
        <w:gridCol w:w="422"/>
        <w:gridCol w:w="530"/>
        <w:gridCol w:w="1070"/>
        <w:gridCol w:w="1033"/>
        <w:gridCol w:w="1796"/>
        <w:gridCol w:w="1699"/>
        <w:gridCol w:w="1970"/>
      </w:tblGrid>
      <w:tr w14:paraId="7DDD893C">
        <w:tblPrEx>
          <w:tblCellMar>
            <w:top w:w="0" w:type="dxa"/>
            <w:left w:w="108" w:type="dxa"/>
            <w:bottom w:w="0" w:type="dxa"/>
            <w:right w:w="108" w:type="dxa"/>
          </w:tblCellMar>
        </w:tblPrEx>
        <w:trPr>
          <w:trHeight w:val="340" w:hRule="atLeast"/>
        </w:trPr>
        <w:tc>
          <w:tcPr>
            <w:tcW w:w="118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19D9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危险单元</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7B39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危险物质</w:t>
            </w:r>
          </w:p>
        </w:tc>
        <w:tc>
          <w:tcPr>
            <w:tcW w:w="10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1C5F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环境风险类型</w:t>
            </w:r>
          </w:p>
        </w:tc>
        <w:tc>
          <w:tcPr>
            <w:tcW w:w="9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EF4E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环境影响途径</w:t>
            </w:r>
          </w:p>
        </w:tc>
        <w:tc>
          <w:tcPr>
            <w:tcW w:w="1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5BAE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可能受影响的环境敏感目标</w:t>
            </w:r>
          </w:p>
        </w:tc>
      </w:tr>
      <w:tr w14:paraId="77C88FDE">
        <w:tblPrEx>
          <w:tblCellMar>
            <w:top w:w="0" w:type="dxa"/>
            <w:left w:w="108" w:type="dxa"/>
            <w:bottom w:w="0" w:type="dxa"/>
            <w:right w:w="108" w:type="dxa"/>
          </w:tblCellMar>
        </w:tblPrEx>
        <w:trPr>
          <w:trHeight w:val="340" w:hRule="atLeast"/>
        </w:trPr>
        <w:tc>
          <w:tcPr>
            <w:tcW w:w="24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0372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w:t>
            </w:r>
          </w:p>
        </w:tc>
        <w:tc>
          <w:tcPr>
            <w:tcW w:w="31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D0B3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焚烧</w:t>
            </w:r>
          </w:p>
          <w:p w14:paraId="3B679D4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车间</w:t>
            </w:r>
          </w:p>
        </w:tc>
        <w:tc>
          <w:tcPr>
            <w:tcW w:w="6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BC12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焚烧处置线</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F4F5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危险废物</w:t>
            </w:r>
          </w:p>
        </w:tc>
        <w:tc>
          <w:tcPr>
            <w:tcW w:w="10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3C3C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泄漏、火灾、爆炸引发次伴生危害</w:t>
            </w:r>
          </w:p>
        </w:tc>
        <w:tc>
          <w:tcPr>
            <w:tcW w:w="9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9EA4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扩散、漫流、渗透、吸收</w:t>
            </w:r>
          </w:p>
        </w:tc>
        <w:tc>
          <w:tcPr>
            <w:tcW w:w="1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FED6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周边群众、地表水、地下水等</w:t>
            </w:r>
          </w:p>
        </w:tc>
      </w:tr>
      <w:tr w14:paraId="60265FCA">
        <w:tblPrEx>
          <w:tblCellMar>
            <w:top w:w="0" w:type="dxa"/>
            <w:left w:w="108" w:type="dxa"/>
            <w:bottom w:w="0" w:type="dxa"/>
            <w:right w:w="108" w:type="dxa"/>
          </w:tblCellMar>
        </w:tblPrEx>
        <w:trPr>
          <w:trHeight w:val="340" w:hRule="atLeast"/>
        </w:trPr>
        <w:tc>
          <w:tcPr>
            <w:tcW w:w="2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9FC65">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31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0939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CF39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焚烧烟气净化处理设施</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9180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焚烧烟气</w:t>
            </w:r>
          </w:p>
        </w:tc>
        <w:tc>
          <w:tcPr>
            <w:tcW w:w="10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66EE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泄漏</w:t>
            </w:r>
          </w:p>
        </w:tc>
        <w:tc>
          <w:tcPr>
            <w:tcW w:w="9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D648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扩散</w:t>
            </w:r>
          </w:p>
        </w:tc>
        <w:tc>
          <w:tcPr>
            <w:tcW w:w="1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FD81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周边群众</w:t>
            </w:r>
          </w:p>
        </w:tc>
      </w:tr>
      <w:tr w14:paraId="42F1303D">
        <w:tblPrEx>
          <w:tblCellMar>
            <w:top w:w="0" w:type="dxa"/>
            <w:left w:w="108" w:type="dxa"/>
            <w:bottom w:w="0" w:type="dxa"/>
            <w:right w:w="108" w:type="dxa"/>
          </w:tblCellMar>
        </w:tblPrEx>
        <w:trPr>
          <w:trHeight w:val="34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D217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w:t>
            </w:r>
          </w:p>
        </w:tc>
        <w:tc>
          <w:tcPr>
            <w:tcW w:w="938" w:type="pct"/>
            <w:gridSpan w:val="2"/>
            <w:tcBorders>
              <w:top w:val="single" w:color="000000" w:sz="4" w:space="0"/>
              <w:left w:val="single" w:color="000000" w:sz="4" w:space="0"/>
              <w:right w:val="single" w:color="000000" w:sz="4" w:space="0"/>
            </w:tcBorders>
            <w:shd w:val="clear" w:color="auto" w:fill="auto"/>
            <w:noWrap/>
            <w:vAlign w:val="center"/>
          </w:tcPr>
          <w:p w14:paraId="12F1E15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危废贮存库</w:t>
            </w:r>
          </w:p>
        </w:tc>
        <w:tc>
          <w:tcPr>
            <w:tcW w:w="606" w:type="pct"/>
            <w:tcBorders>
              <w:top w:val="single" w:color="000000" w:sz="4" w:space="0"/>
              <w:left w:val="single" w:color="000000" w:sz="4" w:space="0"/>
              <w:right w:val="single" w:color="000000" w:sz="4" w:space="0"/>
            </w:tcBorders>
            <w:shd w:val="clear" w:color="auto" w:fill="auto"/>
            <w:noWrap/>
            <w:vAlign w:val="center"/>
          </w:tcPr>
          <w:p w14:paraId="491DFC7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危险废物</w:t>
            </w:r>
          </w:p>
        </w:tc>
        <w:tc>
          <w:tcPr>
            <w:tcW w:w="10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929B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泄漏、火灾、爆炸</w:t>
            </w:r>
          </w:p>
          <w:p w14:paraId="18C3228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引发次伴生危害</w:t>
            </w:r>
          </w:p>
        </w:tc>
        <w:tc>
          <w:tcPr>
            <w:tcW w:w="9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992B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扩散、漫流、渗透、吸收</w:t>
            </w:r>
          </w:p>
        </w:tc>
        <w:tc>
          <w:tcPr>
            <w:tcW w:w="1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2804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周边群众、地表水、地下水等</w:t>
            </w:r>
          </w:p>
        </w:tc>
      </w:tr>
      <w:tr w14:paraId="0F12A76E">
        <w:tblPrEx>
          <w:tblCellMar>
            <w:top w:w="0" w:type="dxa"/>
            <w:left w:w="108" w:type="dxa"/>
            <w:bottom w:w="0" w:type="dxa"/>
            <w:right w:w="108" w:type="dxa"/>
          </w:tblCellMar>
        </w:tblPrEx>
        <w:trPr>
          <w:trHeight w:val="34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3C70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3#</w:t>
            </w:r>
          </w:p>
        </w:tc>
        <w:tc>
          <w:tcPr>
            <w:tcW w:w="93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B26EE">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医废暂存库</w:t>
            </w:r>
          </w:p>
        </w:tc>
        <w:tc>
          <w:tcPr>
            <w:tcW w:w="606" w:type="pct"/>
            <w:tcBorders>
              <w:top w:val="single" w:color="000000" w:sz="4" w:space="0"/>
              <w:left w:val="single" w:color="000000" w:sz="4" w:space="0"/>
              <w:right w:val="single" w:color="000000" w:sz="4" w:space="0"/>
            </w:tcBorders>
            <w:shd w:val="clear" w:color="auto" w:fill="auto"/>
            <w:noWrap/>
            <w:vAlign w:val="center"/>
          </w:tcPr>
          <w:p w14:paraId="7F4AFAE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医疗废物</w:t>
            </w:r>
          </w:p>
        </w:tc>
        <w:tc>
          <w:tcPr>
            <w:tcW w:w="10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6EA9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泄漏、火灾、爆炸</w:t>
            </w:r>
          </w:p>
          <w:p w14:paraId="66B462F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引发次伴生危害</w:t>
            </w:r>
          </w:p>
        </w:tc>
        <w:tc>
          <w:tcPr>
            <w:tcW w:w="9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87EF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扩散、漫流、渗透、吸收</w:t>
            </w:r>
          </w:p>
        </w:tc>
        <w:tc>
          <w:tcPr>
            <w:tcW w:w="1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E9A9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周边群众、地表水、地下水等</w:t>
            </w:r>
          </w:p>
        </w:tc>
      </w:tr>
      <w:tr w14:paraId="5C012F6A">
        <w:tblPrEx>
          <w:tblCellMar>
            <w:top w:w="0" w:type="dxa"/>
            <w:left w:w="108" w:type="dxa"/>
            <w:bottom w:w="0" w:type="dxa"/>
            <w:right w:w="108" w:type="dxa"/>
          </w:tblCellMar>
        </w:tblPrEx>
        <w:trPr>
          <w:trHeight w:val="34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1488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4#</w:t>
            </w:r>
          </w:p>
        </w:tc>
        <w:tc>
          <w:tcPr>
            <w:tcW w:w="93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0F54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柴油储罐</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31CE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柴油</w:t>
            </w:r>
          </w:p>
        </w:tc>
        <w:tc>
          <w:tcPr>
            <w:tcW w:w="10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35B3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泄漏、火灾、爆炸</w:t>
            </w:r>
          </w:p>
          <w:p w14:paraId="7E99D79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引发次伴生危害</w:t>
            </w:r>
          </w:p>
        </w:tc>
        <w:tc>
          <w:tcPr>
            <w:tcW w:w="9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A020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扩散、漫流、渗透、吸收</w:t>
            </w:r>
          </w:p>
        </w:tc>
        <w:tc>
          <w:tcPr>
            <w:tcW w:w="1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83B5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周边群众、地表水、地下水等</w:t>
            </w:r>
          </w:p>
        </w:tc>
      </w:tr>
      <w:tr w14:paraId="3E8AECBB">
        <w:tblPrEx>
          <w:tblCellMar>
            <w:top w:w="0" w:type="dxa"/>
            <w:left w:w="108" w:type="dxa"/>
            <w:bottom w:w="0" w:type="dxa"/>
            <w:right w:w="108" w:type="dxa"/>
          </w:tblCellMar>
        </w:tblPrEx>
        <w:trPr>
          <w:trHeight w:val="340"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C413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w:t>
            </w:r>
          </w:p>
        </w:tc>
        <w:tc>
          <w:tcPr>
            <w:tcW w:w="93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9C0B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集水池</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4991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生产废水</w:t>
            </w:r>
          </w:p>
        </w:tc>
        <w:tc>
          <w:tcPr>
            <w:tcW w:w="10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584A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泄漏</w:t>
            </w:r>
          </w:p>
        </w:tc>
        <w:tc>
          <w:tcPr>
            <w:tcW w:w="9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631A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漫流、渗透、吸收</w:t>
            </w:r>
          </w:p>
        </w:tc>
        <w:tc>
          <w:tcPr>
            <w:tcW w:w="1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93CA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地表水、地下水等</w:t>
            </w:r>
          </w:p>
        </w:tc>
      </w:tr>
    </w:tbl>
    <w:p w14:paraId="5568409D">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274" w:name="_Toc7384"/>
      <w:bookmarkStart w:id="275" w:name="_Toc15738"/>
      <w:r>
        <w:rPr>
          <w:rFonts w:hint="eastAsia" w:ascii="Times New Roman" w:hAnsi="Times New Roman" w:cs="Times New Roman" w:eastAsiaTheme="minorEastAsia"/>
          <w:kern w:val="0"/>
          <w:sz w:val="24"/>
          <w:szCs w:val="24"/>
          <w:lang w:val="en-US" w:eastAsia="zh-CN"/>
        </w:rPr>
        <w:t>5.8.2环境风险分析</w:t>
      </w:r>
      <w:bookmarkEnd w:id="274"/>
      <w:bookmarkEnd w:id="275"/>
    </w:p>
    <w:p w14:paraId="5549FD93">
      <w:pPr>
        <w:adjustRightInd w:val="0"/>
        <w:snapToGrid w:val="0"/>
        <w:spacing w:line="500" w:lineRule="exact"/>
        <w:jc w:val="left"/>
        <w:rPr>
          <w:rFonts w:hint="default" w:ascii="Times New Roman" w:hAnsi="Times New Roman" w:cs="Times New Roman" w:eastAsiaTheme="minorEastAsia"/>
          <w:b/>
          <w:bCs/>
          <w:sz w:val="24"/>
          <w:lang w:val="en-US" w:eastAsia="zh-CN"/>
        </w:rPr>
      </w:pPr>
      <w:bookmarkStart w:id="276" w:name="_Toc18236"/>
      <w:bookmarkStart w:id="277" w:name="_Toc23965"/>
      <w:r>
        <w:rPr>
          <w:rFonts w:hint="eastAsia" w:ascii="Times New Roman" w:hAnsi="Times New Roman" w:cs="Times New Roman" w:eastAsiaTheme="minorEastAsia"/>
          <w:b/>
          <w:bCs/>
          <w:sz w:val="24"/>
          <w:lang w:val="en-US" w:eastAsia="zh-CN"/>
        </w:rPr>
        <w:t>5.8.2.1 大气环境风险影响分析</w:t>
      </w:r>
      <w:bookmarkEnd w:id="276"/>
      <w:bookmarkEnd w:id="277"/>
    </w:p>
    <w:p w14:paraId="38D08BAB">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bookmarkStart w:id="278" w:name="_Toc3562"/>
      <w:bookmarkStart w:id="279" w:name="_Toc4778"/>
      <w:bookmarkStart w:id="280" w:name="_Toc19793"/>
      <w:bookmarkStart w:id="281" w:name="_Toc437270104"/>
      <w:bookmarkStart w:id="282" w:name="_Toc455943802"/>
      <w:bookmarkStart w:id="283" w:name="_Toc514171592"/>
      <w:bookmarkStart w:id="284" w:name="_Toc11904"/>
      <w:r>
        <w:rPr>
          <w:rFonts w:hint="default" w:ascii="Times New Roman" w:hAnsi="Times New Roman" w:cs="Times New Roman" w:eastAsiaTheme="minorEastAsia"/>
          <w:sz w:val="24"/>
          <w:lang w:val="en-US" w:eastAsia="zh-CN"/>
        </w:rPr>
        <w:t>（1）烟气事故排放环境风险影响分析</w:t>
      </w:r>
    </w:p>
    <w:p w14:paraId="720685F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由大气环境影响评价预测结果可知，</w:t>
      </w:r>
      <w:r>
        <w:rPr>
          <w:rFonts w:hint="eastAsia" w:ascii="Times New Roman" w:hAnsi="Times New Roman" w:cs="Times New Roman" w:eastAsiaTheme="minorEastAsia"/>
          <w:sz w:val="24"/>
          <w:lang w:val="en-US" w:eastAsia="zh-CN"/>
        </w:rPr>
        <w:t>污染物排放满足相关排放标准</w:t>
      </w:r>
      <w:r>
        <w:rPr>
          <w:rFonts w:hint="default" w:ascii="Times New Roman" w:hAnsi="Times New Roman" w:cs="Times New Roman" w:eastAsiaTheme="minorEastAsia"/>
          <w:sz w:val="24"/>
          <w:lang w:val="en-US" w:eastAsia="zh-CN"/>
        </w:rPr>
        <w:t>，对周边环境的急性危害较小。</w:t>
      </w:r>
    </w:p>
    <w:p w14:paraId="10FC7610">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建设单位环保设施系统一旦发生故障，立即停产维修采取防范措施，可以杜绝或最大程度降低烟气的风险排放，对大气环境影响较小。本项目只要保证废气治理措施的正常运行，同时加强废气治理措施的管理，增加日常</w:t>
      </w:r>
      <w:r>
        <w:rPr>
          <w:rFonts w:hint="eastAsia" w:ascii="Times New Roman" w:hAnsi="Times New Roman" w:cs="Times New Roman" w:eastAsiaTheme="minorEastAsia"/>
          <w:sz w:val="24"/>
          <w:lang w:val="en-US" w:eastAsia="zh-CN"/>
        </w:rPr>
        <w:t>监察</w:t>
      </w:r>
      <w:r>
        <w:rPr>
          <w:rFonts w:hint="default" w:ascii="Times New Roman" w:hAnsi="Times New Roman" w:cs="Times New Roman" w:eastAsiaTheme="minorEastAsia"/>
          <w:sz w:val="24"/>
          <w:lang w:val="en-US" w:eastAsia="zh-CN"/>
        </w:rPr>
        <w:t>，可以有效地避免烟气的事故排放。万一发生事故排放，若不能短时间处理，应立即停产，待烟气治理措施正常后，方能生产。由此可知，本项目烟气治理措施实际可控，对环境风险可以接受。</w:t>
      </w:r>
    </w:p>
    <w:p w14:paraId="4F1D9AF4">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（2）高温的风险分析内容</w:t>
      </w:r>
    </w:p>
    <w:p w14:paraId="5047C17C">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项目涉及高温主要为</w:t>
      </w:r>
      <w:r>
        <w:rPr>
          <w:rFonts w:hint="eastAsia" w:ascii="Times New Roman" w:hAnsi="Times New Roman" w:cs="Times New Roman" w:eastAsiaTheme="minorEastAsia"/>
          <w:sz w:val="24"/>
          <w:lang w:val="en-US" w:eastAsia="zh-CN"/>
        </w:rPr>
        <w:t>卧式高温焚烧炉</w:t>
      </w:r>
      <w:r>
        <w:rPr>
          <w:rFonts w:hint="default" w:ascii="Times New Roman" w:hAnsi="Times New Roman" w:cs="Times New Roman" w:eastAsiaTheme="minorEastAsia"/>
          <w:sz w:val="24"/>
          <w:lang w:val="en-US" w:eastAsia="zh-CN"/>
        </w:rPr>
        <w:t>，项目</w:t>
      </w:r>
      <w:r>
        <w:rPr>
          <w:rFonts w:hint="eastAsia" w:ascii="Times New Roman" w:hAnsi="Times New Roman" w:cs="Times New Roman" w:eastAsiaTheme="minorEastAsia"/>
          <w:sz w:val="24"/>
          <w:lang w:val="en-US" w:eastAsia="zh-CN"/>
        </w:rPr>
        <w:t>卧式高温焚烧炉</w:t>
      </w:r>
      <w:r>
        <w:rPr>
          <w:rFonts w:hint="default" w:ascii="Times New Roman" w:hAnsi="Times New Roman" w:cs="Times New Roman" w:eastAsiaTheme="minorEastAsia"/>
          <w:sz w:val="24"/>
          <w:lang w:val="en-US" w:eastAsia="zh-CN"/>
        </w:rPr>
        <w:t>产生的高温，将可能对操作人员造成烧灼伤，本项目采用全自动控制，有效地避免操作人员对高温高压装置的直接接触，可把风险降到最低。因此本项目高温对周边环境及人员的风险在可控范围内。</w:t>
      </w:r>
    </w:p>
    <w:p w14:paraId="5F9B6103">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（3）柴油储罐火灾爆炸影响分析</w:t>
      </w:r>
    </w:p>
    <w:p w14:paraId="5E5EF9D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柴油最可能发生的事故是贮存的油品泄漏并发生火灾爆炸，油罐发生火灾后，油品燃烧产生的辐射热将影响其周围的邻罐或周围建筑物，甚至引起新的火灾，对周围环境产生一定的破坏作用。此事故为安全事故，不在本次环境影响评价范畴内，本次环评仅关注爆炸后对周边环境的影响。</w:t>
      </w:r>
    </w:p>
    <w:p w14:paraId="0544578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本项目柴油储存量较小，不属于重大危险源，储罐采用地上形式</w:t>
      </w:r>
      <w:r>
        <w:rPr>
          <w:rFonts w:hint="eastAsia" w:ascii="Times New Roman" w:hAnsi="Times New Roman" w:cs="Times New Roman" w:eastAsiaTheme="minorEastAsia"/>
          <w:sz w:val="24"/>
          <w:lang w:val="en-US" w:eastAsia="zh-CN"/>
        </w:rPr>
        <w:t>并设置围堰</w:t>
      </w:r>
      <w:r>
        <w:rPr>
          <w:rFonts w:hint="default" w:ascii="Times New Roman" w:hAnsi="Times New Roman" w:cs="Times New Roman" w:eastAsiaTheme="minorEastAsia"/>
          <w:sz w:val="24"/>
          <w:lang w:val="en-US" w:eastAsia="zh-CN"/>
        </w:rPr>
        <w:t>，设计时按照相关规范做好相关区域防渗，可以保证事故状态下储罐内柴油不扩散污染地下水和土壤。</w:t>
      </w:r>
      <w:r>
        <w:rPr>
          <w:rFonts w:hint="eastAsia" w:ascii="Times New Roman" w:hAnsi="Times New Roman" w:cs="Times New Roman" w:eastAsiaTheme="minorEastAsia"/>
          <w:sz w:val="24"/>
          <w:lang w:val="en-US" w:eastAsia="zh-CN"/>
        </w:rPr>
        <w:t>柴油</w:t>
      </w:r>
      <w:r>
        <w:rPr>
          <w:rFonts w:hint="default" w:ascii="Times New Roman" w:hAnsi="Times New Roman" w:cs="Times New Roman" w:eastAsiaTheme="minorEastAsia"/>
          <w:sz w:val="24"/>
          <w:lang w:val="en-US" w:eastAsia="zh-CN"/>
        </w:rPr>
        <w:t>不完全燃烧产生</w:t>
      </w:r>
      <w:r>
        <w:rPr>
          <w:rFonts w:hint="eastAsia" w:ascii="Times New Roman" w:hAnsi="Times New Roman" w:cs="Times New Roman" w:eastAsiaTheme="minorEastAsia"/>
          <w:sz w:val="24"/>
          <w:lang w:val="en-US" w:eastAsia="zh-CN"/>
        </w:rPr>
        <w:t>次生污染物</w:t>
      </w:r>
      <w:r>
        <w:rPr>
          <w:rFonts w:hint="default" w:ascii="Times New Roman" w:hAnsi="Times New Roman" w:cs="Times New Roman" w:eastAsiaTheme="minorEastAsia"/>
          <w:sz w:val="24"/>
          <w:lang w:val="en-US" w:eastAsia="zh-CN"/>
        </w:rPr>
        <w:t>为CO、NO</w:t>
      </w:r>
      <w:r>
        <w:rPr>
          <w:rFonts w:hint="eastAsia" w:ascii="Times New Roman" w:hAnsi="Times New Roman" w:cs="Times New Roman" w:eastAsiaTheme="minorEastAsia"/>
          <w:sz w:val="24"/>
          <w:lang w:val="en-US" w:eastAsia="zh-CN"/>
        </w:rPr>
        <w:t>x</w:t>
      </w:r>
      <w:r>
        <w:rPr>
          <w:rFonts w:hint="default" w:ascii="Times New Roman" w:hAnsi="Times New Roman" w:cs="Times New Roman" w:eastAsiaTheme="minorEastAsia"/>
          <w:sz w:val="24"/>
          <w:lang w:val="en-US" w:eastAsia="zh-CN"/>
        </w:rPr>
        <w:t>影响局部区域环境空气质量。本项目车间供油站设有火灾报警仪、灭火器，当发生火灾时可以及时发现并组织灭火，最大程度降低对周围环境空气影响，不会对周围环境造成太大影响。</w:t>
      </w:r>
    </w:p>
    <w:bookmarkEnd w:id="278"/>
    <w:bookmarkEnd w:id="279"/>
    <w:bookmarkEnd w:id="280"/>
    <w:bookmarkEnd w:id="281"/>
    <w:bookmarkEnd w:id="282"/>
    <w:bookmarkEnd w:id="283"/>
    <w:bookmarkEnd w:id="284"/>
    <w:p w14:paraId="43D12DFD">
      <w:pPr>
        <w:adjustRightInd w:val="0"/>
        <w:snapToGrid w:val="0"/>
        <w:spacing w:line="500" w:lineRule="exact"/>
        <w:jc w:val="left"/>
        <w:rPr>
          <w:rFonts w:hint="default" w:ascii="Times New Roman" w:hAnsi="Times New Roman" w:cs="Times New Roman" w:eastAsiaTheme="minorEastAsia"/>
          <w:b/>
          <w:bCs/>
          <w:sz w:val="24"/>
          <w:lang w:val="en-US" w:eastAsia="zh-CN"/>
        </w:rPr>
      </w:pPr>
      <w:bookmarkStart w:id="285" w:name="_Toc24084"/>
      <w:bookmarkStart w:id="286" w:name="_Toc22043"/>
      <w:r>
        <w:rPr>
          <w:rFonts w:hint="eastAsia" w:ascii="Times New Roman" w:hAnsi="Times New Roman" w:cs="Times New Roman" w:eastAsiaTheme="minorEastAsia"/>
          <w:b/>
          <w:bCs/>
          <w:sz w:val="24"/>
          <w:lang w:val="en-US" w:eastAsia="zh-CN"/>
        </w:rPr>
        <w:t>5.8.2.2 地表水环境风险分析</w:t>
      </w:r>
      <w:bookmarkEnd w:id="285"/>
      <w:bookmarkEnd w:id="286"/>
    </w:p>
    <w:p w14:paraId="658819F0">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本次地表水风险评价等级为简单分析。本项目可能引起地表水环境风险的液体物料发生泄漏，发生后火灾、爆炸等产生的消防废水，初期雨水收集系统、事故废水收集系统失灵。</w:t>
      </w:r>
    </w:p>
    <w:p w14:paraId="39B1CB3C">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本项目储罐设置在专门的储罐区，严格按照要求设置围挡、导流、收集装置，如发生泄漏，确保泄漏物料可以通过导流系统进入事故应急池，不发生外泄。</w:t>
      </w:r>
    </w:p>
    <w:p w14:paraId="450857D5">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本项目生产废水，</w:t>
      </w:r>
      <w:r>
        <w:rPr>
          <w:rFonts w:hint="eastAsia" w:ascii="Times New Roman" w:hAnsi="Times New Roman" w:cs="Times New Roman" w:eastAsiaTheme="minorEastAsia"/>
          <w:sz w:val="24"/>
          <w:lang w:val="en-US" w:eastAsia="zh-CN"/>
        </w:rPr>
        <w:t>依托厂区现有污水处理站</w:t>
      </w:r>
      <w:r>
        <w:rPr>
          <w:rFonts w:hint="default" w:ascii="Times New Roman" w:hAnsi="Times New Roman" w:cs="Times New Roman" w:eastAsiaTheme="minorEastAsia"/>
          <w:sz w:val="24"/>
          <w:lang w:val="en-US" w:eastAsia="zh-CN"/>
        </w:rPr>
        <w:t>处理</w:t>
      </w:r>
      <w:r>
        <w:rPr>
          <w:rFonts w:hint="eastAsia" w:ascii="Times New Roman" w:hAnsi="Times New Roman" w:cs="Times New Roman" w:eastAsiaTheme="minorEastAsia"/>
          <w:sz w:val="24"/>
          <w:lang w:val="en-US" w:eastAsia="zh-CN"/>
        </w:rPr>
        <w:t>，处理完成后回用于清洗用水</w:t>
      </w:r>
      <w:r>
        <w:rPr>
          <w:rFonts w:hint="default" w:ascii="Times New Roman" w:hAnsi="Times New Roman" w:cs="Times New Roman" w:eastAsiaTheme="minorEastAsia"/>
          <w:sz w:val="24"/>
          <w:lang w:val="en-US" w:eastAsia="zh-CN"/>
        </w:rPr>
        <w:t>。</w:t>
      </w:r>
    </w:p>
    <w:p w14:paraId="2DBDBD1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企业已根据《建筑设计防火规范</w:t>
      </w:r>
      <w:r>
        <w:rPr>
          <w:rFonts w:hint="eastAsia" w:ascii="Times New Roman" w:hAnsi="Times New Roman" w:cs="Times New Roman" w:eastAsiaTheme="minorEastAsia"/>
          <w:sz w:val="24"/>
          <w:lang w:val="en-US" w:eastAsia="zh-CN"/>
        </w:rPr>
        <w:t>（2018年版）</w:t>
      </w: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GB 50016-2014</w:t>
      </w: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石油化工企业设计防火标准（2018年版）</w:t>
      </w:r>
      <w:r>
        <w:rPr>
          <w:rFonts w:hint="default" w:ascii="Times New Roman" w:hAnsi="Times New Roman" w:cs="Times New Roman" w:eastAsiaTheme="minorEastAsia"/>
          <w:sz w:val="24"/>
          <w:lang w:val="en-US" w:eastAsia="zh-CN"/>
        </w:rPr>
        <w:t>》（</w:t>
      </w:r>
      <w:r>
        <w:rPr>
          <w:rFonts w:hint="eastAsia" w:ascii="Times New Roman" w:hAnsi="Times New Roman" w:cs="Times New Roman" w:eastAsiaTheme="minorEastAsia"/>
          <w:sz w:val="24"/>
          <w:lang w:val="en-US" w:eastAsia="zh-CN"/>
        </w:rPr>
        <w:t>GB 50160-2008）等</w:t>
      </w:r>
      <w:r>
        <w:rPr>
          <w:rFonts w:hint="default" w:ascii="Times New Roman" w:hAnsi="Times New Roman" w:cs="Times New Roman" w:eastAsiaTheme="minorEastAsia"/>
          <w:sz w:val="24"/>
          <w:lang w:val="en-US" w:eastAsia="zh-CN"/>
        </w:rPr>
        <w:t>相关要求，进行事故池总有效容积的计算，根据计算，企业设置一个</w:t>
      </w:r>
      <w:r>
        <w:rPr>
          <w:rFonts w:hint="eastAsia" w:ascii="Times New Roman" w:hAnsi="Times New Roman" w:cs="Times New Roman" w:eastAsiaTheme="minorEastAsia"/>
          <w:sz w:val="24"/>
          <w:lang w:val="en-US" w:eastAsia="zh-CN"/>
        </w:rPr>
        <w:t>60</w:t>
      </w:r>
      <w:r>
        <w:rPr>
          <w:rFonts w:hint="default" w:ascii="Times New Roman" w:hAnsi="Times New Roman" w:cs="Times New Roman" w:eastAsiaTheme="minorEastAsia"/>
          <w:sz w:val="24"/>
          <w:lang w:val="en-US" w:eastAsia="zh-CN"/>
        </w:rPr>
        <w:t>m</w:t>
      </w:r>
      <w:r>
        <w:rPr>
          <w:rFonts w:hint="default" w:ascii="Times New Roman" w:hAnsi="Times New Roman" w:cs="Times New Roman" w:eastAsiaTheme="minorEastAsia"/>
          <w:sz w:val="24"/>
          <w:vertAlign w:val="superscript"/>
          <w:lang w:val="en-US" w:eastAsia="zh-CN"/>
        </w:rPr>
        <w:t>3</w:t>
      </w:r>
      <w:r>
        <w:rPr>
          <w:rFonts w:hint="default" w:ascii="Times New Roman" w:hAnsi="Times New Roman" w:cs="Times New Roman" w:eastAsiaTheme="minorEastAsia"/>
          <w:sz w:val="24"/>
          <w:lang w:val="en-US" w:eastAsia="zh-CN"/>
        </w:rPr>
        <w:t>的</w:t>
      </w:r>
      <w:r>
        <w:rPr>
          <w:rFonts w:hint="eastAsia" w:ascii="Times New Roman" w:hAnsi="Times New Roman" w:cs="Times New Roman" w:eastAsiaTheme="minorEastAsia"/>
          <w:sz w:val="24"/>
          <w:lang w:val="en-US" w:eastAsia="zh-CN"/>
        </w:rPr>
        <w:t>事故池作为</w:t>
      </w:r>
      <w:r>
        <w:rPr>
          <w:rFonts w:hint="default" w:ascii="Times New Roman" w:hAnsi="Times New Roman" w:cs="Times New Roman" w:eastAsiaTheme="minorEastAsia"/>
          <w:sz w:val="24"/>
          <w:lang w:val="en-US" w:eastAsia="zh-CN"/>
        </w:rPr>
        <w:t>事故应急池满足需求，事故时废水全部排入事故池。在事故状态下的事故废水和消防废水得到有效收集，</w:t>
      </w:r>
      <w:r>
        <w:rPr>
          <w:rFonts w:hint="eastAsia" w:ascii="Times New Roman" w:hAnsi="Times New Roman" w:cs="Times New Roman" w:eastAsiaTheme="minorEastAsia"/>
          <w:sz w:val="24"/>
          <w:lang w:val="en-US" w:eastAsia="zh-CN"/>
        </w:rPr>
        <w:t>不外排</w:t>
      </w:r>
      <w:r>
        <w:rPr>
          <w:rFonts w:hint="default" w:ascii="Times New Roman" w:hAnsi="Times New Roman" w:cs="Times New Roman" w:eastAsiaTheme="minorEastAsia"/>
          <w:sz w:val="24"/>
          <w:lang w:val="en-US" w:eastAsia="zh-CN"/>
        </w:rPr>
        <w:t>。</w:t>
      </w:r>
    </w:p>
    <w:p w14:paraId="6E22420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因此，项目地表水风险事故影响较小。</w:t>
      </w:r>
    </w:p>
    <w:p w14:paraId="6BD3A9E3">
      <w:pPr>
        <w:adjustRightInd w:val="0"/>
        <w:snapToGrid w:val="0"/>
        <w:spacing w:line="500" w:lineRule="exact"/>
        <w:jc w:val="left"/>
        <w:rPr>
          <w:rFonts w:hint="default" w:ascii="Times New Roman" w:hAnsi="Times New Roman" w:cs="Times New Roman" w:eastAsiaTheme="minorEastAsia"/>
          <w:b/>
          <w:bCs/>
          <w:sz w:val="24"/>
          <w:lang w:val="en-US" w:eastAsia="zh-CN"/>
        </w:rPr>
      </w:pPr>
      <w:bookmarkStart w:id="287" w:name="_Toc4673"/>
      <w:bookmarkStart w:id="288" w:name="_Toc4310"/>
      <w:r>
        <w:rPr>
          <w:rFonts w:hint="eastAsia" w:ascii="Times New Roman" w:hAnsi="Times New Roman" w:cs="Times New Roman" w:eastAsiaTheme="minorEastAsia"/>
          <w:b/>
          <w:bCs/>
          <w:sz w:val="24"/>
          <w:lang w:val="en-US" w:eastAsia="zh-CN"/>
        </w:rPr>
        <w:t>5.8.2.3</w:t>
      </w:r>
      <w:r>
        <w:rPr>
          <w:rFonts w:hint="default" w:ascii="Times New Roman" w:hAnsi="Times New Roman" w:cs="Times New Roman" w:eastAsiaTheme="minorEastAsia"/>
          <w:b/>
          <w:bCs/>
          <w:sz w:val="24"/>
          <w:lang w:val="en-US" w:eastAsia="zh-CN"/>
        </w:rPr>
        <w:t xml:space="preserve"> 地下水环境风险分析</w:t>
      </w:r>
      <w:bookmarkEnd w:id="287"/>
      <w:bookmarkEnd w:id="288"/>
    </w:p>
    <w:p w14:paraId="2BE7D7E8">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本项目地下水风险评价等级为简单分析。项目贮存区域设有围挡，车间、仓库内部设有地沟和排水系统；厂区设有容积</w:t>
      </w:r>
      <w:r>
        <w:rPr>
          <w:rFonts w:hint="eastAsia" w:ascii="Times New Roman" w:hAnsi="Times New Roman" w:cs="Times New Roman" w:eastAsiaTheme="minorEastAsia"/>
          <w:sz w:val="24"/>
          <w:highlight w:val="none"/>
          <w:lang w:val="en-US" w:eastAsia="zh-CN"/>
        </w:rPr>
        <w:t>60</w:t>
      </w:r>
      <w:r>
        <w:rPr>
          <w:rFonts w:hint="default" w:ascii="Times New Roman" w:hAnsi="Times New Roman" w:cs="Times New Roman" w:eastAsiaTheme="minorEastAsia"/>
          <w:sz w:val="24"/>
          <w:highlight w:val="none"/>
          <w:lang w:val="en-US" w:eastAsia="zh-CN"/>
        </w:rPr>
        <w:t>m</w:t>
      </w:r>
      <w:r>
        <w:rPr>
          <w:rFonts w:hint="default" w:ascii="Times New Roman" w:hAnsi="Times New Roman" w:cs="Times New Roman" w:eastAsiaTheme="minorEastAsia"/>
          <w:sz w:val="24"/>
          <w:highlight w:val="none"/>
          <w:vertAlign w:val="superscript"/>
          <w:lang w:val="en-US" w:eastAsia="zh-CN"/>
        </w:rPr>
        <w:t>3</w:t>
      </w:r>
      <w:r>
        <w:rPr>
          <w:rFonts w:hint="default" w:ascii="Times New Roman" w:hAnsi="Times New Roman" w:cs="Times New Roman" w:eastAsiaTheme="minorEastAsia"/>
          <w:sz w:val="24"/>
          <w:highlight w:val="none"/>
          <w:lang w:val="en-US" w:eastAsia="zh-CN"/>
        </w:rPr>
        <w:t>的应急事故水池一座。在事故状态下的事故废水和消防废水得到有效收集。此外，厂区</w:t>
      </w:r>
      <w:r>
        <w:rPr>
          <w:rFonts w:hint="eastAsia" w:ascii="Times New Roman" w:hAnsi="Times New Roman" w:cs="Times New Roman"/>
          <w:sz w:val="24"/>
          <w:highlight w:val="none"/>
          <w:lang w:val="en-US" w:eastAsia="zh-CN"/>
        </w:rPr>
        <w:t>柴油储罐区、</w:t>
      </w:r>
      <w:r>
        <w:rPr>
          <w:rFonts w:hint="eastAsia" w:ascii="Times New Roman" w:hAnsi="Times New Roman" w:cs="Times New Roman" w:eastAsiaTheme="minorEastAsia"/>
          <w:sz w:val="24"/>
          <w:highlight w:val="none"/>
          <w:lang w:val="en-US" w:eastAsia="zh-CN"/>
        </w:rPr>
        <w:t>危废贮存</w:t>
      </w:r>
      <w:r>
        <w:rPr>
          <w:rFonts w:hint="eastAsia" w:ascii="Times New Roman" w:hAnsi="Times New Roman" w:cs="Times New Roman"/>
          <w:sz w:val="24"/>
          <w:highlight w:val="none"/>
          <w:lang w:val="en-US" w:eastAsia="zh-CN"/>
        </w:rPr>
        <w:t>库</w:t>
      </w:r>
      <w:r>
        <w:rPr>
          <w:rFonts w:hint="default" w:ascii="Times New Roman" w:hAnsi="Times New Roman" w:cs="Times New Roman" w:eastAsiaTheme="minorEastAsia"/>
          <w:sz w:val="24"/>
          <w:highlight w:val="none"/>
          <w:lang w:val="en-US" w:eastAsia="zh-CN"/>
        </w:rPr>
        <w:t>为重点防渗区</w:t>
      </w:r>
      <w:r>
        <w:rPr>
          <w:rFonts w:hint="eastAsia" w:ascii="Times New Roman" w:hAnsi="Times New Roman" w:cs="Times New Roman"/>
          <w:sz w:val="24"/>
          <w:highlight w:val="none"/>
          <w:lang w:val="en-US" w:eastAsia="zh-CN"/>
        </w:rPr>
        <w:t>，分别按相应标准要求进行防渗处理</w:t>
      </w:r>
      <w:r>
        <w:rPr>
          <w:rFonts w:hint="default" w:ascii="Times New Roman" w:hAnsi="Times New Roman" w:cs="Times New Roman" w:eastAsiaTheme="minorEastAsia"/>
          <w:sz w:val="24"/>
          <w:highlight w:val="none"/>
          <w:lang w:val="en-US" w:eastAsia="zh-CN"/>
        </w:rPr>
        <w:t>。</w:t>
      </w:r>
    </w:p>
    <w:p w14:paraId="7372AD0E">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同时，项目建立厂区地下水环境监控体系，包括建立地下水监控制度和环境管理体系、制定监测计划、配备必要的检测仪器和设备，以便及时发现问题，及时采取措施。因此，项目地下水风险事故影响较小。</w:t>
      </w:r>
    </w:p>
    <w:p w14:paraId="6E64C785">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289" w:name="_Toc19870"/>
      <w:bookmarkStart w:id="290" w:name="_Toc22551"/>
      <w:bookmarkStart w:id="291" w:name="_Toc24415"/>
      <w:bookmarkStart w:id="292" w:name="_Toc18920"/>
      <w:bookmarkStart w:id="293" w:name="_Toc93615195"/>
      <w:r>
        <w:rPr>
          <w:rFonts w:hint="eastAsia" w:ascii="Times New Roman" w:hAnsi="Times New Roman" w:cs="Times New Roman" w:eastAsiaTheme="minorEastAsia"/>
          <w:kern w:val="0"/>
          <w:sz w:val="24"/>
          <w:szCs w:val="24"/>
          <w:lang w:val="en-US" w:eastAsia="zh-CN"/>
        </w:rPr>
        <w:t>5.8.3环境风险防范措施及应急要求</w:t>
      </w:r>
      <w:bookmarkEnd w:id="289"/>
      <w:bookmarkEnd w:id="290"/>
      <w:bookmarkEnd w:id="291"/>
      <w:bookmarkEnd w:id="292"/>
      <w:bookmarkEnd w:id="293"/>
    </w:p>
    <w:p w14:paraId="2350042C">
      <w:pPr>
        <w:adjustRightInd w:val="0"/>
        <w:snapToGrid w:val="0"/>
        <w:spacing w:line="500" w:lineRule="exact"/>
        <w:jc w:val="left"/>
        <w:rPr>
          <w:rFonts w:hint="default" w:ascii="Times New Roman" w:hAnsi="Times New Roman" w:cs="Times New Roman" w:eastAsiaTheme="minorEastAsia"/>
          <w:b/>
          <w:bCs/>
          <w:sz w:val="24"/>
          <w:lang w:val="en-US" w:eastAsia="zh-CN"/>
        </w:rPr>
      </w:pPr>
      <w:bookmarkStart w:id="294" w:name="_Toc6474"/>
      <w:r>
        <w:rPr>
          <w:rFonts w:hint="eastAsia" w:ascii="Times New Roman" w:hAnsi="Times New Roman" w:cs="Times New Roman" w:eastAsiaTheme="minorEastAsia"/>
          <w:b/>
          <w:bCs/>
          <w:sz w:val="24"/>
          <w:lang w:val="en-US" w:eastAsia="zh-CN"/>
        </w:rPr>
        <w:t>5.8.3.1</w:t>
      </w:r>
      <w:r>
        <w:rPr>
          <w:rFonts w:hint="default" w:ascii="Times New Roman" w:hAnsi="Times New Roman" w:cs="Times New Roman" w:eastAsiaTheme="minorEastAsia"/>
          <w:b/>
          <w:bCs/>
          <w:sz w:val="24"/>
          <w:lang w:val="en-US" w:eastAsia="zh-CN"/>
        </w:rPr>
        <w:t xml:space="preserve"> 风险管理措施</w:t>
      </w:r>
      <w:bookmarkEnd w:id="294"/>
    </w:p>
    <w:p w14:paraId="2B42C38B">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项目采用的医疗废物焚烧+二燃室技术为国内使用较为成熟的焚烧工艺，该工艺较为先进，进料系统、贮运设施均采用微负压设计，管理控制水平高，事故频率很低，但仍应加强集中处置全过程管理，防止风险事故的发生，主要防范措施如下：</w:t>
      </w:r>
    </w:p>
    <w:p w14:paraId="7BA9344C">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（1）按照国家有关安全生产的</w:t>
      </w:r>
      <w:r>
        <w:rPr>
          <w:rFonts w:hint="eastAsia" w:ascii="Times New Roman" w:hAnsi="Times New Roman" w:cs="Times New Roman" w:eastAsiaTheme="minorEastAsia"/>
          <w:sz w:val="24"/>
          <w:lang w:val="en-US" w:eastAsia="zh-CN"/>
        </w:rPr>
        <w:t>法律法规</w:t>
      </w:r>
      <w:r>
        <w:rPr>
          <w:rFonts w:hint="default" w:ascii="Times New Roman" w:hAnsi="Times New Roman" w:cs="Times New Roman" w:eastAsiaTheme="minorEastAsia"/>
          <w:sz w:val="24"/>
          <w:lang w:val="en-US" w:eastAsia="zh-CN"/>
        </w:rPr>
        <w:t>、标准、规范的要求，结合医疗废物处置的特点，编制各项安全管理规章制度、安全规程和操作规程，建立健全各级各类人员和岗位的安全生产责任制。</w:t>
      </w:r>
    </w:p>
    <w:p w14:paraId="0B06C8AF">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（2）加强主体设备的日常维护及管理，杜绝“跑、冒、滴、漏”的</w:t>
      </w:r>
      <w:r>
        <w:rPr>
          <w:rFonts w:hint="eastAsia" w:ascii="Times New Roman" w:hAnsi="Times New Roman" w:cs="Times New Roman" w:eastAsiaTheme="minorEastAsia"/>
          <w:sz w:val="24"/>
          <w:lang w:val="en-US" w:eastAsia="zh-CN"/>
        </w:rPr>
        <w:t>发生</w:t>
      </w:r>
      <w:r>
        <w:rPr>
          <w:rFonts w:hint="default" w:ascii="Times New Roman" w:hAnsi="Times New Roman" w:cs="Times New Roman" w:eastAsiaTheme="minorEastAsia"/>
          <w:sz w:val="24"/>
          <w:lang w:val="en-US" w:eastAsia="zh-CN"/>
        </w:rPr>
        <w:t>，由于该项目采用工艺自动化程度较高，故尤其需要加强自动监控系统监测，发现问题及时处理，确保系统正常运行。</w:t>
      </w:r>
    </w:p>
    <w:p w14:paraId="2363DE69">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（3）加强操作人员专业技能和安全防护的培训，使操作人员熟悉整个焚烧工艺过程，掌握最佳运行参数，如最佳的运行温度、压力、污染物排放浓度、速率以及保持设备良好运行的条件等。同时，应加强操作</w:t>
      </w:r>
      <w:r>
        <w:rPr>
          <w:rFonts w:hint="eastAsia" w:ascii="Times New Roman" w:hAnsi="Times New Roman" w:cs="Times New Roman" w:eastAsiaTheme="minorEastAsia"/>
          <w:sz w:val="24"/>
          <w:lang w:val="en-US" w:eastAsia="zh-CN"/>
        </w:rPr>
        <w:t>人员</w:t>
      </w:r>
      <w:r>
        <w:rPr>
          <w:rFonts w:hint="default" w:ascii="Times New Roman" w:hAnsi="Times New Roman" w:cs="Times New Roman" w:eastAsiaTheme="minorEastAsia"/>
          <w:sz w:val="24"/>
          <w:lang w:val="en-US" w:eastAsia="zh-CN"/>
        </w:rPr>
        <w:t>的职业卫生防护，应</w:t>
      </w:r>
      <w:r>
        <w:rPr>
          <w:rFonts w:hint="eastAsia" w:ascii="Times New Roman" w:hAnsi="Times New Roman" w:cs="Times New Roman" w:eastAsiaTheme="minorEastAsia"/>
          <w:sz w:val="24"/>
          <w:lang w:val="en-US" w:eastAsia="zh-CN"/>
        </w:rPr>
        <w:t>按照《中华人民共和国</w:t>
      </w:r>
      <w:r>
        <w:rPr>
          <w:rFonts w:hint="default" w:ascii="Times New Roman" w:hAnsi="Times New Roman" w:cs="Times New Roman" w:eastAsiaTheme="minorEastAsia"/>
          <w:sz w:val="24"/>
          <w:lang w:val="en-US" w:eastAsia="zh-CN"/>
        </w:rPr>
        <w:t>职业病防治法》的要求，对操作人员进行“岗前、岗中、岗后”的相关检查，确保身体健康。</w:t>
      </w:r>
    </w:p>
    <w:p w14:paraId="5DB0625C">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（4）加强运行参数、处置效果的监测与记录，加强对“三废”排放的监测管理。</w:t>
      </w:r>
    </w:p>
    <w:p w14:paraId="2C37B98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（5）针对工艺技术和操作条件，项目建成运行前，按要求编制企业突发环境事件应急预案，报地方生态环境行政主管部门备案。</w:t>
      </w:r>
    </w:p>
    <w:p w14:paraId="2B70DED0">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此外，建设方应定期组织相关部门进行演练，根据演练的结果不断地修订和完善预案，成立救护组织和医疗救护组织，并与附近的救援组织签订救护协议，降低事故发生率，减少企业财产损失及人员伤亡。</w:t>
      </w:r>
    </w:p>
    <w:p w14:paraId="4D5819E1">
      <w:pPr>
        <w:adjustRightInd w:val="0"/>
        <w:snapToGrid w:val="0"/>
        <w:spacing w:line="500" w:lineRule="exact"/>
        <w:jc w:val="left"/>
        <w:rPr>
          <w:rFonts w:hint="default" w:ascii="Times New Roman" w:hAnsi="Times New Roman" w:cs="Times New Roman" w:eastAsiaTheme="minorEastAsia"/>
          <w:b/>
          <w:bCs/>
          <w:sz w:val="24"/>
          <w:lang w:val="en-US" w:eastAsia="zh-CN"/>
        </w:rPr>
      </w:pPr>
      <w:bookmarkStart w:id="295" w:name="_Toc11556"/>
      <w:r>
        <w:rPr>
          <w:rFonts w:hint="eastAsia" w:ascii="Times New Roman" w:hAnsi="Times New Roman" w:cs="Times New Roman" w:eastAsiaTheme="minorEastAsia"/>
          <w:b/>
          <w:bCs/>
          <w:sz w:val="24"/>
          <w:lang w:val="en-US" w:eastAsia="zh-CN"/>
        </w:rPr>
        <w:t>5.8.3.2</w:t>
      </w:r>
      <w:r>
        <w:rPr>
          <w:rFonts w:hint="default" w:ascii="Times New Roman" w:hAnsi="Times New Roman" w:cs="Times New Roman" w:eastAsiaTheme="minorEastAsia"/>
          <w:b/>
          <w:bCs/>
          <w:sz w:val="24"/>
          <w:lang w:val="en-US" w:eastAsia="zh-CN"/>
        </w:rPr>
        <w:t xml:space="preserve"> 医疗废物储存设施风险防范措施</w:t>
      </w:r>
      <w:bookmarkEnd w:id="295"/>
    </w:p>
    <w:p w14:paraId="4B36DFD1">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医疗废物常常含有传染性病毒，一旦在运输或贮存过程中发生泄漏，将带来极大的危害，传染性弱、传染途径较为安全的病菌可能会直接影响接触者的健康；传染性强、传染途径多的病菌将对直接接触者及间接接触者的健康造成极大威胁，防范措施主要包括：</w:t>
      </w:r>
    </w:p>
    <w:p w14:paraId="30298B27">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（1）医疗废物暂存间、危险废物</w:t>
      </w:r>
      <w:r>
        <w:rPr>
          <w:rFonts w:hint="eastAsia" w:ascii="Times New Roman" w:hAnsi="Times New Roman" w:cs="Times New Roman" w:eastAsiaTheme="minorEastAsia"/>
          <w:sz w:val="24"/>
          <w:lang w:val="en-US" w:eastAsia="zh-CN"/>
        </w:rPr>
        <w:t>贮存库</w:t>
      </w:r>
      <w:r>
        <w:rPr>
          <w:rFonts w:hint="default" w:ascii="Times New Roman" w:hAnsi="Times New Roman" w:cs="Times New Roman" w:eastAsiaTheme="minorEastAsia"/>
          <w:sz w:val="24"/>
          <w:lang w:val="en-US" w:eastAsia="zh-CN"/>
        </w:rPr>
        <w:t>等设施的设计、运行、安全防护等应满足《危险废物贮存污染控制标准》和《医疗卫生机构医疗废物管理办法》的有关要求。设置相应的安全警示标志提醒人员注意。凡需要迅速发现并引起注意以防止发生事故的场所、部位，均应按要求涂安全色。</w:t>
      </w:r>
    </w:p>
    <w:p w14:paraId="708A3723">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（2）贮存医废、危废的仓库管理人员，必须经过专业知识培训，熟悉贮存废物的特性、事故处理办法和防护知识，同时配备有关的个人防护用品。</w:t>
      </w:r>
    </w:p>
    <w:p w14:paraId="29C81368">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（3）医疗废物必须使用周转箱存放于</w:t>
      </w:r>
      <w:r>
        <w:rPr>
          <w:rFonts w:hint="eastAsia" w:ascii="Times New Roman" w:hAnsi="Times New Roman" w:cs="Times New Roman" w:eastAsiaTheme="minorEastAsia"/>
          <w:sz w:val="24"/>
          <w:lang w:val="en-US" w:eastAsia="zh-CN"/>
        </w:rPr>
        <w:t>医废暂存间</w:t>
      </w:r>
      <w:r>
        <w:rPr>
          <w:rFonts w:hint="default" w:ascii="Times New Roman" w:hAnsi="Times New Roman" w:cs="Times New Roman" w:eastAsiaTheme="minorEastAsia"/>
          <w:sz w:val="24"/>
          <w:lang w:val="en-US" w:eastAsia="zh-CN"/>
        </w:rPr>
        <w:t>内，不允许露天堆放，若在贮存时发生泄漏，一般是以单箱医疗废物发生泄漏的情况为主，医疗废物泄漏量</w:t>
      </w:r>
      <w:r>
        <w:rPr>
          <w:rFonts w:hint="eastAsia" w:ascii="Times New Roman" w:hAnsi="Times New Roman" w:cs="Times New Roman" w:eastAsiaTheme="minorEastAsia"/>
          <w:sz w:val="24"/>
          <w:lang w:val="en-US" w:eastAsia="zh-CN"/>
        </w:rPr>
        <w:t>较小</w:t>
      </w:r>
      <w:r>
        <w:rPr>
          <w:rFonts w:hint="default" w:ascii="Times New Roman" w:hAnsi="Times New Roman" w:cs="Times New Roman" w:eastAsiaTheme="minorEastAsia"/>
          <w:sz w:val="24"/>
          <w:lang w:val="en-US" w:eastAsia="zh-CN"/>
        </w:rPr>
        <w:t>，影响范围仅局限在医疗废物暂存间内，此时立刻将散落的医废收集入周转箱，对污染的地面进行消毒清洗，产生的废水</w:t>
      </w:r>
      <w:r>
        <w:rPr>
          <w:rFonts w:hint="eastAsia" w:ascii="Times New Roman" w:hAnsi="Times New Roman" w:cs="Times New Roman" w:eastAsiaTheme="minorEastAsia"/>
          <w:sz w:val="24"/>
          <w:lang w:val="en-US" w:eastAsia="zh-CN"/>
        </w:rPr>
        <w:t>用集水池</w:t>
      </w:r>
      <w:r>
        <w:rPr>
          <w:rFonts w:hint="default" w:ascii="Times New Roman" w:hAnsi="Times New Roman" w:cs="Times New Roman" w:eastAsiaTheme="minorEastAsia"/>
          <w:sz w:val="24"/>
          <w:lang w:val="en-US" w:eastAsia="zh-CN"/>
        </w:rPr>
        <w:t>收集</w:t>
      </w:r>
      <w:r>
        <w:rPr>
          <w:rFonts w:hint="eastAsia" w:ascii="Times New Roman" w:hAnsi="Times New Roman" w:cs="Times New Roman" w:eastAsiaTheme="minorEastAsia"/>
          <w:sz w:val="24"/>
          <w:lang w:val="en-US" w:eastAsia="zh-CN"/>
        </w:rPr>
        <w:t>后依托厂区现有污水处理站</w:t>
      </w:r>
      <w:r>
        <w:rPr>
          <w:rFonts w:hint="default" w:ascii="Times New Roman" w:hAnsi="Times New Roman" w:cs="Times New Roman" w:eastAsiaTheme="minorEastAsia"/>
          <w:sz w:val="24"/>
          <w:lang w:val="en-US" w:eastAsia="zh-CN"/>
        </w:rPr>
        <w:t>处理。</w:t>
      </w:r>
    </w:p>
    <w:p w14:paraId="28BA5FD1">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（4）企业应经常检查管道，定期系统试压、定期检漏。管道施工应按规范要求进行，排气均应尽可能收集，集中进行妥善处理，防止随意逸散。</w:t>
      </w:r>
    </w:p>
    <w:p w14:paraId="4BC22FEA">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（5）</w:t>
      </w:r>
      <w:r>
        <w:rPr>
          <w:rFonts w:hint="eastAsia" w:ascii="Times New Roman" w:hAnsi="Times New Roman" w:cs="Times New Roman" w:eastAsiaTheme="minorEastAsia"/>
          <w:sz w:val="24"/>
          <w:lang w:val="en-US" w:eastAsia="zh-CN"/>
        </w:rPr>
        <w:t>建立</w:t>
      </w:r>
      <w:r>
        <w:rPr>
          <w:rFonts w:hint="default" w:ascii="Times New Roman" w:hAnsi="Times New Roman" w:cs="Times New Roman" w:eastAsiaTheme="minorEastAsia"/>
          <w:sz w:val="24"/>
          <w:lang w:val="en-US" w:eastAsia="zh-CN"/>
        </w:rPr>
        <w:t>医废、危废台账管理制度，跟踪记录危险废物在公司内部运转的整个流程，与生产记录相结合，建立危险废物台账。</w:t>
      </w:r>
    </w:p>
    <w:p w14:paraId="2585364C">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6）加强职工的安全教育，定期组织事故抢救演习。企业应开展安全生产定期检查，严格实行岗位责任制，及时发现并消除隐患，制定防止事故发生的各种规章制度并严格执行。按规定对操作人员进行安全操作技术培训，考试合格后方能上岗。企业的安全工作应做到经常化和制度化。</w:t>
      </w:r>
    </w:p>
    <w:p w14:paraId="7FC0248D">
      <w:pPr>
        <w:adjustRightInd w:val="0"/>
        <w:snapToGrid w:val="0"/>
        <w:spacing w:line="500" w:lineRule="exact"/>
        <w:jc w:val="left"/>
        <w:rPr>
          <w:rFonts w:hint="default" w:ascii="Times New Roman" w:hAnsi="Times New Roman" w:cs="Times New Roman" w:eastAsiaTheme="minorEastAsia"/>
          <w:b/>
          <w:bCs/>
          <w:sz w:val="24"/>
          <w:lang w:val="en-US" w:eastAsia="zh-CN"/>
        </w:rPr>
      </w:pPr>
      <w:bookmarkStart w:id="296" w:name="_Toc22067"/>
      <w:r>
        <w:rPr>
          <w:rFonts w:hint="eastAsia" w:ascii="Times New Roman" w:hAnsi="Times New Roman" w:cs="Times New Roman" w:eastAsiaTheme="minorEastAsia"/>
          <w:b/>
          <w:bCs/>
          <w:sz w:val="24"/>
          <w:lang w:val="en-US" w:eastAsia="zh-CN"/>
        </w:rPr>
        <w:t>5.8.3.3</w:t>
      </w:r>
      <w:r>
        <w:rPr>
          <w:rFonts w:hint="default" w:ascii="Times New Roman" w:hAnsi="Times New Roman" w:cs="Times New Roman" w:eastAsiaTheme="minorEastAsia"/>
          <w:b/>
          <w:bCs/>
          <w:sz w:val="24"/>
          <w:lang w:val="en-US" w:eastAsia="zh-CN"/>
        </w:rPr>
        <w:t xml:space="preserve"> </w:t>
      </w:r>
      <w:r>
        <w:rPr>
          <w:rFonts w:hint="eastAsia" w:ascii="Times New Roman" w:hAnsi="Times New Roman" w:cs="Times New Roman" w:eastAsiaTheme="minorEastAsia"/>
          <w:b/>
          <w:bCs/>
          <w:sz w:val="24"/>
          <w:lang w:val="en-US" w:eastAsia="zh-CN"/>
        </w:rPr>
        <w:t>卧式高温焚烧炉</w:t>
      </w:r>
      <w:r>
        <w:rPr>
          <w:rFonts w:hint="default" w:ascii="Times New Roman" w:hAnsi="Times New Roman" w:cs="Times New Roman" w:eastAsiaTheme="minorEastAsia"/>
          <w:b/>
          <w:bCs/>
          <w:sz w:val="24"/>
          <w:lang w:val="en-US" w:eastAsia="zh-CN"/>
        </w:rPr>
        <w:t>烟气净化系统风险防范措施</w:t>
      </w:r>
      <w:bookmarkEnd w:id="296"/>
    </w:p>
    <w:p w14:paraId="4005612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（1）减少烟气事故排放风险对策</w:t>
      </w:r>
    </w:p>
    <w:p w14:paraId="34593759">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①由专人负责</w:t>
      </w:r>
      <w:r>
        <w:rPr>
          <w:rFonts w:hint="eastAsia" w:ascii="Times New Roman" w:hAnsi="Times New Roman" w:cs="Times New Roman" w:eastAsiaTheme="minorEastAsia"/>
          <w:sz w:val="24"/>
          <w:lang w:val="en-US" w:eastAsia="zh-CN"/>
        </w:rPr>
        <w:t>卧式高温焚烧炉</w:t>
      </w:r>
      <w:r>
        <w:rPr>
          <w:rFonts w:hint="default" w:ascii="Times New Roman" w:hAnsi="Times New Roman" w:cs="Times New Roman" w:eastAsiaTheme="minorEastAsia"/>
          <w:sz w:val="24"/>
          <w:lang w:val="en-US" w:eastAsia="zh-CN"/>
        </w:rPr>
        <w:t>烟气净化系统的日常管理工作，加</w:t>
      </w:r>
      <w:r>
        <w:rPr>
          <w:rFonts w:hint="eastAsia" w:ascii="Times New Roman" w:hAnsi="Times New Roman" w:cs="Times New Roman" w:eastAsiaTheme="minorEastAsia"/>
          <w:sz w:val="24"/>
          <w:lang w:val="en-US" w:eastAsia="zh-CN"/>
        </w:rPr>
        <w:t>强对卧式高温焚烧炉</w:t>
      </w:r>
      <w:r>
        <w:rPr>
          <w:rFonts w:hint="default" w:ascii="Times New Roman" w:hAnsi="Times New Roman" w:cs="Times New Roman" w:eastAsiaTheme="minorEastAsia"/>
          <w:sz w:val="24"/>
          <w:lang w:val="en-US" w:eastAsia="zh-CN"/>
        </w:rPr>
        <w:t>废气治理设施的监督和管理。</w:t>
      </w:r>
    </w:p>
    <w:p w14:paraId="0E41FBE3">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②加强废气处理设施及设备的定期检修和维护工作，一旦发现事故隐患，必须及时解决。</w:t>
      </w:r>
    </w:p>
    <w:p w14:paraId="59CE8DCC">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③焚烧烟气配备炉内燃烧温度、颗粒物、SO</w:t>
      </w:r>
      <w:r>
        <w:rPr>
          <w:rFonts w:hint="default" w:ascii="Times New Roman" w:hAnsi="Times New Roman" w:cs="Times New Roman" w:eastAsiaTheme="minorEastAsia"/>
          <w:sz w:val="24"/>
          <w:vertAlign w:val="subscript"/>
          <w:lang w:val="en-US" w:eastAsia="zh-CN"/>
        </w:rPr>
        <w:t>2</w:t>
      </w:r>
      <w:r>
        <w:rPr>
          <w:rFonts w:hint="default" w:ascii="Times New Roman" w:hAnsi="Times New Roman" w:cs="Times New Roman" w:eastAsiaTheme="minorEastAsia"/>
          <w:sz w:val="24"/>
          <w:lang w:val="en-US" w:eastAsia="zh-CN"/>
        </w:rPr>
        <w:t>、NOx、HCl、CO</w:t>
      </w:r>
      <w:r>
        <w:rPr>
          <w:rFonts w:hint="eastAsia" w:ascii="Times New Roman" w:hAnsi="Times New Roman" w:cs="Times New Roman" w:eastAsiaTheme="minorEastAsia"/>
          <w:sz w:val="24"/>
          <w:lang w:val="en-US" w:eastAsia="zh-CN"/>
        </w:rPr>
        <w:t>等</w:t>
      </w:r>
      <w:r>
        <w:rPr>
          <w:rFonts w:hint="default" w:ascii="Times New Roman" w:hAnsi="Times New Roman" w:cs="Times New Roman" w:eastAsiaTheme="minorEastAsia"/>
          <w:sz w:val="24"/>
          <w:lang w:val="en-US" w:eastAsia="zh-CN"/>
        </w:rPr>
        <w:t>自动检测系统，对废气污染治理效果进行在线监测。</w:t>
      </w:r>
    </w:p>
    <w:p w14:paraId="1D3B42F8">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④引进技术先进、处理效果好的废气治理设备和设施，保证污染物达标排放。</w:t>
      </w:r>
    </w:p>
    <w:p w14:paraId="4C8B3E80">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⑤在炉温较低时采用轻柴油助燃，确保</w:t>
      </w:r>
      <w:r>
        <w:rPr>
          <w:rFonts w:hint="eastAsia" w:ascii="Times New Roman" w:hAnsi="Times New Roman" w:cs="Times New Roman" w:eastAsiaTheme="minorEastAsia"/>
          <w:sz w:val="24"/>
          <w:lang w:val="en-US" w:eastAsia="zh-CN"/>
        </w:rPr>
        <w:t>卧式高温焚烧炉</w:t>
      </w:r>
      <w:r>
        <w:rPr>
          <w:rFonts w:hint="default" w:ascii="Times New Roman" w:hAnsi="Times New Roman" w:cs="Times New Roman" w:eastAsiaTheme="minorEastAsia"/>
          <w:sz w:val="24"/>
          <w:lang w:val="en-US" w:eastAsia="zh-CN"/>
        </w:rPr>
        <w:t>温度≥850℃，杜绝二噁英类非正常排放。</w:t>
      </w:r>
    </w:p>
    <w:p w14:paraId="4902C2BD">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⑥加强项目集中控制，包括主体关键装置采用分散控制系统（PLC）进行集中监视和控制，在PLC发生全局性或重大故障时，能进行紧急停炉、停机操作；对独立的控制系统和控制设备，能在集中控制室进行系统工艺和运行工况监视和独立操作；对随主设备配套供货的独立控制系统，如旋转喷雾器控制系统、气动和辅助燃烧器控制系统、布袋除尘器控制系统、汽机数字电液控制系统、汽机危急跳闸系统等通过通讯或硬接线接口与PLC进行信息交换。</w:t>
      </w:r>
    </w:p>
    <w:p w14:paraId="77244A93">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⑦加强焚烧烟气处理工序的安全措施，一旦烟气处理系统出现异常，自动报警系统自动报警。此时停止所有可燃物进入，燃烧炉进入关闭程序，打开二次燃烧室的减压阀。金属装置接地，减少由静电产生的火灾。</w:t>
      </w:r>
      <w:r>
        <w:rPr>
          <w:rFonts w:hint="eastAsia" w:ascii="Times New Roman" w:hAnsi="Times New Roman" w:cs="Times New Roman" w:eastAsiaTheme="minorEastAsia"/>
          <w:sz w:val="24"/>
          <w:lang w:val="en-US" w:eastAsia="zh-CN"/>
        </w:rPr>
        <w:t>卧式高温焚烧炉</w:t>
      </w:r>
      <w:r>
        <w:rPr>
          <w:rFonts w:hint="default" w:ascii="Times New Roman" w:hAnsi="Times New Roman" w:cs="Times New Roman" w:eastAsiaTheme="minorEastAsia"/>
          <w:sz w:val="24"/>
          <w:lang w:val="en-US" w:eastAsia="zh-CN"/>
        </w:rPr>
        <w:t>的燃烧段必须保证温度达到工艺要求，使废物充分燃烧。</w:t>
      </w:r>
    </w:p>
    <w:p w14:paraId="1E928059">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⑧减少</w:t>
      </w:r>
      <w:r>
        <w:rPr>
          <w:rFonts w:hint="eastAsia" w:ascii="Times New Roman" w:hAnsi="Times New Roman" w:cs="Times New Roman" w:eastAsiaTheme="minorEastAsia"/>
          <w:sz w:val="24"/>
          <w:lang w:val="en-US" w:eastAsia="zh-CN"/>
        </w:rPr>
        <w:t>卧式高温焚烧炉</w:t>
      </w:r>
      <w:r>
        <w:rPr>
          <w:rFonts w:hint="default" w:ascii="Times New Roman" w:hAnsi="Times New Roman" w:cs="Times New Roman" w:eastAsiaTheme="minorEastAsia"/>
          <w:sz w:val="24"/>
          <w:lang w:val="en-US" w:eastAsia="zh-CN"/>
        </w:rPr>
        <w:t>启动、停车过程的时间。启动时采取辅助燃料将炉内温度快速升高；停车时，可以适当加入辅助燃料辅助燃烧，以保证炉膛温度，等到垃圾均充分燃烧后，再停止辅助燃料的燃烧，然后逐步降温。</w:t>
      </w:r>
    </w:p>
    <w:p w14:paraId="5E66B55D">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（2）减少烟气事故排放的措施</w:t>
      </w:r>
    </w:p>
    <w:p w14:paraId="71EEDC8B">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①半干法除酸系统故障防范措施</w:t>
      </w:r>
    </w:p>
    <w:p w14:paraId="4BAAF80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在生产过程中加强对喷射系统的检修工作，确保其正常运行。在发生故障的情况下，尽可能减少更换时间，减轻事故排放对环境的影响。</w:t>
      </w:r>
    </w:p>
    <w:p w14:paraId="3A20DFE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②</w:t>
      </w:r>
      <w:r>
        <w:rPr>
          <w:rFonts w:hint="eastAsia" w:ascii="Times New Roman" w:hAnsi="Times New Roman" w:cs="Times New Roman" w:eastAsiaTheme="minorEastAsia"/>
          <w:sz w:val="24"/>
          <w:lang w:val="en-US" w:eastAsia="zh-CN"/>
        </w:rPr>
        <w:t>消石灰</w:t>
      </w:r>
      <w:r>
        <w:rPr>
          <w:rFonts w:hint="default" w:ascii="Times New Roman" w:hAnsi="Times New Roman" w:cs="Times New Roman" w:eastAsiaTheme="minorEastAsia"/>
          <w:sz w:val="24"/>
          <w:lang w:val="en-US" w:eastAsia="zh-CN"/>
        </w:rPr>
        <w:t>粉喷射系统故障防范措施</w:t>
      </w:r>
    </w:p>
    <w:p w14:paraId="0396885D">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焚烧过程中要确保</w:t>
      </w:r>
      <w:r>
        <w:rPr>
          <w:rFonts w:hint="eastAsia" w:ascii="Times New Roman" w:hAnsi="Times New Roman" w:cs="Times New Roman" w:eastAsiaTheme="minorEastAsia"/>
          <w:sz w:val="24"/>
          <w:lang w:val="en-US" w:eastAsia="zh-CN"/>
        </w:rPr>
        <w:t>消石灰</w:t>
      </w:r>
      <w:r>
        <w:rPr>
          <w:rFonts w:hint="default" w:ascii="Times New Roman" w:hAnsi="Times New Roman" w:cs="Times New Roman" w:eastAsiaTheme="minorEastAsia"/>
          <w:sz w:val="24"/>
          <w:lang w:val="en-US" w:eastAsia="zh-CN"/>
        </w:rPr>
        <w:t>喷射系统的正常运行，保证对酸性气体的进一步净化作用。本系统进行自动控制和实时监控，根据HCl/SO</w:t>
      </w:r>
      <w:r>
        <w:rPr>
          <w:rFonts w:hint="default" w:ascii="Times New Roman" w:hAnsi="Times New Roman" w:cs="Times New Roman" w:eastAsiaTheme="minorEastAsia"/>
          <w:sz w:val="24"/>
          <w:vertAlign w:val="subscript"/>
          <w:lang w:val="en-US" w:eastAsia="zh-CN"/>
        </w:rPr>
        <w:t>2</w:t>
      </w:r>
      <w:r>
        <w:rPr>
          <w:rFonts w:hint="default" w:ascii="Times New Roman" w:hAnsi="Times New Roman" w:cs="Times New Roman" w:eastAsiaTheme="minorEastAsia"/>
          <w:sz w:val="24"/>
          <w:lang w:val="en-US" w:eastAsia="zh-CN"/>
        </w:rPr>
        <w:t>的排放值控制氢氧化钙的喷射量，确保酸性气体达标排放。</w:t>
      </w:r>
    </w:p>
    <w:p w14:paraId="37353D69">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③活性炭喷射系统故障防范措施</w:t>
      </w:r>
    </w:p>
    <w:p w14:paraId="1A2B7CB5">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焚烧过程中要确保活性炭喷射系统的正常运行，保证对重金属、二噁英类等的吸附作用。活性炭喷射系统进行自动控制和实时监控，平时加强风机的保养工作，减少风机损坏的可能性。一旦出现活性炭喷射系统故障和风机损坏，及时更换备件和启用备用风机；加上后续布袋过滤器表面积有活性炭反应层，对重金属、二噁英类等的吸附仍然有效。因此，活性炭喷射系统短时间故障不会对重金属、二噁英类去除产生很大的影响。</w:t>
      </w:r>
    </w:p>
    <w:p w14:paraId="5E5F4FE0">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④布袋除尘器泄漏故障防范措施</w:t>
      </w:r>
    </w:p>
    <w:p w14:paraId="75097836">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正常情况下，布袋可在停炉检修时按使用周期成批更换，保证过滤效率。一旦运行过程中布袋发生泄漏，在线监测仪可根据浓度变化立即发现，可逐一隔离检查更换，不会造成烟尘超标。</w:t>
      </w:r>
    </w:p>
    <w:p w14:paraId="5CEF5D27">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⑤除二噁英类系统故障防范措施</w:t>
      </w:r>
    </w:p>
    <w:p w14:paraId="07D97A4E">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控制二噁英类主要是控制炉温在850℃</w:t>
      </w:r>
      <w:r>
        <w:rPr>
          <w:rFonts w:hint="eastAsia" w:ascii="Times New Roman" w:hAnsi="Times New Roman" w:cs="Times New Roman" w:eastAsiaTheme="minorEastAsia"/>
          <w:sz w:val="24"/>
          <w:lang w:val="en-US" w:eastAsia="zh-CN"/>
        </w:rPr>
        <w:t>，二燃室温度在1100</w:t>
      </w:r>
      <w:r>
        <w:rPr>
          <w:rFonts w:hint="default" w:ascii="Times New Roman" w:hAnsi="Times New Roman" w:cs="Times New Roman" w:eastAsiaTheme="minorEastAsia"/>
          <w:sz w:val="24"/>
          <w:lang w:val="en-US" w:eastAsia="zh-CN"/>
        </w:rPr>
        <w:t>℃，且烟气停留时间在2s以上，运行过程中应通过自动控制系统，确保炉温和烟气停留时间在正常设计要求范围内，确保二噁英类的有效控制。由于以上故障的发生率很低和排除故障的时间较短，超标的可能性不大。二噁英类净化发生故障，是指活性炭喷射故障或布袋泄漏，两者同时发生故障的可能性极小，因此可以保持一定的二噁英类净化效率。当发生故障时，应尽量缩短设备更换时间，减轻事故状态下二噁英类排放对环境的影响。</w:t>
      </w:r>
    </w:p>
    <w:p w14:paraId="154CA090">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⑥设置备用风机和泵类，设备损坏和污染治理措施失效时立即停产，及时抢修。</w:t>
      </w:r>
    </w:p>
    <w:p w14:paraId="6239114D">
      <w:pPr>
        <w:adjustRightInd w:val="0"/>
        <w:snapToGrid w:val="0"/>
        <w:spacing w:line="500" w:lineRule="exact"/>
        <w:jc w:val="left"/>
        <w:rPr>
          <w:rFonts w:hint="default" w:ascii="Times New Roman" w:hAnsi="Times New Roman" w:cs="Times New Roman" w:eastAsiaTheme="minorEastAsia"/>
          <w:b/>
          <w:bCs/>
          <w:sz w:val="24"/>
          <w:lang w:val="en-US" w:eastAsia="zh-CN"/>
        </w:rPr>
      </w:pPr>
      <w:bookmarkStart w:id="297" w:name="_Toc28896"/>
      <w:r>
        <w:rPr>
          <w:rFonts w:hint="eastAsia" w:ascii="Times New Roman" w:hAnsi="Times New Roman" w:cs="Times New Roman" w:eastAsiaTheme="minorEastAsia"/>
          <w:b/>
          <w:bCs/>
          <w:sz w:val="24"/>
          <w:lang w:val="en-US" w:eastAsia="zh-CN"/>
        </w:rPr>
        <w:t>5.8.3.4</w:t>
      </w:r>
      <w:r>
        <w:rPr>
          <w:rFonts w:hint="default" w:ascii="Times New Roman" w:hAnsi="Times New Roman" w:cs="Times New Roman" w:eastAsiaTheme="minorEastAsia"/>
          <w:b/>
          <w:bCs/>
          <w:sz w:val="24"/>
          <w:lang w:val="en-US" w:eastAsia="zh-CN"/>
        </w:rPr>
        <w:t xml:space="preserve"> 油罐区风险防范措施</w:t>
      </w:r>
      <w:bookmarkEnd w:id="297"/>
    </w:p>
    <w:p w14:paraId="26698BEE">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拟建项目在厂区内设置1个</w:t>
      </w:r>
      <w:r>
        <w:rPr>
          <w:rFonts w:hint="eastAsia" w:ascii="Times New Roman" w:hAnsi="Times New Roman" w:cs="Times New Roman"/>
          <w:sz w:val="24"/>
          <w:highlight w:val="none"/>
          <w:lang w:val="en-US" w:eastAsia="zh-CN"/>
        </w:rPr>
        <w:t>3</w:t>
      </w:r>
      <w:r>
        <w:rPr>
          <w:rFonts w:hint="default" w:ascii="Times New Roman" w:hAnsi="Times New Roman" w:cs="Times New Roman" w:eastAsiaTheme="minorEastAsia"/>
          <w:sz w:val="24"/>
          <w:highlight w:val="none"/>
          <w:lang w:val="en-US" w:eastAsia="zh-CN"/>
        </w:rPr>
        <w:t>m</w:t>
      </w:r>
      <w:r>
        <w:rPr>
          <w:rFonts w:hint="default" w:ascii="Times New Roman" w:hAnsi="Times New Roman" w:cs="Times New Roman" w:eastAsiaTheme="minorEastAsia"/>
          <w:sz w:val="24"/>
          <w:highlight w:val="none"/>
          <w:vertAlign w:val="superscript"/>
          <w:lang w:val="en-US" w:eastAsia="zh-CN"/>
        </w:rPr>
        <w:t>3</w:t>
      </w:r>
      <w:r>
        <w:rPr>
          <w:rFonts w:hint="default" w:ascii="Times New Roman" w:hAnsi="Times New Roman" w:cs="Times New Roman" w:eastAsiaTheme="minorEastAsia"/>
          <w:sz w:val="24"/>
          <w:highlight w:val="none"/>
          <w:lang w:val="en-US" w:eastAsia="zh-CN"/>
        </w:rPr>
        <w:t>的柴油地上式储罐，针对柴油罐区可能发生的泄漏事故，建设方在柴油储罐区设置有围堰，围堰内有效容积</w:t>
      </w:r>
      <w:r>
        <w:rPr>
          <w:rFonts w:hint="eastAsia" w:ascii="Times New Roman" w:hAnsi="Times New Roman" w:cs="Times New Roman"/>
          <w:sz w:val="24"/>
          <w:highlight w:val="none"/>
          <w:lang w:val="en-US" w:eastAsia="zh-CN"/>
        </w:rPr>
        <w:t>3</w:t>
      </w:r>
      <w:r>
        <w:rPr>
          <w:rFonts w:hint="default" w:ascii="Times New Roman" w:hAnsi="Times New Roman" w:cs="Times New Roman" w:eastAsiaTheme="minorEastAsia"/>
          <w:sz w:val="24"/>
          <w:highlight w:val="none"/>
          <w:lang w:val="en-US" w:eastAsia="zh-CN"/>
        </w:rPr>
        <w:t>m</w:t>
      </w:r>
      <w:r>
        <w:rPr>
          <w:rFonts w:hint="default"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在柴油的储运和使用管理中为避免风险事故的发生，还应做到：</w:t>
      </w:r>
    </w:p>
    <w:p w14:paraId="3132FCE0">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（1）柴油储罐应按有关规范进行设计、制造，并经有关部门进行安全检验合格后方可投入使用。</w:t>
      </w:r>
    </w:p>
    <w:p w14:paraId="3AF2E01E">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（2）柴油储罐区设围堰，周围地面采取硬化措施及事故导流措施，</w:t>
      </w:r>
      <w:r>
        <w:rPr>
          <w:rFonts w:hint="eastAsia" w:ascii="Times New Roman" w:hAnsi="Times New Roman" w:cs="Times New Roman" w:eastAsiaTheme="minorEastAsia"/>
          <w:sz w:val="24"/>
          <w:highlight w:val="none"/>
          <w:lang w:val="en-US" w:eastAsia="zh-CN"/>
        </w:rPr>
        <w:t>厂区设事故</w:t>
      </w:r>
      <w:r>
        <w:rPr>
          <w:rFonts w:hint="default" w:ascii="Times New Roman" w:hAnsi="Times New Roman" w:cs="Times New Roman" w:eastAsiaTheme="minorEastAsia"/>
          <w:sz w:val="24"/>
          <w:highlight w:val="none"/>
          <w:lang w:val="en-US" w:eastAsia="zh-CN"/>
        </w:rPr>
        <w:t>池，储罐区应配备必要的应急物资，确保一旦发生事故，应有充分的应急能力，以遏制事故的扩大，减少对环境可能带来的危害。</w:t>
      </w:r>
    </w:p>
    <w:p w14:paraId="2E42B7A7">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（3）加强设备管理维护以及人员安全素质培训。</w:t>
      </w:r>
    </w:p>
    <w:p w14:paraId="2763B2F1">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（4）建设方应制定严格的操作规程，加强安全监督和管理，</w:t>
      </w:r>
      <w:r>
        <w:rPr>
          <w:rFonts w:hint="eastAsia" w:ascii="Times New Roman" w:hAnsi="Times New Roman" w:cs="Times New Roman"/>
          <w:sz w:val="24"/>
          <w:highlight w:val="none"/>
          <w:lang w:val="en-US" w:eastAsia="zh-CN"/>
        </w:rPr>
        <w:t>增强</w:t>
      </w:r>
      <w:r>
        <w:rPr>
          <w:rFonts w:hint="default" w:ascii="Times New Roman" w:hAnsi="Times New Roman" w:cs="Times New Roman" w:eastAsiaTheme="minorEastAsia"/>
          <w:sz w:val="24"/>
          <w:highlight w:val="none"/>
          <w:lang w:val="en-US" w:eastAsia="zh-CN"/>
        </w:rPr>
        <w:t>职工的安全意识和环保意识，保证生产系统的安全性，防止事故的发生。</w:t>
      </w:r>
    </w:p>
    <w:p w14:paraId="686B0C8F">
      <w:pPr>
        <w:adjustRightInd w:val="0"/>
        <w:snapToGrid w:val="0"/>
        <w:spacing w:line="500" w:lineRule="exact"/>
        <w:jc w:val="left"/>
        <w:rPr>
          <w:rFonts w:hint="default" w:ascii="Times New Roman" w:hAnsi="Times New Roman" w:cs="Times New Roman" w:eastAsiaTheme="minorEastAsia"/>
          <w:b/>
          <w:bCs/>
          <w:sz w:val="24"/>
          <w:lang w:val="en-US" w:eastAsia="zh-CN"/>
        </w:rPr>
      </w:pPr>
      <w:bookmarkStart w:id="298" w:name="_Toc21566"/>
      <w:r>
        <w:rPr>
          <w:rFonts w:hint="eastAsia" w:ascii="Times New Roman" w:hAnsi="Times New Roman" w:cs="Times New Roman" w:eastAsiaTheme="minorEastAsia"/>
          <w:b/>
          <w:bCs/>
          <w:sz w:val="24"/>
          <w:lang w:val="en-US" w:eastAsia="zh-CN"/>
        </w:rPr>
        <w:t>5.8.3.5</w:t>
      </w:r>
      <w:r>
        <w:rPr>
          <w:rFonts w:hint="default" w:ascii="Times New Roman" w:hAnsi="Times New Roman" w:cs="Times New Roman" w:eastAsiaTheme="minorEastAsia"/>
          <w:b/>
          <w:bCs/>
          <w:sz w:val="24"/>
          <w:lang w:val="en-US" w:eastAsia="zh-CN"/>
        </w:rPr>
        <w:t xml:space="preserve"> </w:t>
      </w:r>
      <w:r>
        <w:rPr>
          <w:rFonts w:hint="eastAsia" w:ascii="Times New Roman" w:hAnsi="Times New Roman" w:cs="Times New Roman" w:eastAsiaTheme="minorEastAsia"/>
          <w:b/>
          <w:bCs/>
          <w:sz w:val="24"/>
          <w:lang w:val="en-US" w:eastAsia="zh-CN"/>
        </w:rPr>
        <w:t>卧式高温焚烧炉</w:t>
      </w:r>
      <w:r>
        <w:rPr>
          <w:rFonts w:hint="default" w:ascii="Times New Roman" w:hAnsi="Times New Roman" w:cs="Times New Roman" w:eastAsiaTheme="minorEastAsia"/>
          <w:b/>
          <w:bCs/>
          <w:sz w:val="24"/>
          <w:lang w:val="en-US" w:eastAsia="zh-CN"/>
        </w:rPr>
        <w:t>内因CO量过大造成爆炸事故的防范措施</w:t>
      </w:r>
      <w:bookmarkEnd w:id="298"/>
    </w:p>
    <w:p w14:paraId="0E268023">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为避免</w:t>
      </w:r>
      <w:r>
        <w:rPr>
          <w:rFonts w:hint="eastAsia" w:ascii="Times New Roman" w:hAnsi="Times New Roman" w:cs="Times New Roman" w:eastAsiaTheme="minorEastAsia"/>
          <w:sz w:val="24"/>
          <w:highlight w:val="none"/>
          <w:lang w:val="en-US" w:eastAsia="zh-CN"/>
        </w:rPr>
        <w:t>卧式高温焚烧炉</w:t>
      </w:r>
      <w:r>
        <w:rPr>
          <w:rFonts w:hint="default" w:ascii="Times New Roman" w:hAnsi="Times New Roman" w:cs="Times New Roman" w:eastAsiaTheme="minorEastAsia"/>
          <w:sz w:val="24"/>
          <w:highlight w:val="none"/>
          <w:lang w:val="en-US" w:eastAsia="zh-CN"/>
        </w:rPr>
        <w:t>内因CO量过大造成爆炸事故，可采取防范、减缓和应急措施有：</w:t>
      </w:r>
    </w:p>
    <w:p w14:paraId="31FA4D61">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（1）通过监测炉内含氧量而得出燃烧不完全的情况，适时调整燃烧，使医疗废物尽可能充分地燃烧；</w:t>
      </w:r>
    </w:p>
    <w:p w14:paraId="4ABE21AF">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（2）引风机与送风机联锁，一旦引风机故障停机，送风机也必须停机，同时停炉；</w:t>
      </w:r>
    </w:p>
    <w:p w14:paraId="52AA4639">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（3）注意监视炉膛负压，防止出现正压；</w:t>
      </w:r>
    </w:p>
    <w:p w14:paraId="0FB199D5">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（4）若不幸发生炉内爆炸事故而停炉，应立即停止送风并加大引风机抽风一段时间。</w:t>
      </w:r>
    </w:p>
    <w:p w14:paraId="33C844A6">
      <w:pPr>
        <w:adjustRightInd w:val="0"/>
        <w:snapToGrid w:val="0"/>
        <w:spacing w:line="500" w:lineRule="exact"/>
        <w:jc w:val="left"/>
        <w:rPr>
          <w:rFonts w:hint="default" w:ascii="Times New Roman" w:hAnsi="Times New Roman" w:cs="Times New Roman" w:eastAsiaTheme="minorEastAsia"/>
          <w:b/>
          <w:bCs/>
          <w:sz w:val="24"/>
          <w:lang w:val="en-US" w:eastAsia="zh-CN"/>
        </w:rPr>
      </w:pPr>
      <w:bookmarkStart w:id="299" w:name="_Toc28962"/>
      <w:r>
        <w:rPr>
          <w:rFonts w:hint="eastAsia" w:ascii="Times New Roman" w:hAnsi="Times New Roman" w:cs="Times New Roman" w:eastAsiaTheme="minorEastAsia"/>
          <w:b/>
          <w:bCs/>
          <w:sz w:val="24"/>
          <w:lang w:val="en-US" w:eastAsia="zh-CN"/>
        </w:rPr>
        <w:t>5.8.3.6</w:t>
      </w:r>
      <w:r>
        <w:rPr>
          <w:rFonts w:hint="default" w:ascii="Times New Roman" w:hAnsi="Times New Roman" w:cs="Times New Roman" w:eastAsiaTheme="minorEastAsia"/>
          <w:b/>
          <w:bCs/>
          <w:sz w:val="24"/>
          <w:lang w:val="en-US" w:eastAsia="zh-CN"/>
        </w:rPr>
        <w:t xml:space="preserve"> 重大传染病疫情期间医疗废物处置特殊要求</w:t>
      </w:r>
      <w:bookmarkEnd w:id="299"/>
    </w:p>
    <w:p w14:paraId="1C2E626C">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在国务院卫生行政主管部门发布的重大传染病疫情期间，按照《中华人民共和国传染病防治法》</w:t>
      </w:r>
      <w:r>
        <w:rPr>
          <w:rFonts w:hint="eastAsia" w:ascii="Times New Roman" w:hAnsi="Times New Roman" w:cs="Times New Roman"/>
          <w:sz w:val="24"/>
          <w:highlight w:val="none"/>
          <w:lang w:val="en-US" w:eastAsia="zh-CN"/>
        </w:rPr>
        <w:t>第二十四条</w:t>
      </w:r>
      <w:r>
        <w:rPr>
          <w:rFonts w:hint="default" w:ascii="Times New Roman" w:hAnsi="Times New Roman" w:cs="Times New Roman" w:eastAsiaTheme="minorEastAsia"/>
          <w:sz w:val="24"/>
          <w:highlight w:val="none"/>
          <w:lang w:val="en-US" w:eastAsia="zh-CN"/>
        </w:rPr>
        <w:t>第（一）项中规定需要隔离治疗的甲类传染病和乙类传染病中的艾滋病病人、炭疽中的肺炭疽病以及国务院卫生行政部门根据情况增加的其他需要隔离治疗的甲类或乙类（如SARS）传染病的病人、疑似病人在治疗、隔离观察、诊断及其相关活动中产生的高度感染性医疗废物的集中处置，应采取以下措施：</w:t>
      </w:r>
    </w:p>
    <w:p w14:paraId="5348DA3F">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（1）分类收集、暂时贮存</w:t>
      </w:r>
    </w:p>
    <w:p w14:paraId="3C0E2FDF">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①医疗废物应由专人收集、双层包装，包装袋应特别注明是高度感染性废物。</w:t>
      </w:r>
    </w:p>
    <w:p w14:paraId="658157E0">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②医疗卫生机构医疗废物的暂时贮存场所应为专场存放、专人管理，不能与一般医疗废物和生活垃圾混放、混装。暂时贮存场所由专人使用0.2%～0.5%过氧乙酸或1000mg/</w:t>
      </w:r>
      <w:r>
        <w:rPr>
          <w:rFonts w:hint="eastAsia" w:ascii="Times New Roman" w:hAnsi="Times New Roman" w:cs="Times New Roman"/>
          <w:sz w:val="24"/>
          <w:highlight w:val="none"/>
          <w:lang w:val="en-US" w:eastAsia="zh-CN"/>
        </w:rPr>
        <w:t>L</w:t>
      </w:r>
      <w:r>
        <w:rPr>
          <w:rFonts w:hint="default" w:ascii="Times New Roman" w:hAnsi="Times New Roman" w:cs="Times New Roman" w:eastAsiaTheme="minorEastAsia"/>
          <w:sz w:val="24"/>
          <w:highlight w:val="none"/>
          <w:lang w:val="en-US" w:eastAsia="zh-CN"/>
        </w:rPr>
        <w:t>～2000mg/</w:t>
      </w:r>
      <w:r>
        <w:rPr>
          <w:rFonts w:hint="eastAsia" w:ascii="Times New Roman" w:hAnsi="Times New Roman" w:cs="Times New Roman"/>
          <w:sz w:val="24"/>
          <w:highlight w:val="none"/>
          <w:lang w:val="en-US" w:eastAsia="zh-CN"/>
        </w:rPr>
        <w:t>L</w:t>
      </w:r>
      <w:r>
        <w:rPr>
          <w:rFonts w:hint="default" w:ascii="Times New Roman" w:hAnsi="Times New Roman" w:cs="Times New Roman" w:eastAsiaTheme="minorEastAsia"/>
          <w:sz w:val="24"/>
          <w:highlight w:val="none"/>
          <w:lang w:val="en-US" w:eastAsia="zh-CN"/>
        </w:rPr>
        <w:t>含氯消毒剂喷洒墙壁或拖地消毒，每天上下午各一次。</w:t>
      </w:r>
    </w:p>
    <w:p w14:paraId="4C9E4776">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（2）运送和处置</w:t>
      </w:r>
    </w:p>
    <w:p w14:paraId="5D28A186">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①处置单位在运送医疗废物时必须使用固定专用车辆，由专人负责，并且不得与其他医疗废物混装、混运。运送时间应错开上下班高峰期，运送路线要避开人口稠密地区；运送车辆每次卸载完毕，必须使用0.5%过氧乙酸喷洒消毒。</w:t>
      </w:r>
    </w:p>
    <w:p w14:paraId="76CBD7D4">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②医疗废物采用焚烧工艺时，运抵处置场所的医疗废物尽可能做到随到随处置，在处置单位的暂时贮存时间最多不得超过12小时。</w:t>
      </w:r>
    </w:p>
    <w:p w14:paraId="5707255A">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③处置中心内必须设置医疗废物处置的隔离区，隔离区应有明显的标识，无关人员不得进入。</w:t>
      </w:r>
    </w:p>
    <w:p w14:paraId="7F58C49A">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④处置中心隔离区必须由专人使用0.2%～0.5%过氧乙酸或1000mg/L～2000mg/L 含氯消毒剂对墙壁、地面或物体表面喷洒或拖地消毒，每天上下午各一次。</w:t>
      </w:r>
    </w:p>
    <w:p w14:paraId="7A1961EA">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（3）人员卫生防护</w:t>
      </w:r>
    </w:p>
    <w:p w14:paraId="4968AAD7">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①运送及焚烧处置装置操作人员的防护要求应达到卫生部门规定的一级防护要求，即必须穿工作服、防护靴、戴工作帽和防护口罩，近距离处置废物的人员还应戴护目镜。</w:t>
      </w:r>
    </w:p>
    <w:p w14:paraId="7BB2A037">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②每次运送或处置操作完毕后立即进行手清洗和消毒，并洗澡。手消毒用0.3%～0.5%碘伏消毒液或快速手消毒剂揉搓1～3分钟。</w:t>
      </w:r>
    </w:p>
    <w:p w14:paraId="33F0D635">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（4）应急处置要求</w:t>
      </w:r>
    </w:p>
    <w:p w14:paraId="1B990463">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当医疗废物集中处置单位的处置能力无法满足疫情期间医疗废物处置要求时， 经生态环境部门批准，可采用其他应急医疗废物处置设施，增加临时医疗废物处理能力。</w:t>
      </w:r>
    </w:p>
    <w:p w14:paraId="32549668">
      <w:pPr>
        <w:adjustRightInd w:val="0"/>
        <w:snapToGrid w:val="0"/>
        <w:spacing w:line="500" w:lineRule="exact"/>
        <w:jc w:val="left"/>
        <w:rPr>
          <w:rFonts w:hint="default" w:ascii="Times New Roman" w:hAnsi="Times New Roman" w:cs="Times New Roman" w:eastAsiaTheme="minorEastAsia"/>
          <w:b/>
          <w:bCs/>
          <w:sz w:val="24"/>
          <w:lang w:val="en-US" w:eastAsia="zh-CN"/>
        </w:rPr>
      </w:pPr>
      <w:bookmarkStart w:id="300" w:name="_Toc25073"/>
      <w:r>
        <w:rPr>
          <w:rFonts w:hint="eastAsia" w:ascii="Times New Roman" w:hAnsi="Times New Roman" w:cs="Times New Roman" w:eastAsiaTheme="minorEastAsia"/>
          <w:b/>
          <w:bCs/>
          <w:sz w:val="24"/>
          <w:lang w:val="en-US" w:eastAsia="zh-CN"/>
        </w:rPr>
        <w:t>5.8.3.7</w:t>
      </w:r>
      <w:r>
        <w:rPr>
          <w:rFonts w:hint="default" w:ascii="Times New Roman" w:hAnsi="Times New Roman" w:cs="Times New Roman" w:eastAsiaTheme="minorEastAsia"/>
          <w:b/>
          <w:bCs/>
          <w:sz w:val="24"/>
          <w:lang w:val="en-US" w:eastAsia="zh-CN"/>
        </w:rPr>
        <w:t xml:space="preserve"> 建立环境风险防控体系</w:t>
      </w:r>
      <w:bookmarkEnd w:id="300"/>
    </w:p>
    <w:p w14:paraId="07160DA8">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sz w:val="24"/>
          <w:highlight w:val="none"/>
          <w:lang w:val="en-US" w:eastAsia="zh-CN"/>
        </w:rPr>
        <w:t>（1）</w:t>
      </w:r>
      <w:r>
        <w:rPr>
          <w:rFonts w:hint="default" w:ascii="Times New Roman" w:hAnsi="Times New Roman" w:cs="Times New Roman" w:eastAsiaTheme="minorEastAsia"/>
          <w:sz w:val="24"/>
          <w:highlight w:val="none"/>
          <w:lang w:val="en-US" w:eastAsia="zh-CN"/>
        </w:rPr>
        <w:t>废气事故环境风险体系的建设</w:t>
      </w:r>
    </w:p>
    <w:p w14:paraId="5CB75C63">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1）对热解系统各设备的定期检修和更换零部件是减少事故发生的重要防范措施。</w:t>
      </w:r>
    </w:p>
    <w:p w14:paraId="3CFCD5A9">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2）</w:t>
      </w:r>
      <w:r>
        <w:rPr>
          <w:rFonts w:hint="eastAsia" w:ascii="Times New Roman" w:hAnsi="Times New Roman" w:cs="Times New Roman" w:eastAsiaTheme="minorEastAsia"/>
          <w:sz w:val="24"/>
          <w:highlight w:val="none"/>
          <w:lang w:val="en-US" w:eastAsia="zh-CN"/>
        </w:rPr>
        <w:t>卧式高温焚烧炉</w:t>
      </w:r>
      <w:r>
        <w:rPr>
          <w:rFonts w:hint="default" w:ascii="Times New Roman" w:hAnsi="Times New Roman" w:cs="Times New Roman" w:eastAsiaTheme="minorEastAsia"/>
          <w:sz w:val="24"/>
          <w:highlight w:val="none"/>
          <w:lang w:val="en-US" w:eastAsia="zh-CN"/>
        </w:rPr>
        <w:t>必须配备自动控制和监测系统，在线显示运行工况和尾气排放参数，并能够自动反馈，对进料速率等工艺参数进行自动调节。确保烟气在二燃室850℃以上停留时间大于2s，热解残渣的热灼减率小于5%，燃烧效率大于99.99%，</w:t>
      </w:r>
      <w:r>
        <w:rPr>
          <w:rFonts w:hint="eastAsia" w:ascii="Times New Roman" w:hAnsi="Times New Roman" w:cs="Times New Roman" w:eastAsiaTheme="minorEastAsia"/>
          <w:sz w:val="24"/>
          <w:highlight w:val="none"/>
          <w:lang w:val="en-US" w:eastAsia="zh-CN"/>
        </w:rPr>
        <w:t>卧式高温焚烧炉</w:t>
      </w:r>
      <w:r>
        <w:rPr>
          <w:rFonts w:hint="default" w:ascii="Times New Roman" w:hAnsi="Times New Roman" w:cs="Times New Roman" w:eastAsiaTheme="minorEastAsia"/>
          <w:sz w:val="24"/>
          <w:highlight w:val="none"/>
          <w:lang w:val="en-US" w:eastAsia="zh-CN"/>
        </w:rPr>
        <w:t>出口烟气中氧气含量达到6%～1</w:t>
      </w:r>
      <w:r>
        <w:rPr>
          <w:rFonts w:hint="eastAsia" w:ascii="Times New Roman" w:hAnsi="Times New Roman" w:cs="Times New Roman" w:eastAsiaTheme="minorEastAsia"/>
          <w:sz w:val="24"/>
          <w:highlight w:val="none"/>
          <w:lang w:val="en-US" w:eastAsia="zh-CN"/>
        </w:rPr>
        <w:t>1</w:t>
      </w:r>
      <w:r>
        <w:rPr>
          <w:rFonts w:hint="default" w:ascii="Times New Roman" w:hAnsi="Times New Roman" w:cs="Times New Roman" w:eastAsiaTheme="minorEastAsia"/>
          <w:sz w:val="24"/>
          <w:highlight w:val="none"/>
          <w:lang w:val="en-US" w:eastAsia="zh-CN"/>
        </w:rPr>
        <w:t>%（干烟气）。</w:t>
      </w:r>
    </w:p>
    <w:p w14:paraId="39A14F19">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3）保护装置：自动控制系统安装有停电保护、过载保护、线路故障报警误操作等安全保护装置；要求热解系统双路供电，以防止停电后烟气外溢。同时</w:t>
      </w:r>
      <w:r>
        <w:rPr>
          <w:rFonts w:hint="eastAsia" w:ascii="Times New Roman" w:hAnsi="Times New Roman" w:cs="Times New Roman"/>
          <w:sz w:val="24"/>
          <w:highlight w:val="none"/>
          <w:lang w:val="en-US" w:eastAsia="zh-CN"/>
        </w:rPr>
        <w:t>设计</w:t>
      </w:r>
      <w:r>
        <w:rPr>
          <w:rFonts w:hint="default" w:ascii="Times New Roman" w:hAnsi="Times New Roman" w:cs="Times New Roman" w:eastAsiaTheme="minorEastAsia"/>
          <w:sz w:val="24"/>
          <w:highlight w:val="none"/>
          <w:lang w:val="en-US" w:eastAsia="zh-CN"/>
        </w:rPr>
        <w:t>安装灭火器；系统中主要设备备用，防止因设备突然损坏，造成整套系统被迫停机，产生二次污染。</w:t>
      </w:r>
    </w:p>
    <w:p w14:paraId="0643BBAC">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4）活性炭、</w:t>
      </w:r>
      <w:r>
        <w:rPr>
          <w:rFonts w:hint="eastAsia" w:ascii="Times New Roman" w:hAnsi="Times New Roman" w:cs="Times New Roman" w:eastAsiaTheme="minorEastAsia"/>
          <w:sz w:val="24"/>
          <w:highlight w:val="none"/>
          <w:lang w:val="en-US" w:eastAsia="zh-CN"/>
        </w:rPr>
        <w:t>消</w:t>
      </w:r>
      <w:r>
        <w:rPr>
          <w:rFonts w:hint="default" w:ascii="Times New Roman" w:hAnsi="Times New Roman" w:cs="Times New Roman" w:eastAsiaTheme="minorEastAsia"/>
          <w:sz w:val="24"/>
          <w:highlight w:val="none"/>
          <w:lang w:val="en-US" w:eastAsia="zh-CN"/>
        </w:rPr>
        <w:t>石灰喷射系统故障防范措施</w:t>
      </w:r>
    </w:p>
    <w:p w14:paraId="1298ABAF">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活性炭、石灰粉喷射系统进行自动控制和实时控制，平时加强风机的保养工作，减少风机损坏的可能性。一旦出现活性炭、石灰粉喷射系统故障和风机损坏，及时更换备件和启用备用风机。同时后续布袋过滤器表面有活性炭反应层，对重金属、二噁英等的吸附仍然有效。因此活性炭、石灰粉喷射系统短时间故障不会对重金属、二噁英的去除效率产生大的影响。</w:t>
      </w:r>
    </w:p>
    <w:p w14:paraId="1516B3B9">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5）布袋除尘器故障防范措施</w:t>
      </w:r>
    </w:p>
    <w:p w14:paraId="0BABE80C">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正常情况下，布袋可在停炉检修时按使用周期成批更换，保证过滤效率。安装在线监测仪，一旦运行过程中布袋发生泄漏，在线监测仪可根据浓度变化立即发现。可逐一排查更换，不会造成长时间烟尘超标排放而影响外环境。</w:t>
      </w:r>
    </w:p>
    <w:p w14:paraId="430D1C92">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6）脱酸塔处理系统故障防范措施</w:t>
      </w:r>
    </w:p>
    <w:p w14:paraId="6EEE5F1E">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脱酸塔各设备配件定期检修、维修，防止泵堵塞等故障导致酸性气体处理效果下降。</w:t>
      </w:r>
    </w:p>
    <w:p w14:paraId="37C4962C">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7）设置备用风机和泵类，设备损坏和污染治理措施失效时立即停产，及时抢修</w:t>
      </w:r>
    </w:p>
    <w:p w14:paraId="64FD20F4">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sz w:val="24"/>
          <w:highlight w:val="none"/>
          <w:lang w:val="en-US" w:eastAsia="zh-CN"/>
        </w:rPr>
        <w:t>（2）</w:t>
      </w:r>
      <w:r>
        <w:rPr>
          <w:rFonts w:hint="default" w:ascii="Times New Roman" w:hAnsi="Times New Roman" w:cs="Times New Roman" w:eastAsiaTheme="minorEastAsia"/>
          <w:sz w:val="24"/>
          <w:highlight w:val="none"/>
          <w:lang w:val="en-US" w:eastAsia="zh-CN"/>
        </w:rPr>
        <w:t>废水事故环境风险体系建设</w:t>
      </w:r>
    </w:p>
    <w:p w14:paraId="42325A37">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为防止生产过程或事故状态污染物进入周边环境，导致环境污染事故，必须坚持预防为主、防控结合，建立安全</w:t>
      </w:r>
      <w:r>
        <w:rPr>
          <w:rFonts w:hint="eastAsia" w:ascii="Times New Roman" w:hAnsi="Times New Roman" w:cs="Times New Roman"/>
          <w:sz w:val="24"/>
          <w:highlight w:val="none"/>
          <w:lang w:val="en-US" w:eastAsia="zh-CN"/>
        </w:rPr>
        <w:t>有效</w:t>
      </w:r>
      <w:r>
        <w:rPr>
          <w:rFonts w:hint="default" w:ascii="Times New Roman" w:hAnsi="Times New Roman" w:cs="Times New Roman" w:eastAsiaTheme="minorEastAsia"/>
          <w:sz w:val="24"/>
          <w:highlight w:val="none"/>
          <w:lang w:val="en-US" w:eastAsia="zh-CN"/>
        </w:rPr>
        <w:t>污染综合预防控制体系。针对公司生产原料、产品的特点，在生产区域建立一级防控措施，在厂区建立二级预控措施，建立厂外三级防控措施，防止重大生产事故泄漏物料和消防废水造成的环境污染。</w:t>
      </w:r>
    </w:p>
    <w:p w14:paraId="2DBFDB40">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具体的三级防控措施设置要求及措施如下：</w:t>
      </w:r>
    </w:p>
    <w:p w14:paraId="4BC2B3AF">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1）一级防控措施</w:t>
      </w:r>
    </w:p>
    <w:p w14:paraId="4C91D83A">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①加强对废水管道的维护，杜绝跑冒滴漏现象。</w:t>
      </w:r>
    </w:p>
    <w:p w14:paraId="21CD6035">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②</w:t>
      </w:r>
      <w:r>
        <w:rPr>
          <w:rFonts w:hint="eastAsia" w:ascii="Times New Roman" w:hAnsi="Times New Roman" w:cs="Times New Roman" w:eastAsiaTheme="minorEastAsia"/>
          <w:sz w:val="24"/>
          <w:highlight w:val="none"/>
          <w:lang w:val="en-US" w:eastAsia="zh-CN"/>
        </w:rPr>
        <w:t>柴油罐设置围堰</w:t>
      </w:r>
      <w:r>
        <w:rPr>
          <w:rFonts w:hint="default" w:ascii="Times New Roman" w:hAnsi="Times New Roman" w:cs="Times New Roman" w:eastAsiaTheme="minorEastAsia"/>
          <w:sz w:val="24"/>
          <w:highlight w:val="none"/>
          <w:lang w:val="en-US" w:eastAsia="zh-CN"/>
        </w:rPr>
        <w:t>，构筑生产过程中环境安全的第一层防控网，使泄漏物料切换到处理系统，防止污染雨水和轻微事故泄漏造成的环境污染。油罐区设置围堰，围堰内有效容积</w:t>
      </w:r>
      <w:r>
        <w:rPr>
          <w:rFonts w:hint="eastAsia" w:ascii="Times New Roman" w:hAnsi="Times New Roman" w:cs="Times New Roman"/>
          <w:sz w:val="24"/>
          <w:highlight w:val="none"/>
          <w:lang w:val="en-US" w:eastAsia="zh-CN"/>
        </w:rPr>
        <w:t>3</w:t>
      </w:r>
      <w:r>
        <w:rPr>
          <w:rFonts w:hint="default" w:ascii="Times New Roman" w:hAnsi="Times New Roman" w:cs="Times New Roman" w:eastAsiaTheme="minorEastAsia"/>
          <w:sz w:val="24"/>
          <w:highlight w:val="none"/>
          <w:lang w:val="en-US" w:eastAsia="zh-CN"/>
        </w:rPr>
        <w:t>m</w:t>
      </w:r>
      <w:r>
        <w:rPr>
          <w:rFonts w:hint="default" w:ascii="Times New Roman" w:hAnsi="Times New Roman" w:cs="Times New Roman" w:eastAsiaTheme="minorEastAsia"/>
          <w:sz w:val="24"/>
          <w:highlight w:val="none"/>
          <w:vertAlign w:val="superscript"/>
          <w:lang w:val="en-US" w:eastAsia="zh-CN"/>
        </w:rPr>
        <w:t>3</w:t>
      </w:r>
      <w:r>
        <w:rPr>
          <w:rFonts w:hint="default" w:ascii="Times New Roman" w:hAnsi="Times New Roman" w:cs="Times New Roman" w:eastAsiaTheme="minorEastAsia"/>
          <w:sz w:val="24"/>
          <w:highlight w:val="none"/>
          <w:lang w:val="en-US" w:eastAsia="zh-CN"/>
        </w:rPr>
        <w:t>，防止</w:t>
      </w:r>
      <w:r>
        <w:rPr>
          <w:rFonts w:hint="eastAsia" w:ascii="Times New Roman" w:hAnsi="Times New Roman" w:cs="Times New Roman" w:eastAsiaTheme="minorEastAsia"/>
          <w:sz w:val="24"/>
          <w:highlight w:val="none"/>
          <w:lang w:val="en-US" w:eastAsia="zh-CN"/>
        </w:rPr>
        <w:t>柴油储罐破裂时</w:t>
      </w:r>
      <w:r>
        <w:rPr>
          <w:rFonts w:hint="default" w:ascii="Times New Roman" w:hAnsi="Times New Roman" w:cs="Times New Roman" w:eastAsiaTheme="minorEastAsia"/>
          <w:sz w:val="24"/>
          <w:highlight w:val="none"/>
          <w:lang w:val="en-US" w:eastAsia="zh-CN"/>
        </w:rPr>
        <w:t>物料漫流进入周边环境。</w:t>
      </w:r>
      <w:r>
        <w:rPr>
          <w:rFonts w:hint="eastAsia" w:ascii="Times New Roman" w:hAnsi="Times New Roman" w:cs="Times New Roman" w:eastAsiaTheme="minorEastAsia"/>
          <w:sz w:val="24"/>
          <w:highlight w:val="none"/>
          <w:lang w:val="en-US" w:eastAsia="zh-CN"/>
        </w:rPr>
        <w:t>围堰</w:t>
      </w:r>
      <w:r>
        <w:rPr>
          <w:rFonts w:hint="default" w:ascii="Times New Roman" w:hAnsi="Times New Roman" w:cs="Times New Roman" w:eastAsiaTheme="minorEastAsia"/>
          <w:sz w:val="24"/>
          <w:highlight w:val="none"/>
          <w:lang w:val="en-US" w:eastAsia="zh-CN"/>
        </w:rPr>
        <w:t>地面采用</w:t>
      </w:r>
      <w:r>
        <w:rPr>
          <w:rFonts w:hint="eastAsia" w:ascii="Times New Roman" w:hAnsi="Times New Roman" w:cs="Times New Roman" w:eastAsiaTheme="minorEastAsia"/>
          <w:sz w:val="24"/>
          <w:highlight w:val="none"/>
          <w:lang w:val="en-US" w:eastAsia="zh-CN"/>
        </w:rPr>
        <w:t>黏土+P8抗渗混凝土防渗处理</w:t>
      </w:r>
      <w:r>
        <w:rPr>
          <w:rFonts w:hint="default" w:ascii="Times New Roman" w:hAnsi="Times New Roman" w:cs="Times New Roman" w:eastAsiaTheme="minorEastAsia"/>
          <w:sz w:val="24"/>
          <w:highlight w:val="none"/>
          <w:lang w:val="en-US" w:eastAsia="zh-CN"/>
        </w:rPr>
        <w:t>。</w:t>
      </w:r>
    </w:p>
    <w:p w14:paraId="3B7C316D">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2）二级防控措施</w:t>
      </w:r>
    </w:p>
    <w:p w14:paraId="4778FC38">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厂内</w:t>
      </w:r>
      <w:r>
        <w:rPr>
          <w:rFonts w:hint="eastAsia" w:ascii="Times New Roman" w:hAnsi="Times New Roman" w:cs="Times New Roman" w:eastAsiaTheme="minorEastAsia"/>
          <w:sz w:val="24"/>
          <w:highlight w:val="none"/>
          <w:lang w:val="en-US" w:eastAsia="zh-CN"/>
        </w:rPr>
        <w:t>雨污分流</w:t>
      </w:r>
      <w:r>
        <w:rPr>
          <w:rFonts w:hint="default" w:ascii="Times New Roman" w:hAnsi="Times New Roman" w:cs="Times New Roman" w:eastAsiaTheme="minorEastAsia"/>
          <w:sz w:val="24"/>
          <w:highlight w:val="none"/>
          <w:lang w:val="en-US" w:eastAsia="zh-CN"/>
        </w:rPr>
        <w:t>，</w:t>
      </w:r>
      <w:r>
        <w:rPr>
          <w:rFonts w:hint="eastAsia" w:ascii="Times New Roman" w:hAnsi="Times New Roman" w:cs="Times New Roman" w:eastAsiaTheme="minorEastAsia"/>
          <w:sz w:val="24"/>
          <w:highlight w:val="none"/>
          <w:lang w:val="en-US" w:eastAsia="zh-CN"/>
        </w:rPr>
        <w:t>设置事故池</w:t>
      </w:r>
      <w:r>
        <w:rPr>
          <w:rFonts w:hint="default" w:ascii="Times New Roman" w:hAnsi="Times New Roman" w:cs="Times New Roman" w:eastAsiaTheme="minorEastAsia"/>
          <w:sz w:val="24"/>
          <w:highlight w:val="none"/>
          <w:lang w:val="en-US" w:eastAsia="zh-CN"/>
        </w:rPr>
        <w:t>，切断污染物与外部的通道，将污染控制在厂内，防止较大生产事故泄漏和污染废水造成的环境污染。</w:t>
      </w:r>
    </w:p>
    <w:p w14:paraId="193F3957">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3）三级防控措施</w:t>
      </w:r>
    </w:p>
    <w:p w14:paraId="784607A9">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第三级防控应建立在本项目厂区的</w:t>
      </w:r>
      <w:r>
        <w:rPr>
          <w:rFonts w:hint="eastAsia" w:ascii="Times New Roman" w:hAnsi="Times New Roman" w:cs="Times New Roman" w:eastAsiaTheme="minorEastAsia"/>
          <w:sz w:val="24"/>
          <w:highlight w:val="none"/>
          <w:lang w:val="en-US" w:eastAsia="zh-CN"/>
        </w:rPr>
        <w:t>污水</w:t>
      </w:r>
      <w:r>
        <w:rPr>
          <w:rFonts w:hint="default" w:ascii="Times New Roman" w:hAnsi="Times New Roman" w:cs="Times New Roman" w:eastAsiaTheme="minorEastAsia"/>
          <w:sz w:val="24"/>
          <w:highlight w:val="none"/>
          <w:lang w:val="en-US" w:eastAsia="zh-CN"/>
        </w:rPr>
        <w:t>排口处加挡板、阀门，确保事故状态下不发生污染事件。企业应建立与</w:t>
      </w:r>
      <w:r>
        <w:rPr>
          <w:rFonts w:hint="eastAsia" w:ascii="Times New Roman" w:hAnsi="Times New Roman" w:cs="Times New Roman"/>
          <w:sz w:val="24"/>
          <w:highlight w:val="none"/>
          <w:lang w:val="en-US" w:eastAsia="zh-CN"/>
        </w:rPr>
        <w:t>莎车县</w:t>
      </w:r>
      <w:r>
        <w:rPr>
          <w:rFonts w:hint="default" w:ascii="Times New Roman" w:hAnsi="Times New Roman" w:cs="Times New Roman" w:eastAsiaTheme="minorEastAsia"/>
          <w:sz w:val="24"/>
          <w:highlight w:val="none"/>
          <w:lang w:val="en-US" w:eastAsia="zh-CN"/>
        </w:rPr>
        <w:t>人民政府、周边群众的环境风险联动防范措施。</w:t>
      </w:r>
    </w:p>
    <w:p w14:paraId="74F86C60">
      <w:pPr>
        <w:adjustRightInd w:val="0"/>
        <w:snapToGrid w:val="0"/>
        <w:spacing w:line="500" w:lineRule="exact"/>
        <w:jc w:val="left"/>
        <w:rPr>
          <w:rFonts w:hint="default" w:ascii="Times New Roman" w:hAnsi="Times New Roman" w:cs="Times New Roman" w:eastAsiaTheme="minorEastAsia"/>
          <w:b/>
          <w:bCs/>
          <w:sz w:val="24"/>
          <w:lang w:val="en-US" w:eastAsia="zh-CN"/>
        </w:rPr>
      </w:pPr>
      <w:bookmarkStart w:id="301" w:name="_Toc9155"/>
      <w:r>
        <w:rPr>
          <w:rFonts w:hint="eastAsia" w:ascii="Times New Roman" w:hAnsi="Times New Roman" w:cs="Times New Roman" w:eastAsiaTheme="minorEastAsia"/>
          <w:b/>
          <w:bCs/>
          <w:sz w:val="24"/>
          <w:lang w:val="en-US" w:eastAsia="zh-CN"/>
        </w:rPr>
        <w:t>5.8.3.8 环境风险应急预案要求</w:t>
      </w:r>
      <w:bookmarkEnd w:id="301"/>
    </w:p>
    <w:p w14:paraId="480FB609">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项目投产前，要求</w:t>
      </w:r>
      <w:r>
        <w:rPr>
          <w:rFonts w:hint="eastAsia" w:ascii="Times New Roman" w:hAnsi="Times New Roman" w:cs="Times New Roman"/>
          <w:sz w:val="24"/>
          <w:highlight w:val="none"/>
          <w:lang w:val="en-US" w:eastAsia="zh-CN"/>
        </w:rPr>
        <w:t>企业</w:t>
      </w:r>
      <w:r>
        <w:rPr>
          <w:rFonts w:hint="eastAsia" w:ascii="Times New Roman" w:hAnsi="Times New Roman" w:cs="Times New Roman" w:eastAsiaTheme="minorEastAsia"/>
          <w:sz w:val="24"/>
          <w:highlight w:val="none"/>
          <w:lang w:val="en-US" w:eastAsia="zh-CN"/>
        </w:rPr>
        <w:t>建成完善的风险管理体系并按要求编制“突发环境事件应急预案”并备案。本项目投产期间，企业应根据自身特点按照“突发环境事件应急预案”定期开展演练，并在演练和实践中，不断补充、修正和完善。</w:t>
      </w:r>
    </w:p>
    <w:p w14:paraId="3021621A">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此外，应对上岗职工加强现代安全管理知识教育，要求必须进行专业培训，安全技术知识教育，考试合格后方能上岗。对特种作业人员要进行特种作业培训，持证上岗。</w:t>
      </w:r>
    </w:p>
    <w:p w14:paraId="05428EB7">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302" w:name="_Toc11230"/>
      <w:bookmarkStart w:id="303" w:name="_Toc14810"/>
      <w:bookmarkStart w:id="304" w:name="_Toc27146"/>
      <w:bookmarkStart w:id="305" w:name="_Toc8576"/>
      <w:r>
        <w:rPr>
          <w:rFonts w:hint="eastAsia" w:ascii="Times New Roman" w:hAnsi="Times New Roman" w:cs="Times New Roman" w:eastAsiaTheme="minorEastAsia"/>
          <w:kern w:val="0"/>
          <w:sz w:val="24"/>
          <w:szCs w:val="24"/>
          <w:lang w:val="en-US" w:eastAsia="zh-CN"/>
        </w:rPr>
        <w:t>5.8.4 小结</w:t>
      </w:r>
      <w:bookmarkEnd w:id="302"/>
      <w:bookmarkEnd w:id="303"/>
      <w:bookmarkEnd w:id="304"/>
      <w:bookmarkEnd w:id="305"/>
    </w:p>
    <w:p w14:paraId="30D0D564">
      <w:pPr>
        <w:adjustRightInd w:val="0"/>
        <w:snapToGrid w:val="0"/>
        <w:spacing w:line="500" w:lineRule="exact"/>
        <w:ind w:firstLine="480" w:firstLineChars="200"/>
        <w:jc w:val="left"/>
        <w:rPr>
          <w:rFonts w:hint="default" w:ascii="Times New Roman" w:hAnsi="Times New Roman" w:eastAsia="华文中宋" w:cs="Times New Roman"/>
          <w:kern w:val="2"/>
          <w:sz w:val="24"/>
          <w:szCs w:val="24"/>
          <w:lang w:val="en-US" w:eastAsia="zh-CN" w:bidi="ar-SA"/>
        </w:rPr>
      </w:pPr>
      <w:r>
        <w:rPr>
          <w:rFonts w:hint="eastAsia" w:ascii="Times New Roman" w:hAnsi="Times New Roman" w:cs="Times New Roman" w:eastAsiaTheme="minorEastAsia"/>
          <w:sz w:val="24"/>
          <w:highlight w:val="none"/>
          <w:lang w:val="en-US" w:eastAsia="zh-CN"/>
        </w:rPr>
        <w:t>本项目运营期主要危险物质为柴油、医疗废物，风险类型包括火灾、爆炸、泄漏等。由于项目涉及的危险物质最大存在量较小，环境风险潜势为</w:t>
      </w:r>
      <w:r>
        <w:rPr>
          <w:rFonts w:hint="default" w:ascii="Times New Roman" w:hAnsi="Times New Roman" w:cs="Times New Roman" w:eastAsiaTheme="minorEastAsia"/>
          <w:sz w:val="24"/>
          <w:highlight w:val="none"/>
          <w:lang w:val="en-US" w:eastAsia="zh-CN"/>
        </w:rPr>
        <w:fldChar w:fldCharType="begin"/>
      </w:r>
      <w:r>
        <w:rPr>
          <w:rFonts w:hint="default" w:ascii="Times New Roman" w:hAnsi="Times New Roman" w:cs="Times New Roman" w:eastAsiaTheme="minorEastAsia"/>
          <w:sz w:val="24"/>
          <w:highlight w:val="none"/>
          <w:lang w:val="en-US" w:eastAsia="zh-CN"/>
        </w:rPr>
        <w:instrText xml:space="preserve"> = 1 \* ROMAN </w:instrText>
      </w:r>
      <w:r>
        <w:rPr>
          <w:rFonts w:hint="default" w:ascii="Times New Roman" w:hAnsi="Times New Roman" w:cs="Times New Roman" w:eastAsiaTheme="minorEastAsia"/>
          <w:sz w:val="24"/>
          <w:highlight w:val="none"/>
          <w:lang w:val="en-US" w:eastAsia="zh-CN"/>
        </w:rPr>
        <w:fldChar w:fldCharType="separate"/>
      </w:r>
      <w:r>
        <w:rPr>
          <w:rFonts w:hint="default" w:ascii="Times New Roman" w:hAnsi="Times New Roman" w:cs="Times New Roman" w:eastAsiaTheme="minorEastAsia"/>
          <w:sz w:val="24"/>
          <w:highlight w:val="none"/>
          <w:lang w:val="en-US" w:eastAsia="zh-CN"/>
        </w:rPr>
        <w:t>I</w:t>
      </w:r>
      <w:r>
        <w:rPr>
          <w:rFonts w:hint="default" w:ascii="Times New Roman" w:hAnsi="Times New Roman" w:cs="Times New Roman" w:eastAsiaTheme="minorEastAsia"/>
          <w:sz w:val="24"/>
          <w:highlight w:val="none"/>
          <w:lang w:val="en-US" w:eastAsia="zh-CN"/>
        </w:rPr>
        <w:fldChar w:fldCharType="end"/>
      </w:r>
      <w:r>
        <w:rPr>
          <w:rFonts w:hint="eastAsia" w:ascii="Times New Roman" w:hAnsi="Times New Roman" w:cs="Times New Roman" w:eastAsiaTheme="minorEastAsia"/>
          <w:sz w:val="24"/>
          <w:highlight w:val="none"/>
          <w:lang w:val="en-US" w:eastAsia="zh-CN"/>
        </w:rPr>
        <w:t>。在采取有效的风险防范及应急措施情况下，对周围环境风险影响较小。本评价认为项目建成后环境风险可控，并在可接受的范围内</w:t>
      </w:r>
    </w:p>
    <w:p w14:paraId="4C47D7A1">
      <w:pPr>
        <w:ind w:firstLine="480" w:firstLineChars="200"/>
        <w:jc w:val="both"/>
        <w:rPr>
          <w:rFonts w:hint="default" w:ascii="Times New Roman" w:hAnsi="Times New Roman" w:eastAsia="华文中宋" w:cs="Times New Roman"/>
          <w:kern w:val="2"/>
          <w:sz w:val="24"/>
          <w:szCs w:val="24"/>
          <w:lang w:val="en-US" w:eastAsia="zh-CN" w:bidi="ar-SA"/>
        </w:rPr>
      </w:pPr>
      <w:r>
        <w:rPr>
          <w:rFonts w:hint="default" w:ascii="Times New Roman" w:hAnsi="Times New Roman" w:eastAsia="华文中宋" w:cs="Times New Roman"/>
          <w:kern w:val="2"/>
          <w:sz w:val="24"/>
          <w:szCs w:val="24"/>
          <w:lang w:val="en-US" w:eastAsia="zh-CN" w:bidi="ar-SA"/>
        </w:rPr>
        <w:br w:type="page"/>
      </w:r>
    </w:p>
    <w:p w14:paraId="55E334A7">
      <w:pPr>
        <w:pStyle w:val="2"/>
        <w:keepNext/>
        <w:keepLines/>
        <w:pageBreakBefore/>
        <w:spacing w:before="241" w:beforeLines="50" w:after="241" w:afterLines="50" w:line="560" w:lineRule="exact"/>
        <w:ind w:left="554" w:hanging="555" w:hangingChars="152"/>
        <w:jc w:val="both"/>
        <w:rPr>
          <w:rFonts w:hint="eastAsia" w:ascii="Times New Roman" w:hAnsi="Times New Roman" w:cs="Times New Roman" w:eastAsiaTheme="minorEastAsia"/>
          <w:snapToGrid w:val="0"/>
          <w:spacing w:val="2"/>
          <w:kern w:val="44"/>
          <w:sz w:val="36"/>
          <w:szCs w:val="44"/>
          <w:lang w:val="en-US" w:eastAsia="zh-CN"/>
        </w:rPr>
      </w:pPr>
      <w:bookmarkStart w:id="306" w:name="_Toc1873"/>
      <w:r>
        <w:rPr>
          <w:rFonts w:hint="eastAsia" w:ascii="Times New Roman" w:hAnsi="Times New Roman" w:cs="Times New Roman" w:eastAsiaTheme="minorEastAsia"/>
          <w:snapToGrid w:val="0"/>
          <w:spacing w:val="2"/>
          <w:kern w:val="44"/>
          <w:sz w:val="36"/>
          <w:szCs w:val="44"/>
          <w:lang w:val="en-US" w:eastAsia="zh-CN"/>
        </w:rPr>
        <w:t>6环境保护措施</w:t>
      </w:r>
      <w:bookmarkEnd w:id="306"/>
    </w:p>
    <w:p w14:paraId="617900DE">
      <w:pPr>
        <w:pStyle w:val="3"/>
        <w:spacing w:before="120" w:after="120" w:line="500" w:lineRule="exact"/>
        <w:ind w:left="375" w:hanging="375" w:firstLineChars="0"/>
        <w:contextualSpacing/>
        <w:rPr>
          <w:rFonts w:hint="eastAsia" w:ascii="Times New Roman" w:hAnsi="Times New Roman" w:cs="Times New Roman" w:eastAsiaTheme="minorEastAsia"/>
          <w:snapToGrid w:val="0"/>
          <w:kern w:val="0"/>
          <w:sz w:val="28"/>
          <w:szCs w:val="28"/>
          <w:lang w:val="en-US" w:eastAsia="zh-CN"/>
        </w:rPr>
      </w:pPr>
      <w:bookmarkStart w:id="307" w:name="_Toc32501"/>
      <w:r>
        <w:rPr>
          <w:rFonts w:hint="eastAsia" w:ascii="Times New Roman" w:hAnsi="Times New Roman" w:cs="Times New Roman" w:eastAsiaTheme="minorEastAsia"/>
          <w:snapToGrid w:val="0"/>
          <w:kern w:val="0"/>
          <w:sz w:val="28"/>
          <w:szCs w:val="28"/>
          <w:lang w:val="en-US" w:eastAsia="zh-CN"/>
        </w:rPr>
        <w:t>6.1施工期污染防治措施</w:t>
      </w:r>
      <w:bookmarkEnd w:id="307"/>
    </w:p>
    <w:p w14:paraId="3D0EC85B">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308" w:name="_Toc4129"/>
      <w:r>
        <w:rPr>
          <w:rFonts w:hint="eastAsia" w:ascii="Times New Roman" w:hAnsi="Times New Roman" w:cs="Times New Roman" w:eastAsiaTheme="minorEastAsia"/>
          <w:kern w:val="0"/>
          <w:sz w:val="24"/>
          <w:szCs w:val="24"/>
          <w:lang w:val="en-US" w:eastAsia="zh-CN"/>
        </w:rPr>
        <w:t>6.1.1大气污染防治措施</w:t>
      </w:r>
      <w:bookmarkEnd w:id="308"/>
    </w:p>
    <w:p w14:paraId="5DE4832C">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项目施工期大气污染物主要有施工扬尘、机械尾气、焊接烟尘、装修废气。</w:t>
      </w:r>
    </w:p>
    <w:p w14:paraId="1A7D676F">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1</w:t>
      </w:r>
      <w:r>
        <w:rPr>
          <w:rFonts w:hint="eastAsia" w:ascii="Times New Roman" w:hAnsi="Times New Roman" w:cs="Times New Roman" w:eastAsiaTheme="minorEastAsia"/>
          <w:sz w:val="24"/>
          <w:highlight w:val="none"/>
          <w:lang w:val="en-US" w:eastAsia="zh-CN"/>
        </w:rPr>
        <w:t>、施工扬尘</w:t>
      </w:r>
    </w:p>
    <w:p w14:paraId="2EA76EF7">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本项目设备安装施工作业以及运输过程中会产生扬尘，主要特征污染物为</w:t>
      </w:r>
      <w:r>
        <w:rPr>
          <w:rFonts w:hint="default" w:ascii="Times New Roman" w:hAnsi="Times New Roman" w:cs="Times New Roman" w:eastAsiaTheme="minorEastAsia"/>
          <w:sz w:val="24"/>
          <w:highlight w:val="none"/>
          <w:lang w:val="en-US" w:eastAsia="zh-CN"/>
        </w:rPr>
        <w:t>TSP</w:t>
      </w:r>
      <w:r>
        <w:rPr>
          <w:rFonts w:hint="eastAsia" w:ascii="Times New Roman" w:hAnsi="Times New Roman" w:cs="Times New Roman" w:eastAsiaTheme="minorEastAsia"/>
          <w:sz w:val="24"/>
          <w:highlight w:val="none"/>
          <w:lang w:val="en-US" w:eastAsia="zh-CN"/>
        </w:rPr>
        <w:t>。本项目施工期没有场地和土石方施工，只有设备安装施工，因此施工扬尘的影响较小。施工期扬尘污染防治措施具体如下：</w:t>
      </w:r>
    </w:p>
    <w:p w14:paraId="4903FF75">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1</w:t>
      </w:r>
      <w:r>
        <w:rPr>
          <w:rFonts w:hint="eastAsia" w:ascii="Times New Roman" w:hAnsi="Times New Roman" w:cs="Times New Roman" w:eastAsiaTheme="minorEastAsia"/>
          <w:sz w:val="24"/>
          <w:highlight w:val="none"/>
          <w:lang w:val="en-US" w:eastAsia="zh-CN"/>
        </w:rPr>
        <w:t>）施工现场的主要</w:t>
      </w:r>
      <w:r>
        <w:rPr>
          <w:rFonts w:hint="eastAsia" w:ascii="Times New Roman" w:hAnsi="Times New Roman" w:cs="Times New Roman"/>
          <w:sz w:val="24"/>
          <w:highlight w:val="none"/>
          <w:lang w:val="en-US" w:eastAsia="zh-CN"/>
        </w:rPr>
        <w:t>出入口</w:t>
      </w:r>
      <w:r>
        <w:rPr>
          <w:rFonts w:hint="eastAsia" w:ascii="Times New Roman" w:hAnsi="Times New Roman" w:cs="Times New Roman" w:eastAsiaTheme="minorEastAsia"/>
          <w:sz w:val="24"/>
          <w:highlight w:val="none"/>
          <w:lang w:val="en-US" w:eastAsia="zh-CN"/>
        </w:rPr>
        <w:t>外侧醒目位置应设置扬尘污染防治公示标牌，公示扬尘污染防治措施、负责人、扬尘监督主管部门、扬尘污染监督举报电话等有关信息，接受社会监督。</w:t>
      </w:r>
    </w:p>
    <w:p w14:paraId="124BEFB8">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2</w:t>
      </w:r>
      <w:r>
        <w:rPr>
          <w:rFonts w:hint="eastAsia" w:ascii="Times New Roman" w:hAnsi="Times New Roman" w:cs="Times New Roman" w:eastAsiaTheme="minorEastAsia"/>
          <w:sz w:val="24"/>
          <w:highlight w:val="none"/>
          <w:lang w:val="en-US" w:eastAsia="zh-CN"/>
        </w:rPr>
        <w:t>）施工现场的物料应分类堆放、整齐有序，并设置标识标牌，严禁在现场围挡外堆放物料。</w:t>
      </w:r>
    </w:p>
    <w:p w14:paraId="13E3EC16">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3</w:t>
      </w:r>
      <w:r>
        <w:rPr>
          <w:rFonts w:hint="eastAsia" w:ascii="Times New Roman" w:hAnsi="Times New Roman" w:cs="Times New Roman" w:eastAsiaTheme="minorEastAsia"/>
          <w:sz w:val="24"/>
          <w:highlight w:val="none"/>
          <w:lang w:val="en-US" w:eastAsia="zh-CN"/>
        </w:rPr>
        <w:t>）施工现场装卸、搬运易扬尘材料应采取抑尘措施，不得凌空抛掷或</w:t>
      </w:r>
      <w:r>
        <w:rPr>
          <w:rFonts w:hint="eastAsia" w:ascii="Times New Roman" w:hAnsi="Times New Roman" w:cs="Times New Roman"/>
          <w:sz w:val="24"/>
          <w:highlight w:val="none"/>
          <w:lang w:val="en-US" w:eastAsia="zh-CN"/>
        </w:rPr>
        <w:t>抛</w:t>
      </w:r>
      <w:r>
        <w:rPr>
          <w:rFonts w:hint="eastAsia" w:ascii="Times New Roman" w:hAnsi="Times New Roman" w:cs="Times New Roman" w:eastAsiaTheme="minorEastAsia"/>
          <w:sz w:val="24"/>
          <w:highlight w:val="none"/>
          <w:lang w:val="en-US" w:eastAsia="zh-CN"/>
        </w:rPr>
        <w:t>撒，施工余料应及时回收保管。</w:t>
      </w:r>
    </w:p>
    <w:p w14:paraId="6C32545A">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4</w:t>
      </w:r>
      <w:r>
        <w:rPr>
          <w:rFonts w:hint="eastAsia" w:ascii="Times New Roman" w:hAnsi="Times New Roman" w:cs="Times New Roman" w:eastAsiaTheme="minorEastAsia"/>
          <w:sz w:val="24"/>
          <w:highlight w:val="none"/>
          <w:lang w:val="en-US" w:eastAsia="zh-CN"/>
        </w:rPr>
        <w:t>）施工工程中产生的建筑垃圾，应及时清运。若在工地内堆置超过一周的，则应采取覆盖防尘布、防尘网，定期喷水压尘等措施，防止风蚀起尘及水蚀迁移。采取以上措施后，施工扬尘对周围环境影响不大，措施可行。</w:t>
      </w:r>
    </w:p>
    <w:p w14:paraId="7A625DC8">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2</w:t>
      </w:r>
      <w:r>
        <w:rPr>
          <w:rFonts w:hint="eastAsia" w:ascii="Times New Roman" w:hAnsi="Times New Roman" w:cs="Times New Roman" w:eastAsiaTheme="minorEastAsia"/>
          <w:sz w:val="24"/>
          <w:highlight w:val="none"/>
          <w:lang w:val="en-US" w:eastAsia="zh-CN"/>
        </w:rPr>
        <w:t>、机械尾气</w:t>
      </w:r>
    </w:p>
    <w:p w14:paraId="102400B7">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项目施工期各类燃油施工机械和运输车辆产生的废气，主要特征污染物为</w:t>
      </w:r>
      <w:r>
        <w:rPr>
          <w:rFonts w:hint="default" w:ascii="Times New Roman" w:hAnsi="Times New Roman" w:cs="Times New Roman" w:eastAsiaTheme="minorEastAsia"/>
          <w:sz w:val="24"/>
          <w:highlight w:val="none"/>
          <w:lang w:val="en-US" w:eastAsia="zh-CN"/>
        </w:rPr>
        <w:t>CO</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NOx</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THC</w:t>
      </w:r>
      <w:r>
        <w:rPr>
          <w:rFonts w:hint="eastAsia" w:ascii="Times New Roman" w:hAnsi="Times New Roman" w:cs="Times New Roman" w:eastAsiaTheme="minorEastAsia"/>
          <w:sz w:val="24"/>
          <w:highlight w:val="none"/>
          <w:lang w:val="en-US" w:eastAsia="zh-CN"/>
        </w:rPr>
        <w:t>（烃类）。机械尾气排放形式属于无组织排放，在采用性能可靠、尾气排放达标的工程机械和优质燃料，动力机械多选择使用电动工具，加强汽车运输的合理调配和维护等措施后，机械尾气对周围环境影响不大，措施可行。</w:t>
      </w:r>
    </w:p>
    <w:p w14:paraId="1B3A64BC">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3</w:t>
      </w:r>
      <w:r>
        <w:rPr>
          <w:rFonts w:hint="eastAsia" w:ascii="Times New Roman" w:hAnsi="Times New Roman" w:cs="Times New Roman" w:eastAsiaTheme="minorEastAsia"/>
          <w:sz w:val="24"/>
          <w:highlight w:val="none"/>
          <w:lang w:val="en-US" w:eastAsia="zh-CN"/>
        </w:rPr>
        <w:t>、焊接烟尘</w:t>
      </w:r>
    </w:p>
    <w:p w14:paraId="7B093BF5">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项目施工过程中会使用焊机对钢筋结构进行焊接，焊接烟气主要成分为</w:t>
      </w:r>
      <w:r>
        <w:rPr>
          <w:rFonts w:hint="default" w:ascii="Times New Roman" w:hAnsi="Times New Roman" w:cs="Times New Roman" w:eastAsiaTheme="minorEastAsia"/>
          <w:sz w:val="24"/>
          <w:highlight w:val="none"/>
          <w:lang w:val="en-US" w:eastAsia="zh-CN"/>
        </w:rPr>
        <w:t>Fe</w:t>
      </w:r>
      <w:r>
        <w:rPr>
          <w:rFonts w:hint="default" w:ascii="Times New Roman" w:hAnsi="Times New Roman" w:cs="Times New Roman" w:eastAsiaTheme="minorEastAsia"/>
          <w:sz w:val="24"/>
          <w:highlight w:val="none"/>
          <w:vertAlign w:val="subscript"/>
          <w:lang w:val="en-US" w:eastAsia="zh-CN"/>
        </w:rPr>
        <w:t>2</w:t>
      </w:r>
      <w:r>
        <w:rPr>
          <w:rFonts w:hint="eastAsia" w:ascii="Times New Roman" w:hAnsi="Times New Roman" w:cs="Times New Roman" w:eastAsiaTheme="minorEastAsia"/>
          <w:sz w:val="24"/>
          <w:highlight w:val="none"/>
          <w:lang w:val="en-US" w:eastAsia="zh-CN"/>
        </w:rPr>
        <w:t>O</w:t>
      </w:r>
      <w:r>
        <w:rPr>
          <w:rFonts w:hint="default" w:ascii="Times New Roman" w:hAnsi="Times New Roman" w:cs="Times New Roman" w:eastAsiaTheme="minorEastAsia"/>
          <w:sz w:val="24"/>
          <w:highlight w:val="none"/>
          <w:vertAlign w:val="subscript"/>
          <w:lang w:val="en-US" w:eastAsia="zh-CN"/>
        </w:rPr>
        <w:t>3</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SiO</w:t>
      </w:r>
      <w:r>
        <w:rPr>
          <w:rFonts w:hint="default" w:ascii="Times New Roman" w:hAnsi="Times New Roman" w:cs="Times New Roman" w:eastAsiaTheme="minorEastAsia"/>
          <w:sz w:val="24"/>
          <w:highlight w:val="none"/>
          <w:vertAlign w:val="subscript"/>
          <w:lang w:val="en-US" w:eastAsia="zh-CN"/>
        </w:rPr>
        <w:t>2</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MnO</w:t>
      </w:r>
      <w:r>
        <w:rPr>
          <w:rFonts w:hint="default" w:ascii="Times New Roman" w:hAnsi="Times New Roman" w:cs="Times New Roman" w:eastAsiaTheme="minorEastAsia"/>
          <w:sz w:val="24"/>
          <w:highlight w:val="none"/>
          <w:vertAlign w:val="subscript"/>
          <w:lang w:val="en-US" w:eastAsia="zh-CN"/>
        </w:rPr>
        <w:t>2</w:t>
      </w:r>
      <w:r>
        <w:rPr>
          <w:rFonts w:hint="eastAsia" w:ascii="Times New Roman" w:hAnsi="Times New Roman" w:cs="Times New Roman" w:eastAsiaTheme="minorEastAsia"/>
          <w:sz w:val="24"/>
          <w:highlight w:val="none"/>
          <w:lang w:val="en-US" w:eastAsia="zh-CN"/>
        </w:rPr>
        <w:t>，毒性较小，尘粒极细小（直径</w:t>
      </w:r>
      <w:r>
        <w:rPr>
          <w:rFonts w:hint="default" w:ascii="Times New Roman" w:hAnsi="Times New Roman" w:cs="Times New Roman" w:eastAsiaTheme="minorEastAsia"/>
          <w:sz w:val="24"/>
          <w:highlight w:val="none"/>
          <w:lang w:val="en-US" w:eastAsia="zh-CN"/>
        </w:rPr>
        <w:t>5um</w:t>
      </w:r>
      <w:r>
        <w:rPr>
          <w:rFonts w:hint="eastAsia" w:ascii="Times New Roman" w:hAnsi="Times New Roman" w:cs="Times New Roman" w:eastAsiaTheme="minorEastAsia"/>
          <w:sz w:val="24"/>
          <w:highlight w:val="none"/>
          <w:lang w:val="en-US" w:eastAsia="zh-CN"/>
        </w:rPr>
        <w:t>以下），本项目施工过程焊接烟气产生浓度及产生量较小，经过自然扩散后对周边环境影响不大。</w:t>
      </w:r>
    </w:p>
    <w:p w14:paraId="5C2EC1A7">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4</w:t>
      </w:r>
      <w:r>
        <w:rPr>
          <w:rFonts w:hint="eastAsia" w:ascii="Times New Roman" w:hAnsi="Times New Roman" w:cs="Times New Roman" w:eastAsiaTheme="minorEastAsia"/>
          <w:sz w:val="24"/>
          <w:highlight w:val="none"/>
          <w:lang w:val="en-US" w:eastAsia="zh-CN"/>
        </w:rPr>
        <w:t>、装修废气</w:t>
      </w:r>
    </w:p>
    <w:p w14:paraId="60CDD9C0">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装修废气主要产生于室内外装修阶段，其排放周期短，作业点分散，加强室内的通风换气，对周围环境的影响不大。</w:t>
      </w:r>
    </w:p>
    <w:p w14:paraId="7B912DA3">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评价认为，本项目施工期在严格落实本报告中提出大气污染防治措施后，施工期大气污染物可以实现达标排放，施工期对大气环境的影响甚微，措施可行。</w:t>
      </w:r>
    </w:p>
    <w:p w14:paraId="01780A57">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309" w:name="_Toc27590"/>
      <w:r>
        <w:rPr>
          <w:rFonts w:hint="eastAsia" w:ascii="Times New Roman" w:hAnsi="Times New Roman" w:cs="Times New Roman" w:eastAsiaTheme="minorEastAsia"/>
          <w:kern w:val="0"/>
          <w:sz w:val="24"/>
          <w:szCs w:val="24"/>
          <w:lang w:val="en-US" w:eastAsia="zh-CN"/>
        </w:rPr>
        <w:t>6.1.2废水污染防治措施</w:t>
      </w:r>
      <w:bookmarkEnd w:id="309"/>
    </w:p>
    <w:p w14:paraId="799D55A3">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本项目施工人员的生活污水依托建设单位现有的化粪池收集</w:t>
      </w:r>
      <w:r>
        <w:rPr>
          <w:rFonts w:hint="eastAsia" w:ascii="Times New Roman" w:hAnsi="Times New Roman" w:cs="Times New Roman"/>
          <w:sz w:val="24"/>
          <w:highlight w:val="none"/>
          <w:lang w:val="en-US" w:eastAsia="zh-CN"/>
        </w:rPr>
        <w:t>，经园区下水管网排入园区污水处理厂处置。</w:t>
      </w:r>
    </w:p>
    <w:p w14:paraId="28D8B57C">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施工期生产废水主要来自各种车辆冲洗水。且一般情况下，只有极少量的溢水外排。施工过程中加强对施工人员的管理和培养节水意识，施工期产生的少量施工废水排入临时沉淀池，沉淀后洒水降尘，则施工期施工废水对周围环境影响较小。</w:t>
      </w:r>
    </w:p>
    <w:p w14:paraId="122F6EAE">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评价认为，本项目施工期在采取以上污染防治措施后，不会对地表水环境造成影响，措施可行。</w:t>
      </w:r>
    </w:p>
    <w:p w14:paraId="75250CDA">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310" w:name="_Toc1287"/>
      <w:r>
        <w:rPr>
          <w:rFonts w:hint="eastAsia" w:ascii="Times New Roman" w:hAnsi="Times New Roman" w:cs="Times New Roman" w:eastAsiaTheme="minorEastAsia"/>
          <w:kern w:val="0"/>
          <w:sz w:val="24"/>
          <w:szCs w:val="24"/>
          <w:lang w:val="en-US" w:eastAsia="zh-CN"/>
        </w:rPr>
        <w:t>6.1.3噪声污染防治措施</w:t>
      </w:r>
      <w:bookmarkEnd w:id="310"/>
    </w:p>
    <w:p w14:paraId="2EC70046">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本项目施工噪声主要为来自各类机械设备及物料运输车辆产生的噪声，其噪声级在</w:t>
      </w:r>
      <w:r>
        <w:rPr>
          <w:rFonts w:hint="default" w:ascii="Times New Roman" w:hAnsi="Times New Roman" w:cs="Times New Roman" w:eastAsiaTheme="minorEastAsia"/>
          <w:sz w:val="24"/>
          <w:highlight w:val="none"/>
          <w:lang w:val="en-US" w:eastAsia="zh-CN"/>
        </w:rPr>
        <w:t>70</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100dB</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A</w:t>
      </w:r>
      <w:r>
        <w:rPr>
          <w:rFonts w:hint="eastAsia" w:ascii="Times New Roman" w:hAnsi="Times New Roman" w:cs="Times New Roman" w:eastAsiaTheme="minorEastAsia"/>
          <w:sz w:val="24"/>
          <w:highlight w:val="none"/>
          <w:lang w:val="en-US" w:eastAsia="zh-CN"/>
        </w:rPr>
        <w:t>）之间，由于施工期噪声传播范围和影响程度相对较大，部分厂界环境噪声将超过</w:t>
      </w:r>
      <w:r>
        <w:rPr>
          <w:rFonts w:hint="default" w:ascii="Times New Roman" w:hAnsi="Times New Roman" w:cs="Times New Roman" w:eastAsiaTheme="minorEastAsia"/>
          <w:sz w:val="24"/>
          <w:highlight w:val="none"/>
          <w:lang w:val="en-US" w:eastAsia="zh-CN"/>
        </w:rPr>
        <w:t>55dB</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A</w:t>
      </w:r>
      <w:r>
        <w:rPr>
          <w:rFonts w:hint="eastAsia" w:ascii="Times New Roman" w:hAnsi="Times New Roman" w:cs="Times New Roman" w:eastAsiaTheme="minorEastAsia"/>
          <w:sz w:val="24"/>
          <w:highlight w:val="none"/>
          <w:lang w:val="en-US" w:eastAsia="zh-CN"/>
        </w:rPr>
        <w:t>）的功能区标准限值，但基本上可控制在</w:t>
      </w:r>
      <w:r>
        <w:rPr>
          <w:rFonts w:hint="default" w:ascii="Times New Roman" w:hAnsi="Times New Roman" w:cs="Times New Roman" w:eastAsiaTheme="minorEastAsia"/>
          <w:sz w:val="24"/>
          <w:highlight w:val="none"/>
          <w:lang w:val="en-US" w:eastAsia="zh-CN"/>
        </w:rPr>
        <w:t>70dB</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A</w:t>
      </w:r>
      <w:r>
        <w:rPr>
          <w:rFonts w:hint="eastAsia" w:ascii="Times New Roman" w:hAnsi="Times New Roman" w:cs="Times New Roman" w:eastAsiaTheme="minorEastAsia"/>
          <w:sz w:val="24"/>
          <w:highlight w:val="none"/>
          <w:lang w:val="en-US" w:eastAsia="zh-CN"/>
        </w:rPr>
        <w:t>）的建筑施工场界噪声标准限值内，主要影响施工作业区</w:t>
      </w:r>
      <w:r>
        <w:rPr>
          <w:rFonts w:hint="default" w:ascii="Times New Roman" w:hAnsi="Times New Roman" w:cs="Times New Roman" w:eastAsiaTheme="minorEastAsia"/>
          <w:sz w:val="24"/>
          <w:highlight w:val="none"/>
          <w:lang w:val="en-US" w:eastAsia="zh-CN"/>
        </w:rPr>
        <w:t>100m</w:t>
      </w:r>
      <w:r>
        <w:rPr>
          <w:rFonts w:hint="eastAsia" w:ascii="Times New Roman" w:hAnsi="Times New Roman" w:cs="Times New Roman" w:eastAsiaTheme="minorEastAsia"/>
          <w:sz w:val="24"/>
          <w:highlight w:val="none"/>
          <w:lang w:val="en-US" w:eastAsia="zh-CN"/>
        </w:rPr>
        <w:t>范围内的环境。同时由于项目周边</w:t>
      </w:r>
      <w:r>
        <w:rPr>
          <w:rFonts w:hint="default" w:ascii="Times New Roman" w:hAnsi="Times New Roman" w:cs="Times New Roman" w:eastAsiaTheme="minorEastAsia"/>
          <w:sz w:val="24"/>
          <w:highlight w:val="none"/>
          <w:lang w:val="en-US" w:eastAsia="zh-CN"/>
        </w:rPr>
        <w:t>100m</w:t>
      </w:r>
      <w:r>
        <w:rPr>
          <w:rFonts w:hint="eastAsia" w:ascii="Times New Roman" w:hAnsi="Times New Roman" w:cs="Times New Roman" w:eastAsiaTheme="minorEastAsia"/>
          <w:sz w:val="24"/>
          <w:highlight w:val="none"/>
          <w:lang w:val="en-US" w:eastAsia="zh-CN"/>
        </w:rPr>
        <w:t>范围内无居民居住，因此项目施工噪声不会对周边农户正常生产生活造成影响，同时项目施工期较短，其施工噪声影响将随着施工期的结束而结束，因此对周边声环境影响不大，但同时提出以下噪声污染防治措施及建议：</w:t>
      </w:r>
    </w:p>
    <w:p w14:paraId="413CC82D">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1</w:t>
      </w:r>
      <w:r>
        <w:rPr>
          <w:rFonts w:hint="eastAsia" w:ascii="Times New Roman" w:hAnsi="Times New Roman" w:cs="Times New Roman" w:eastAsiaTheme="minorEastAsia"/>
          <w:sz w:val="24"/>
          <w:highlight w:val="none"/>
          <w:lang w:val="en-US" w:eastAsia="zh-CN"/>
        </w:rPr>
        <w:t>）合理安排施工时间，制定施工计划，应尽可能避免大量高噪声设备同时运行，尽量避免午间（</w:t>
      </w:r>
      <w:r>
        <w:rPr>
          <w:rFonts w:hint="default" w:ascii="Times New Roman" w:hAnsi="Times New Roman" w:cs="Times New Roman" w:eastAsiaTheme="minorEastAsia"/>
          <w:sz w:val="24"/>
          <w:highlight w:val="none"/>
          <w:lang w:val="en-US" w:eastAsia="zh-CN"/>
        </w:rPr>
        <w:t>14</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00</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16</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00</w:t>
      </w:r>
      <w:r>
        <w:rPr>
          <w:rFonts w:hint="eastAsia" w:ascii="Times New Roman" w:hAnsi="Times New Roman" w:cs="Times New Roman" w:eastAsiaTheme="minorEastAsia"/>
          <w:sz w:val="24"/>
          <w:highlight w:val="none"/>
          <w:lang w:val="en-US" w:eastAsia="zh-CN"/>
        </w:rPr>
        <w:t>）施工，禁止夜间（</w:t>
      </w:r>
      <w:r>
        <w:rPr>
          <w:rFonts w:hint="default" w:ascii="Times New Roman" w:hAnsi="Times New Roman" w:cs="Times New Roman" w:eastAsiaTheme="minorEastAsia"/>
          <w:sz w:val="24"/>
          <w:highlight w:val="none"/>
          <w:lang w:val="en-US" w:eastAsia="zh-CN"/>
        </w:rPr>
        <w:t>24</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00</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8</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00</w:t>
      </w:r>
      <w:r>
        <w:rPr>
          <w:rFonts w:hint="eastAsia" w:ascii="Times New Roman" w:hAnsi="Times New Roman" w:cs="Times New Roman" w:eastAsiaTheme="minorEastAsia"/>
          <w:sz w:val="24"/>
          <w:highlight w:val="none"/>
          <w:lang w:val="en-US" w:eastAsia="zh-CN"/>
        </w:rPr>
        <w:t xml:space="preserve">）时段施工； </w:t>
      </w:r>
    </w:p>
    <w:p w14:paraId="66A6DC9B">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2</w:t>
      </w:r>
      <w:r>
        <w:rPr>
          <w:rFonts w:hint="eastAsia" w:ascii="Times New Roman" w:hAnsi="Times New Roman" w:cs="Times New Roman" w:eastAsiaTheme="minorEastAsia"/>
          <w:sz w:val="24"/>
          <w:highlight w:val="none"/>
          <w:lang w:val="en-US" w:eastAsia="zh-CN"/>
        </w:rPr>
        <w:t>）材料运输等汽车进场安排专人指挥，场内禁止运输车辆鸣笛；</w:t>
      </w:r>
    </w:p>
    <w:p w14:paraId="41F6A6A9">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3</w:t>
      </w:r>
      <w:r>
        <w:rPr>
          <w:rFonts w:hint="eastAsia" w:ascii="Times New Roman" w:hAnsi="Times New Roman" w:cs="Times New Roman" w:eastAsiaTheme="minorEastAsia"/>
          <w:sz w:val="24"/>
          <w:highlight w:val="none"/>
          <w:lang w:val="en-US" w:eastAsia="zh-CN"/>
        </w:rPr>
        <w:t>）材料装卸采用人工传递，严禁抛掷或汽车一次性下料；</w:t>
      </w:r>
    </w:p>
    <w:p w14:paraId="14BA2857">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4</w:t>
      </w:r>
      <w:r>
        <w:rPr>
          <w:rFonts w:hint="eastAsia" w:ascii="Times New Roman" w:hAnsi="Times New Roman" w:cs="Times New Roman" w:eastAsiaTheme="minorEastAsia"/>
          <w:sz w:val="24"/>
          <w:highlight w:val="none"/>
          <w:lang w:val="en-US" w:eastAsia="zh-CN"/>
        </w:rPr>
        <w:t>）加强施工作业人员管理和教育，施工中减少不必要的金属敲击声；</w:t>
      </w:r>
    </w:p>
    <w:p w14:paraId="6A8AD678">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5</w:t>
      </w:r>
      <w:r>
        <w:rPr>
          <w:rFonts w:hint="eastAsia" w:ascii="Times New Roman" w:hAnsi="Times New Roman" w:cs="Times New Roman" w:eastAsiaTheme="minorEastAsia"/>
          <w:sz w:val="24"/>
          <w:highlight w:val="none"/>
          <w:lang w:val="en-US" w:eastAsia="zh-CN"/>
        </w:rPr>
        <w:t>）合理安排运输车辆的路线，合理安排运输时间。</w:t>
      </w:r>
    </w:p>
    <w:p w14:paraId="7B18073F">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通过以上措施，能有效降低施工噪声的影响。评价认为，本项目施工期采取本报告中提出的噪声防治措施后，可实现施工噪声达标排放，降低噪声对周围声环境的影响。同时，本项目施工期噪声影响将随着施工期的结束而消失，措施可行。</w:t>
      </w:r>
    </w:p>
    <w:p w14:paraId="2D76795B">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311" w:name="_Toc26532"/>
      <w:r>
        <w:rPr>
          <w:rFonts w:hint="eastAsia" w:ascii="Times New Roman" w:hAnsi="Times New Roman" w:cs="Times New Roman" w:eastAsiaTheme="minorEastAsia"/>
          <w:kern w:val="0"/>
          <w:sz w:val="24"/>
          <w:szCs w:val="24"/>
          <w:lang w:val="en-US" w:eastAsia="zh-CN"/>
        </w:rPr>
        <w:t>6.1.4固体废物污染防治措施</w:t>
      </w:r>
      <w:bookmarkEnd w:id="311"/>
    </w:p>
    <w:p w14:paraId="499AF4B7">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本项目施工期固体废物来自施工产生的建筑垃圾、生活垃圾。</w:t>
      </w:r>
    </w:p>
    <w:p w14:paraId="3E645300">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 xml:space="preserve">施工期的建筑垃圾主要包含包装纸品、钢筋头、设备安装废弃材料等。建筑垃圾中的废钢铁、包装纸等可回收利用的统一收集后外卖回收综合利用；其他不可回收利用全部送至莎车县指定的弃渣场堆存。 </w:t>
      </w:r>
    </w:p>
    <w:p w14:paraId="602D9F5F">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施工人员生活垃圾经分类集中收集后交由当地环卫部门处理。</w:t>
      </w:r>
    </w:p>
    <w:p w14:paraId="6CD80622">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评价认为，采取上述治理措施后，本项目施工期产生的各类固体废物去向明确，可得到无害化处置或资源化利用，不会对环境造成二次污染。</w:t>
      </w:r>
    </w:p>
    <w:p w14:paraId="3ABF08EF">
      <w:pPr>
        <w:pStyle w:val="3"/>
        <w:spacing w:before="120" w:after="120" w:line="500" w:lineRule="exact"/>
        <w:ind w:left="375" w:hanging="375" w:firstLineChars="0"/>
        <w:contextualSpacing/>
        <w:rPr>
          <w:rFonts w:hint="default" w:ascii="Times New Roman" w:hAnsi="Times New Roman" w:cs="Times New Roman" w:eastAsiaTheme="minorEastAsia"/>
          <w:snapToGrid w:val="0"/>
          <w:kern w:val="0"/>
          <w:sz w:val="28"/>
          <w:szCs w:val="28"/>
          <w:lang w:val="en-US" w:eastAsia="zh-CN"/>
        </w:rPr>
      </w:pPr>
      <w:bookmarkStart w:id="312" w:name="_Toc23518"/>
      <w:r>
        <w:rPr>
          <w:rFonts w:hint="eastAsia" w:ascii="Times New Roman" w:hAnsi="Times New Roman" w:cs="Times New Roman" w:eastAsiaTheme="minorEastAsia"/>
          <w:snapToGrid w:val="0"/>
          <w:kern w:val="0"/>
          <w:sz w:val="28"/>
          <w:szCs w:val="28"/>
          <w:lang w:val="en-US" w:eastAsia="zh-CN"/>
        </w:rPr>
        <w:t>6.2运营期污染防治措施</w:t>
      </w:r>
      <w:bookmarkEnd w:id="312"/>
    </w:p>
    <w:p w14:paraId="4038E439">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313" w:name="_Toc30065"/>
      <w:r>
        <w:rPr>
          <w:rFonts w:hint="eastAsia" w:ascii="Times New Roman" w:hAnsi="Times New Roman" w:cs="Times New Roman" w:eastAsiaTheme="minorEastAsia"/>
          <w:kern w:val="0"/>
          <w:sz w:val="24"/>
          <w:szCs w:val="24"/>
          <w:lang w:val="en-US" w:eastAsia="zh-CN"/>
        </w:rPr>
        <w:t>6.2.1</w:t>
      </w:r>
      <w:r>
        <w:rPr>
          <w:rFonts w:hint="eastAsia" w:ascii="Times New Roman" w:hAnsi="Times New Roman" w:cs="Times New Roman"/>
          <w:kern w:val="0"/>
          <w:sz w:val="24"/>
          <w:szCs w:val="24"/>
          <w:lang w:val="en-US" w:eastAsia="zh-CN"/>
        </w:rPr>
        <w:t>大气污染防治</w:t>
      </w:r>
      <w:r>
        <w:rPr>
          <w:rFonts w:hint="eastAsia" w:ascii="Times New Roman" w:hAnsi="Times New Roman" w:cs="Times New Roman" w:eastAsiaTheme="minorEastAsia"/>
          <w:kern w:val="0"/>
          <w:sz w:val="24"/>
          <w:szCs w:val="24"/>
          <w:lang w:val="en-US" w:eastAsia="zh-CN"/>
        </w:rPr>
        <w:t>措施及其可行性分析</w:t>
      </w:r>
      <w:bookmarkEnd w:id="313"/>
    </w:p>
    <w:p w14:paraId="502E7471">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6.2.1.1烟气净化措施可行性分析</w:t>
      </w:r>
    </w:p>
    <w:p w14:paraId="07EC355E">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根据工程分析污染源分析章节，本项目医废焚烧烟气中主要污染物为颗粒物、酸性气体</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SO</w:t>
      </w:r>
      <w:r>
        <w:rPr>
          <w:rFonts w:hint="eastAsia" w:ascii="Times New Roman" w:hAnsi="Times New Roman" w:cs="Times New Roman" w:eastAsiaTheme="minorEastAsia"/>
          <w:sz w:val="24"/>
          <w:highlight w:val="none"/>
          <w:vertAlign w:val="subscript"/>
          <w:lang w:val="en-US" w:eastAsia="zh-CN"/>
        </w:rPr>
        <w:t>2</w:t>
      </w:r>
      <w:r>
        <w:rPr>
          <w:rFonts w:hint="eastAsia" w:ascii="Times New Roman" w:hAnsi="Times New Roman" w:cs="Times New Roman" w:eastAsiaTheme="minorEastAsia"/>
          <w:sz w:val="24"/>
          <w:highlight w:val="none"/>
          <w:lang w:val="en-US" w:eastAsia="zh-CN"/>
        </w:rPr>
        <w:t>、HCI、HF等</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、NOx、重金属和二噁英。</w:t>
      </w:r>
    </w:p>
    <w:p w14:paraId="6FD223B3">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使用了目前比较成熟的烟气净化工艺：““3T+E”燃烧控制+SNCR脱硝+旋风除尘+急冷塔+干法脱酸（消石灰喷射）+活性炭喷射+布袋除尘器+湿法喷淋脱酸（5%氢氧化钠）”。烟气净化处理系统完成燃烧烟气的冷却、脱酸和除尘，控制并吸收二噁英，并处置了重金属等有害物质。此烟气净化工艺满足《</w:t>
      </w:r>
      <w:r>
        <w:rPr>
          <w:rFonts w:hint="eastAsia" w:ascii="Times New Roman" w:hAnsi="Times New Roman" w:cs="Times New Roman"/>
          <w:sz w:val="24"/>
          <w:highlight w:val="none"/>
          <w:lang w:val="en-US" w:eastAsia="zh-CN"/>
        </w:rPr>
        <w:t>医疗废物集中焚烧处置工程技术规范</w:t>
      </w:r>
      <w:r>
        <w:rPr>
          <w:rFonts w:hint="eastAsia"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（HJ 177-2023）</w:t>
      </w:r>
      <w:r>
        <w:rPr>
          <w:rFonts w:hint="eastAsia" w:ascii="Times New Roman" w:hAnsi="Times New Roman" w:cs="Times New Roman" w:eastAsiaTheme="minorEastAsia"/>
          <w:sz w:val="24"/>
          <w:highlight w:val="none"/>
          <w:lang w:val="en-US" w:eastAsia="zh-CN"/>
        </w:rPr>
        <w:t>中的要求。</w:t>
      </w:r>
    </w:p>
    <w:p w14:paraId="7BC9FAAF">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（1）酸性气体净化工艺技术可行性分析</w:t>
      </w:r>
    </w:p>
    <w:p w14:paraId="131FC247">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本项目采用“干法+湿法脱酸”的组合工艺。符合《</w:t>
      </w:r>
      <w:r>
        <w:rPr>
          <w:rFonts w:hint="eastAsia" w:ascii="Times New Roman" w:hAnsi="Times New Roman" w:cs="Times New Roman"/>
          <w:sz w:val="24"/>
          <w:highlight w:val="none"/>
          <w:lang w:val="en-US" w:eastAsia="zh-CN"/>
        </w:rPr>
        <w:t>医疗废物集中焚烧处置工程技术规范</w:t>
      </w:r>
      <w:r>
        <w:rPr>
          <w:rFonts w:hint="eastAsia"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（HJ 177-2023）</w:t>
      </w:r>
      <w:r>
        <w:rPr>
          <w:rFonts w:hint="eastAsia" w:ascii="Times New Roman" w:hAnsi="Times New Roman" w:cs="Times New Roman" w:eastAsiaTheme="minorEastAsia"/>
          <w:sz w:val="24"/>
          <w:highlight w:val="none"/>
          <w:lang w:val="en-US" w:eastAsia="zh-CN"/>
        </w:rPr>
        <w:t>“酸性污染物的去除可采用湿法、半干法、干法或多种脱酸工艺的组合”的要求。</w:t>
      </w:r>
    </w:p>
    <w:p w14:paraId="03AEB7EF">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干法脱酸作为一种实用而高效的烟气净化工艺获得广泛的工程应用。该法的是充分利用烟气中余热，并使得净化反应产物以固态颗粒形式排出，避免了湿法净化产生污水的缺点</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同时由于急冷后烟气中含有较多水分，Ca(OH)</w:t>
      </w:r>
      <w:r>
        <w:rPr>
          <w:rFonts w:hint="eastAsia" w:ascii="Times New Roman" w:hAnsi="Times New Roman" w:cs="Times New Roman" w:eastAsiaTheme="minorEastAsia"/>
          <w:sz w:val="24"/>
          <w:highlight w:val="none"/>
          <w:vertAlign w:val="subscript"/>
          <w:lang w:val="en-US" w:eastAsia="zh-CN"/>
        </w:rPr>
        <w:t>2</w:t>
      </w:r>
      <w:r>
        <w:rPr>
          <w:rFonts w:hint="eastAsia" w:ascii="Times New Roman" w:hAnsi="Times New Roman" w:cs="Times New Roman" w:eastAsiaTheme="minorEastAsia"/>
          <w:sz w:val="24"/>
          <w:highlight w:val="none"/>
          <w:lang w:val="en-US" w:eastAsia="zh-CN"/>
        </w:rPr>
        <w:t>吸收烟气中水分后，中和反应速度加快，另外也可起到保护布袋的作用。</w:t>
      </w:r>
    </w:p>
    <w:p w14:paraId="0D426680">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烟气从急冷塔排出后进入了干法脱酸塔内，在干法反应塔内喷入消石灰和活性炭。消石灰通过输送风机送烟道中，且消石灰仓出料口设置圆盘给料机，并对给料机的转速变频控制，调节进入反应塔的消石灰的量。</w:t>
      </w:r>
    </w:p>
    <w:p w14:paraId="503E26A2">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从急冷塔出来的烟气与喷入的吸收剂充分混合反应。烟气夹带</w:t>
      </w:r>
      <w:r>
        <w:rPr>
          <w:rFonts w:hint="default" w:ascii="Times New Roman" w:hAnsi="Times New Roman" w:cs="Times New Roman" w:eastAsiaTheme="minorEastAsia"/>
          <w:sz w:val="24"/>
          <w:highlight w:val="none"/>
          <w:lang w:val="en-US" w:eastAsia="zh-CN"/>
        </w:rPr>
        <w:t>Ca(OH)</w:t>
      </w:r>
      <w:r>
        <w:rPr>
          <w:rFonts w:hint="default" w:ascii="Times New Roman" w:hAnsi="Times New Roman" w:cs="Times New Roman" w:eastAsiaTheme="minorEastAsia"/>
          <w:sz w:val="24"/>
          <w:highlight w:val="none"/>
          <w:vertAlign w:val="subscript"/>
          <w:lang w:val="en-US" w:eastAsia="zh-CN"/>
        </w:rPr>
        <w:t>2</w:t>
      </w:r>
      <w:r>
        <w:rPr>
          <w:rFonts w:hint="eastAsia" w:ascii="Times New Roman" w:hAnsi="Times New Roman" w:cs="Times New Roman" w:eastAsiaTheme="minorEastAsia"/>
          <w:sz w:val="24"/>
          <w:highlight w:val="none"/>
          <w:lang w:val="en-US" w:eastAsia="zh-CN"/>
        </w:rPr>
        <w:t>粉在向上流动的过程中，Ca(OH)</w:t>
      </w:r>
      <w:r>
        <w:rPr>
          <w:rFonts w:hint="eastAsia" w:ascii="Times New Roman" w:hAnsi="Times New Roman" w:cs="Times New Roman" w:eastAsiaTheme="minorEastAsia"/>
          <w:sz w:val="24"/>
          <w:highlight w:val="none"/>
          <w:vertAlign w:val="subscript"/>
          <w:lang w:val="en-US" w:eastAsia="zh-CN"/>
        </w:rPr>
        <w:t>2</w:t>
      </w:r>
      <w:r>
        <w:rPr>
          <w:rFonts w:hint="eastAsia" w:ascii="Times New Roman" w:hAnsi="Times New Roman" w:cs="Times New Roman" w:eastAsiaTheme="minorEastAsia"/>
          <w:sz w:val="24"/>
          <w:highlight w:val="none"/>
          <w:lang w:val="en-US" w:eastAsia="zh-CN"/>
        </w:rPr>
        <w:t>和烟气中的SO</w:t>
      </w:r>
      <w:r>
        <w:rPr>
          <w:rFonts w:hint="eastAsia" w:ascii="Times New Roman" w:hAnsi="Times New Roman" w:cs="Times New Roman" w:eastAsiaTheme="minorEastAsia"/>
          <w:sz w:val="24"/>
          <w:highlight w:val="none"/>
          <w:vertAlign w:val="subscript"/>
          <w:lang w:val="en-US" w:eastAsia="zh-CN"/>
        </w:rPr>
        <w:t>2</w:t>
      </w:r>
      <w:r>
        <w:rPr>
          <w:rFonts w:hint="eastAsia" w:ascii="Times New Roman" w:hAnsi="Times New Roman" w:cs="Times New Roman" w:eastAsiaTheme="minorEastAsia"/>
          <w:sz w:val="24"/>
          <w:highlight w:val="none"/>
          <w:lang w:val="en-US" w:eastAsia="zh-CN"/>
        </w:rPr>
        <w:t>、SO</w:t>
      </w:r>
      <w:r>
        <w:rPr>
          <w:rFonts w:hint="eastAsia" w:ascii="Times New Roman" w:hAnsi="Times New Roman" w:cs="Times New Roman" w:eastAsiaTheme="minorEastAsia"/>
          <w:sz w:val="24"/>
          <w:highlight w:val="none"/>
          <w:vertAlign w:val="subscript"/>
          <w:lang w:val="en-US" w:eastAsia="zh-CN"/>
        </w:rPr>
        <w:t>3</w:t>
      </w:r>
      <w:r>
        <w:rPr>
          <w:rFonts w:hint="eastAsia" w:ascii="Times New Roman" w:hAnsi="Times New Roman" w:cs="Times New Roman" w:eastAsiaTheme="minorEastAsia"/>
          <w:sz w:val="24"/>
          <w:highlight w:val="none"/>
          <w:lang w:val="en-US" w:eastAsia="zh-CN"/>
        </w:rPr>
        <w:t>、HCI和HF等发生化学反应，生成CaSO</w:t>
      </w:r>
      <w:r>
        <w:rPr>
          <w:rFonts w:hint="eastAsia" w:ascii="Times New Roman" w:hAnsi="Times New Roman" w:cs="Times New Roman" w:eastAsiaTheme="minorEastAsia"/>
          <w:sz w:val="24"/>
          <w:highlight w:val="none"/>
          <w:vertAlign w:val="subscript"/>
          <w:lang w:val="en-US" w:eastAsia="zh-CN"/>
        </w:rPr>
        <w:t>3</w:t>
      </w:r>
      <w:r>
        <w:rPr>
          <w:rFonts w:hint="eastAsia" w:ascii="Times New Roman" w:hAnsi="Times New Roman" w:cs="Times New Roman" w:eastAsiaTheme="minorEastAsia"/>
          <w:sz w:val="24"/>
          <w:highlight w:val="none"/>
          <w:lang w:val="en-US" w:eastAsia="zh-CN"/>
        </w:rPr>
        <w:t>、CaSO</w:t>
      </w:r>
      <w:r>
        <w:rPr>
          <w:rFonts w:hint="eastAsia" w:ascii="Times New Roman" w:hAnsi="Times New Roman" w:cs="Times New Roman" w:eastAsiaTheme="minorEastAsia"/>
          <w:sz w:val="24"/>
          <w:highlight w:val="none"/>
          <w:vertAlign w:val="subscript"/>
          <w:lang w:val="en-US" w:eastAsia="zh-CN"/>
        </w:rPr>
        <w:t>4</w:t>
      </w:r>
      <w:r>
        <w:rPr>
          <w:rFonts w:hint="eastAsia" w:ascii="Times New Roman" w:hAnsi="Times New Roman" w:cs="Times New Roman" w:eastAsiaTheme="minorEastAsia"/>
          <w:sz w:val="24"/>
          <w:highlight w:val="none"/>
          <w:lang w:val="en-US" w:eastAsia="zh-CN"/>
        </w:rPr>
        <w:t>、CaCl</w:t>
      </w:r>
      <w:r>
        <w:rPr>
          <w:rFonts w:hint="eastAsia" w:ascii="Times New Roman" w:hAnsi="Times New Roman" w:cs="Times New Roman" w:eastAsiaTheme="minorEastAsia"/>
          <w:sz w:val="24"/>
          <w:highlight w:val="none"/>
          <w:vertAlign w:val="subscript"/>
          <w:lang w:val="en-US" w:eastAsia="zh-CN"/>
        </w:rPr>
        <w:t>2</w:t>
      </w:r>
      <w:r>
        <w:rPr>
          <w:rFonts w:hint="eastAsia" w:ascii="Times New Roman" w:hAnsi="Times New Roman" w:cs="Times New Roman" w:eastAsiaTheme="minorEastAsia"/>
          <w:sz w:val="24"/>
          <w:highlight w:val="none"/>
          <w:lang w:val="en-US" w:eastAsia="zh-CN"/>
        </w:rPr>
        <w:t>、CaF</w:t>
      </w:r>
      <w:r>
        <w:rPr>
          <w:rFonts w:hint="eastAsia" w:ascii="Times New Roman" w:hAnsi="Times New Roman" w:cs="Times New Roman" w:eastAsiaTheme="minorEastAsia"/>
          <w:sz w:val="24"/>
          <w:highlight w:val="none"/>
          <w:vertAlign w:val="subscript"/>
          <w:lang w:val="en-US" w:eastAsia="zh-CN"/>
        </w:rPr>
        <w:t>2</w:t>
      </w:r>
      <w:r>
        <w:rPr>
          <w:rFonts w:hint="eastAsia" w:ascii="Times New Roman" w:hAnsi="Times New Roman" w:cs="Times New Roman" w:eastAsiaTheme="minorEastAsia"/>
          <w:sz w:val="24"/>
          <w:highlight w:val="none"/>
          <w:lang w:val="en-US" w:eastAsia="zh-CN"/>
        </w:rPr>
        <w:t>等。同时烟气中有CO</w:t>
      </w:r>
      <w:r>
        <w:rPr>
          <w:rFonts w:hint="eastAsia" w:ascii="Times New Roman" w:hAnsi="Times New Roman" w:cs="Times New Roman" w:eastAsiaTheme="minorEastAsia"/>
          <w:sz w:val="24"/>
          <w:highlight w:val="none"/>
          <w:vertAlign w:val="subscript"/>
          <w:lang w:val="en-US" w:eastAsia="zh-CN"/>
        </w:rPr>
        <w:t>2</w:t>
      </w:r>
      <w:r>
        <w:rPr>
          <w:rFonts w:hint="eastAsia" w:ascii="Times New Roman" w:hAnsi="Times New Roman" w:cs="Times New Roman" w:eastAsiaTheme="minorEastAsia"/>
          <w:sz w:val="24"/>
          <w:highlight w:val="none"/>
          <w:lang w:val="en-US" w:eastAsia="zh-CN"/>
        </w:rPr>
        <w:t>存在</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还会消耗一部分Ca(OH)</w:t>
      </w:r>
      <w:r>
        <w:rPr>
          <w:rFonts w:hint="eastAsia" w:ascii="Times New Roman" w:hAnsi="Times New Roman" w:cs="Times New Roman" w:eastAsiaTheme="minorEastAsia"/>
          <w:sz w:val="24"/>
          <w:highlight w:val="none"/>
          <w:vertAlign w:val="subscript"/>
          <w:lang w:val="en-US" w:eastAsia="zh-CN"/>
        </w:rPr>
        <w:t>2</w:t>
      </w:r>
      <w:r>
        <w:rPr>
          <w:rFonts w:hint="eastAsia" w:ascii="Times New Roman" w:hAnsi="Times New Roman" w:cs="Times New Roman" w:eastAsiaTheme="minorEastAsia"/>
          <w:sz w:val="24"/>
          <w:highlight w:val="none"/>
          <w:lang w:val="en-US" w:eastAsia="zh-CN"/>
        </w:rPr>
        <w:t>生成CaCO</w:t>
      </w:r>
      <w:r>
        <w:rPr>
          <w:rFonts w:hint="eastAsia" w:ascii="Times New Roman" w:hAnsi="Times New Roman" w:cs="Times New Roman" w:eastAsiaTheme="minorEastAsia"/>
          <w:sz w:val="24"/>
          <w:highlight w:val="none"/>
          <w:vertAlign w:val="subscript"/>
          <w:lang w:val="en-US" w:eastAsia="zh-CN"/>
        </w:rPr>
        <w:t>3</w:t>
      </w:r>
      <w:r>
        <w:rPr>
          <w:rFonts w:hint="eastAsia" w:ascii="Times New Roman" w:hAnsi="Times New Roman" w:cs="Times New Roman" w:eastAsiaTheme="minorEastAsia"/>
          <w:sz w:val="24"/>
          <w:highlight w:val="none"/>
          <w:lang w:val="en-US" w:eastAsia="zh-CN"/>
        </w:rPr>
        <w:t>。</w:t>
      </w:r>
    </w:p>
    <w:p w14:paraId="25AB7180">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为确保酸性气体达标排放，在袋式除尘器后，本项目增加中和洗涤塔。本湿式洗涤塔采用FRP制成，内设逆向填料吸收系统、喷淋系统、脱雾装置系统、下设供水箱、供水泵系统、进出风口、风机、风管、吸罩组成系统。湿式洗涤塔结构采用塔体和水箱一体式，水箱设置液位和</w:t>
      </w:r>
      <w:r>
        <w:rPr>
          <w:rFonts w:hint="eastAsia" w:ascii="Times New Roman" w:hAnsi="Times New Roman" w:cs="Times New Roman"/>
          <w:sz w:val="24"/>
          <w:highlight w:val="none"/>
          <w:lang w:val="en-US" w:eastAsia="zh-CN"/>
        </w:rPr>
        <w:t>p</w:t>
      </w:r>
      <w:r>
        <w:rPr>
          <w:rFonts w:hint="eastAsia" w:ascii="Times New Roman" w:hAnsi="Times New Roman" w:cs="Times New Roman" w:eastAsiaTheme="minorEastAsia"/>
          <w:sz w:val="24"/>
          <w:highlight w:val="none"/>
          <w:lang w:val="en-US" w:eastAsia="zh-CN"/>
        </w:rPr>
        <w:t>H计，运行时设定排放液</w:t>
      </w:r>
      <w:r>
        <w:rPr>
          <w:rFonts w:hint="eastAsia" w:ascii="Times New Roman" w:hAnsi="Times New Roman" w:cs="Times New Roman"/>
          <w:sz w:val="24"/>
          <w:highlight w:val="none"/>
          <w:lang w:val="en-US" w:eastAsia="zh-CN"/>
        </w:rPr>
        <w:t>pH值</w:t>
      </w:r>
      <w:r>
        <w:rPr>
          <w:rFonts w:hint="eastAsia"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pH值</w:t>
      </w:r>
      <w:r>
        <w:rPr>
          <w:rFonts w:hint="eastAsia" w:ascii="Times New Roman" w:hAnsi="Times New Roman" w:cs="Times New Roman" w:eastAsiaTheme="minorEastAsia"/>
          <w:sz w:val="24"/>
          <w:highlight w:val="none"/>
          <w:lang w:val="en-US" w:eastAsia="zh-CN"/>
        </w:rPr>
        <w:t>达到设定值时，排放循环液，补充新的循环液。</w:t>
      </w:r>
    </w:p>
    <w:p w14:paraId="7C6A4D9C">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湿式洗涤塔与吸附塔内装填料，烟气呈发散状进入填料层，然后继续垂直往上通过填料层，酸性气体的吸收就发生在这个部位。通过带喷嘴的喷头将循环液</w:t>
      </w:r>
      <w:r>
        <w:rPr>
          <w:rFonts w:hint="eastAsia" w:ascii="Times New Roman" w:hAnsi="Times New Roman" w:cs="Times New Roman"/>
          <w:sz w:val="24"/>
          <w:highlight w:val="none"/>
          <w:lang w:val="en-US" w:eastAsia="zh-CN"/>
        </w:rPr>
        <w:t>扩散</w:t>
      </w:r>
      <w:r>
        <w:rPr>
          <w:rFonts w:hint="eastAsia" w:ascii="Times New Roman" w:hAnsi="Times New Roman" w:cs="Times New Roman" w:eastAsiaTheme="minorEastAsia"/>
          <w:sz w:val="24"/>
          <w:highlight w:val="none"/>
          <w:lang w:val="en-US" w:eastAsia="zh-CN"/>
        </w:rPr>
        <w:t>到整个塔截面，确保所有气体都能够与循环液充分接触。填料层下面的喷头用来确保烟气进入填料层之前达到露点温度。</w:t>
      </w:r>
    </w:p>
    <w:p w14:paraId="007D43DF">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塔内填料层作为气液两相间接触构件的传质设备。填料塔底部装有填料支承板，填料以乱堆方式放置在支承板上。填料的上方安装填料压板，以防被上升气流吹动。喷淋液从塔顶经液体分布器喷淋到填料上，并沿填料表面流下。气体从塔底送入，经气体分布装置分布后，与液体呈逆流连续通过填料层的空隙，在填料表面上，气液两相密切接触进行传质。当液体沿填料层向下流动时，有时会出现壁流现象，壁流效应造成气液两相在填料层中分布不均，从而使传质效率下降。因此，喷淋塔内的填料层分为两段，中间设置再分布装置，经重新分布后喷淋到下层填料上。为了避免气体携走喷淋液，在吸附塔顶部气水分离器，有效截留喷淋液。喷淋液循环使用，在使用过程中会有部分损失，位于塔底的循环水箱适时补充喷淋液。气水分离器形式为波纹状除雾器，通过该除雾器可从烟气流中去除所有液滴。除雾器带有冲洗喷头，可间歇地喷入高压清洁水清洗除雾器，去除可能沉淀其上的盐类物质。冲洗的间隔和时间由一就地定时器或远程PLC程序控制。</w:t>
      </w:r>
    </w:p>
    <w:p w14:paraId="6FBB3445">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通过采取上述两级脱酸措施，可有效确保烟气中各酸性气体去除效率在90%以上，使烟气中酸性气体浓度满足《医疗废物处理处置污染控制标准》</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GB39707-2020</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w:t>
      </w:r>
    </w:p>
    <w:p w14:paraId="10E944F5">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（2）NOx控制措施可行性分析</w:t>
      </w:r>
    </w:p>
    <w:p w14:paraId="187DBFAC">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选择性催化还原法（</w:t>
      </w:r>
      <w:r>
        <w:rPr>
          <w:rFonts w:hint="default" w:ascii="Times New Roman" w:hAnsi="Times New Roman" w:cs="Times New Roman" w:eastAsiaTheme="minorEastAsia"/>
          <w:sz w:val="24"/>
          <w:highlight w:val="none"/>
          <w:lang w:val="en-US" w:eastAsia="zh-CN"/>
        </w:rPr>
        <w:t>SCR</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SCR</w:t>
      </w:r>
      <w:r>
        <w:rPr>
          <w:rFonts w:hint="eastAsia" w:ascii="Times New Roman" w:hAnsi="Times New Roman" w:cs="Times New Roman" w:eastAsiaTheme="minorEastAsia"/>
          <w:sz w:val="24"/>
          <w:highlight w:val="none"/>
          <w:lang w:val="en-US" w:eastAsia="zh-CN"/>
        </w:rPr>
        <w:t>法是在催化剂的存在下</w:t>
      </w:r>
      <w:r>
        <w:rPr>
          <w:rFonts w:hint="default" w:ascii="Times New Roman" w:hAnsi="Times New Roman" w:cs="Times New Roman" w:eastAsiaTheme="minorEastAsia"/>
          <w:sz w:val="24"/>
          <w:highlight w:val="none"/>
          <w:lang w:val="en-US" w:eastAsia="zh-CN"/>
        </w:rPr>
        <w:t>NOx</w:t>
      </w:r>
      <w:r>
        <w:rPr>
          <w:rFonts w:hint="eastAsia" w:ascii="Times New Roman" w:hAnsi="Times New Roman" w:cs="Times New Roman" w:eastAsiaTheme="minorEastAsia"/>
          <w:sz w:val="24"/>
          <w:highlight w:val="none"/>
          <w:lang w:val="en-US" w:eastAsia="zh-CN"/>
        </w:rPr>
        <w:t>被还原成</w:t>
      </w:r>
      <w:r>
        <w:rPr>
          <w:rFonts w:hint="default" w:ascii="Times New Roman" w:hAnsi="Times New Roman" w:cs="Times New Roman" w:eastAsiaTheme="minorEastAsia"/>
          <w:sz w:val="24"/>
          <w:highlight w:val="none"/>
          <w:lang w:val="en-US" w:eastAsia="zh-CN"/>
        </w:rPr>
        <w:t>N</w:t>
      </w:r>
      <w:r>
        <w:rPr>
          <w:rFonts w:hint="default" w:ascii="Times New Roman" w:hAnsi="Times New Roman" w:cs="Times New Roman" w:eastAsiaTheme="minorEastAsia"/>
          <w:sz w:val="24"/>
          <w:highlight w:val="none"/>
          <w:vertAlign w:val="subscript"/>
          <w:lang w:val="en-US" w:eastAsia="zh-CN"/>
        </w:rPr>
        <w:t>2</w:t>
      </w:r>
      <w:r>
        <w:rPr>
          <w:rFonts w:hint="eastAsia" w:ascii="Times New Roman" w:hAnsi="Times New Roman" w:cs="Times New Roman" w:eastAsiaTheme="minorEastAsia"/>
          <w:sz w:val="24"/>
          <w:highlight w:val="none"/>
          <w:lang w:val="en-US" w:eastAsia="zh-CN"/>
        </w:rPr>
        <w:t>，为了达到</w:t>
      </w:r>
      <w:r>
        <w:rPr>
          <w:rFonts w:hint="default" w:ascii="Times New Roman" w:hAnsi="Times New Roman" w:cs="Times New Roman" w:eastAsiaTheme="minorEastAsia"/>
          <w:sz w:val="24"/>
          <w:highlight w:val="none"/>
          <w:lang w:val="en-US" w:eastAsia="zh-CN"/>
        </w:rPr>
        <w:t>SCR</w:t>
      </w:r>
      <w:r>
        <w:rPr>
          <w:rFonts w:hint="eastAsia" w:ascii="Times New Roman" w:hAnsi="Times New Roman" w:cs="Times New Roman" w:eastAsiaTheme="minorEastAsia"/>
          <w:sz w:val="24"/>
          <w:highlight w:val="none"/>
          <w:lang w:val="en-US" w:eastAsia="zh-CN"/>
        </w:rPr>
        <w:t>法还原反应所需的</w:t>
      </w:r>
      <w:r>
        <w:rPr>
          <w:rFonts w:hint="default" w:ascii="Times New Roman" w:hAnsi="Times New Roman" w:cs="Times New Roman" w:eastAsiaTheme="minorEastAsia"/>
          <w:sz w:val="24"/>
          <w:highlight w:val="none"/>
          <w:lang w:val="en-US" w:eastAsia="zh-CN"/>
        </w:rPr>
        <w:t>400</w:t>
      </w:r>
      <w:r>
        <w:rPr>
          <w:rFonts w:hint="eastAsia" w:ascii="Times New Roman" w:hAnsi="Times New Roman" w:cs="Times New Roman" w:eastAsiaTheme="minorEastAsia"/>
          <w:sz w:val="24"/>
          <w:highlight w:val="none"/>
          <w:lang w:val="en-US" w:eastAsia="zh-CN"/>
        </w:rPr>
        <w:t>℃的温度，烟气在进入催化脱氮器之前需要加热，试验证明SCR法可以将NOx排放浓度控制在100mg/Nm</w:t>
      </w:r>
      <w:r>
        <w:rPr>
          <w:rFonts w:hint="eastAsia"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以下。选择性非催化还原法</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SNCR</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SNCR是在高温</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800~1000°C</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条件下，利用还原剂将NOx还原成N</w:t>
      </w:r>
      <w:r>
        <w:rPr>
          <w:rFonts w:hint="eastAsia" w:ascii="Times New Roman" w:hAnsi="Times New Roman" w:cs="Times New Roman" w:eastAsiaTheme="minorEastAsia"/>
          <w:sz w:val="24"/>
          <w:highlight w:val="none"/>
          <w:vertAlign w:val="subscript"/>
          <w:lang w:val="en-US" w:eastAsia="zh-CN"/>
        </w:rPr>
        <w:t>2</w:t>
      </w:r>
      <w:r>
        <w:rPr>
          <w:rFonts w:hint="eastAsia" w:ascii="Times New Roman" w:hAnsi="Times New Roman" w:cs="Times New Roman" w:eastAsiaTheme="minorEastAsia"/>
          <w:sz w:val="24"/>
          <w:highlight w:val="none"/>
          <w:lang w:val="en-US" w:eastAsia="zh-CN"/>
        </w:rPr>
        <w:t>，SNCR不需要催化剂，但其还原反应所需的温度比SCR法高得多，因此SNCR需设置在焚烧炉膛内完成。</w:t>
      </w:r>
    </w:p>
    <w:p w14:paraId="59753B0C">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两种方法相比较，SCR法不仅需要催化剂，同时需要耗用大量热能，但是脱硝效率高</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工程上SNCR比SCR法应用得多一些，SNCR结合炉内燃烧技术，包括O</w:t>
      </w:r>
      <w:r>
        <w:rPr>
          <w:rFonts w:hint="eastAsia" w:ascii="Times New Roman" w:hAnsi="Times New Roman" w:cs="Times New Roman" w:eastAsiaTheme="minorEastAsia"/>
          <w:sz w:val="24"/>
          <w:highlight w:val="none"/>
          <w:vertAlign w:val="subscript"/>
          <w:lang w:val="en-US" w:eastAsia="zh-CN"/>
        </w:rPr>
        <w:t>2</w:t>
      </w:r>
      <w:r>
        <w:rPr>
          <w:rFonts w:hint="eastAsia" w:ascii="Times New Roman" w:hAnsi="Times New Roman" w:cs="Times New Roman" w:eastAsiaTheme="minorEastAsia"/>
          <w:sz w:val="24"/>
          <w:highlight w:val="none"/>
          <w:lang w:val="en-US" w:eastAsia="zh-CN"/>
        </w:rPr>
        <w:t>的控制，炉内温度的控制等，能够减少NOx在锅炉出口的原生浓度，一般在200mg/Nm</w:t>
      </w:r>
      <w:r>
        <w:rPr>
          <w:rFonts w:hint="eastAsia" w:ascii="Times New Roman" w:hAnsi="Times New Roman" w:cs="Times New Roman" w:eastAsiaTheme="minorEastAsia"/>
          <w:sz w:val="24"/>
          <w:highlight w:val="none"/>
          <w:vertAlign w:val="superscript"/>
          <w:lang w:val="en-US" w:eastAsia="zh-CN"/>
        </w:rPr>
        <w:t>3</w:t>
      </w:r>
      <w:r>
        <w:rPr>
          <w:rFonts w:hint="eastAsia" w:ascii="Times New Roman" w:hAnsi="Times New Roman" w:cs="Times New Roman" w:eastAsiaTheme="minorEastAsia"/>
          <w:sz w:val="24"/>
          <w:highlight w:val="none"/>
          <w:lang w:val="en-US" w:eastAsia="zh-CN"/>
        </w:rPr>
        <w:t>以下。</w:t>
      </w:r>
    </w:p>
    <w:p w14:paraId="1D8CE758">
      <w:pPr>
        <w:adjustRightInd w:val="0"/>
        <w:snapToGrid w:val="0"/>
        <w:spacing w:before="250"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表6.2-1  SCR和SNCR比较</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12FA6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B68340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项目</w:t>
            </w:r>
          </w:p>
        </w:tc>
        <w:tc>
          <w:tcPr>
            <w:tcW w:w="2841" w:type="dxa"/>
          </w:tcPr>
          <w:p w14:paraId="42AA575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SCR</w:t>
            </w:r>
          </w:p>
        </w:tc>
        <w:tc>
          <w:tcPr>
            <w:tcW w:w="2841" w:type="dxa"/>
          </w:tcPr>
          <w:p w14:paraId="7BAE138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SNCR</w:t>
            </w:r>
          </w:p>
        </w:tc>
      </w:tr>
      <w:tr w14:paraId="499E3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CE2CB3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反应温度</w:t>
            </w:r>
          </w:p>
        </w:tc>
        <w:tc>
          <w:tcPr>
            <w:tcW w:w="2841" w:type="dxa"/>
          </w:tcPr>
          <w:p w14:paraId="318E664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200</w:t>
            </w: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400℃</w:t>
            </w:r>
          </w:p>
        </w:tc>
        <w:tc>
          <w:tcPr>
            <w:tcW w:w="2841" w:type="dxa"/>
          </w:tcPr>
          <w:p w14:paraId="1056D75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800</w:t>
            </w: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1000℃</w:t>
            </w:r>
          </w:p>
        </w:tc>
      </w:tr>
      <w:tr w14:paraId="2FF81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9250B4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反应地点</w:t>
            </w:r>
          </w:p>
        </w:tc>
        <w:tc>
          <w:tcPr>
            <w:tcW w:w="2841" w:type="dxa"/>
          </w:tcPr>
          <w:p w14:paraId="13646AD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炉外的催化脱氮器</w:t>
            </w:r>
          </w:p>
        </w:tc>
        <w:tc>
          <w:tcPr>
            <w:tcW w:w="2841" w:type="dxa"/>
          </w:tcPr>
          <w:p w14:paraId="4357208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炉膛内</w:t>
            </w:r>
          </w:p>
        </w:tc>
      </w:tr>
      <w:tr w14:paraId="0D921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CA65A1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还原剂</w:t>
            </w:r>
          </w:p>
        </w:tc>
        <w:tc>
          <w:tcPr>
            <w:tcW w:w="2841" w:type="dxa"/>
          </w:tcPr>
          <w:p w14:paraId="506713D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尿素或氨水</w:t>
            </w:r>
          </w:p>
        </w:tc>
        <w:tc>
          <w:tcPr>
            <w:tcW w:w="2841" w:type="dxa"/>
          </w:tcPr>
          <w:p w14:paraId="62DFD42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尿素或氨水</w:t>
            </w:r>
          </w:p>
        </w:tc>
      </w:tr>
      <w:tr w14:paraId="7B40D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26B6AA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净化效率</w:t>
            </w:r>
          </w:p>
        </w:tc>
        <w:tc>
          <w:tcPr>
            <w:tcW w:w="2841" w:type="dxa"/>
          </w:tcPr>
          <w:p w14:paraId="4C96BEC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&gt;</w:t>
            </w:r>
            <w:r>
              <w:rPr>
                <w:rFonts w:hint="eastAsia" w:ascii="Times New Roman" w:hAnsi="Times New Roman" w:cs="Times New Roman" w:eastAsiaTheme="minorEastAsia"/>
                <w:szCs w:val="21"/>
                <w:lang w:val="en-US" w:eastAsia="zh-CN"/>
              </w:rPr>
              <w:t>80%</w:t>
            </w:r>
          </w:p>
        </w:tc>
        <w:tc>
          <w:tcPr>
            <w:tcW w:w="2841" w:type="dxa"/>
          </w:tcPr>
          <w:p w14:paraId="3F1BADF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40%—60%</w:t>
            </w:r>
          </w:p>
        </w:tc>
      </w:tr>
      <w:tr w14:paraId="04B09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8ACBFB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烟气再加热</w:t>
            </w:r>
          </w:p>
        </w:tc>
        <w:tc>
          <w:tcPr>
            <w:tcW w:w="2841" w:type="dxa"/>
          </w:tcPr>
          <w:p w14:paraId="4B3D9A5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需要加热到200℃以上</w:t>
            </w:r>
          </w:p>
        </w:tc>
        <w:tc>
          <w:tcPr>
            <w:tcW w:w="2841" w:type="dxa"/>
          </w:tcPr>
          <w:p w14:paraId="2E50FF5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不需要</w:t>
            </w:r>
          </w:p>
        </w:tc>
      </w:tr>
      <w:tr w14:paraId="4651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A3B09E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投资及运行费用</w:t>
            </w:r>
          </w:p>
        </w:tc>
        <w:tc>
          <w:tcPr>
            <w:tcW w:w="2841" w:type="dxa"/>
          </w:tcPr>
          <w:p w14:paraId="4CA6E01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高（烟气需要重新加热）</w:t>
            </w:r>
          </w:p>
        </w:tc>
        <w:tc>
          <w:tcPr>
            <w:tcW w:w="2841" w:type="dxa"/>
          </w:tcPr>
          <w:p w14:paraId="6ACB269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少</w:t>
            </w:r>
          </w:p>
        </w:tc>
      </w:tr>
      <w:tr w14:paraId="219FC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7C6311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NOx的最高保证值</w:t>
            </w:r>
          </w:p>
        </w:tc>
        <w:tc>
          <w:tcPr>
            <w:tcW w:w="2841" w:type="dxa"/>
          </w:tcPr>
          <w:p w14:paraId="524F6ED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50～100mg/m</w:t>
            </w:r>
            <w:r>
              <w:rPr>
                <w:rFonts w:hint="eastAsia" w:ascii="Times New Roman" w:hAnsi="Times New Roman" w:cs="Times New Roman" w:eastAsiaTheme="minorEastAsia"/>
                <w:szCs w:val="21"/>
                <w:vertAlign w:val="superscript"/>
                <w:lang w:val="en-US" w:eastAsia="zh-CN"/>
              </w:rPr>
              <w:t>3</w:t>
            </w:r>
            <w:r>
              <w:rPr>
                <w:rFonts w:hint="eastAsia" w:ascii="Times New Roman" w:hAnsi="Times New Roman" w:cs="Times New Roman" w:eastAsiaTheme="minorEastAsia"/>
                <w:szCs w:val="21"/>
                <w:lang w:val="en-US" w:eastAsia="zh-CN"/>
              </w:rPr>
              <w:t>（O211%，干基）</w:t>
            </w:r>
          </w:p>
        </w:tc>
        <w:tc>
          <w:tcPr>
            <w:tcW w:w="2841" w:type="dxa"/>
          </w:tcPr>
          <w:p w14:paraId="5D2C49C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190～200mg/m</w:t>
            </w:r>
            <w:r>
              <w:rPr>
                <w:rFonts w:hint="eastAsia" w:ascii="Times New Roman" w:hAnsi="Times New Roman" w:cs="Times New Roman" w:eastAsiaTheme="minorEastAsia"/>
                <w:szCs w:val="21"/>
                <w:vertAlign w:val="superscript"/>
                <w:lang w:val="en-US" w:eastAsia="zh-CN"/>
              </w:rPr>
              <w:t>3</w:t>
            </w:r>
            <w:r>
              <w:rPr>
                <w:rFonts w:hint="eastAsia" w:ascii="Times New Roman" w:hAnsi="Times New Roman" w:cs="Times New Roman" w:eastAsiaTheme="minorEastAsia"/>
                <w:szCs w:val="21"/>
                <w:lang w:val="en-US" w:eastAsia="zh-CN"/>
              </w:rPr>
              <w:t>（O211%，干基）</w:t>
            </w:r>
          </w:p>
        </w:tc>
      </w:tr>
      <w:tr w14:paraId="205EA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23EBB7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占地面积</w:t>
            </w:r>
          </w:p>
        </w:tc>
        <w:tc>
          <w:tcPr>
            <w:tcW w:w="2841" w:type="dxa"/>
          </w:tcPr>
          <w:p w14:paraId="653DCA4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需要烟气再加热器和催化剂反应塔，占地面积较大</w:t>
            </w:r>
          </w:p>
        </w:tc>
        <w:tc>
          <w:tcPr>
            <w:tcW w:w="2841" w:type="dxa"/>
          </w:tcPr>
          <w:p w14:paraId="1494A08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无需烟气再加热器和催化剂反应塔，占地面积较小</w:t>
            </w:r>
          </w:p>
        </w:tc>
      </w:tr>
    </w:tbl>
    <w:p w14:paraId="5A32522A">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从上表可以看出，SNCR能保证将NOx的排放浓度控制在200mg/Nm</w:t>
      </w:r>
      <w:r>
        <w:rPr>
          <w:rFonts w:hint="eastAsia" w:ascii="Times New Roman" w:hAnsi="Times New Roman" w:cs="Times New Roman" w:eastAsiaTheme="minorEastAsia"/>
          <w:sz w:val="24"/>
          <w:highlight w:val="none"/>
          <w:vertAlign w:val="superscript"/>
          <w:lang w:val="en-US" w:eastAsia="zh-CN"/>
        </w:rPr>
        <w:t>3</w:t>
      </w:r>
      <w:r>
        <w:rPr>
          <w:rFonts w:hint="default" w:ascii="Times New Roman" w:hAnsi="Times New Roman" w:cs="Times New Roman" w:eastAsiaTheme="minorEastAsia"/>
          <w:sz w:val="24"/>
          <w:highlight w:val="none"/>
          <w:lang w:val="en-US" w:eastAsia="zh-CN"/>
        </w:rPr>
        <w:t>以内，可满足本项目环保的要求。基于上述原因，在本工程中，采用SNCR作为脱氮工艺方案。</w:t>
      </w:r>
    </w:p>
    <w:p w14:paraId="2D8B2C49">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（3）烟尘净化工艺技术可行性分析</w:t>
      </w:r>
    </w:p>
    <w:p w14:paraId="7704F610">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医疗废物集中焚烧处置工程技术规范</w:t>
      </w:r>
      <w:r>
        <w:rPr>
          <w:rFonts w:hint="default"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（HJ 177-2023）</w:t>
      </w:r>
      <w:r>
        <w:rPr>
          <w:rFonts w:hint="default" w:ascii="Times New Roman" w:hAnsi="Times New Roman" w:cs="Times New Roman" w:eastAsiaTheme="minorEastAsia"/>
          <w:sz w:val="24"/>
          <w:highlight w:val="none"/>
          <w:lang w:val="en-US" w:eastAsia="zh-CN"/>
        </w:rPr>
        <w:t>第7.5.3.1条</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烟气净化系统的末端设备应优先选用袋式除尘器</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本项目选用的布袋除尘器是</w:t>
      </w:r>
      <w:r>
        <w:rPr>
          <w:rFonts w:hint="eastAsia" w:ascii="Times New Roman" w:hAnsi="Times New Roman" w:cs="Times New Roman"/>
          <w:sz w:val="24"/>
          <w:highlight w:val="none"/>
          <w:lang w:val="en-US" w:eastAsia="zh-CN"/>
        </w:rPr>
        <w:t>HJ 177-2023</w:t>
      </w:r>
      <w:r>
        <w:rPr>
          <w:rFonts w:hint="default" w:ascii="Times New Roman" w:hAnsi="Times New Roman" w:cs="Times New Roman" w:eastAsiaTheme="minorEastAsia"/>
          <w:sz w:val="24"/>
          <w:highlight w:val="none"/>
          <w:lang w:val="en-US" w:eastAsia="zh-CN"/>
        </w:rPr>
        <w:t>优先推荐方式，布袋除尘器具有烟尘净化效率高、维修方便、净化效率不受颗粒物比电阻和原浓度的影响等优点，同时对有机污染物和重金属均有良好的处理效果，烟尘排放浓度等可满足设计标准限值要求。</w:t>
      </w:r>
    </w:p>
    <w:p w14:paraId="0C0F7A18">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袋式除尘装置是PTFE+PTFE覆膜材质制成的滤袋将含尘气流中的粉尘捕集下来的一种干式高效除尘装置。布袋除尘器特点如下</w:t>
      </w:r>
      <w:r>
        <w:rPr>
          <w:rFonts w:hint="eastAsia" w:ascii="Times New Roman" w:hAnsi="Times New Roman" w:cs="Times New Roman" w:eastAsiaTheme="minorEastAsia"/>
          <w:sz w:val="24"/>
          <w:highlight w:val="none"/>
          <w:lang w:val="en-US" w:eastAsia="zh-CN"/>
        </w:rPr>
        <w:t>：</w:t>
      </w:r>
    </w:p>
    <w:p w14:paraId="63FDBB11">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①除尘效率高，特别是对微细粉尘也有较高的除尘效率，一般可达99%。</w:t>
      </w:r>
    </w:p>
    <w:p w14:paraId="57D6141B">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②适应性强，可以搜集不同性质的粉尘。例如，对于高比电阻粉尘，采用</w:t>
      </w:r>
      <w:r>
        <w:rPr>
          <w:rFonts w:hint="eastAsia" w:ascii="Times New Roman" w:hAnsi="Times New Roman" w:cs="Times New Roman"/>
          <w:sz w:val="24"/>
          <w:highlight w:val="none"/>
          <w:lang w:val="en-US" w:eastAsia="zh-CN"/>
        </w:rPr>
        <w:t>袋式除尘器</w:t>
      </w:r>
      <w:r>
        <w:rPr>
          <w:rFonts w:hint="default" w:ascii="Times New Roman" w:hAnsi="Times New Roman" w:cs="Times New Roman" w:eastAsiaTheme="minorEastAsia"/>
          <w:sz w:val="24"/>
          <w:highlight w:val="none"/>
          <w:lang w:val="en-US" w:eastAsia="zh-CN"/>
        </w:rPr>
        <w:t>比电除尘器优越。此外，入口含尘浓度在相当大的范围内变化时，对除尘效率和阻力的影响都不大。</w:t>
      </w:r>
    </w:p>
    <w:p w14:paraId="2F27DA0A">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③使用灵活，处理风量可由每小时数百立方米到数十万立方米。可以做成直接安装于室内、机器附近的小型机组，也可以</w:t>
      </w:r>
      <w:r>
        <w:rPr>
          <w:rFonts w:hint="eastAsia" w:ascii="Times New Roman" w:hAnsi="Times New Roman" w:cs="Times New Roman"/>
          <w:sz w:val="24"/>
          <w:highlight w:val="none"/>
          <w:lang w:val="en-US" w:eastAsia="zh-CN"/>
        </w:rPr>
        <w:t>做成</w:t>
      </w:r>
      <w:r>
        <w:rPr>
          <w:rFonts w:hint="default" w:ascii="Times New Roman" w:hAnsi="Times New Roman" w:cs="Times New Roman" w:eastAsiaTheme="minorEastAsia"/>
          <w:sz w:val="24"/>
          <w:highlight w:val="none"/>
          <w:lang w:val="en-US" w:eastAsia="zh-CN"/>
        </w:rPr>
        <w:t>大型的除尘器室。</w:t>
      </w:r>
    </w:p>
    <w:p w14:paraId="0F9DB592">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④结构简单，可以因地制宜</w:t>
      </w:r>
      <w:r>
        <w:rPr>
          <w:rFonts w:hint="eastAsia" w:ascii="Times New Roman" w:hAnsi="Times New Roman" w:cs="Times New Roman"/>
          <w:sz w:val="24"/>
          <w:highlight w:val="none"/>
          <w:lang w:val="en-US" w:eastAsia="zh-CN"/>
        </w:rPr>
        <w:t>采用</w:t>
      </w:r>
      <w:r>
        <w:rPr>
          <w:rFonts w:hint="default" w:ascii="Times New Roman" w:hAnsi="Times New Roman" w:cs="Times New Roman" w:eastAsiaTheme="minorEastAsia"/>
          <w:sz w:val="24"/>
          <w:highlight w:val="none"/>
          <w:lang w:val="en-US" w:eastAsia="zh-CN"/>
        </w:rPr>
        <w:t>直接套袋的简易袋式除尘器，也可采用效率更高的脉冲清灰袋式除尘器。</w:t>
      </w:r>
    </w:p>
    <w:p w14:paraId="4DC42E99">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⑤工作稳定，便于回收干料，没有污泥处理、腐蚀等问题，维护简单。</w:t>
      </w:r>
    </w:p>
    <w:p w14:paraId="3482AB24">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⑥应用范围受到滤料耐温、耐腐蚀性能的限制，特别是在耐高温性能方面，玻璃纤维滤料可耐250°C左右。</w:t>
      </w:r>
    </w:p>
    <w:p w14:paraId="1EEFEC4E">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根据同类企业现有废气治理设施的实际操作经验，经消石灰中和+活性炭吸附的含尘烟气经布袋除尘装置除尘，除尘效率可达99%以上，本项目布袋除尘器的清灰方式为脉冲喷吹式清灰。经有效处理后，本项目医废焚烧尾气经</w:t>
      </w:r>
      <w:r>
        <w:rPr>
          <w:rFonts w:hint="eastAsia" w:ascii="Times New Roman" w:hAnsi="Times New Roman" w:cs="Times New Roman" w:eastAsiaTheme="minorEastAsia"/>
          <w:sz w:val="24"/>
          <w:highlight w:val="none"/>
          <w:lang w:val="en-US" w:eastAsia="zh-CN"/>
        </w:rPr>
        <w:t>20</w:t>
      </w:r>
      <w:r>
        <w:rPr>
          <w:rFonts w:hint="default" w:ascii="Times New Roman" w:hAnsi="Times New Roman" w:cs="Times New Roman" w:eastAsiaTheme="minorEastAsia"/>
          <w:sz w:val="24"/>
          <w:highlight w:val="none"/>
          <w:lang w:val="en-US" w:eastAsia="zh-CN"/>
        </w:rPr>
        <w:t>m高排气筒排空，可达标排放。</w:t>
      </w:r>
    </w:p>
    <w:p w14:paraId="2DF6F8FB">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（4）重金属净化工艺技术可行性分析</w:t>
      </w:r>
    </w:p>
    <w:p w14:paraId="44B874CC">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本项目焚烧烟气中重金属量采取的主要污染防治措施为</w:t>
      </w:r>
      <w:r>
        <w:rPr>
          <w:rFonts w:hint="eastAsia" w:ascii="Times New Roman" w:hAnsi="Times New Roman" w:cs="Times New Roman"/>
          <w:sz w:val="24"/>
          <w:highlight w:val="none"/>
          <w:lang w:val="en-US" w:eastAsia="zh-CN"/>
        </w:rPr>
        <w:t>：</w:t>
      </w:r>
    </w:p>
    <w:p w14:paraId="69F35685">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1.通过急冷系统降温，使烟气中重金属降温达到饱和，凝结成粒状物后被除尘设备收集去除，通过除尘设备时的温度越低，去除效率越佳。饱和温度较低的重金属元素无法充分凝结，但飞灰表面的催化作用会形成饱和温度较高且较易凝结的氧化物或氯化物，而易被除尘设备收集去除。</w:t>
      </w:r>
    </w:p>
    <w:p w14:paraId="6E797F48">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2.经降温仍以气态存在的重金属物质，通过喷射活性炭颗粒而吸附于活性炭上，并被布袋除尘器截留去除。</w:t>
      </w:r>
    </w:p>
    <w:p w14:paraId="1412D2D9">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根据《医疗废物处理处置污染防治最佳可行技术指南</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试行</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HJ-BAT-8</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中说明，</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活性炭吸附技术适用于焚烧工艺中二噁英类、重金属和酸性气体的治理</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本项目设计</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活性炭喷射+袋式除尘器</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组合工艺对焚烧烟气中对Pb、Cd、Hg等重金属的去除率可达90%以上。</w:t>
      </w:r>
    </w:p>
    <w:p w14:paraId="589FE4AB">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（5）二噁英控制及净化工艺技术可行性分析</w:t>
      </w:r>
    </w:p>
    <w:p w14:paraId="01617B5A">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“焚烧工艺控制+烟气急冷+活性炭喷射+布袋除尘器”是《</w:t>
      </w:r>
      <w:r>
        <w:rPr>
          <w:rFonts w:hint="eastAsia" w:ascii="Times New Roman" w:hAnsi="Times New Roman" w:cs="Times New Roman"/>
          <w:sz w:val="24"/>
          <w:highlight w:val="none"/>
          <w:lang w:val="en-US" w:eastAsia="zh-CN"/>
        </w:rPr>
        <w:t>医疗废物集中焚烧处置工程技术规范</w:t>
      </w:r>
      <w:r>
        <w:rPr>
          <w:rFonts w:hint="default"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（HJ 177-2023）</w:t>
      </w:r>
      <w:r>
        <w:rPr>
          <w:rFonts w:hint="default" w:ascii="Times New Roman" w:hAnsi="Times New Roman" w:cs="Times New Roman" w:eastAsiaTheme="minorEastAsia"/>
          <w:sz w:val="24"/>
          <w:highlight w:val="none"/>
          <w:lang w:val="en-US" w:eastAsia="zh-CN"/>
        </w:rPr>
        <w:t>推荐的二噁英类污染物组合控制措施。针对焚烧过程中二噁英类物质的产生原理，本焚烧项目首先采取控制焚烧技术避免二噁英类污染物的产生，工艺中采取以下措施</w:t>
      </w:r>
      <w:r>
        <w:rPr>
          <w:rFonts w:hint="eastAsia" w:ascii="Times New Roman" w:hAnsi="Times New Roman" w:cs="Times New Roman"/>
          <w:sz w:val="24"/>
          <w:highlight w:val="none"/>
          <w:lang w:val="en-US" w:eastAsia="zh-CN"/>
        </w:rPr>
        <w:t>：</w:t>
      </w:r>
    </w:p>
    <w:p w14:paraId="7C440374">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①在焚烧过程中对医疗废物进行充分的翻动和混合，确保燃烧均匀完全</w:t>
      </w:r>
      <w:r>
        <w:rPr>
          <w:rFonts w:hint="eastAsia" w:ascii="Times New Roman" w:hAnsi="Times New Roman" w:cs="Times New Roman" w:eastAsiaTheme="minorEastAsia"/>
          <w:sz w:val="24"/>
          <w:highlight w:val="none"/>
          <w:lang w:val="en-US" w:eastAsia="zh-CN"/>
        </w:rPr>
        <w:t>；</w:t>
      </w:r>
    </w:p>
    <w:p w14:paraId="6A58F749">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②控制热解气化焚烧炉二燃室高温区烟气在1100°C以上的条件下滞留时间大于2秒，保证二噁英类污染物的充分分解</w:t>
      </w:r>
      <w:r>
        <w:rPr>
          <w:rFonts w:hint="eastAsia" w:ascii="Times New Roman" w:hAnsi="Times New Roman" w:cs="Times New Roman" w:eastAsiaTheme="minorEastAsia"/>
          <w:sz w:val="24"/>
          <w:highlight w:val="none"/>
          <w:lang w:val="en-US" w:eastAsia="zh-CN"/>
        </w:rPr>
        <w:t>；</w:t>
      </w:r>
    </w:p>
    <w:p w14:paraId="4C6443A7">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③采用急冷塔，使烟气在急冷塔中瞬间降温，烟气温度从550°C降至200°C的时间不超过0.9s，减少二噁英的重新合成。</w:t>
      </w:r>
    </w:p>
    <w:p w14:paraId="3228FB42">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此外，设有末端治理措施，即</w:t>
      </w:r>
      <w:r>
        <w:rPr>
          <w:rFonts w:hint="eastAsia" w:ascii="Times New Roman" w:hAnsi="Times New Roman" w:cs="Times New Roman"/>
          <w:sz w:val="24"/>
          <w:highlight w:val="none"/>
          <w:lang w:val="en-US" w:eastAsia="zh-CN"/>
        </w:rPr>
        <w:t>活性炭</w:t>
      </w:r>
      <w:r>
        <w:rPr>
          <w:rFonts w:hint="eastAsia" w:ascii="Times New Roman" w:hAnsi="Times New Roman" w:cs="Times New Roman" w:eastAsiaTheme="minorEastAsia"/>
          <w:sz w:val="24"/>
          <w:highlight w:val="none"/>
          <w:lang w:val="en-US" w:eastAsia="zh-CN"/>
        </w:rPr>
        <w:t>粉末喷射装置在除尘器前的管道上，粉末活性炭以气动形式喷射入布袋除尘器前的管道中，通过在滤袋上和烟气的接触进行吸附以及后续布袋除尘器同时有效进行，去除重金属和二噁英类物质。通过以上措施，可确保二噁英污染物排放浓度满足《医疗废物处理处置污染控制标准》</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GB39707</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2020</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的标准规定值。</w:t>
      </w:r>
    </w:p>
    <w:p w14:paraId="29D8E98E">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（6）排气筒高度可行性分析</w:t>
      </w:r>
    </w:p>
    <w:p w14:paraId="1D502C06">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本项目焚烧量为</w:t>
      </w:r>
      <w:r>
        <w:rPr>
          <w:rFonts w:hint="eastAsia" w:ascii="Times New Roman" w:hAnsi="Times New Roman" w:cs="Times New Roman" w:eastAsiaTheme="minorEastAsia"/>
          <w:sz w:val="24"/>
          <w:highlight w:val="none"/>
          <w:lang w:val="en-US" w:eastAsia="zh-CN"/>
        </w:rPr>
        <w:t>730</w:t>
      </w:r>
      <w:r>
        <w:rPr>
          <w:rFonts w:hint="default" w:ascii="Times New Roman" w:hAnsi="Times New Roman" w:cs="Times New Roman" w:eastAsiaTheme="minorEastAsia"/>
          <w:sz w:val="24"/>
          <w:highlight w:val="none"/>
          <w:lang w:val="en-US" w:eastAsia="zh-CN"/>
        </w:rPr>
        <w:t>t</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a</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约</w:t>
      </w:r>
      <w:r>
        <w:rPr>
          <w:rFonts w:hint="eastAsia" w:ascii="Times New Roman" w:hAnsi="Times New Roman" w:cs="Times New Roman" w:eastAsiaTheme="minorEastAsia"/>
          <w:sz w:val="24"/>
          <w:highlight w:val="none"/>
          <w:lang w:val="en-US" w:eastAsia="zh-CN"/>
        </w:rPr>
        <w:t>83.333</w:t>
      </w:r>
      <w:r>
        <w:rPr>
          <w:rFonts w:hint="default" w:ascii="Times New Roman" w:hAnsi="Times New Roman" w:cs="Times New Roman" w:eastAsiaTheme="minorEastAsia"/>
          <w:sz w:val="24"/>
          <w:highlight w:val="none"/>
          <w:lang w:val="en-US" w:eastAsia="zh-CN"/>
        </w:rPr>
        <w:t>kg/h</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，根据《医疗废物处理处置污染控制标准》</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GB39707-2020</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，焚烧量≤</w:t>
      </w:r>
      <w:r>
        <w:rPr>
          <w:rFonts w:hint="eastAsia" w:ascii="Times New Roman" w:hAnsi="Times New Roman" w:cs="Times New Roman"/>
          <w:sz w:val="24"/>
          <w:highlight w:val="none"/>
          <w:lang w:val="en-US" w:eastAsia="zh-CN"/>
        </w:rPr>
        <w:t>300</w:t>
      </w:r>
      <w:r>
        <w:rPr>
          <w:rFonts w:hint="default" w:ascii="Times New Roman" w:hAnsi="Times New Roman" w:cs="Times New Roman" w:eastAsiaTheme="minorEastAsia"/>
          <w:sz w:val="24"/>
          <w:highlight w:val="none"/>
          <w:lang w:val="en-US" w:eastAsia="zh-CN"/>
        </w:rPr>
        <w:t>kg/h，排气筒最低高度为</w:t>
      </w:r>
      <w:r>
        <w:rPr>
          <w:rFonts w:hint="eastAsia" w:ascii="Times New Roman" w:hAnsi="Times New Roman" w:cs="Times New Roman" w:eastAsiaTheme="minorEastAsia"/>
          <w:sz w:val="24"/>
          <w:highlight w:val="none"/>
          <w:lang w:val="en-US" w:eastAsia="zh-CN"/>
        </w:rPr>
        <w:t>20</w:t>
      </w:r>
      <w:r>
        <w:rPr>
          <w:rFonts w:hint="default" w:ascii="Times New Roman" w:hAnsi="Times New Roman" w:cs="Times New Roman" w:eastAsiaTheme="minorEastAsia"/>
          <w:sz w:val="24"/>
          <w:highlight w:val="none"/>
          <w:lang w:val="en-US" w:eastAsia="zh-CN"/>
        </w:rPr>
        <w:t>m。同时，根据“表3.8-1本项目运营后焚烧烟气中主要大气污染物产生浓度及产生量情况表”中计算结果显示，烟气可达标排放。因此，本项目排气筒高度为</w:t>
      </w:r>
      <w:r>
        <w:rPr>
          <w:rFonts w:hint="eastAsia" w:ascii="Times New Roman" w:hAnsi="Times New Roman" w:cs="Times New Roman" w:eastAsiaTheme="minorEastAsia"/>
          <w:sz w:val="24"/>
          <w:highlight w:val="none"/>
          <w:lang w:val="en-US" w:eastAsia="zh-CN"/>
        </w:rPr>
        <w:t>20</w:t>
      </w:r>
      <w:r>
        <w:rPr>
          <w:rFonts w:hint="default" w:ascii="Times New Roman" w:hAnsi="Times New Roman" w:cs="Times New Roman" w:eastAsiaTheme="minorEastAsia"/>
          <w:sz w:val="24"/>
          <w:highlight w:val="none"/>
          <w:lang w:val="en-US" w:eastAsia="zh-CN"/>
        </w:rPr>
        <w:t>m，满足标准要求。</w:t>
      </w:r>
    </w:p>
    <w:p w14:paraId="66F6FD73">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6.2.1.2冷藏库（医疗废物暂存间）废气治理措施可行性分析</w:t>
      </w:r>
    </w:p>
    <w:p w14:paraId="12A25A7A">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冷藏库（医疗废物暂存间）采取</w:t>
      </w:r>
      <w:r>
        <w:rPr>
          <w:rFonts w:hint="default" w:ascii="Times New Roman" w:hAnsi="Times New Roman" w:cs="Times New Roman" w:eastAsiaTheme="minorEastAsia"/>
          <w:sz w:val="24"/>
          <w:highlight w:val="none"/>
          <w:lang w:val="en-US" w:eastAsia="zh-CN"/>
        </w:rPr>
        <w:t>全封闭设计，保持微负压，当医疗废物不能及时处理时，医疗废物在冷库内低温贮存，贮存温度为4°C，并实现当天焚烧处理</w:t>
      </w:r>
      <w:r>
        <w:rPr>
          <w:rFonts w:hint="eastAsia" w:ascii="Times New Roman" w:hAnsi="Times New Roman" w:cs="Times New Roman" w:eastAsiaTheme="minorEastAsia"/>
          <w:sz w:val="24"/>
          <w:highlight w:val="none"/>
          <w:lang w:val="en-US" w:eastAsia="zh-CN"/>
        </w:rPr>
        <w:t>。项目冷藏库（医疗废物暂存间）废气排放口设置UV光氧+活性炭吸附，废气经治理后由15m高排气筒有组织排放</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根据《排污许可证申请与核发技术规范危险废物焚烧》（HJ 1038-2019）表2，属于可行措施。</w:t>
      </w:r>
    </w:p>
    <w:p w14:paraId="39A3C31D">
      <w:pPr>
        <w:adjustRightInd w:val="0"/>
        <w:snapToGrid w:val="0"/>
        <w:spacing w:line="500" w:lineRule="exact"/>
        <w:jc w:val="left"/>
        <w:rPr>
          <w:rFonts w:hint="default"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6.2.1.</w:t>
      </w:r>
      <w:r>
        <w:rPr>
          <w:rFonts w:hint="eastAsia" w:ascii="Times New Roman" w:hAnsi="Times New Roman" w:cs="Times New Roman"/>
          <w:b/>
          <w:bCs/>
          <w:sz w:val="24"/>
          <w:lang w:val="en-US" w:eastAsia="zh-CN"/>
        </w:rPr>
        <w:t>3</w:t>
      </w:r>
      <w:r>
        <w:rPr>
          <w:rFonts w:hint="eastAsia" w:ascii="Times New Roman" w:hAnsi="Times New Roman" w:cs="Times New Roman" w:eastAsiaTheme="minorEastAsia"/>
          <w:b/>
          <w:bCs/>
          <w:sz w:val="24"/>
          <w:lang w:val="en-US" w:eastAsia="zh-CN"/>
        </w:rPr>
        <w:t>灰渣间粉尘处置措施可行性分析</w:t>
      </w:r>
    </w:p>
    <w:p w14:paraId="7B967AAC">
      <w:pPr>
        <w:adjustRightInd w:val="0"/>
        <w:snapToGrid w:val="0"/>
        <w:spacing w:line="500" w:lineRule="exact"/>
        <w:ind w:firstLine="480" w:firstLineChars="200"/>
        <w:jc w:val="left"/>
        <w:rPr>
          <w:rFonts w:hint="eastAsia" w:ascii="Times New Roman" w:hAnsi="Times New Roman" w:cs="Times New Roman" w:eastAsiaTheme="minorEastAsia"/>
          <w:sz w:val="24"/>
          <w:highlight w:val="yellow"/>
          <w:lang w:val="en-US" w:eastAsia="zh-CN"/>
        </w:rPr>
      </w:pPr>
      <w:r>
        <w:rPr>
          <w:rFonts w:hint="eastAsia" w:ascii="Times New Roman" w:hAnsi="Times New Roman" w:cs="Times New Roman" w:eastAsiaTheme="minorEastAsia"/>
          <w:sz w:val="24"/>
          <w:lang w:val="en-US" w:eastAsia="zh-CN"/>
        </w:rPr>
        <w:t>项目出渣过程中，产生的主要废气为粉尘，项目在炉渣间设置有水雾喷淋装置，热解炉出渣进入贮</w:t>
      </w:r>
      <w:r>
        <w:rPr>
          <w:rFonts w:hint="eastAsia" w:ascii="Times New Roman" w:hAnsi="Times New Roman" w:cs="Times New Roman" w:eastAsiaTheme="minorEastAsia"/>
          <w:sz w:val="24"/>
          <w:highlight w:val="none"/>
          <w:lang w:val="en-US" w:eastAsia="zh-CN"/>
        </w:rPr>
        <w:t>存间时开启水雾喷淋降尘，</w:t>
      </w:r>
      <w:r>
        <w:rPr>
          <w:rFonts w:hint="eastAsia" w:ascii="Times New Roman" w:hAnsi="Times New Roman" w:cs="Times New Roman"/>
          <w:sz w:val="24"/>
          <w:highlight w:val="none"/>
          <w:lang w:val="en-US" w:eastAsia="zh-CN"/>
        </w:rPr>
        <w:t>并设置气体导出口与二燃室鼓风机相连，导出气体进入二燃室焚烧。</w:t>
      </w:r>
      <w:r>
        <w:rPr>
          <w:rFonts w:hint="eastAsia" w:ascii="Times New Roman" w:hAnsi="Times New Roman" w:cs="Times New Roman" w:eastAsiaTheme="minorEastAsia"/>
          <w:sz w:val="24"/>
          <w:highlight w:val="none"/>
          <w:lang w:val="en-US" w:eastAsia="zh-CN"/>
        </w:rPr>
        <w:t>以上措施可使粉尘排放浓度满足《医疗废物处理处置污染控制标准》</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GB39707</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2020</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w:t>
      </w:r>
    </w:p>
    <w:p w14:paraId="5A788E01">
      <w:pPr>
        <w:adjustRightInd w:val="0"/>
        <w:snapToGrid w:val="0"/>
        <w:spacing w:line="500" w:lineRule="exact"/>
        <w:ind w:firstLine="480" w:firstLineChars="200"/>
        <w:jc w:val="left"/>
        <w:rPr>
          <w:rFonts w:hint="default"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本项目废气治理采取措施均满足相关要求，不涉及《国家污染防治技术指导目录（2025年）》中低效类治理技术，均为可行技术。</w:t>
      </w:r>
    </w:p>
    <w:p w14:paraId="24846E81">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314" w:name="_Toc9895"/>
      <w:r>
        <w:rPr>
          <w:rFonts w:hint="eastAsia" w:ascii="Times New Roman" w:hAnsi="Times New Roman" w:cs="Times New Roman" w:eastAsiaTheme="minorEastAsia"/>
          <w:kern w:val="0"/>
          <w:sz w:val="24"/>
          <w:szCs w:val="24"/>
          <w:lang w:val="en-US" w:eastAsia="zh-CN"/>
        </w:rPr>
        <w:t>6.2.2运营期废水污染防治措施及其可行性分析</w:t>
      </w:r>
      <w:bookmarkEnd w:id="314"/>
    </w:p>
    <w:p w14:paraId="5A1EA9EB">
      <w:pPr>
        <w:adjustRightInd w:val="0"/>
        <w:snapToGrid w:val="0"/>
        <w:spacing w:line="500" w:lineRule="exact"/>
        <w:jc w:val="left"/>
        <w:rPr>
          <w:rFonts w:hint="default"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6.2.2.1本项目产生的污水类型</w:t>
      </w:r>
    </w:p>
    <w:p w14:paraId="07A3CB82">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本项目产生的废水主要为循环系统、软化水系统和脱酸系统定排水、各类清洗废水。</w:t>
      </w:r>
    </w:p>
    <w:p w14:paraId="520B122D">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sz w:val="24"/>
          <w:highlight w:val="none"/>
          <w:lang w:val="en-US" w:eastAsia="zh-CN"/>
        </w:rPr>
        <w:t>项目各类生产</w:t>
      </w:r>
      <w:r>
        <w:rPr>
          <w:rFonts w:hint="default" w:ascii="Times New Roman" w:hAnsi="Times New Roman" w:cs="Times New Roman" w:eastAsiaTheme="minorEastAsia"/>
          <w:sz w:val="24"/>
          <w:highlight w:val="none"/>
          <w:lang w:val="en-US" w:eastAsia="zh-CN"/>
        </w:rPr>
        <w:t>废水全部排入场内</w:t>
      </w:r>
      <w:r>
        <w:rPr>
          <w:rFonts w:hint="eastAsia" w:ascii="Times New Roman" w:hAnsi="Times New Roman" w:cs="Times New Roman" w:eastAsiaTheme="minorEastAsia"/>
          <w:sz w:val="24"/>
          <w:highlight w:val="none"/>
          <w:lang w:val="en-US" w:eastAsia="zh-CN"/>
        </w:rPr>
        <w:t>现有</w:t>
      </w:r>
      <w:r>
        <w:rPr>
          <w:rFonts w:hint="default" w:ascii="Times New Roman" w:hAnsi="Times New Roman" w:cs="Times New Roman" w:eastAsiaTheme="minorEastAsia"/>
          <w:sz w:val="24"/>
          <w:highlight w:val="none"/>
          <w:lang w:val="en-US" w:eastAsia="zh-CN"/>
        </w:rPr>
        <w:t>污水处理系统处理</w:t>
      </w:r>
      <w:r>
        <w:rPr>
          <w:rFonts w:hint="eastAsia" w:ascii="Times New Roman" w:hAnsi="Times New Roman" w:cs="Times New Roman"/>
          <w:sz w:val="24"/>
          <w:highlight w:val="none"/>
          <w:lang w:val="en-US" w:eastAsia="zh-CN"/>
        </w:rPr>
        <w:t>，处理后</w:t>
      </w:r>
      <w:r>
        <w:rPr>
          <w:rFonts w:hint="default" w:ascii="Times New Roman" w:hAnsi="Times New Roman" w:cs="Times New Roman" w:eastAsiaTheme="minorEastAsia"/>
          <w:sz w:val="24"/>
          <w:highlight w:val="none"/>
          <w:lang w:val="en-US" w:eastAsia="zh-CN"/>
        </w:rPr>
        <w:t>进入污水处理站回用水池</w:t>
      </w:r>
      <w:r>
        <w:rPr>
          <w:rFonts w:hint="eastAsia" w:ascii="Times New Roman" w:hAnsi="Times New Roman" w:cs="Times New Roman"/>
          <w:sz w:val="24"/>
          <w:highlight w:val="none"/>
          <w:lang w:val="en-US" w:eastAsia="zh-CN"/>
        </w:rPr>
        <w:t>回用</w:t>
      </w:r>
      <w:r>
        <w:rPr>
          <w:rFonts w:hint="default" w:ascii="Times New Roman" w:hAnsi="Times New Roman" w:cs="Times New Roman" w:eastAsiaTheme="minorEastAsia"/>
          <w:sz w:val="24"/>
          <w:highlight w:val="none"/>
          <w:lang w:val="en-US" w:eastAsia="zh-CN"/>
        </w:rPr>
        <w:t>。</w:t>
      </w:r>
    </w:p>
    <w:p w14:paraId="68BFC2BA">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6.2.2.2现有</w:t>
      </w:r>
      <w:r>
        <w:rPr>
          <w:rFonts w:hint="default" w:ascii="Times New Roman" w:hAnsi="Times New Roman" w:cs="Times New Roman" w:eastAsiaTheme="minorEastAsia"/>
          <w:b/>
          <w:bCs/>
          <w:sz w:val="24"/>
          <w:lang w:val="en-US" w:eastAsia="zh-CN"/>
        </w:rPr>
        <w:t>污水处理系统</w:t>
      </w:r>
      <w:r>
        <w:rPr>
          <w:rFonts w:hint="eastAsia" w:ascii="Times New Roman" w:hAnsi="Times New Roman" w:cs="Times New Roman" w:eastAsiaTheme="minorEastAsia"/>
          <w:b/>
          <w:bCs/>
          <w:sz w:val="24"/>
          <w:lang w:val="en-US" w:eastAsia="zh-CN"/>
        </w:rPr>
        <w:t>处理工艺如下：</w:t>
      </w:r>
    </w:p>
    <w:p w14:paraId="0527DB9E">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（1）预处理系统</w:t>
      </w:r>
    </w:p>
    <w:p w14:paraId="74564092">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建设单位在医疗废物处置车间西侧已建设了一套废水预处理系统，废水先排入预调节池调节后再进入</w:t>
      </w:r>
      <w:r>
        <w:rPr>
          <w:rFonts w:hint="eastAsia" w:ascii="Times New Roman" w:hAnsi="Times New Roman" w:cs="Times New Roman"/>
          <w:sz w:val="24"/>
          <w:highlight w:val="none"/>
          <w:lang w:val="en-US" w:eastAsia="zh-CN"/>
        </w:rPr>
        <w:t>沉淀池沉淀</w:t>
      </w:r>
      <w:r>
        <w:rPr>
          <w:rFonts w:hint="default" w:ascii="Times New Roman" w:hAnsi="Times New Roman" w:cs="Times New Roman" w:eastAsiaTheme="minorEastAsia"/>
          <w:sz w:val="24"/>
          <w:highlight w:val="none"/>
          <w:lang w:val="en-US" w:eastAsia="zh-CN"/>
        </w:rPr>
        <w:t>。预处理系统工艺流程如下</w:t>
      </w:r>
      <w:r>
        <w:rPr>
          <w:rFonts w:hint="eastAsia" w:ascii="Times New Roman" w:hAnsi="Times New Roman" w:cs="Times New Roman" w:eastAsiaTheme="minorEastAsia"/>
          <w:sz w:val="24"/>
          <w:highlight w:val="none"/>
          <w:lang w:val="en-US" w:eastAsia="zh-CN"/>
        </w:rPr>
        <w:t>：</w:t>
      </w:r>
    </w:p>
    <w:p w14:paraId="2B557031">
      <w:pPr>
        <w:snapToGrid w:val="0"/>
        <w:spacing w:before="241" w:beforeLines="50"/>
        <w:jc w:val="center"/>
      </w:pPr>
      <w:r>
        <w:drawing>
          <wp:inline distT="0" distB="0" distL="114300" distR="114300">
            <wp:extent cx="4636135" cy="917575"/>
            <wp:effectExtent l="0" t="0" r="12065" b="1587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20"/>
                    <a:stretch>
                      <a:fillRect/>
                    </a:stretch>
                  </pic:blipFill>
                  <pic:spPr>
                    <a:xfrm>
                      <a:off x="0" y="0"/>
                      <a:ext cx="4636135" cy="917575"/>
                    </a:xfrm>
                    <a:prstGeom prst="rect">
                      <a:avLst/>
                    </a:prstGeom>
                    <a:noFill/>
                    <a:ln>
                      <a:noFill/>
                    </a:ln>
                  </pic:spPr>
                </pic:pic>
              </a:graphicData>
            </a:graphic>
          </wp:inline>
        </w:drawing>
      </w:r>
    </w:p>
    <w:p w14:paraId="24FF1220">
      <w:pPr>
        <w:snapToGrid w:val="0"/>
        <w:spacing w:before="241" w:beforeLines="50"/>
        <w:jc w:val="center"/>
        <w:rPr>
          <w:rFonts w:hint="default"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图</w:t>
      </w:r>
      <w:r>
        <w:rPr>
          <w:rFonts w:hint="eastAsia" w:ascii="Times New Roman" w:hAnsi="Times New Roman" w:cs="Times New Roman"/>
          <w:b/>
          <w:szCs w:val="21"/>
          <w:lang w:val="en-US" w:eastAsia="zh-CN"/>
        </w:rPr>
        <w:t>6</w:t>
      </w:r>
      <w:r>
        <w:rPr>
          <w:rFonts w:hint="eastAsia" w:ascii="Times New Roman" w:hAnsi="Times New Roman" w:cs="Times New Roman" w:eastAsiaTheme="minorEastAsia"/>
          <w:b/>
          <w:szCs w:val="21"/>
          <w:lang w:val="en-US" w:eastAsia="zh-CN"/>
        </w:rPr>
        <w:t>.2-1  建设单位废水预处理工艺流程图</w:t>
      </w:r>
    </w:p>
    <w:p w14:paraId="0563375F">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（2）深化处理调节池</w:t>
      </w:r>
    </w:p>
    <w:p w14:paraId="53FB4094">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经过</w:t>
      </w:r>
      <w:r>
        <w:rPr>
          <w:rFonts w:hint="eastAsia" w:ascii="Times New Roman" w:hAnsi="Times New Roman" w:cs="Times New Roman"/>
          <w:sz w:val="24"/>
          <w:highlight w:val="none"/>
          <w:lang w:val="en-US" w:eastAsia="zh-CN"/>
        </w:rPr>
        <w:t>沉淀</w:t>
      </w:r>
      <w:r>
        <w:rPr>
          <w:rFonts w:hint="eastAsia" w:ascii="Times New Roman" w:hAnsi="Times New Roman" w:cs="Times New Roman" w:eastAsiaTheme="minorEastAsia"/>
          <w:sz w:val="24"/>
          <w:highlight w:val="none"/>
          <w:lang w:val="en-US" w:eastAsia="zh-CN"/>
        </w:rPr>
        <w:t>处理后的废水通过管道排至深化处理调节池和自清洗过滤器。在调节池内经过水质水量调节后，通过设置在调节池中的漂浮泵提升进入自清洗过滤器，通过过滤器拦截截留悬浮物，可以避免大颗粒砂石等杂质及大量悬浮物进入后续的处理系统，减轻后续处理的负荷，避免MBR处理中膜的损伤。过滤器的出水进入MBR系统，进入后续生化处理的效果。深化处理调节池对COD的去除率约为20%，对BOD</w:t>
      </w:r>
      <w:r>
        <w:rPr>
          <w:rFonts w:hint="eastAsia" w:ascii="Times New Roman" w:hAnsi="Times New Roman" w:cs="Times New Roman"/>
          <w:sz w:val="24"/>
          <w:highlight w:val="none"/>
          <w:vertAlign w:val="subscript"/>
          <w:lang w:val="en-US" w:eastAsia="zh-CN"/>
        </w:rPr>
        <w:t>5</w:t>
      </w:r>
      <w:r>
        <w:rPr>
          <w:rFonts w:hint="eastAsia" w:ascii="Times New Roman" w:hAnsi="Times New Roman" w:cs="Times New Roman" w:eastAsiaTheme="minorEastAsia"/>
          <w:sz w:val="24"/>
          <w:highlight w:val="none"/>
          <w:lang w:val="en-US" w:eastAsia="zh-CN"/>
        </w:rPr>
        <w:t>去除率约为30%左右，对SS的去除率</w:t>
      </w:r>
      <w:r>
        <w:rPr>
          <w:rFonts w:hint="eastAsia" w:ascii="Times New Roman" w:hAnsi="Times New Roman" w:cs="Times New Roman"/>
          <w:sz w:val="24"/>
          <w:highlight w:val="none"/>
          <w:lang w:val="en-US" w:eastAsia="zh-CN"/>
        </w:rPr>
        <w:t>约为40%</w:t>
      </w:r>
      <w:r>
        <w:rPr>
          <w:rFonts w:hint="eastAsia" w:ascii="Times New Roman" w:hAnsi="Times New Roman" w:cs="Times New Roman" w:eastAsiaTheme="minorEastAsia"/>
          <w:sz w:val="24"/>
          <w:highlight w:val="none"/>
          <w:lang w:val="en-US" w:eastAsia="zh-CN"/>
        </w:rPr>
        <w:t>。</w:t>
      </w:r>
    </w:p>
    <w:p w14:paraId="44FD3208">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（3）MBR系统</w:t>
      </w:r>
    </w:p>
    <w:p w14:paraId="0E6DA3C2">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MBR系统主要包括反硝化池、硝化池、超滤清水池、膜分离系统、曝气系统、消泡系统、冷却系统和控制系统等组成。</w:t>
      </w:r>
    </w:p>
    <w:p w14:paraId="10766843">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MBR系统作为主要处理环节，它的作用是去除大部分的有机污染物。经过预处理系统处理后的废水通过管道进入反硝化池、硝化池</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在这里，微生物对水中的有机物进行分解利用，合成细胞组织，放出二氧化碳和氮气。由射流循环泵、鼓风机和射流曝气器构成曝气系统为水中微生物提供必要的氧。由于废水生化培养阶段和运行期间有时会产生大量的泡沫，MBR系统设置了消泡系统。</w:t>
      </w:r>
    </w:p>
    <w:p w14:paraId="7A7F323A">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废水生化过程中会产生大量的热使反应器温度升高，不利于生化运行和微滤系统的运行，故设置了冷却系统，由冷却塔提供冷却水，通过热交换器冷却生化池水体。控制系统主要由配电系统、传感器、输入输出模块和PLC组成，生化系统进水主要监测流量，生化池主要监测pH值、溶解氧、温度、液位等指标，通过对这些指标的分析控制供气量、排泥量和超滤运行时间，创造微生物适宜的生存环境。MBR系统采用管式超滤系统，生化的泥水混合液通过超滤系统进行泥水分离，透过液进入超滤清水池，再由泵提升进入下一流程-DTRO系统。浓缩后的泥水混合液回流至反硝化池进行反硝化，达到脱氮的目的，剩余污泥排至污泥浓缩池。</w:t>
      </w:r>
    </w:p>
    <w:p w14:paraId="6DE0E58A">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MBR系统对COD的去除率</w:t>
      </w:r>
      <w:r>
        <w:rPr>
          <w:rFonts w:hint="eastAsia" w:ascii="Times New Roman" w:hAnsi="Times New Roman" w:cs="Times New Roman"/>
          <w:sz w:val="24"/>
          <w:highlight w:val="none"/>
          <w:lang w:val="en-US" w:eastAsia="zh-CN"/>
        </w:rPr>
        <w:t>约为50%</w:t>
      </w:r>
      <w:r>
        <w:rPr>
          <w:rFonts w:hint="default" w:ascii="Times New Roman" w:hAnsi="Times New Roman" w:cs="Times New Roman" w:eastAsiaTheme="minorEastAsia"/>
          <w:sz w:val="24"/>
          <w:highlight w:val="none"/>
          <w:lang w:val="en-US" w:eastAsia="zh-CN"/>
        </w:rPr>
        <w:t>，对BOD</w:t>
      </w:r>
      <w:r>
        <w:rPr>
          <w:rFonts w:hint="eastAsia" w:ascii="Times New Roman" w:hAnsi="Times New Roman" w:cs="Times New Roman"/>
          <w:sz w:val="24"/>
          <w:highlight w:val="none"/>
          <w:vertAlign w:val="subscript"/>
          <w:lang w:val="en-US" w:eastAsia="zh-CN"/>
        </w:rPr>
        <w:t>5</w:t>
      </w:r>
      <w:r>
        <w:rPr>
          <w:rFonts w:hint="default" w:ascii="Times New Roman" w:hAnsi="Times New Roman" w:cs="Times New Roman" w:eastAsiaTheme="minorEastAsia"/>
          <w:sz w:val="24"/>
          <w:highlight w:val="none"/>
          <w:lang w:val="en-US" w:eastAsia="zh-CN"/>
        </w:rPr>
        <w:t>去除率</w:t>
      </w:r>
      <w:r>
        <w:rPr>
          <w:rFonts w:hint="eastAsia" w:ascii="Times New Roman" w:hAnsi="Times New Roman" w:cs="Times New Roman"/>
          <w:sz w:val="24"/>
          <w:highlight w:val="none"/>
          <w:lang w:val="en-US" w:eastAsia="zh-CN"/>
        </w:rPr>
        <w:t>约为40%</w:t>
      </w:r>
      <w:r>
        <w:rPr>
          <w:rFonts w:hint="default" w:ascii="Times New Roman" w:hAnsi="Times New Roman" w:cs="Times New Roman" w:eastAsiaTheme="minorEastAsia"/>
          <w:sz w:val="24"/>
          <w:highlight w:val="none"/>
          <w:lang w:val="en-US" w:eastAsia="zh-CN"/>
        </w:rPr>
        <w:t>，对氨氮的去除率约为80%左右。</w:t>
      </w:r>
    </w:p>
    <w:p w14:paraId="671F722D">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（4）DTRO系统</w:t>
      </w:r>
    </w:p>
    <w:p w14:paraId="2CE3DFA4">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DTRO系统由罐系统、砂滤器、芯式过滤器、高压泵、在线泵、膜柱等系列单元组成。废水首先由泵从微滤清水池中提升入原水罐，加压通过砂滤器和芯式过滤器过滤，然后经过高压泵再次加压进入膜柱，在高压泵压力和在线泵形成的大流量循环作用下，水分子通过膜被分离形成透过液，截留下来的污染物以浓缩液形式排入浓缩液池贮存。DTRO产水率大于80%。DTRO膜使用寿命5年以上。</w:t>
      </w:r>
    </w:p>
    <w:p w14:paraId="6D326C5D">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DTRO系统对SS的去除率</w:t>
      </w:r>
      <w:r>
        <w:rPr>
          <w:rFonts w:hint="eastAsia" w:ascii="Times New Roman" w:hAnsi="Times New Roman" w:cs="Times New Roman"/>
          <w:sz w:val="24"/>
          <w:highlight w:val="none"/>
          <w:lang w:val="en-US" w:eastAsia="zh-CN"/>
        </w:rPr>
        <w:t>约为50%</w:t>
      </w:r>
      <w:r>
        <w:rPr>
          <w:rFonts w:hint="default" w:ascii="Times New Roman" w:hAnsi="Times New Roman" w:cs="Times New Roman" w:eastAsiaTheme="minorEastAsia"/>
          <w:sz w:val="24"/>
          <w:highlight w:val="none"/>
          <w:lang w:val="en-US" w:eastAsia="zh-CN"/>
        </w:rPr>
        <w:t>。</w:t>
      </w:r>
    </w:p>
    <w:p w14:paraId="53BBA2C0">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（5）污泥处理系统</w:t>
      </w:r>
    </w:p>
    <w:p w14:paraId="5D24B403">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污泥处理系统由污泥浓缩池、排泥泵和离心脱水机等组成。MBR系统产生的剩余污泥排入污泥浓缩池中进行浓缩处理，上清液排到集水井中。浓缩后的污泥通过排泥泵提升进入离心脱水机进行脱水处理，滤液流入集水池中继续处理。浓缩液处理系统浓缩液采用回流处</w:t>
      </w:r>
      <w:r>
        <w:rPr>
          <w:rFonts w:hint="eastAsia" w:ascii="Times New Roman" w:hAnsi="Times New Roman" w:cs="Times New Roman"/>
          <w:sz w:val="24"/>
          <w:highlight w:val="none"/>
          <w:lang w:val="en-US" w:eastAsia="zh-CN"/>
        </w:rPr>
        <w:t>理工</w:t>
      </w:r>
      <w:r>
        <w:rPr>
          <w:rFonts w:hint="default" w:ascii="Times New Roman" w:hAnsi="Times New Roman" w:cs="Times New Roman" w:eastAsiaTheme="minorEastAsia"/>
          <w:sz w:val="24"/>
          <w:highlight w:val="none"/>
          <w:lang w:val="en-US" w:eastAsia="zh-CN"/>
        </w:rPr>
        <w:t>艺。排入集水池，配比泵入深化调节池处理。</w:t>
      </w:r>
    </w:p>
    <w:p w14:paraId="62F1D130">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6）经过“MBR+过滤”处理后的废水在接触池中使用次氯酸钠进行消毒，主要去除废水中粪大肠菌群及水中的异味等，确保系统出水符合要求。当次氯酸钠液体投入水中，瞬时水解形成次氯酸和次氯酸根，因次氯酸是很小的中性分子，不带电荷，能迅速扩散到带负电的菌</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病毒</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体表面，并通过细菌的细胞壁，穿透到细菌内，次氯酸的极强氧化性可以破坏菌体和病毒上的蛋白质等酶系统，从而杀死病原微生物。</w:t>
      </w:r>
    </w:p>
    <w:p w14:paraId="386B8573">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使用次氯酸钠进行消毒时，消毒接触时间不应小于1.5h，有效氯质量浓度不应小于20mg/L。</w:t>
      </w:r>
    </w:p>
    <w:p w14:paraId="6215C0A6">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（7）污泥消毒</w:t>
      </w:r>
    </w:p>
    <w:p w14:paraId="2439636B">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污水处理站产生的污泥在贮泥池中进行消毒，贮泥池有效容积应不小于处理系统24h产泥量。污泥采用石灰消毒，石灰投量约为15g/L污泥，使pH为11~12，搅拌均匀接触30</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60min，并存放7天以上。污泥</w:t>
      </w:r>
      <w:r>
        <w:rPr>
          <w:rFonts w:hint="eastAsia" w:ascii="Times New Roman" w:hAnsi="Times New Roman" w:cs="Times New Roman"/>
          <w:sz w:val="24"/>
          <w:highlight w:val="none"/>
          <w:lang w:val="en-US" w:eastAsia="zh-CN"/>
        </w:rPr>
        <w:t>收集至厂区危废贮存库内，定期交由有资质单位拉运处置</w:t>
      </w:r>
      <w:r>
        <w:rPr>
          <w:rFonts w:hint="eastAsia" w:ascii="Times New Roman" w:hAnsi="Times New Roman" w:cs="Times New Roman" w:eastAsiaTheme="minorEastAsia"/>
          <w:sz w:val="24"/>
          <w:highlight w:val="none"/>
          <w:lang w:val="en-US" w:eastAsia="zh-CN"/>
        </w:rPr>
        <w:t>。</w:t>
      </w:r>
    </w:p>
    <w:p w14:paraId="03EF0AAA">
      <w:pPr>
        <w:adjustRightInd w:val="0"/>
        <w:snapToGrid w:val="0"/>
        <w:spacing w:line="500" w:lineRule="exact"/>
        <w:jc w:val="left"/>
        <w:rPr>
          <w:rFonts w:hint="eastAsia" w:ascii="Times New Roman" w:hAnsi="Times New Roman" w:cs="Times New Roman" w:eastAsiaTheme="minorEastAsia"/>
          <w:b/>
          <w:bCs/>
          <w:sz w:val="24"/>
          <w:highlight w:val="none"/>
          <w:lang w:val="en-US" w:eastAsia="zh-CN"/>
        </w:rPr>
      </w:pPr>
      <w:r>
        <w:rPr>
          <w:rFonts w:hint="eastAsia" w:ascii="Times New Roman" w:hAnsi="Times New Roman" w:cs="Times New Roman" w:eastAsiaTheme="minorEastAsia"/>
          <w:b/>
          <w:bCs/>
          <w:sz w:val="24"/>
          <w:highlight w:val="none"/>
          <w:lang w:val="en-US" w:eastAsia="zh-CN"/>
        </w:rPr>
        <w:t>6.2.2.3污水达标排放分析</w:t>
      </w:r>
    </w:p>
    <w:p w14:paraId="269DA5C5">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项目产生废水经过以上工序处理后各污染物的浓度可以满足《医疗机构水污染物排放标准》（</w:t>
      </w:r>
      <w:r>
        <w:rPr>
          <w:rFonts w:hint="default" w:ascii="Times New Roman" w:hAnsi="Times New Roman" w:cs="Times New Roman" w:eastAsiaTheme="minorEastAsia"/>
          <w:sz w:val="24"/>
          <w:highlight w:val="none"/>
          <w:lang w:val="en-US" w:eastAsia="zh-CN"/>
        </w:rPr>
        <w:t>GB18466-2005</w:t>
      </w:r>
      <w:r>
        <w:rPr>
          <w:rFonts w:hint="eastAsia" w:ascii="Times New Roman" w:hAnsi="Times New Roman" w:cs="Times New Roman" w:eastAsiaTheme="minorEastAsia"/>
          <w:sz w:val="24"/>
          <w:highlight w:val="none"/>
          <w:lang w:val="en-US" w:eastAsia="zh-CN"/>
        </w:rPr>
        <w:t>）的要求，同时也满足《城市污水再生利用 工业用水水质》</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GB/T19923-2024</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标准、《污水综合排放标准》（GB8978-1996）Ⅱ类标准。处理后的废水进入回用水池，回用于清洗消毒，不外排。</w:t>
      </w:r>
    </w:p>
    <w:p w14:paraId="7534CC77">
      <w:pPr>
        <w:adjustRightInd w:val="0"/>
        <w:snapToGrid w:val="0"/>
        <w:spacing w:line="500" w:lineRule="exact"/>
        <w:jc w:val="left"/>
        <w:rPr>
          <w:rFonts w:hint="eastAsia" w:ascii="Times New Roman" w:hAnsi="Times New Roman" w:cs="Times New Roman" w:eastAsiaTheme="minorEastAsia"/>
          <w:b/>
          <w:bCs/>
          <w:sz w:val="24"/>
          <w:highlight w:val="none"/>
          <w:lang w:val="en-US" w:eastAsia="zh-CN"/>
        </w:rPr>
      </w:pPr>
      <w:r>
        <w:rPr>
          <w:rFonts w:hint="eastAsia" w:ascii="Times New Roman" w:hAnsi="Times New Roman" w:cs="Times New Roman" w:eastAsiaTheme="minorEastAsia"/>
          <w:b/>
          <w:bCs/>
          <w:sz w:val="24"/>
          <w:highlight w:val="none"/>
          <w:lang w:val="en-US" w:eastAsia="zh-CN"/>
        </w:rPr>
        <w:t>6.2.2.4废水依托可行性分析</w:t>
      </w:r>
    </w:p>
    <w:p w14:paraId="7DDC74A8">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本项目产生的车辆消毒清洗废水依托建设单位现有的污水处理站进行处理。现有的污水处理站的废水设计处理能力为15m</w:t>
      </w:r>
      <w:r>
        <w:rPr>
          <w:rFonts w:hint="eastAsia" w:ascii="Times New Roman" w:hAnsi="Times New Roman" w:cs="Times New Roman" w:eastAsiaTheme="minorEastAsia"/>
          <w:sz w:val="24"/>
          <w:highlight w:val="none"/>
          <w:vertAlign w:val="superscript"/>
          <w:lang w:val="en-US" w:eastAsia="zh-CN"/>
        </w:rPr>
        <w:t>3</w:t>
      </w:r>
      <w:r>
        <w:rPr>
          <w:rFonts w:hint="default" w:ascii="Times New Roman" w:hAnsi="Times New Roman" w:cs="Times New Roman" w:eastAsiaTheme="minorEastAsia"/>
          <w:sz w:val="24"/>
          <w:highlight w:val="none"/>
          <w:lang w:val="en-US" w:eastAsia="zh-CN"/>
        </w:rPr>
        <w:t>/d，本项目扩建后废水产生量</w:t>
      </w:r>
      <w:r>
        <w:rPr>
          <w:rFonts w:hint="eastAsia" w:ascii="Times New Roman" w:hAnsi="Times New Roman" w:cs="Times New Roman"/>
          <w:sz w:val="24"/>
          <w:highlight w:val="none"/>
          <w:lang w:val="en-US" w:eastAsia="zh-CN"/>
        </w:rPr>
        <w:t>3.084</w:t>
      </w:r>
      <w:r>
        <w:rPr>
          <w:rFonts w:hint="default" w:ascii="Times New Roman" w:hAnsi="Times New Roman" w:cs="Times New Roman" w:eastAsiaTheme="minorEastAsia"/>
          <w:sz w:val="24"/>
          <w:highlight w:val="none"/>
          <w:lang w:val="en-US" w:eastAsia="zh-CN"/>
        </w:rPr>
        <w:t>m</w:t>
      </w:r>
      <w:r>
        <w:rPr>
          <w:rFonts w:hint="default" w:ascii="Times New Roman" w:hAnsi="Times New Roman" w:cs="Times New Roman" w:eastAsiaTheme="minorEastAsia"/>
          <w:sz w:val="24"/>
          <w:highlight w:val="none"/>
          <w:vertAlign w:val="superscript"/>
          <w:lang w:val="en-US" w:eastAsia="zh-CN"/>
        </w:rPr>
        <w:t>3</w:t>
      </w:r>
      <w:r>
        <w:rPr>
          <w:rFonts w:hint="default" w:ascii="Times New Roman" w:hAnsi="Times New Roman" w:cs="Times New Roman" w:eastAsiaTheme="minorEastAsia"/>
          <w:sz w:val="24"/>
          <w:highlight w:val="none"/>
          <w:lang w:val="en-US" w:eastAsia="zh-CN"/>
        </w:rPr>
        <w:t>/d，</w:t>
      </w:r>
      <w:r>
        <w:rPr>
          <w:rFonts w:hint="eastAsia" w:ascii="Times New Roman" w:hAnsi="Times New Roman" w:cs="Times New Roman" w:eastAsiaTheme="minorEastAsia"/>
          <w:sz w:val="24"/>
          <w:highlight w:val="none"/>
          <w:lang w:val="en-US" w:eastAsia="zh-CN"/>
        </w:rPr>
        <w:t>目前</w:t>
      </w:r>
      <w:r>
        <w:rPr>
          <w:rFonts w:hint="default" w:ascii="Times New Roman" w:hAnsi="Times New Roman" w:cs="Times New Roman" w:eastAsiaTheme="minorEastAsia"/>
          <w:sz w:val="24"/>
          <w:highlight w:val="none"/>
          <w:lang w:val="en-US" w:eastAsia="zh-CN"/>
        </w:rPr>
        <w:t>全厂需处理的废水总量为9.656m</w:t>
      </w:r>
      <w:r>
        <w:rPr>
          <w:rFonts w:hint="default" w:ascii="Times New Roman" w:hAnsi="Times New Roman" w:cs="Times New Roman" w:eastAsiaTheme="minorEastAsia"/>
          <w:sz w:val="24"/>
          <w:highlight w:val="none"/>
          <w:vertAlign w:val="superscript"/>
          <w:lang w:val="en-US" w:eastAsia="zh-CN"/>
        </w:rPr>
        <w:t>3</w:t>
      </w:r>
      <w:r>
        <w:rPr>
          <w:rFonts w:hint="default" w:ascii="Times New Roman" w:hAnsi="Times New Roman" w:cs="Times New Roman" w:eastAsiaTheme="minorEastAsia"/>
          <w:sz w:val="24"/>
          <w:highlight w:val="none"/>
          <w:lang w:val="en-US" w:eastAsia="zh-CN"/>
        </w:rPr>
        <w:t>/d</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因此本项目扩建后全厂需处理的废水总量也未超过现有污水处理站的废水设计处理能力。</w:t>
      </w:r>
    </w:p>
    <w:p w14:paraId="7722DD55">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建设单位于202</w:t>
      </w:r>
      <w:r>
        <w:rPr>
          <w:rFonts w:hint="eastAsia" w:ascii="Times New Roman" w:hAnsi="Times New Roman" w:cs="Times New Roman"/>
          <w:sz w:val="24"/>
          <w:highlight w:val="none"/>
          <w:lang w:val="en-US" w:eastAsia="zh-CN"/>
        </w:rPr>
        <w:t>6</w:t>
      </w:r>
      <w:r>
        <w:rPr>
          <w:rFonts w:hint="eastAsia" w:ascii="Times New Roman" w:hAnsi="Times New Roman" w:cs="Times New Roman" w:eastAsiaTheme="minorEastAsia"/>
          <w:sz w:val="24"/>
          <w:highlight w:val="none"/>
          <w:lang w:val="en-US" w:eastAsia="zh-CN"/>
        </w:rPr>
        <w:t>年</w:t>
      </w:r>
      <w:r>
        <w:rPr>
          <w:rFonts w:hint="eastAsia" w:ascii="Times New Roman" w:hAnsi="Times New Roman" w:cs="Times New Roman"/>
          <w:sz w:val="24"/>
          <w:highlight w:val="none"/>
          <w:lang w:val="en-US" w:eastAsia="zh-CN"/>
        </w:rPr>
        <w:t>4</w:t>
      </w:r>
      <w:r>
        <w:rPr>
          <w:rFonts w:hint="eastAsia" w:ascii="Times New Roman" w:hAnsi="Times New Roman" w:cs="Times New Roman" w:eastAsiaTheme="minorEastAsia"/>
          <w:sz w:val="24"/>
          <w:highlight w:val="none"/>
          <w:lang w:val="en-US" w:eastAsia="zh-CN"/>
        </w:rPr>
        <w:t>月委托</w:t>
      </w:r>
      <w:r>
        <w:rPr>
          <w:rFonts w:hint="eastAsia" w:ascii="Times New Roman" w:hAnsi="Times New Roman" w:cs="Times New Roman"/>
          <w:sz w:val="24"/>
          <w:highlight w:val="none"/>
          <w:lang w:val="en-US" w:eastAsia="zh-CN"/>
        </w:rPr>
        <w:t>新疆腾龙环境监测有限公司</w:t>
      </w:r>
      <w:r>
        <w:rPr>
          <w:rFonts w:hint="eastAsia" w:ascii="Times New Roman" w:hAnsi="Times New Roman" w:cs="Times New Roman" w:eastAsiaTheme="minorEastAsia"/>
          <w:sz w:val="24"/>
          <w:highlight w:val="none"/>
          <w:lang w:val="en-US" w:eastAsia="zh-CN"/>
        </w:rPr>
        <w:t>对现有的污水处理站处理后的废水进行了监测，处理后废水中污染物情况见下表：</w:t>
      </w:r>
    </w:p>
    <w:p w14:paraId="7BBE4C5F">
      <w:pPr>
        <w:snapToGrid w:val="0"/>
        <w:spacing w:before="241" w:beforeLines="50"/>
        <w:jc w:val="center"/>
        <w:rPr>
          <w:rFonts w:hint="eastAsia" w:ascii="Times New Roman" w:hAnsi="Times New Roman" w:cs="Times New Roman" w:eastAsiaTheme="minorEastAsia"/>
          <w:b/>
          <w:szCs w:val="21"/>
          <w:highlight w:val="none"/>
          <w:lang w:val="en-US" w:eastAsia="zh-CN"/>
        </w:rPr>
      </w:pPr>
      <w:r>
        <w:rPr>
          <w:rFonts w:hint="eastAsia" w:ascii="Times New Roman" w:hAnsi="Times New Roman" w:cs="Times New Roman" w:eastAsiaTheme="minorEastAsia"/>
          <w:b/>
          <w:szCs w:val="21"/>
          <w:highlight w:val="none"/>
          <w:lang w:val="en-US" w:eastAsia="zh-CN"/>
        </w:rPr>
        <w:t>表</w:t>
      </w:r>
      <w:r>
        <w:rPr>
          <w:rFonts w:hint="eastAsia" w:ascii="Times New Roman" w:hAnsi="Times New Roman" w:cs="Times New Roman"/>
          <w:b/>
          <w:szCs w:val="21"/>
          <w:highlight w:val="none"/>
          <w:lang w:val="en-US" w:eastAsia="zh-CN"/>
        </w:rPr>
        <w:t>6.2-2</w:t>
      </w:r>
      <w:r>
        <w:rPr>
          <w:rFonts w:hint="eastAsia" w:ascii="Times New Roman" w:hAnsi="Times New Roman" w:cs="Times New Roman" w:eastAsiaTheme="minorEastAsia"/>
          <w:b/>
          <w:szCs w:val="21"/>
          <w:highlight w:val="none"/>
          <w:lang w:val="en-US" w:eastAsia="zh-CN"/>
        </w:rPr>
        <w:t xml:space="preserve">  污水处理站污水处理后污染物浓度情况一览表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5"/>
        <w:gridCol w:w="1971"/>
        <w:gridCol w:w="129"/>
        <w:gridCol w:w="1850"/>
        <w:gridCol w:w="3097"/>
      </w:tblGrid>
      <w:tr w14:paraId="52A7A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5" w:type="dxa"/>
            <w:vAlign w:val="center"/>
          </w:tcPr>
          <w:p w14:paraId="2BFE7AD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样品类型</w:t>
            </w:r>
          </w:p>
        </w:tc>
        <w:tc>
          <w:tcPr>
            <w:tcW w:w="7047" w:type="dxa"/>
            <w:gridSpan w:val="4"/>
            <w:vAlign w:val="center"/>
          </w:tcPr>
          <w:p w14:paraId="2A1B5745">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医疗废水</w:t>
            </w:r>
          </w:p>
        </w:tc>
      </w:tr>
      <w:tr w14:paraId="27E93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5" w:type="dxa"/>
            <w:vAlign w:val="center"/>
          </w:tcPr>
          <w:p w14:paraId="0487D87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采样日期</w:t>
            </w:r>
          </w:p>
        </w:tc>
        <w:tc>
          <w:tcPr>
            <w:tcW w:w="2100" w:type="dxa"/>
            <w:gridSpan w:val="2"/>
            <w:vAlign w:val="center"/>
          </w:tcPr>
          <w:p w14:paraId="45C856B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202</w:t>
            </w:r>
            <w:r>
              <w:rPr>
                <w:rFonts w:hint="eastAsia" w:ascii="Times New Roman" w:hAnsi="Times New Roman" w:cs="Times New Roman"/>
                <w:szCs w:val="21"/>
                <w:highlight w:val="none"/>
                <w:lang w:val="en-US" w:eastAsia="zh-CN"/>
              </w:rPr>
              <w:t>6</w:t>
            </w:r>
            <w:r>
              <w:rPr>
                <w:rFonts w:hint="eastAsia" w:ascii="Times New Roman" w:hAnsi="Times New Roman" w:cs="Times New Roman" w:eastAsiaTheme="minorEastAsia"/>
                <w:szCs w:val="21"/>
                <w:highlight w:val="none"/>
                <w:lang w:val="en-US" w:eastAsia="zh-CN"/>
              </w:rPr>
              <w:t>年</w:t>
            </w:r>
            <w:r>
              <w:rPr>
                <w:rFonts w:hint="eastAsia" w:ascii="Times New Roman" w:hAnsi="Times New Roman" w:cs="Times New Roman"/>
                <w:szCs w:val="21"/>
                <w:highlight w:val="none"/>
                <w:lang w:val="en-US" w:eastAsia="zh-CN"/>
              </w:rPr>
              <w:t>4</w:t>
            </w:r>
            <w:r>
              <w:rPr>
                <w:rFonts w:hint="eastAsia" w:ascii="Times New Roman" w:hAnsi="Times New Roman" w:cs="Times New Roman" w:eastAsiaTheme="minorEastAsia"/>
                <w:szCs w:val="21"/>
                <w:highlight w:val="none"/>
                <w:lang w:val="en-US" w:eastAsia="zh-CN"/>
              </w:rPr>
              <w:t>月2</w:t>
            </w:r>
            <w:r>
              <w:rPr>
                <w:rFonts w:hint="eastAsia" w:ascii="Times New Roman" w:hAnsi="Times New Roman" w:cs="Times New Roman"/>
                <w:szCs w:val="21"/>
                <w:highlight w:val="none"/>
                <w:lang w:val="en-US" w:eastAsia="zh-CN"/>
              </w:rPr>
              <w:t>8</w:t>
            </w:r>
            <w:r>
              <w:rPr>
                <w:rFonts w:hint="eastAsia" w:ascii="Times New Roman" w:hAnsi="Times New Roman" w:cs="Times New Roman" w:eastAsiaTheme="minorEastAsia"/>
                <w:szCs w:val="21"/>
                <w:highlight w:val="none"/>
                <w:lang w:val="en-US" w:eastAsia="zh-CN"/>
              </w:rPr>
              <w:t>日</w:t>
            </w:r>
          </w:p>
        </w:tc>
        <w:tc>
          <w:tcPr>
            <w:tcW w:w="1850" w:type="dxa"/>
            <w:vAlign w:val="center"/>
          </w:tcPr>
          <w:p w14:paraId="3393E81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分析日期</w:t>
            </w:r>
          </w:p>
        </w:tc>
        <w:tc>
          <w:tcPr>
            <w:tcW w:w="3097" w:type="dxa"/>
            <w:vAlign w:val="center"/>
          </w:tcPr>
          <w:p w14:paraId="5F5BB78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202</w:t>
            </w:r>
            <w:r>
              <w:rPr>
                <w:rFonts w:hint="eastAsia" w:ascii="Times New Roman" w:hAnsi="Times New Roman" w:cs="Times New Roman"/>
                <w:szCs w:val="21"/>
                <w:highlight w:val="none"/>
                <w:lang w:val="en-US" w:eastAsia="zh-CN"/>
              </w:rPr>
              <w:t>6</w:t>
            </w:r>
            <w:r>
              <w:rPr>
                <w:rFonts w:hint="eastAsia" w:ascii="Times New Roman" w:hAnsi="Times New Roman" w:cs="Times New Roman" w:eastAsiaTheme="minorEastAsia"/>
                <w:szCs w:val="21"/>
                <w:highlight w:val="none"/>
                <w:lang w:val="en-US" w:eastAsia="zh-CN"/>
              </w:rPr>
              <w:t>年</w:t>
            </w:r>
            <w:r>
              <w:rPr>
                <w:rFonts w:hint="eastAsia" w:ascii="Times New Roman" w:hAnsi="Times New Roman" w:cs="Times New Roman"/>
                <w:szCs w:val="21"/>
                <w:highlight w:val="none"/>
                <w:lang w:val="en-US" w:eastAsia="zh-CN"/>
              </w:rPr>
              <w:t>4</w:t>
            </w:r>
            <w:r>
              <w:rPr>
                <w:rFonts w:hint="eastAsia" w:ascii="Times New Roman" w:hAnsi="Times New Roman" w:cs="Times New Roman" w:eastAsiaTheme="minorEastAsia"/>
                <w:szCs w:val="21"/>
                <w:highlight w:val="none"/>
                <w:lang w:val="en-US" w:eastAsia="zh-CN"/>
              </w:rPr>
              <w:t>月2</w:t>
            </w:r>
            <w:r>
              <w:rPr>
                <w:rFonts w:hint="eastAsia" w:ascii="Times New Roman" w:hAnsi="Times New Roman" w:cs="Times New Roman"/>
                <w:szCs w:val="21"/>
                <w:highlight w:val="none"/>
                <w:lang w:val="en-US" w:eastAsia="zh-CN"/>
              </w:rPr>
              <w:t>9—5月4</w:t>
            </w:r>
            <w:r>
              <w:rPr>
                <w:rFonts w:hint="eastAsia" w:ascii="Times New Roman" w:hAnsi="Times New Roman" w:cs="Times New Roman" w:eastAsiaTheme="minorEastAsia"/>
                <w:szCs w:val="21"/>
                <w:highlight w:val="none"/>
                <w:lang w:val="en-US" w:eastAsia="zh-CN"/>
              </w:rPr>
              <w:t>日</w:t>
            </w:r>
          </w:p>
        </w:tc>
      </w:tr>
      <w:tr w14:paraId="150B3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5" w:type="dxa"/>
            <w:vAlign w:val="center"/>
          </w:tcPr>
          <w:p w14:paraId="210F8908">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default" w:ascii="Times New Roman" w:hAnsi="Times New Roman" w:cs="Times New Roman" w:eastAsiaTheme="minorEastAsia"/>
                <w:szCs w:val="21"/>
                <w:highlight w:val="none"/>
                <w:lang w:val="en-US" w:eastAsia="zh-CN"/>
              </w:rPr>
              <w:t>采样地点</w:t>
            </w:r>
          </w:p>
        </w:tc>
        <w:tc>
          <w:tcPr>
            <w:tcW w:w="3950" w:type="dxa"/>
            <w:gridSpan w:val="3"/>
            <w:vAlign w:val="center"/>
          </w:tcPr>
          <w:p w14:paraId="07D80B2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p>
        </w:tc>
        <w:tc>
          <w:tcPr>
            <w:tcW w:w="3097" w:type="dxa"/>
            <w:vMerge w:val="restart"/>
            <w:vAlign w:val="center"/>
          </w:tcPr>
          <w:p w14:paraId="593AEACB">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《城市污水再生利用工业用水水质》</w:t>
            </w:r>
            <w:r>
              <w:rPr>
                <w:rFonts w:hint="eastAsia" w:ascii="Times New Roman" w:hAnsi="Times New Roman" w:cs="Times New Roman"/>
                <w:szCs w:val="21"/>
                <w:highlight w:val="none"/>
                <w:lang w:val="en-US" w:eastAsia="zh-CN"/>
              </w:rPr>
              <w:t>（GB/T 19923-2024）</w:t>
            </w:r>
            <w:r>
              <w:rPr>
                <w:rFonts w:hint="eastAsia" w:ascii="Times New Roman" w:hAnsi="Times New Roman" w:cs="Times New Roman" w:eastAsiaTheme="minorEastAsia"/>
                <w:szCs w:val="21"/>
                <w:highlight w:val="none"/>
                <w:lang w:val="en-US" w:eastAsia="zh-CN"/>
              </w:rPr>
              <w:t>标准</w:t>
            </w:r>
          </w:p>
        </w:tc>
      </w:tr>
      <w:tr w14:paraId="78A2E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5" w:type="dxa"/>
            <w:vAlign w:val="center"/>
          </w:tcPr>
          <w:p w14:paraId="31A692E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样品编号</w:t>
            </w:r>
          </w:p>
        </w:tc>
        <w:tc>
          <w:tcPr>
            <w:tcW w:w="3950" w:type="dxa"/>
            <w:gridSpan w:val="3"/>
            <w:vAlign w:val="center"/>
          </w:tcPr>
          <w:p w14:paraId="640C057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S-3578</w:t>
            </w:r>
          </w:p>
        </w:tc>
        <w:tc>
          <w:tcPr>
            <w:tcW w:w="3097" w:type="dxa"/>
            <w:vMerge w:val="continue"/>
            <w:vAlign w:val="center"/>
          </w:tcPr>
          <w:p w14:paraId="71DC94D4">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r>
      <w:tr w14:paraId="4B111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5" w:type="dxa"/>
            <w:vAlign w:val="center"/>
          </w:tcPr>
          <w:p w14:paraId="7B5757D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样品状态</w:t>
            </w:r>
          </w:p>
        </w:tc>
        <w:tc>
          <w:tcPr>
            <w:tcW w:w="3950" w:type="dxa"/>
            <w:gridSpan w:val="3"/>
            <w:vAlign w:val="center"/>
          </w:tcPr>
          <w:p w14:paraId="6B96494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清澈</w:t>
            </w:r>
          </w:p>
        </w:tc>
        <w:tc>
          <w:tcPr>
            <w:tcW w:w="3097" w:type="dxa"/>
            <w:vMerge w:val="continue"/>
            <w:vAlign w:val="center"/>
          </w:tcPr>
          <w:p w14:paraId="07ADA12D">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p>
        </w:tc>
      </w:tr>
      <w:tr w14:paraId="6EE3D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475" w:type="dxa"/>
            <w:vAlign w:val="center"/>
          </w:tcPr>
          <w:p w14:paraId="3BB7AA2D">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检测项目</w:t>
            </w:r>
          </w:p>
        </w:tc>
        <w:tc>
          <w:tcPr>
            <w:tcW w:w="1971" w:type="dxa"/>
            <w:vAlign w:val="center"/>
          </w:tcPr>
          <w:p w14:paraId="2DB99706">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单位</w:t>
            </w:r>
          </w:p>
        </w:tc>
        <w:tc>
          <w:tcPr>
            <w:tcW w:w="1979" w:type="dxa"/>
            <w:gridSpan w:val="2"/>
            <w:vAlign w:val="center"/>
          </w:tcPr>
          <w:p w14:paraId="7A3E389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检测结果</w:t>
            </w:r>
          </w:p>
        </w:tc>
        <w:tc>
          <w:tcPr>
            <w:tcW w:w="3097" w:type="dxa"/>
            <w:vAlign w:val="center"/>
          </w:tcPr>
          <w:p w14:paraId="483C6173">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执行标准</w:t>
            </w:r>
          </w:p>
        </w:tc>
      </w:tr>
      <w:tr w14:paraId="366A0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5" w:type="dxa"/>
            <w:vAlign w:val="center"/>
          </w:tcPr>
          <w:p w14:paraId="1BCFF6D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pH</w:t>
            </w:r>
          </w:p>
        </w:tc>
        <w:tc>
          <w:tcPr>
            <w:tcW w:w="1971" w:type="dxa"/>
            <w:vAlign w:val="center"/>
          </w:tcPr>
          <w:p w14:paraId="4126C3E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无量纲</w:t>
            </w:r>
          </w:p>
        </w:tc>
        <w:tc>
          <w:tcPr>
            <w:tcW w:w="1979" w:type="dxa"/>
            <w:gridSpan w:val="2"/>
            <w:vAlign w:val="center"/>
          </w:tcPr>
          <w:p w14:paraId="5D08D07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7.</w:t>
            </w:r>
            <w:r>
              <w:rPr>
                <w:rFonts w:hint="eastAsia" w:ascii="Times New Roman" w:hAnsi="Times New Roman" w:cs="Times New Roman"/>
                <w:szCs w:val="21"/>
                <w:highlight w:val="none"/>
                <w:lang w:val="en-US" w:eastAsia="zh-CN"/>
              </w:rPr>
              <w:t>74</w:t>
            </w:r>
          </w:p>
        </w:tc>
        <w:tc>
          <w:tcPr>
            <w:tcW w:w="3097" w:type="dxa"/>
            <w:vAlign w:val="center"/>
          </w:tcPr>
          <w:p w14:paraId="6439F4F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6-9</w:t>
            </w:r>
          </w:p>
        </w:tc>
      </w:tr>
      <w:tr w14:paraId="10E84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5" w:type="dxa"/>
            <w:vAlign w:val="center"/>
          </w:tcPr>
          <w:p w14:paraId="4D5FAE5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悬浮物</w:t>
            </w:r>
          </w:p>
        </w:tc>
        <w:tc>
          <w:tcPr>
            <w:tcW w:w="1971" w:type="dxa"/>
            <w:vAlign w:val="center"/>
          </w:tcPr>
          <w:p w14:paraId="0B27D6D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mg/L</w:t>
            </w:r>
          </w:p>
        </w:tc>
        <w:tc>
          <w:tcPr>
            <w:tcW w:w="1979" w:type="dxa"/>
            <w:gridSpan w:val="2"/>
            <w:vAlign w:val="center"/>
          </w:tcPr>
          <w:p w14:paraId="407A47F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8</w:t>
            </w:r>
          </w:p>
        </w:tc>
        <w:tc>
          <w:tcPr>
            <w:tcW w:w="3097" w:type="dxa"/>
            <w:vAlign w:val="center"/>
          </w:tcPr>
          <w:p w14:paraId="704FD28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20</w:t>
            </w:r>
          </w:p>
        </w:tc>
      </w:tr>
      <w:tr w14:paraId="0C20E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5" w:type="dxa"/>
            <w:vAlign w:val="center"/>
          </w:tcPr>
          <w:p w14:paraId="788DE1B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总氮</w:t>
            </w:r>
          </w:p>
        </w:tc>
        <w:tc>
          <w:tcPr>
            <w:tcW w:w="1971" w:type="dxa"/>
            <w:vAlign w:val="center"/>
          </w:tcPr>
          <w:p w14:paraId="305DA2D6">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mg/L</w:t>
            </w:r>
          </w:p>
        </w:tc>
        <w:tc>
          <w:tcPr>
            <w:tcW w:w="1979" w:type="dxa"/>
            <w:gridSpan w:val="2"/>
            <w:vAlign w:val="center"/>
          </w:tcPr>
          <w:p w14:paraId="5C743FF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13.2</w:t>
            </w:r>
          </w:p>
        </w:tc>
        <w:tc>
          <w:tcPr>
            <w:tcW w:w="3097" w:type="dxa"/>
            <w:vAlign w:val="center"/>
          </w:tcPr>
          <w:p w14:paraId="6D03BF9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15</w:t>
            </w:r>
          </w:p>
        </w:tc>
      </w:tr>
      <w:tr w14:paraId="6FA03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5" w:type="dxa"/>
            <w:vAlign w:val="center"/>
          </w:tcPr>
          <w:p w14:paraId="5AEDDFA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总磷</w:t>
            </w:r>
          </w:p>
        </w:tc>
        <w:tc>
          <w:tcPr>
            <w:tcW w:w="1971" w:type="dxa"/>
            <w:vAlign w:val="center"/>
          </w:tcPr>
          <w:p w14:paraId="2DF34405">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mg/L</w:t>
            </w:r>
          </w:p>
        </w:tc>
        <w:tc>
          <w:tcPr>
            <w:tcW w:w="1979" w:type="dxa"/>
            <w:gridSpan w:val="2"/>
            <w:vAlign w:val="center"/>
          </w:tcPr>
          <w:p w14:paraId="0842004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0.18</w:t>
            </w:r>
          </w:p>
        </w:tc>
        <w:tc>
          <w:tcPr>
            <w:tcW w:w="3097" w:type="dxa"/>
            <w:vAlign w:val="center"/>
          </w:tcPr>
          <w:p w14:paraId="1500AEAA">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0.5</w:t>
            </w:r>
          </w:p>
        </w:tc>
      </w:tr>
      <w:tr w14:paraId="48500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5" w:type="dxa"/>
            <w:vAlign w:val="center"/>
          </w:tcPr>
          <w:p w14:paraId="7179A1B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氨氮</w:t>
            </w:r>
          </w:p>
        </w:tc>
        <w:tc>
          <w:tcPr>
            <w:tcW w:w="1971" w:type="dxa"/>
            <w:vAlign w:val="center"/>
          </w:tcPr>
          <w:p w14:paraId="2D0EFE39">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mg/L</w:t>
            </w:r>
          </w:p>
        </w:tc>
        <w:tc>
          <w:tcPr>
            <w:tcW w:w="1979" w:type="dxa"/>
            <w:gridSpan w:val="2"/>
            <w:vAlign w:val="center"/>
          </w:tcPr>
          <w:p w14:paraId="5DEE9431">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0.958</w:t>
            </w:r>
          </w:p>
        </w:tc>
        <w:tc>
          <w:tcPr>
            <w:tcW w:w="3097" w:type="dxa"/>
            <w:vAlign w:val="center"/>
          </w:tcPr>
          <w:p w14:paraId="72EA3A5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w:t>
            </w:r>
          </w:p>
        </w:tc>
      </w:tr>
      <w:tr w14:paraId="40EDF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5" w:type="dxa"/>
            <w:vAlign w:val="center"/>
          </w:tcPr>
          <w:p w14:paraId="4004F50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五日生化需氧量</w:t>
            </w:r>
          </w:p>
        </w:tc>
        <w:tc>
          <w:tcPr>
            <w:tcW w:w="1971" w:type="dxa"/>
            <w:vAlign w:val="center"/>
          </w:tcPr>
          <w:p w14:paraId="444FFFA4">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mg/L</w:t>
            </w:r>
          </w:p>
        </w:tc>
        <w:tc>
          <w:tcPr>
            <w:tcW w:w="1979" w:type="dxa"/>
            <w:gridSpan w:val="2"/>
            <w:vAlign w:val="center"/>
          </w:tcPr>
          <w:p w14:paraId="4CD7288E">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0.31</w:t>
            </w:r>
          </w:p>
        </w:tc>
        <w:tc>
          <w:tcPr>
            <w:tcW w:w="3097" w:type="dxa"/>
            <w:vAlign w:val="center"/>
          </w:tcPr>
          <w:p w14:paraId="134A908F">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10</w:t>
            </w:r>
          </w:p>
        </w:tc>
      </w:tr>
      <w:tr w14:paraId="4EFFA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5" w:type="dxa"/>
            <w:vAlign w:val="center"/>
          </w:tcPr>
          <w:p w14:paraId="36D8BEE2">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化学需氧量</w:t>
            </w:r>
          </w:p>
        </w:tc>
        <w:tc>
          <w:tcPr>
            <w:tcW w:w="1971" w:type="dxa"/>
            <w:vAlign w:val="center"/>
          </w:tcPr>
          <w:p w14:paraId="529FDDAD">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mg/L</w:t>
            </w:r>
          </w:p>
        </w:tc>
        <w:tc>
          <w:tcPr>
            <w:tcW w:w="1979" w:type="dxa"/>
            <w:gridSpan w:val="2"/>
            <w:vAlign w:val="center"/>
          </w:tcPr>
          <w:p w14:paraId="703664DC">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15</w:t>
            </w:r>
          </w:p>
        </w:tc>
        <w:tc>
          <w:tcPr>
            <w:tcW w:w="3097" w:type="dxa"/>
            <w:vAlign w:val="center"/>
          </w:tcPr>
          <w:p w14:paraId="635B1EC5">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50</w:t>
            </w:r>
          </w:p>
        </w:tc>
      </w:tr>
      <w:tr w14:paraId="62339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5" w:type="dxa"/>
            <w:vAlign w:val="center"/>
          </w:tcPr>
          <w:p w14:paraId="746DE27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粪大肠菌群</w:t>
            </w:r>
          </w:p>
        </w:tc>
        <w:tc>
          <w:tcPr>
            <w:tcW w:w="1971" w:type="dxa"/>
            <w:vAlign w:val="center"/>
          </w:tcPr>
          <w:p w14:paraId="6761A049">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MPN/L</w:t>
            </w:r>
          </w:p>
        </w:tc>
        <w:tc>
          <w:tcPr>
            <w:tcW w:w="1979" w:type="dxa"/>
            <w:gridSpan w:val="2"/>
            <w:vAlign w:val="center"/>
          </w:tcPr>
          <w:p w14:paraId="357E6337">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480</w:t>
            </w:r>
          </w:p>
        </w:tc>
        <w:tc>
          <w:tcPr>
            <w:tcW w:w="3097" w:type="dxa"/>
            <w:vAlign w:val="center"/>
          </w:tcPr>
          <w:p w14:paraId="03E5A1B4">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500</w:t>
            </w:r>
          </w:p>
        </w:tc>
      </w:tr>
    </w:tbl>
    <w:p w14:paraId="36258574">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从现有的污水处理站处理后的废水的监测结果来分析，经过污水处理站处理后的生产废水中各污染物的浓度均满足《医疗机构水污染物排放标准》（</w:t>
      </w:r>
      <w:r>
        <w:rPr>
          <w:rFonts w:hint="default" w:ascii="Times New Roman" w:hAnsi="Times New Roman" w:cs="Times New Roman" w:eastAsiaTheme="minorEastAsia"/>
          <w:sz w:val="24"/>
          <w:highlight w:val="none"/>
          <w:lang w:val="en-US" w:eastAsia="zh-CN"/>
        </w:rPr>
        <w:t>GB18466-2005</w:t>
      </w:r>
      <w:r>
        <w:rPr>
          <w:rFonts w:hint="eastAsia" w:ascii="Times New Roman" w:hAnsi="Times New Roman" w:cs="Times New Roman" w:eastAsiaTheme="minorEastAsia"/>
          <w:sz w:val="24"/>
          <w:highlight w:val="none"/>
          <w:lang w:val="en-US" w:eastAsia="zh-CN"/>
        </w:rPr>
        <w:t>）的要求，同时也满足《城市污水再生利用 工业用水水质》（GB/T19923-2024）标准、《污水综合排放标准》（GB8978-1996）Ⅱ类标准。可以回用于清洗消毒及冷却用水。</w:t>
      </w:r>
    </w:p>
    <w:p w14:paraId="6CF7356E">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本项目清洗废水的产生量较少，与现有项目的废水水质基本一致，其所需的处理规模在现有污水处理设施的处理能力范围内，并且废水处理工艺符合《医院污水处理工程技术规范》</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HJ2029-2013</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的要求，因此依托现有的污水处理站来处理本项目的废水是可行的。</w:t>
      </w:r>
    </w:p>
    <w:p w14:paraId="0C54193C">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315" w:name="_Toc14120"/>
      <w:r>
        <w:rPr>
          <w:rFonts w:hint="eastAsia" w:ascii="Times New Roman" w:hAnsi="Times New Roman" w:cs="Times New Roman" w:eastAsiaTheme="minorEastAsia"/>
          <w:kern w:val="0"/>
          <w:sz w:val="24"/>
          <w:szCs w:val="24"/>
          <w:lang w:val="en-US" w:eastAsia="zh-CN"/>
        </w:rPr>
        <w:t>6.2.3运营期地下水污染防治措施及其可行性分析</w:t>
      </w:r>
      <w:bookmarkEnd w:id="315"/>
    </w:p>
    <w:p w14:paraId="0638D82B">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针对I类建设项目可导致的地下水环境污染，其防治措施的制定</w:t>
      </w:r>
      <w:r>
        <w:rPr>
          <w:rFonts w:hint="eastAsia" w:ascii="Times New Roman" w:hAnsi="Times New Roman" w:cs="Times New Roman"/>
          <w:sz w:val="24"/>
          <w:highlight w:val="none"/>
          <w:lang w:val="en-US" w:eastAsia="zh-CN"/>
        </w:rPr>
        <w:t>按照</w:t>
      </w:r>
      <w:r>
        <w:rPr>
          <w:rFonts w:hint="eastAsia" w:ascii="Times New Roman" w:hAnsi="Times New Roman" w:cs="Times New Roman" w:eastAsiaTheme="minorEastAsia"/>
          <w:sz w:val="24"/>
          <w:highlight w:val="none"/>
          <w:lang w:val="en-US" w:eastAsia="zh-CN"/>
        </w:rPr>
        <w:t>“源头控制，分区防治，污染监控，应急响应”的思路，从污染物泄漏源头、入渗过程和扩散阶段分别进行控制，并制定合理有效的应急预案，从而达到保护地下水环境的目的。防治措施的制定思路为：</w:t>
      </w:r>
    </w:p>
    <w:p w14:paraId="31D91E54">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源头控制：对工艺、设备、管道、污水储存及处理建筑物采取控制措施，防止污染物跑、冒、滴、漏，将污染物泄漏事故的环境风险降到最低限度；管道铺设尽量可视化，实现对泄漏事故的早发现、早治理，减少由于地下管线泄漏造成地下水污染事故的隐患。</w:t>
      </w:r>
    </w:p>
    <w:p w14:paraId="202F290C">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（2）分区防治</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结合项目各生产设备、管网、污染物储存与处理装置等的布局，划分污染的重点防渗区、一般防渗区和简单防渗区，对不同的防渗区采取不同程度的防渗措施。对于污染物产生、运输、处理的环节应给与重点防护，包括严格的防渗措施和泄漏污染物收集措施等；对于厂区绿化带等不会造成污染的公共区域和公共设施，划定为非污染区；介于两者间的区域，视其污染物类型、泄漏概率、可能产生的不良影响等因素，给予行而有效、经济合理的预防措施。</w:t>
      </w:r>
    </w:p>
    <w:p w14:paraId="7935F7B2">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（3）污染监控体系：建立厂区地下水污染监控体系，包括建立完善的监测制度和管理体系、配备先进的监测仪器和设备、设计科学合理的监测</w:t>
      </w:r>
      <w:r>
        <w:rPr>
          <w:rFonts w:hint="eastAsia" w:ascii="Times New Roman" w:hAnsi="Times New Roman" w:cs="Times New Roman"/>
          <w:sz w:val="24"/>
          <w:highlight w:val="none"/>
          <w:lang w:val="en-US" w:eastAsia="zh-CN"/>
        </w:rPr>
        <w:t>井</w:t>
      </w:r>
      <w:r>
        <w:rPr>
          <w:rFonts w:hint="eastAsia" w:ascii="Times New Roman" w:hAnsi="Times New Roman" w:cs="Times New Roman" w:eastAsiaTheme="minorEastAsia"/>
          <w:sz w:val="24"/>
          <w:highlight w:val="none"/>
          <w:lang w:val="en-US" w:eastAsia="zh-CN"/>
        </w:rPr>
        <w:t>布局，以便及时发现污染、</w:t>
      </w:r>
      <w:r>
        <w:rPr>
          <w:rFonts w:hint="eastAsia" w:ascii="Times New Roman" w:hAnsi="Times New Roman" w:cs="Times New Roman"/>
          <w:sz w:val="24"/>
          <w:highlight w:val="none"/>
          <w:lang w:val="en-US" w:eastAsia="zh-CN"/>
        </w:rPr>
        <w:t>准</w:t>
      </w:r>
      <w:r>
        <w:rPr>
          <w:rFonts w:hint="eastAsia" w:ascii="Times New Roman" w:hAnsi="Times New Roman" w:cs="Times New Roman" w:eastAsiaTheme="minorEastAsia"/>
          <w:sz w:val="24"/>
          <w:highlight w:val="none"/>
          <w:lang w:val="en-US" w:eastAsia="zh-CN"/>
        </w:rPr>
        <w:t>时控制。</w:t>
      </w:r>
    </w:p>
    <w:p w14:paraId="455134AD">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（4）风险事故应急响应</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制定地下水风险事故应急响应预案，明确风险事故状态下应采取封闭、截流等措施，提出防止受污染地下水扩散和对受污染地下水进行治理的具体方案。</w:t>
      </w:r>
    </w:p>
    <w:p w14:paraId="09F2A45A">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6.2.3.1源头控制措施</w:t>
      </w:r>
    </w:p>
    <w:p w14:paraId="0D2D28AB">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源头控制措施是直接减少污染泄漏机会、降低污染物进入地下水体数量，从而杜绝污染、保护地下水环境的根本措施。</w:t>
      </w:r>
    </w:p>
    <w:p w14:paraId="3DA1027A">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本项目使用先进、成熟、可靠的工艺技术</w:t>
      </w:r>
      <w:r>
        <w:rPr>
          <w:rFonts w:hint="eastAsia" w:ascii="Times New Roman" w:hAnsi="Times New Roman" w:cs="Times New Roman"/>
          <w:sz w:val="24"/>
          <w:highlight w:val="none"/>
          <w:lang w:val="en-US" w:eastAsia="zh-CN"/>
        </w:rPr>
        <w:t>和</w:t>
      </w:r>
      <w:r>
        <w:rPr>
          <w:rFonts w:hint="eastAsia" w:ascii="Times New Roman" w:hAnsi="Times New Roman" w:cs="Times New Roman" w:eastAsiaTheme="minorEastAsia"/>
          <w:sz w:val="24"/>
          <w:highlight w:val="none"/>
          <w:lang w:val="en-US" w:eastAsia="zh-CN"/>
        </w:rPr>
        <w:t>良好的管道、设备和污水储存设施采用较清洁的原辅材料，对产生的废水进行合理的治理和综合利用，尽可能从源头上减少污染物产生</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严格按照国家相关规范要求，对工艺、管道、设备、污水储存及处理构筑物采取相应的措施，以防止和降低污染物的跑、冒、滴、漏，将环境风险事故降低到最低</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废水均至污水处理系统进行统一处理，杜绝工艺废水未经处理直接排放。</w:t>
      </w:r>
    </w:p>
    <w:p w14:paraId="4FC2F726">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6.2.3.2分区防控措施</w:t>
      </w:r>
    </w:p>
    <w:p w14:paraId="752863E5">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拟建项目厂区包气带渗透系数不能满足《</w:t>
      </w:r>
      <w:r>
        <w:rPr>
          <w:rFonts w:hint="eastAsia" w:ascii="Times New Roman" w:hAnsi="Times New Roman" w:cs="Times New Roman"/>
          <w:sz w:val="24"/>
          <w:highlight w:val="none"/>
          <w:lang w:val="en-US" w:eastAsia="zh-CN"/>
        </w:rPr>
        <w:t>环境影响评价技术导则 地下水环境</w:t>
      </w:r>
      <w:r>
        <w:rPr>
          <w:rFonts w:hint="eastAsia"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HJ610-2016</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防渗要求</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重点防渗区防渗层的防渗性能不应低于6.0m厚渗透系数为1.0×10</w:t>
      </w:r>
      <w:r>
        <w:rPr>
          <w:rFonts w:hint="eastAsia" w:ascii="Times New Roman" w:hAnsi="Times New Roman" w:cs="Times New Roman"/>
          <w:sz w:val="24"/>
          <w:highlight w:val="none"/>
          <w:vertAlign w:val="superscript"/>
          <w:lang w:val="en-US" w:eastAsia="zh-CN"/>
        </w:rPr>
        <w:t>-</w:t>
      </w:r>
      <w:r>
        <w:rPr>
          <w:rFonts w:hint="eastAsia" w:ascii="Times New Roman" w:hAnsi="Times New Roman" w:cs="Times New Roman" w:eastAsiaTheme="minorEastAsia"/>
          <w:sz w:val="24"/>
          <w:highlight w:val="none"/>
          <w:vertAlign w:val="superscript"/>
          <w:lang w:val="en-US" w:eastAsia="zh-CN"/>
        </w:rPr>
        <w:t>7</w:t>
      </w:r>
      <w:r>
        <w:rPr>
          <w:rFonts w:hint="eastAsia" w:ascii="Times New Roman" w:hAnsi="Times New Roman" w:cs="Times New Roman" w:eastAsiaTheme="minorEastAsia"/>
          <w:sz w:val="24"/>
          <w:highlight w:val="none"/>
          <w:lang w:val="en-US" w:eastAsia="zh-CN"/>
        </w:rPr>
        <w:t>cm/s的等效黏土层的防渗性能，一般防渗区防渗层的防渗性能不应低于1.5m厚渗透系数为1.0×10</w:t>
      </w:r>
      <w:r>
        <w:rPr>
          <w:rFonts w:hint="eastAsia" w:ascii="Times New Roman" w:hAnsi="Times New Roman" w:cs="Times New Roman"/>
          <w:sz w:val="24"/>
          <w:highlight w:val="none"/>
          <w:vertAlign w:val="superscript"/>
          <w:lang w:val="en-US" w:eastAsia="zh-CN"/>
        </w:rPr>
        <w:t>-</w:t>
      </w:r>
      <w:r>
        <w:rPr>
          <w:rFonts w:hint="eastAsia" w:ascii="Times New Roman" w:hAnsi="Times New Roman" w:cs="Times New Roman" w:eastAsiaTheme="minorEastAsia"/>
          <w:sz w:val="24"/>
          <w:highlight w:val="none"/>
          <w:vertAlign w:val="superscript"/>
          <w:lang w:val="en-US" w:eastAsia="zh-CN"/>
        </w:rPr>
        <w:t>7</w:t>
      </w:r>
      <w:r>
        <w:rPr>
          <w:rFonts w:hint="eastAsia" w:ascii="Times New Roman" w:hAnsi="Times New Roman" w:cs="Times New Roman" w:eastAsiaTheme="minorEastAsia"/>
          <w:sz w:val="24"/>
          <w:highlight w:val="none"/>
          <w:lang w:val="en-US" w:eastAsia="zh-CN"/>
        </w:rPr>
        <w:t>cm/s的等效黏土层的防渗性能</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因此，根据可能泄漏至地面的污染物的性质和生产单元的构建方式，结合拟建项目总平面布置情况，将厂区各生产功能单元可能产生污染的地区划分为重点防渗区、一般防渗区和简单防渗区，并按要求进行地表防渗。对厂区可能泄漏污染物的地面进行防渗处理，可有效</w:t>
      </w:r>
      <w:r>
        <w:rPr>
          <w:rFonts w:hint="eastAsia" w:ascii="Times New Roman" w:hAnsi="Times New Roman" w:cs="Times New Roman"/>
          <w:sz w:val="24"/>
          <w:highlight w:val="none"/>
          <w:lang w:val="en-US" w:eastAsia="zh-CN"/>
        </w:rPr>
        <w:t>防止</w:t>
      </w:r>
      <w:r>
        <w:rPr>
          <w:rFonts w:hint="eastAsia" w:ascii="Times New Roman" w:hAnsi="Times New Roman" w:cs="Times New Roman" w:eastAsiaTheme="minorEastAsia"/>
          <w:sz w:val="24"/>
          <w:highlight w:val="none"/>
          <w:lang w:val="en-US" w:eastAsia="zh-CN"/>
        </w:rPr>
        <w:t>污染物渗入地下，并及时地将泄漏/渗漏的污染物收集并进行集中处理。</w:t>
      </w:r>
    </w:p>
    <w:p w14:paraId="6CE93957">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（1）地面防渗工程设计原则</w:t>
      </w:r>
    </w:p>
    <w:p w14:paraId="159E52E5">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采用国际国内先进的防渗材料、技术和实施手段，确保工程建设对区域内地下水环境影响较小、地下水现有水体功能不发生明显改变；</w:t>
      </w:r>
    </w:p>
    <w:p w14:paraId="3DF136AE">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坚持分区管理和控制原则，根据场址所在地的工程地质、水文地质条件和全厂可能发生泄漏的物料性质、排放量，参照相应标准要求有针对性</w:t>
      </w:r>
      <w:r>
        <w:rPr>
          <w:rFonts w:hint="eastAsia" w:ascii="Times New Roman" w:hAnsi="Times New Roman" w:cs="Times New Roman"/>
          <w:sz w:val="24"/>
          <w:highlight w:val="none"/>
          <w:lang w:val="en-US" w:eastAsia="zh-CN"/>
        </w:rPr>
        <w:t>地</w:t>
      </w:r>
      <w:r>
        <w:rPr>
          <w:rFonts w:hint="eastAsia" w:ascii="Times New Roman" w:hAnsi="Times New Roman" w:cs="Times New Roman" w:eastAsiaTheme="minorEastAsia"/>
          <w:sz w:val="24"/>
          <w:highlight w:val="none"/>
          <w:lang w:val="en-US" w:eastAsia="zh-CN"/>
        </w:rPr>
        <w:t>分区，并分别设计地面防渗层结构；</w:t>
      </w:r>
    </w:p>
    <w:p w14:paraId="5A0F3966">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坚持“可视化”原则，在满足工程和防渗层结构标准要求的前提下，尽量在地表实施防渗措施建设，便于泄漏物质的收集和防渗层破损被及时发现；</w:t>
      </w:r>
    </w:p>
    <w:p w14:paraId="7B674C19">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被防渗层阻隔和进入防渗层内的渗漏污染物，与厂区其他“三废”统一收集处理。</w:t>
      </w:r>
    </w:p>
    <w:p w14:paraId="5B6E8674">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（2）防渗区划分基本要求</w:t>
      </w:r>
    </w:p>
    <w:p w14:paraId="3AA6941B">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根据《环境影响评价技术导则 地下水环境》</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HJ610-2016</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，分区防控措施应</w:t>
      </w:r>
    </w:p>
    <w:p w14:paraId="3708B570">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满足以下要求：1已颁布污染控制国家标准或防渗技术规范的行业，水平防渗技术要求按照相应标准或规范执行，如 GB16889、GB18597、GB 18598、GB18599、GB/T50934等。</w:t>
      </w:r>
    </w:p>
    <w:p w14:paraId="15869476">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未颁布相关标准的行业，根据预测结果和场地包气带特征及其防污性能，提出防渗技术要求或根据建设项目场地天然包气带防污性能、污染控制难易程度和污染物特性，提出防渗技术要求。其中污染控制难易程度分级和天然包气带防污性能分级分别参照表6.</w:t>
      </w:r>
      <w:r>
        <w:rPr>
          <w:rFonts w:hint="eastAsia" w:ascii="Times New Roman" w:hAnsi="Times New Roman" w:cs="Times New Roman"/>
          <w:sz w:val="24"/>
          <w:highlight w:val="none"/>
          <w:lang w:val="en-US" w:eastAsia="zh-CN"/>
        </w:rPr>
        <w:t>2-3</w:t>
      </w:r>
      <w:r>
        <w:rPr>
          <w:rFonts w:hint="eastAsia" w:ascii="Times New Roman" w:hAnsi="Times New Roman" w:cs="Times New Roman" w:eastAsiaTheme="minorEastAsia"/>
          <w:sz w:val="24"/>
          <w:highlight w:val="none"/>
          <w:lang w:val="en-US" w:eastAsia="zh-CN"/>
        </w:rPr>
        <w:t>、表6.</w:t>
      </w:r>
      <w:r>
        <w:rPr>
          <w:rFonts w:hint="eastAsia" w:ascii="Times New Roman" w:hAnsi="Times New Roman" w:cs="Times New Roman"/>
          <w:sz w:val="24"/>
          <w:highlight w:val="none"/>
          <w:lang w:val="en-US" w:eastAsia="zh-CN"/>
        </w:rPr>
        <w:t>2-4</w:t>
      </w:r>
      <w:r>
        <w:rPr>
          <w:rFonts w:hint="eastAsia" w:ascii="Times New Roman" w:hAnsi="Times New Roman" w:cs="Times New Roman" w:eastAsiaTheme="minorEastAsia"/>
          <w:sz w:val="24"/>
          <w:highlight w:val="none"/>
          <w:lang w:val="en-US" w:eastAsia="zh-CN"/>
        </w:rPr>
        <w:t>和表6.</w:t>
      </w:r>
      <w:r>
        <w:rPr>
          <w:rFonts w:hint="eastAsia" w:ascii="Times New Roman" w:hAnsi="Times New Roman" w:cs="Times New Roman"/>
          <w:sz w:val="24"/>
          <w:highlight w:val="none"/>
          <w:lang w:val="en-US" w:eastAsia="zh-CN"/>
        </w:rPr>
        <w:t>2-5</w:t>
      </w:r>
      <w:r>
        <w:rPr>
          <w:rFonts w:hint="eastAsia" w:ascii="Times New Roman" w:hAnsi="Times New Roman" w:cs="Times New Roman" w:eastAsiaTheme="minorEastAsia"/>
          <w:sz w:val="24"/>
          <w:highlight w:val="none"/>
          <w:lang w:val="en-US" w:eastAsia="zh-CN"/>
        </w:rPr>
        <w:t>进行相关等级的确定。</w:t>
      </w:r>
    </w:p>
    <w:p w14:paraId="3A93E112">
      <w:pPr>
        <w:snapToGrid w:val="0"/>
        <w:spacing w:before="241"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表6.</w:t>
      </w:r>
      <w:r>
        <w:rPr>
          <w:rFonts w:hint="eastAsia" w:ascii="Times New Roman" w:hAnsi="Times New Roman" w:cs="Times New Roman"/>
          <w:b/>
          <w:szCs w:val="21"/>
          <w:lang w:val="en-US" w:eastAsia="zh-CN"/>
        </w:rPr>
        <w:t>2-3</w:t>
      </w:r>
      <w:r>
        <w:rPr>
          <w:rFonts w:hint="eastAsia" w:ascii="Times New Roman" w:hAnsi="Times New Roman" w:cs="Times New Roman" w:eastAsiaTheme="minorEastAsia"/>
          <w:b/>
          <w:szCs w:val="21"/>
          <w:lang w:val="en-US" w:eastAsia="zh-CN"/>
        </w:rPr>
        <w:t xml:space="preserve">  污染控制难易程度分级参照表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1"/>
        <w:gridCol w:w="6381"/>
      </w:tblGrid>
      <w:tr w14:paraId="0DBA1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1" w:type="dxa"/>
          </w:tcPr>
          <w:p w14:paraId="0675086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污染控制难易程度</w:t>
            </w:r>
          </w:p>
        </w:tc>
        <w:tc>
          <w:tcPr>
            <w:tcW w:w="6381" w:type="dxa"/>
          </w:tcPr>
          <w:p w14:paraId="7906DC6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主要特征</w:t>
            </w:r>
          </w:p>
        </w:tc>
      </w:tr>
      <w:tr w14:paraId="6B6EE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1" w:type="dxa"/>
          </w:tcPr>
          <w:p w14:paraId="5F1AA21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难</w:t>
            </w:r>
          </w:p>
        </w:tc>
        <w:tc>
          <w:tcPr>
            <w:tcW w:w="6381" w:type="dxa"/>
          </w:tcPr>
          <w:p w14:paraId="27FBDA3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对地下水环境有污染的物料或污染物</w:t>
            </w:r>
            <w:r>
              <w:rPr>
                <w:rFonts w:hint="eastAsia" w:ascii="Times New Roman" w:hAnsi="Times New Roman" w:cs="Times New Roman"/>
                <w:szCs w:val="21"/>
                <w:lang w:val="en-US" w:eastAsia="zh-CN"/>
              </w:rPr>
              <w:t>泄漏</w:t>
            </w:r>
            <w:r>
              <w:rPr>
                <w:rFonts w:hint="eastAsia" w:ascii="Times New Roman" w:hAnsi="Times New Roman" w:cs="Times New Roman" w:eastAsiaTheme="minorEastAsia"/>
                <w:szCs w:val="21"/>
                <w:lang w:val="en-US" w:eastAsia="zh-CN"/>
              </w:rPr>
              <w:t>后，不能及时发现和处理</w:t>
            </w:r>
          </w:p>
        </w:tc>
      </w:tr>
      <w:tr w14:paraId="078AE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1" w:type="dxa"/>
          </w:tcPr>
          <w:p w14:paraId="00196A1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易</w:t>
            </w:r>
          </w:p>
        </w:tc>
        <w:tc>
          <w:tcPr>
            <w:tcW w:w="6381" w:type="dxa"/>
          </w:tcPr>
          <w:p w14:paraId="41C7458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对地下水环境有污染的物料或污染物</w:t>
            </w:r>
            <w:r>
              <w:rPr>
                <w:rFonts w:hint="eastAsia" w:ascii="Times New Roman" w:hAnsi="Times New Roman" w:cs="Times New Roman"/>
                <w:szCs w:val="21"/>
                <w:lang w:val="en-US" w:eastAsia="zh-CN"/>
              </w:rPr>
              <w:t>泄漏</w:t>
            </w:r>
            <w:r>
              <w:rPr>
                <w:rFonts w:hint="eastAsia" w:ascii="Times New Roman" w:hAnsi="Times New Roman" w:cs="Times New Roman" w:eastAsiaTheme="minorEastAsia"/>
                <w:szCs w:val="21"/>
                <w:lang w:val="en-US" w:eastAsia="zh-CN"/>
              </w:rPr>
              <w:t>后，可及时发现和处理</w:t>
            </w:r>
          </w:p>
        </w:tc>
      </w:tr>
    </w:tbl>
    <w:p w14:paraId="169F5C71">
      <w:pPr>
        <w:snapToGrid w:val="0"/>
        <w:spacing w:before="241"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表6.</w:t>
      </w:r>
      <w:r>
        <w:rPr>
          <w:rFonts w:hint="eastAsia" w:ascii="Times New Roman" w:hAnsi="Times New Roman" w:cs="Times New Roman"/>
          <w:b/>
          <w:szCs w:val="21"/>
          <w:lang w:val="en-US" w:eastAsia="zh-CN"/>
        </w:rPr>
        <w:t>2-4</w:t>
      </w:r>
      <w:r>
        <w:rPr>
          <w:rFonts w:hint="eastAsia" w:ascii="Times New Roman" w:hAnsi="Times New Roman" w:cs="Times New Roman" w:eastAsiaTheme="minorEastAsia"/>
          <w:b/>
          <w:szCs w:val="21"/>
          <w:lang w:val="en-US" w:eastAsia="zh-CN"/>
        </w:rPr>
        <w:t xml:space="preserve">  天然包气带防污性能分级参照表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7662"/>
      </w:tblGrid>
      <w:tr w14:paraId="3FBFC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0" w:type="dxa"/>
          </w:tcPr>
          <w:p w14:paraId="3281259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分级</w:t>
            </w:r>
          </w:p>
        </w:tc>
        <w:tc>
          <w:tcPr>
            <w:tcW w:w="7662" w:type="dxa"/>
          </w:tcPr>
          <w:p w14:paraId="3E5F153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包气带岩土的防污性能</w:t>
            </w:r>
          </w:p>
        </w:tc>
      </w:tr>
      <w:tr w14:paraId="1F963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0" w:type="dxa"/>
          </w:tcPr>
          <w:p w14:paraId="646E0F7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强</w:t>
            </w:r>
          </w:p>
        </w:tc>
        <w:tc>
          <w:tcPr>
            <w:tcW w:w="7662" w:type="dxa"/>
          </w:tcPr>
          <w:p w14:paraId="005E6110">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岩</w:t>
            </w: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土</w:t>
            </w: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层单层厚度Mb≥1.0m，渗透系数K≤1×10</w:t>
            </w:r>
            <w:r>
              <w:rPr>
                <w:rFonts w:hint="eastAsia" w:ascii="Times New Roman" w:hAnsi="Times New Roman" w:cs="Times New Roman" w:eastAsiaTheme="minorEastAsia"/>
                <w:szCs w:val="21"/>
                <w:vertAlign w:val="superscript"/>
                <w:lang w:val="en-US" w:eastAsia="zh-CN"/>
              </w:rPr>
              <w:t>-6</w:t>
            </w:r>
            <w:r>
              <w:rPr>
                <w:rFonts w:hint="eastAsia" w:ascii="Times New Roman" w:hAnsi="Times New Roman" w:cs="Times New Roman" w:eastAsiaTheme="minorEastAsia"/>
                <w:szCs w:val="21"/>
                <w:lang w:val="en-US" w:eastAsia="zh-CN"/>
              </w:rPr>
              <w:t>cm/s，且分布连续、稳定</w:t>
            </w:r>
          </w:p>
        </w:tc>
      </w:tr>
      <w:tr w14:paraId="396D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0" w:type="dxa"/>
          </w:tcPr>
          <w:p w14:paraId="0812E7F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中</w:t>
            </w:r>
          </w:p>
        </w:tc>
        <w:tc>
          <w:tcPr>
            <w:tcW w:w="7662" w:type="dxa"/>
          </w:tcPr>
          <w:p w14:paraId="035A0284">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岩</w:t>
            </w: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土</w:t>
            </w: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层单层厚度0.5m≤Mb&lt;1.0m，渗透系数K≤1×10</w:t>
            </w:r>
            <w:r>
              <w:rPr>
                <w:rFonts w:hint="eastAsia" w:ascii="Times New Roman" w:hAnsi="Times New Roman" w:cs="Times New Roman" w:eastAsiaTheme="minorEastAsia"/>
                <w:szCs w:val="21"/>
                <w:vertAlign w:val="superscript"/>
                <w:lang w:val="en-US" w:eastAsia="zh-CN"/>
              </w:rPr>
              <w:t>-6</w:t>
            </w:r>
            <w:r>
              <w:rPr>
                <w:rFonts w:hint="eastAsia" w:ascii="Times New Roman" w:hAnsi="Times New Roman" w:cs="Times New Roman" w:eastAsiaTheme="minorEastAsia"/>
                <w:szCs w:val="21"/>
                <w:lang w:val="en-US" w:eastAsia="zh-CN"/>
              </w:rPr>
              <w:t>cm/s，且分布连续、稳定；岩</w:t>
            </w: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土</w:t>
            </w: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层单层厚度Mb≥1.0m，渗透系数1×10</w:t>
            </w: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vertAlign w:val="superscript"/>
                <w:lang w:val="en-US" w:eastAsia="zh-CN"/>
              </w:rPr>
              <w:t>6</w:t>
            </w:r>
            <w:r>
              <w:rPr>
                <w:rFonts w:hint="eastAsia" w:ascii="Times New Roman" w:hAnsi="Times New Roman" w:cs="Times New Roman" w:eastAsiaTheme="minorEastAsia"/>
                <w:szCs w:val="21"/>
                <w:lang w:val="en-US" w:eastAsia="zh-CN"/>
              </w:rPr>
              <w:t>cm/s&lt;K≤1×10</w:t>
            </w:r>
            <w:r>
              <w:rPr>
                <w:rFonts w:hint="eastAsia" w:ascii="Times New Roman" w:hAnsi="Times New Roman" w:cs="Times New Roman" w:eastAsiaTheme="minorEastAsia"/>
                <w:szCs w:val="21"/>
                <w:vertAlign w:val="superscript"/>
                <w:lang w:val="en-US" w:eastAsia="zh-CN"/>
              </w:rPr>
              <w:t>-4</w:t>
            </w:r>
            <w:r>
              <w:rPr>
                <w:rFonts w:hint="eastAsia" w:ascii="Times New Roman" w:hAnsi="Times New Roman" w:cs="Times New Roman" w:eastAsiaTheme="minorEastAsia"/>
                <w:szCs w:val="21"/>
                <w:lang w:val="en-US" w:eastAsia="zh-CN"/>
              </w:rPr>
              <w:t>cm/s，且分布连续、稳定；</w:t>
            </w:r>
          </w:p>
        </w:tc>
      </w:tr>
      <w:tr w14:paraId="1823D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0" w:type="dxa"/>
          </w:tcPr>
          <w:p w14:paraId="56B8916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弱</w:t>
            </w:r>
          </w:p>
        </w:tc>
        <w:tc>
          <w:tcPr>
            <w:tcW w:w="7662" w:type="dxa"/>
          </w:tcPr>
          <w:p w14:paraId="5FE72236">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岩</w:t>
            </w: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土</w:t>
            </w: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层不满足上述“强”和“中”条件</w:t>
            </w:r>
          </w:p>
        </w:tc>
      </w:tr>
    </w:tbl>
    <w:p w14:paraId="0BC772A0">
      <w:pPr>
        <w:snapToGrid w:val="0"/>
        <w:spacing w:before="241"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表6.</w:t>
      </w:r>
      <w:r>
        <w:rPr>
          <w:rFonts w:hint="eastAsia" w:ascii="Times New Roman" w:hAnsi="Times New Roman" w:cs="Times New Roman"/>
          <w:b/>
          <w:szCs w:val="21"/>
          <w:lang w:val="en-US" w:eastAsia="zh-CN"/>
        </w:rPr>
        <w:t>2-5</w:t>
      </w:r>
      <w:r>
        <w:rPr>
          <w:rFonts w:hint="eastAsia" w:ascii="Times New Roman" w:hAnsi="Times New Roman" w:cs="Times New Roman" w:eastAsiaTheme="minorEastAsia"/>
          <w:b/>
          <w:szCs w:val="21"/>
          <w:lang w:val="en-US" w:eastAsia="zh-CN"/>
        </w:rPr>
        <w:t xml:space="preserve">  地下水污染防渗分区参照表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5"/>
        <w:gridCol w:w="1483"/>
        <w:gridCol w:w="1517"/>
        <w:gridCol w:w="1566"/>
        <w:gridCol w:w="2931"/>
      </w:tblGrid>
      <w:tr w14:paraId="78FE4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vAlign w:val="center"/>
          </w:tcPr>
          <w:p w14:paraId="4807E21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防渗分区</w:t>
            </w:r>
          </w:p>
        </w:tc>
        <w:tc>
          <w:tcPr>
            <w:tcW w:w="1483" w:type="dxa"/>
            <w:vAlign w:val="center"/>
          </w:tcPr>
          <w:p w14:paraId="77DEB8C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天然包气带防污性能</w:t>
            </w:r>
          </w:p>
        </w:tc>
        <w:tc>
          <w:tcPr>
            <w:tcW w:w="1517" w:type="dxa"/>
            <w:vAlign w:val="center"/>
          </w:tcPr>
          <w:p w14:paraId="157A536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污染物控制难易程度</w:t>
            </w:r>
          </w:p>
        </w:tc>
        <w:tc>
          <w:tcPr>
            <w:tcW w:w="1566" w:type="dxa"/>
            <w:vAlign w:val="center"/>
          </w:tcPr>
          <w:p w14:paraId="4E85C91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污染物类型</w:t>
            </w:r>
          </w:p>
        </w:tc>
        <w:tc>
          <w:tcPr>
            <w:tcW w:w="2931" w:type="dxa"/>
            <w:vAlign w:val="center"/>
          </w:tcPr>
          <w:p w14:paraId="3014C12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防渗技术要求</w:t>
            </w:r>
          </w:p>
        </w:tc>
      </w:tr>
      <w:tr w14:paraId="24883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vMerge w:val="restart"/>
            <w:vAlign w:val="center"/>
          </w:tcPr>
          <w:p w14:paraId="4A375C0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重点防渗区</w:t>
            </w:r>
          </w:p>
        </w:tc>
        <w:tc>
          <w:tcPr>
            <w:tcW w:w="1483" w:type="dxa"/>
            <w:vAlign w:val="center"/>
          </w:tcPr>
          <w:p w14:paraId="51034ED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弱</w:t>
            </w:r>
          </w:p>
        </w:tc>
        <w:tc>
          <w:tcPr>
            <w:tcW w:w="1517" w:type="dxa"/>
            <w:vAlign w:val="center"/>
          </w:tcPr>
          <w:p w14:paraId="12301C8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难</w:t>
            </w:r>
          </w:p>
        </w:tc>
        <w:tc>
          <w:tcPr>
            <w:tcW w:w="1566" w:type="dxa"/>
            <w:vMerge w:val="restart"/>
            <w:vAlign w:val="center"/>
          </w:tcPr>
          <w:p w14:paraId="55E8BD1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重金属、持久性有机物污染物</w:t>
            </w:r>
          </w:p>
        </w:tc>
        <w:tc>
          <w:tcPr>
            <w:tcW w:w="2931" w:type="dxa"/>
            <w:vMerge w:val="restart"/>
            <w:vAlign w:val="center"/>
          </w:tcPr>
          <w:p w14:paraId="7FB8CF2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等效黏土防渗层Mb≥6.0m，K≤1×10</w:t>
            </w:r>
            <w:r>
              <w:rPr>
                <w:rFonts w:hint="eastAsia" w:ascii="Times New Roman" w:hAnsi="Times New Roman" w:cs="Times New Roman" w:eastAsiaTheme="minorEastAsia"/>
                <w:szCs w:val="21"/>
                <w:vertAlign w:val="superscript"/>
                <w:lang w:val="en-US" w:eastAsia="zh-CN"/>
              </w:rPr>
              <w:t>-7</w:t>
            </w:r>
            <w:r>
              <w:rPr>
                <w:rFonts w:hint="eastAsia" w:ascii="Times New Roman" w:hAnsi="Times New Roman" w:cs="Times New Roman" w:eastAsiaTheme="minorEastAsia"/>
                <w:szCs w:val="21"/>
                <w:lang w:val="en-US" w:eastAsia="zh-CN"/>
              </w:rPr>
              <w:t>cm/s；或参照GB18598执行</w:t>
            </w:r>
          </w:p>
        </w:tc>
      </w:tr>
      <w:tr w14:paraId="503F6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vMerge w:val="continue"/>
            <w:vAlign w:val="center"/>
          </w:tcPr>
          <w:p w14:paraId="13D76F8A">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483" w:type="dxa"/>
            <w:vAlign w:val="center"/>
          </w:tcPr>
          <w:p w14:paraId="14A59DB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中-强</w:t>
            </w:r>
          </w:p>
        </w:tc>
        <w:tc>
          <w:tcPr>
            <w:tcW w:w="1517" w:type="dxa"/>
            <w:vAlign w:val="center"/>
          </w:tcPr>
          <w:p w14:paraId="28D19E8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难</w:t>
            </w:r>
          </w:p>
        </w:tc>
        <w:tc>
          <w:tcPr>
            <w:tcW w:w="1566" w:type="dxa"/>
            <w:vMerge w:val="continue"/>
            <w:vAlign w:val="center"/>
          </w:tcPr>
          <w:p w14:paraId="382BBB1F">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2931" w:type="dxa"/>
            <w:vMerge w:val="continue"/>
            <w:vAlign w:val="center"/>
          </w:tcPr>
          <w:p w14:paraId="2D1B3CF3">
            <w:pPr>
              <w:autoSpaceDE w:val="0"/>
              <w:autoSpaceDN w:val="0"/>
              <w:spacing w:line="300" w:lineRule="exact"/>
              <w:jc w:val="center"/>
              <w:rPr>
                <w:rFonts w:hint="eastAsia" w:ascii="Times New Roman" w:hAnsi="Times New Roman" w:cs="Times New Roman" w:eastAsiaTheme="minorEastAsia"/>
                <w:szCs w:val="21"/>
                <w:lang w:val="en-US" w:eastAsia="zh-CN"/>
              </w:rPr>
            </w:pPr>
          </w:p>
        </w:tc>
      </w:tr>
      <w:tr w14:paraId="6D3AC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vMerge w:val="continue"/>
            <w:vAlign w:val="center"/>
          </w:tcPr>
          <w:p w14:paraId="46405D5F">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483" w:type="dxa"/>
            <w:vAlign w:val="center"/>
          </w:tcPr>
          <w:p w14:paraId="296E304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弱</w:t>
            </w:r>
          </w:p>
        </w:tc>
        <w:tc>
          <w:tcPr>
            <w:tcW w:w="1517" w:type="dxa"/>
            <w:vAlign w:val="center"/>
          </w:tcPr>
          <w:p w14:paraId="7722B9A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易</w:t>
            </w:r>
          </w:p>
        </w:tc>
        <w:tc>
          <w:tcPr>
            <w:tcW w:w="1566" w:type="dxa"/>
            <w:vMerge w:val="continue"/>
            <w:vAlign w:val="center"/>
          </w:tcPr>
          <w:p w14:paraId="4F770F2F">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2931" w:type="dxa"/>
            <w:vMerge w:val="continue"/>
            <w:vAlign w:val="center"/>
          </w:tcPr>
          <w:p w14:paraId="22E80BFA">
            <w:pPr>
              <w:autoSpaceDE w:val="0"/>
              <w:autoSpaceDN w:val="0"/>
              <w:spacing w:line="300" w:lineRule="exact"/>
              <w:jc w:val="center"/>
              <w:rPr>
                <w:rFonts w:hint="eastAsia" w:ascii="Times New Roman" w:hAnsi="Times New Roman" w:cs="Times New Roman" w:eastAsiaTheme="minorEastAsia"/>
                <w:szCs w:val="21"/>
                <w:lang w:val="en-US" w:eastAsia="zh-CN"/>
              </w:rPr>
            </w:pPr>
          </w:p>
        </w:tc>
      </w:tr>
      <w:tr w14:paraId="38240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vMerge w:val="restart"/>
            <w:vAlign w:val="center"/>
          </w:tcPr>
          <w:p w14:paraId="284DF08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一般防渗区</w:t>
            </w:r>
          </w:p>
        </w:tc>
        <w:tc>
          <w:tcPr>
            <w:tcW w:w="1483" w:type="dxa"/>
            <w:vAlign w:val="center"/>
          </w:tcPr>
          <w:p w14:paraId="64AABFA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弱</w:t>
            </w:r>
          </w:p>
        </w:tc>
        <w:tc>
          <w:tcPr>
            <w:tcW w:w="1517" w:type="dxa"/>
            <w:vAlign w:val="center"/>
          </w:tcPr>
          <w:p w14:paraId="578E1BA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易-难</w:t>
            </w:r>
          </w:p>
        </w:tc>
        <w:tc>
          <w:tcPr>
            <w:tcW w:w="1566" w:type="dxa"/>
            <w:vMerge w:val="restart"/>
            <w:vAlign w:val="center"/>
          </w:tcPr>
          <w:p w14:paraId="0115649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其他类型</w:t>
            </w:r>
          </w:p>
        </w:tc>
        <w:tc>
          <w:tcPr>
            <w:tcW w:w="2931" w:type="dxa"/>
            <w:vMerge w:val="restart"/>
            <w:vAlign w:val="center"/>
          </w:tcPr>
          <w:p w14:paraId="741A4CD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等效黏土防渗层Mb≥1.5m，K≤1×10</w:t>
            </w:r>
            <w:r>
              <w:rPr>
                <w:rFonts w:hint="eastAsia" w:ascii="Times New Roman" w:hAnsi="Times New Roman" w:cs="Times New Roman" w:eastAsiaTheme="minorEastAsia"/>
                <w:szCs w:val="21"/>
                <w:vertAlign w:val="superscript"/>
                <w:lang w:val="en-US" w:eastAsia="zh-CN"/>
              </w:rPr>
              <w:t>-7</w:t>
            </w:r>
            <w:r>
              <w:rPr>
                <w:rFonts w:hint="eastAsia" w:ascii="Times New Roman" w:hAnsi="Times New Roman" w:cs="Times New Roman" w:eastAsiaTheme="minorEastAsia"/>
                <w:szCs w:val="21"/>
                <w:lang w:val="en-US" w:eastAsia="zh-CN"/>
              </w:rPr>
              <w:t>cm/s</w:t>
            </w: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或参照GB16889执行</w:t>
            </w:r>
          </w:p>
        </w:tc>
      </w:tr>
      <w:tr w14:paraId="39FB1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vMerge w:val="continue"/>
            <w:vAlign w:val="center"/>
          </w:tcPr>
          <w:p w14:paraId="27931D67">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483" w:type="dxa"/>
            <w:vAlign w:val="center"/>
          </w:tcPr>
          <w:p w14:paraId="695A70E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中-强</w:t>
            </w:r>
          </w:p>
        </w:tc>
        <w:tc>
          <w:tcPr>
            <w:tcW w:w="1517" w:type="dxa"/>
            <w:vAlign w:val="center"/>
          </w:tcPr>
          <w:p w14:paraId="46F43C9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难</w:t>
            </w:r>
          </w:p>
        </w:tc>
        <w:tc>
          <w:tcPr>
            <w:tcW w:w="1566" w:type="dxa"/>
            <w:vMerge w:val="continue"/>
            <w:vAlign w:val="center"/>
          </w:tcPr>
          <w:p w14:paraId="4C44D0F9">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2931" w:type="dxa"/>
            <w:vMerge w:val="continue"/>
            <w:vAlign w:val="center"/>
          </w:tcPr>
          <w:p w14:paraId="1B65B3EA">
            <w:pPr>
              <w:autoSpaceDE w:val="0"/>
              <w:autoSpaceDN w:val="0"/>
              <w:spacing w:line="300" w:lineRule="exact"/>
              <w:jc w:val="center"/>
              <w:rPr>
                <w:rFonts w:hint="eastAsia" w:ascii="Times New Roman" w:hAnsi="Times New Roman" w:cs="Times New Roman" w:eastAsiaTheme="minorEastAsia"/>
                <w:szCs w:val="21"/>
                <w:lang w:val="en-US" w:eastAsia="zh-CN"/>
              </w:rPr>
            </w:pPr>
          </w:p>
        </w:tc>
      </w:tr>
      <w:tr w14:paraId="7C751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vMerge w:val="continue"/>
            <w:vAlign w:val="center"/>
          </w:tcPr>
          <w:p w14:paraId="143FE2C1">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483" w:type="dxa"/>
            <w:vAlign w:val="center"/>
          </w:tcPr>
          <w:p w14:paraId="5FFA986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中</w:t>
            </w:r>
          </w:p>
        </w:tc>
        <w:tc>
          <w:tcPr>
            <w:tcW w:w="1517" w:type="dxa"/>
            <w:vAlign w:val="center"/>
          </w:tcPr>
          <w:p w14:paraId="352166C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易</w:t>
            </w:r>
          </w:p>
        </w:tc>
        <w:tc>
          <w:tcPr>
            <w:tcW w:w="1566" w:type="dxa"/>
            <w:vMerge w:val="restart"/>
            <w:vAlign w:val="center"/>
          </w:tcPr>
          <w:p w14:paraId="1C59102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重金属、持久性有机物污染物</w:t>
            </w:r>
          </w:p>
        </w:tc>
        <w:tc>
          <w:tcPr>
            <w:tcW w:w="2931" w:type="dxa"/>
            <w:vMerge w:val="continue"/>
            <w:vAlign w:val="center"/>
          </w:tcPr>
          <w:p w14:paraId="78D236D8">
            <w:pPr>
              <w:autoSpaceDE w:val="0"/>
              <w:autoSpaceDN w:val="0"/>
              <w:spacing w:line="300" w:lineRule="exact"/>
              <w:jc w:val="center"/>
              <w:rPr>
                <w:rFonts w:hint="eastAsia" w:ascii="Times New Roman" w:hAnsi="Times New Roman" w:cs="Times New Roman" w:eastAsiaTheme="minorEastAsia"/>
                <w:szCs w:val="21"/>
                <w:lang w:val="en-US" w:eastAsia="zh-CN"/>
              </w:rPr>
            </w:pPr>
          </w:p>
        </w:tc>
      </w:tr>
      <w:tr w14:paraId="1420B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vMerge w:val="continue"/>
            <w:vAlign w:val="center"/>
          </w:tcPr>
          <w:p w14:paraId="0B5729DE">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483" w:type="dxa"/>
            <w:vAlign w:val="center"/>
          </w:tcPr>
          <w:p w14:paraId="50642B0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强</w:t>
            </w:r>
          </w:p>
        </w:tc>
        <w:tc>
          <w:tcPr>
            <w:tcW w:w="1517" w:type="dxa"/>
            <w:vAlign w:val="center"/>
          </w:tcPr>
          <w:p w14:paraId="1CA90F2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易</w:t>
            </w:r>
          </w:p>
        </w:tc>
        <w:tc>
          <w:tcPr>
            <w:tcW w:w="1566" w:type="dxa"/>
            <w:vMerge w:val="continue"/>
            <w:vAlign w:val="center"/>
          </w:tcPr>
          <w:p w14:paraId="53F3DB33">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2931" w:type="dxa"/>
            <w:vMerge w:val="continue"/>
            <w:vAlign w:val="center"/>
          </w:tcPr>
          <w:p w14:paraId="69865371">
            <w:pPr>
              <w:autoSpaceDE w:val="0"/>
              <w:autoSpaceDN w:val="0"/>
              <w:spacing w:line="300" w:lineRule="exact"/>
              <w:jc w:val="center"/>
              <w:rPr>
                <w:rFonts w:hint="eastAsia" w:ascii="Times New Roman" w:hAnsi="Times New Roman" w:cs="Times New Roman" w:eastAsiaTheme="minorEastAsia"/>
                <w:szCs w:val="21"/>
                <w:lang w:val="en-US" w:eastAsia="zh-CN"/>
              </w:rPr>
            </w:pPr>
          </w:p>
        </w:tc>
      </w:tr>
      <w:tr w14:paraId="078C0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vAlign w:val="center"/>
          </w:tcPr>
          <w:p w14:paraId="7B0BB1F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简单防渗区</w:t>
            </w:r>
          </w:p>
        </w:tc>
        <w:tc>
          <w:tcPr>
            <w:tcW w:w="1483" w:type="dxa"/>
            <w:vAlign w:val="center"/>
          </w:tcPr>
          <w:p w14:paraId="29FDAAE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中-强</w:t>
            </w:r>
          </w:p>
        </w:tc>
        <w:tc>
          <w:tcPr>
            <w:tcW w:w="1517" w:type="dxa"/>
            <w:vAlign w:val="center"/>
          </w:tcPr>
          <w:p w14:paraId="3B84E6A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易</w:t>
            </w:r>
          </w:p>
        </w:tc>
        <w:tc>
          <w:tcPr>
            <w:tcW w:w="1566" w:type="dxa"/>
            <w:vAlign w:val="center"/>
          </w:tcPr>
          <w:p w14:paraId="3EEEF39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其他类型</w:t>
            </w:r>
          </w:p>
        </w:tc>
        <w:tc>
          <w:tcPr>
            <w:tcW w:w="2931" w:type="dxa"/>
            <w:vAlign w:val="center"/>
          </w:tcPr>
          <w:p w14:paraId="4CA9B1D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一般地面硬化</w:t>
            </w:r>
          </w:p>
        </w:tc>
      </w:tr>
    </w:tbl>
    <w:p w14:paraId="10E9A61D">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（3）防渗区划分</w:t>
      </w:r>
    </w:p>
    <w:p w14:paraId="58C41AAF">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本项目厂区包气带厚度</w:t>
      </w:r>
      <w:r>
        <w:rPr>
          <w:rFonts w:hint="eastAsia" w:ascii="Times New Roman" w:hAnsi="Times New Roman" w:cs="Times New Roman"/>
          <w:sz w:val="24"/>
          <w:highlight w:val="none"/>
          <w:lang w:val="en-US" w:eastAsia="zh-CN"/>
        </w:rPr>
        <w:t>29</w:t>
      </w:r>
      <w:r>
        <w:rPr>
          <w:rFonts w:hint="eastAsia" w:ascii="Times New Roman" w:hAnsi="Times New Roman" w:cs="Times New Roman" w:eastAsiaTheme="minorEastAsia"/>
          <w:sz w:val="24"/>
          <w:highlight w:val="none"/>
          <w:lang w:val="en-US" w:eastAsia="zh-CN"/>
        </w:rPr>
        <w:t>m，包气带岩</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土</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层单层厚度Mb≥1.0m，连续、稳定分布，根据水文地质资料，阿斯兰巴格工业园含水层岩性为卵砾石或砂砾石，其渗透系数为垂直渗透系数为0.</w:t>
      </w:r>
      <w:r>
        <w:rPr>
          <w:rFonts w:hint="eastAsia" w:ascii="Times New Roman" w:hAnsi="Times New Roman" w:cs="Times New Roman"/>
          <w:sz w:val="24"/>
          <w:highlight w:val="none"/>
          <w:lang w:val="en-US" w:eastAsia="zh-CN"/>
        </w:rPr>
        <w:t>0</w:t>
      </w:r>
      <w:r>
        <w:rPr>
          <w:rFonts w:hint="eastAsia" w:ascii="Times New Roman" w:hAnsi="Times New Roman" w:cs="Times New Roman" w:eastAsiaTheme="minorEastAsia"/>
          <w:sz w:val="24"/>
          <w:highlight w:val="none"/>
          <w:lang w:val="en-US" w:eastAsia="zh-CN"/>
        </w:rPr>
        <w:t>44cm/s，包气带岩土的防污性能按“弱”；本项目废水包括持久性污染物和非持久性污染物；同时部分装置发生泄漏后，不能及时发现和处理。故根据可能泄漏至地面的污染物的性质和生产单元的构建方式，结合拟建项目总平面布置情况，可将厂区各生产、生活功能单元可能产生污染的地区划分为重点防渗区、一般防渗区和简单防渗区。</w:t>
      </w:r>
    </w:p>
    <w:p w14:paraId="345AB883">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①</w:t>
      </w:r>
      <w:r>
        <w:rPr>
          <w:rFonts w:hint="eastAsia" w:ascii="Times New Roman" w:hAnsi="Times New Roman" w:cs="Times New Roman" w:eastAsiaTheme="minorEastAsia"/>
          <w:sz w:val="24"/>
          <w:highlight w:val="none"/>
          <w:lang w:val="en-US" w:eastAsia="zh-CN"/>
        </w:rPr>
        <w:t>重点防渗区</w:t>
      </w:r>
    </w:p>
    <w:p w14:paraId="5EAE5ABD">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sz w:val="24"/>
          <w:highlight w:val="none"/>
          <w:lang w:val="en-US" w:eastAsia="zh-CN"/>
        </w:rPr>
        <w:t>项目涉及重点防渗区主要为柴油储罐区、危废贮存库、医疗废物暂存间、炉渣间。项目柴油储罐区</w:t>
      </w:r>
      <w:r>
        <w:rPr>
          <w:rFonts w:hint="eastAsia" w:ascii="Times New Roman" w:hAnsi="Times New Roman" w:cs="Times New Roman" w:eastAsiaTheme="minorEastAsia"/>
          <w:sz w:val="24"/>
          <w:highlight w:val="none"/>
          <w:lang w:val="en-US" w:eastAsia="zh-CN"/>
        </w:rPr>
        <w:t>根据《环境影响评价技术导则 地下水环境》</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HJ610-2016</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，重点防渗区防渗层的防渗性能不应低于6m厚渗透系数为1.0×10</w:t>
      </w:r>
      <w:r>
        <w:rPr>
          <w:rFonts w:hint="eastAsia" w:ascii="Times New Roman" w:hAnsi="Times New Roman" w:cs="Times New Roman"/>
          <w:sz w:val="24"/>
          <w:highlight w:val="none"/>
          <w:vertAlign w:val="superscript"/>
          <w:lang w:val="en-US" w:eastAsia="zh-CN"/>
        </w:rPr>
        <w:t>-</w:t>
      </w:r>
      <w:r>
        <w:rPr>
          <w:rFonts w:hint="eastAsia" w:ascii="Times New Roman" w:hAnsi="Times New Roman" w:cs="Times New Roman" w:eastAsiaTheme="minorEastAsia"/>
          <w:sz w:val="24"/>
          <w:highlight w:val="none"/>
          <w:vertAlign w:val="superscript"/>
          <w:lang w:val="en-US" w:eastAsia="zh-CN"/>
        </w:rPr>
        <w:t>7</w:t>
      </w:r>
      <w:r>
        <w:rPr>
          <w:rFonts w:hint="eastAsia" w:ascii="Times New Roman" w:hAnsi="Times New Roman" w:cs="Times New Roman" w:eastAsiaTheme="minorEastAsia"/>
          <w:sz w:val="24"/>
          <w:highlight w:val="none"/>
          <w:lang w:val="en-US" w:eastAsia="zh-CN"/>
        </w:rPr>
        <w:t>cm/s的黏土层的防渗性能</w:t>
      </w:r>
      <w:r>
        <w:rPr>
          <w:rFonts w:hint="eastAsia" w:ascii="Times New Roman" w:hAnsi="Times New Roman" w:cs="Times New Roman"/>
          <w:sz w:val="24"/>
          <w:highlight w:val="none"/>
          <w:lang w:val="en-US" w:eastAsia="zh-CN"/>
        </w:rPr>
        <w:t>。</w:t>
      </w:r>
    </w:p>
    <w:p w14:paraId="4274AAB5">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sz w:val="24"/>
          <w:highlight w:val="none"/>
          <w:lang w:val="en-US" w:eastAsia="zh-CN"/>
        </w:rPr>
        <w:t>危废贮存库、医疗废物暂存间、炉渣间根</w:t>
      </w:r>
      <w:r>
        <w:rPr>
          <w:rFonts w:hint="default" w:ascii="Times New Roman" w:hAnsi="Times New Roman" w:cs="Times New Roman" w:eastAsiaTheme="minorEastAsia"/>
          <w:sz w:val="24"/>
          <w:highlight w:val="none"/>
          <w:lang w:val="en-US" w:eastAsia="zh-CN"/>
        </w:rPr>
        <w:t>据《危险废物贮存污染控制标准》</w:t>
      </w:r>
      <w:r>
        <w:rPr>
          <w:rFonts w:hint="default"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GB 18597-20</w:t>
      </w:r>
      <w:r>
        <w:rPr>
          <w:rFonts w:hint="default" w:ascii="Times New Roman" w:hAnsi="Times New Roman" w:cs="Times New Roman"/>
          <w:sz w:val="24"/>
          <w:highlight w:val="none"/>
          <w:lang w:val="en-US" w:eastAsia="zh-CN"/>
        </w:rPr>
        <w:t>23</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6.3.4节：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m厚黏土层（渗透系数不大于10</w:t>
      </w:r>
      <w:r>
        <w:rPr>
          <w:rFonts w:hint="default" w:ascii="Times New Roman" w:hAnsi="Times New Roman" w:cs="Times New Roman" w:eastAsiaTheme="minorEastAsia"/>
          <w:sz w:val="24"/>
          <w:highlight w:val="none"/>
          <w:vertAlign w:val="superscript"/>
          <w:lang w:val="en-US" w:eastAsia="zh-CN"/>
        </w:rPr>
        <w:t>-7</w:t>
      </w:r>
      <w:r>
        <w:rPr>
          <w:rFonts w:hint="default" w:ascii="Times New Roman" w:hAnsi="Times New Roman" w:cs="Times New Roman" w:eastAsiaTheme="minorEastAsia"/>
          <w:sz w:val="24"/>
          <w:highlight w:val="none"/>
          <w:lang w:val="en-US" w:eastAsia="zh-CN"/>
        </w:rPr>
        <w:t>cm/s），或至少2mm厚高密度聚乙烯膜等人工防渗材料（渗透系数不大于10</w:t>
      </w:r>
      <w:r>
        <w:rPr>
          <w:rFonts w:hint="default" w:ascii="Times New Roman" w:hAnsi="Times New Roman" w:cs="Times New Roman" w:eastAsiaTheme="minorEastAsia"/>
          <w:sz w:val="24"/>
          <w:highlight w:val="none"/>
          <w:vertAlign w:val="superscript"/>
          <w:lang w:val="en-US" w:eastAsia="zh-CN"/>
        </w:rPr>
        <w:t>-10</w:t>
      </w:r>
      <w:r>
        <w:rPr>
          <w:rFonts w:hint="default" w:ascii="Times New Roman" w:hAnsi="Times New Roman" w:cs="Times New Roman" w:eastAsiaTheme="minorEastAsia"/>
          <w:sz w:val="24"/>
          <w:highlight w:val="none"/>
          <w:lang w:val="en-US" w:eastAsia="zh-CN"/>
        </w:rPr>
        <w:t>cm/s），或其他防渗性能等效的材料。</w:t>
      </w:r>
    </w:p>
    <w:p w14:paraId="0FCB2626">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②</w:t>
      </w:r>
      <w:r>
        <w:rPr>
          <w:rFonts w:hint="eastAsia" w:ascii="Times New Roman" w:hAnsi="Times New Roman" w:cs="Times New Roman" w:eastAsiaTheme="minorEastAsia"/>
          <w:sz w:val="24"/>
          <w:highlight w:val="none"/>
          <w:lang w:val="en-US" w:eastAsia="zh-CN"/>
        </w:rPr>
        <w:t>一般防渗区</w:t>
      </w:r>
    </w:p>
    <w:p w14:paraId="609557A7">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根据《环境影响评价技术导则 地下水环境》</w:t>
      </w:r>
      <w:r>
        <w:rPr>
          <w:rFonts w:hint="default"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HJ610-2016</w:t>
      </w:r>
      <w:r>
        <w:rPr>
          <w:rFonts w:hint="default"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，一般防渗区防渗层的防渗性能不应低于1.5m厚渗透系数为1.0×10</w:t>
      </w:r>
      <w:r>
        <w:rPr>
          <w:rFonts w:hint="default" w:ascii="Times New Roman" w:hAnsi="Times New Roman" w:cs="Times New Roman"/>
          <w:sz w:val="24"/>
          <w:highlight w:val="none"/>
          <w:vertAlign w:val="superscript"/>
          <w:lang w:val="en-US" w:eastAsia="zh-CN"/>
        </w:rPr>
        <w:t>-</w:t>
      </w:r>
      <w:r>
        <w:rPr>
          <w:rFonts w:hint="default" w:ascii="Times New Roman" w:hAnsi="Times New Roman" w:cs="Times New Roman" w:eastAsiaTheme="minorEastAsia"/>
          <w:sz w:val="24"/>
          <w:highlight w:val="none"/>
          <w:vertAlign w:val="superscript"/>
          <w:lang w:val="en-US" w:eastAsia="zh-CN"/>
        </w:rPr>
        <w:t>7</w:t>
      </w:r>
      <w:r>
        <w:rPr>
          <w:rFonts w:hint="default" w:ascii="Times New Roman" w:hAnsi="Times New Roman" w:cs="Times New Roman" w:eastAsiaTheme="minorEastAsia"/>
          <w:sz w:val="24"/>
          <w:highlight w:val="none"/>
          <w:lang w:val="en-US" w:eastAsia="zh-CN"/>
        </w:rPr>
        <w:t>cm/s的黏土层的防渗性能。主要</w:t>
      </w:r>
      <w:r>
        <w:rPr>
          <w:rFonts w:hint="eastAsia" w:ascii="Times New Roman" w:hAnsi="Times New Roman" w:cs="Times New Roman" w:eastAsiaTheme="minorEastAsia"/>
          <w:sz w:val="24"/>
          <w:highlight w:val="none"/>
          <w:lang w:val="en-US" w:eastAsia="zh-CN"/>
        </w:rPr>
        <w:t>包括焚烧车间、医废周转箱放置区、污水处理站、应急事故池、消毒清洗场</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循环冷却水池、辅助设备区域。</w:t>
      </w:r>
    </w:p>
    <w:p w14:paraId="2572EE7A">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可在抗渗钢纤维混凝土面层中掺水泥基渗透结晶型防水剂，其下铺砌砂石基层，原土夯实，可达到防渗的目的。对于混凝土中间的伸缩缝和与实体基础的缝隙，通过填充柔性材料达到防渗的目的，渗透系数不应低于1.5m厚渗透系数为1.0×10</w:t>
      </w:r>
      <w:r>
        <w:rPr>
          <w:rFonts w:hint="eastAsia" w:ascii="Times New Roman" w:hAnsi="Times New Roman" w:cs="Times New Roman"/>
          <w:sz w:val="24"/>
          <w:highlight w:val="none"/>
          <w:vertAlign w:val="superscript"/>
          <w:lang w:val="en-US" w:eastAsia="zh-CN"/>
        </w:rPr>
        <w:t>-</w:t>
      </w:r>
      <w:r>
        <w:rPr>
          <w:rFonts w:hint="eastAsia" w:ascii="Times New Roman" w:hAnsi="Times New Roman" w:cs="Times New Roman" w:eastAsiaTheme="minorEastAsia"/>
          <w:sz w:val="24"/>
          <w:highlight w:val="none"/>
          <w:vertAlign w:val="superscript"/>
          <w:lang w:val="en-US" w:eastAsia="zh-CN"/>
        </w:rPr>
        <w:t>7</w:t>
      </w:r>
      <w:r>
        <w:rPr>
          <w:rFonts w:hint="eastAsia" w:ascii="Times New Roman" w:hAnsi="Times New Roman" w:cs="Times New Roman" w:eastAsiaTheme="minorEastAsia"/>
          <w:sz w:val="24"/>
          <w:highlight w:val="none"/>
          <w:lang w:val="en-US" w:eastAsia="zh-CN"/>
        </w:rPr>
        <w:t>cm/s的等效黏土层的防渗性能。</w:t>
      </w:r>
    </w:p>
    <w:p w14:paraId="5B18D34A">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③</w:t>
      </w:r>
      <w:r>
        <w:rPr>
          <w:rFonts w:hint="eastAsia" w:ascii="Times New Roman" w:hAnsi="Times New Roman" w:cs="Times New Roman" w:eastAsiaTheme="minorEastAsia"/>
          <w:sz w:val="24"/>
          <w:highlight w:val="none"/>
          <w:lang w:val="en-US" w:eastAsia="zh-CN"/>
        </w:rPr>
        <w:t>简单防渗区</w:t>
      </w:r>
    </w:p>
    <w:p w14:paraId="3C9529DF">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不会对地下水环境造成污染的区域，主要包括操作室、配电箱、物流门卫等区域，不采取专门针对地下水污染的防治措施，进行简单的地面硬化即可。</w:t>
      </w:r>
    </w:p>
    <w:p w14:paraId="41BD4EF8">
      <w:pPr>
        <w:adjustRightInd w:val="0"/>
        <w:snapToGrid w:val="0"/>
        <w:spacing w:line="500" w:lineRule="exact"/>
        <w:jc w:val="left"/>
        <w:rPr>
          <w:rFonts w:hint="default"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6.2.3.3地下水跟踪监测</w:t>
      </w:r>
    </w:p>
    <w:p w14:paraId="5008F9F0">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企业运行期应在厂区内及地下水下游设置3个地下水跟踪监测井，定期监测地下水水质和水位变化情况。企业应在日常生产过程中做好监测井的维护工作，防止人为破坏。</w:t>
      </w:r>
    </w:p>
    <w:p w14:paraId="06116B9D">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6.2.3.4风险事故应急响应</w:t>
      </w:r>
    </w:p>
    <w:p w14:paraId="74E9F728">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公司应制定地下水风险事故应急响应预案，明确风险事故状态下应采取的封闭、截流等措施，提出防止受污染的地下水扩散和对受污染的地下水进行治理的具体方案。</w:t>
      </w:r>
    </w:p>
    <w:p w14:paraId="66D0D753">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316" w:name="_Toc32617"/>
      <w:r>
        <w:rPr>
          <w:rFonts w:hint="eastAsia" w:ascii="Times New Roman" w:hAnsi="Times New Roman" w:cs="Times New Roman" w:eastAsiaTheme="minorEastAsia"/>
          <w:kern w:val="0"/>
          <w:sz w:val="24"/>
          <w:szCs w:val="24"/>
          <w:lang w:val="en-US" w:eastAsia="zh-CN"/>
        </w:rPr>
        <w:t>6.2.4运营期噪声污染防治措施及其可行性分析</w:t>
      </w:r>
      <w:bookmarkEnd w:id="316"/>
    </w:p>
    <w:p w14:paraId="4B163339">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噪声主要来源于风机、各类泵、空压机等设备的机械噪声及空气动力性噪声，其噪声源强为80～90dB（A）。噪声防治措施主要有：采取低噪声工艺及设备、合理平面布置、隔声、消声、吸声等综合噪声治理技术措施等。建议企业采取如下措施：</w:t>
      </w:r>
    </w:p>
    <w:p w14:paraId="21133775">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1、选用低噪声设备</w:t>
      </w:r>
    </w:p>
    <w:p w14:paraId="626F3D23">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1）优先选用振动小、噪声低的设备，使用吸声材料降低撞击噪声；强烈振动的设备、管道与基础、支架、建筑物及其他设备之间采用柔性连接或支撑等。</w:t>
      </w:r>
    </w:p>
    <w:p w14:paraId="7AE2DE4D">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2）采用操作机械化和运行自动化的设备工艺，实现远距离的监视操作。</w:t>
      </w:r>
    </w:p>
    <w:p w14:paraId="7C4F8466">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2、隔声、消声、吸声</w:t>
      </w:r>
    </w:p>
    <w:p w14:paraId="63BB4058">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各噪声设备均应采用隔声、消声、吸声、隔振等综合控制技术措施。</w:t>
      </w:r>
    </w:p>
    <w:p w14:paraId="6D4B47E1">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1）风机：在风机出风口加装消声器，在风机和基础之间安装基础隔振垫（如金属弹簧隔振器、橡胶隔振垫、玻璃纤维板等），减少扰动，防止共振，能有效降低源强。</w:t>
      </w:r>
    </w:p>
    <w:p w14:paraId="311DC7EE">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2）泵类、空压机：采用单台独立基础，空压机设备加装橡胶减振、隔振措施，泵的进出口接管做挠性连接或弹性连接，并增加惰性块（钢筋混凝土基础） 的重量以增加其稳定性，从而有效地降低振动强度。</w:t>
      </w:r>
    </w:p>
    <w:p w14:paraId="6475CB02">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3、加强管理</w:t>
      </w:r>
    </w:p>
    <w:p w14:paraId="165A2D48">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1）加强设备的维护，确保设备处于良好的运转状态，杜绝因设备不正常运转时产生的高噪声现象；</w:t>
      </w:r>
    </w:p>
    <w:p w14:paraId="3F49D942">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2）加强职工环保意识教育，提倡文明生产，防止人为噪声；</w:t>
      </w:r>
    </w:p>
    <w:p w14:paraId="5593DE25">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3）对于厂区流动声源，要强化行车管理制度，设置降噪标准，严禁鸣笛，进入厂区低速行驶，最大限度减少流动噪声源。</w:t>
      </w:r>
    </w:p>
    <w:p w14:paraId="060C164B">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4）加强车辆、机械设备的维护，使其处于良好状态；并对老化和性能降低的旧设备进行及时更换。</w:t>
      </w:r>
    </w:p>
    <w:p w14:paraId="4EFB0ACA">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5）加强出去运输车辆的管理，采取限速禁鸣，分散进出。</w:t>
      </w:r>
    </w:p>
    <w:p w14:paraId="541505DB">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6）合理安排运输频次，避开午间休息时间运输，夜间不安排运输。</w:t>
      </w:r>
    </w:p>
    <w:p w14:paraId="1B669543">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7）利用自然地形（如位于噪声源和敏感目标之间的山丘、土坡、地堑、围墙等），合理布局产噪设备降低噪声。</w:t>
      </w:r>
    </w:p>
    <w:p w14:paraId="55523847">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8）结合厂区绿化，种植一些吸尘、消声能力强的树木，如常绿阔叶乔木、灌木等，组成多层次的降噪屏障，以达到消耗声能，削弱噪声目的。</w:t>
      </w:r>
    </w:p>
    <w:p w14:paraId="2E67970A">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采取上述措施后，厂界噪声可满足《工业企业厂界环境噪声排放标准》（GB12348-2008）</w:t>
      </w:r>
      <w:r>
        <w:rPr>
          <w:rFonts w:hint="eastAsia" w:ascii="Times New Roman" w:hAnsi="Times New Roman" w:cs="Times New Roman"/>
          <w:sz w:val="24"/>
          <w:highlight w:val="none"/>
          <w:lang w:val="en-US" w:eastAsia="zh-CN"/>
        </w:rPr>
        <w:t>3</w:t>
      </w:r>
      <w:r>
        <w:rPr>
          <w:rFonts w:hint="eastAsia" w:ascii="Times New Roman" w:hAnsi="Times New Roman" w:cs="Times New Roman" w:eastAsiaTheme="minorEastAsia"/>
          <w:sz w:val="24"/>
          <w:highlight w:val="none"/>
          <w:lang w:val="en-US" w:eastAsia="zh-CN"/>
        </w:rPr>
        <w:t>类区标准限值，不会产生噪声扰民现象，环境影响可接受，措施可行。</w:t>
      </w:r>
    </w:p>
    <w:p w14:paraId="52AA63C4">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317" w:name="_Toc18119"/>
      <w:r>
        <w:rPr>
          <w:rFonts w:hint="eastAsia" w:ascii="Times New Roman" w:hAnsi="Times New Roman" w:cs="Times New Roman" w:eastAsiaTheme="minorEastAsia"/>
          <w:kern w:val="0"/>
          <w:sz w:val="24"/>
          <w:szCs w:val="24"/>
          <w:lang w:val="en-US" w:eastAsia="zh-CN"/>
        </w:rPr>
        <w:t>6.2.5运营期固体废物污染防治措施及其可行性分析</w:t>
      </w:r>
      <w:bookmarkEnd w:id="317"/>
    </w:p>
    <w:p w14:paraId="238D1795">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6.2.5.1固废处置措施可行性分析</w:t>
      </w:r>
    </w:p>
    <w:p w14:paraId="00DD1C54">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本项目危险废物有炉渣、飞灰、</w:t>
      </w:r>
      <w:r>
        <w:rPr>
          <w:rFonts w:hint="eastAsia" w:ascii="Times New Roman" w:hAnsi="Times New Roman" w:cs="Times New Roman"/>
          <w:sz w:val="24"/>
          <w:highlight w:val="none"/>
          <w:lang w:val="en-US" w:eastAsia="zh-CN"/>
        </w:rPr>
        <w:t>污泥、</w:t>
      </w:r>
      <w:r>
        <w:rPr>
          <w:rFonts w:hint="eastAsia" w:ascii="Times New Roman" w:hAnsi="Times New Roman" w:cs="Times New Roman" w:eastAsiaTheme="minorEastAsia"/>
          <w:sz w:val="24"/>
          <w:highlight w:val="none"/>
          <w:lang w:val="en-US" w:eastAsia="zh-CN"/>
        </w:rPr>
        <w:t>废活性炭、废滤袋、废机油。</w:t>
      </w:r>
    </w:p>
    <w:p w14:paraId="0C0C24C0">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本项目飞灰、废活性炭、废滤袋、废机油采用密闭容器盛装后在厂区危废贮存</w:t>
      </w:r>
      <w:r>
        <w:rPr>
          <w:rFonts w:hint="eastAsia" w:ascii="Times New Roman" w:hAnsi="Times New Roman" w:cs="Times New Roman"/>
          <w:sz w:val="24"/>
          <w:highlight w:val="none"/>
          <w:lang w:val="en-US" w:eastAsia="zh-CN"/>
        </w:rPr>
        <w:t>库</w:t>
      </w:r>
      <w:r>
        <w:rPr>
          <w:rFonts w:hint="eastAsia" w:ascii="Times New Roman" w:hAnsi="Times New Roman" w:cs="Times New Roman" w:eastAsiaTheme="minorEastAsia"/>
          <w:sz w:val="24"/>
          <w:highlight w:val="none"/>
          <w:lang w:val="en-US" w:eastAsia="zh-CN"/>
        </w:rPr>
        <w:t>储存，储存容器底部设置托盘，危险废物不直接与地面接触，危废贮存</w:t>
      </w:r>
      <w:r>
        <w:rPr>
          <w:rFonts w:hint="eastAsia" w:ascii="Times New Roman" w:hAnsi="Times New Roman" w:cs="Times New Roman"/>
          <w:sz w:val="24"/>
          <w:highlight w:val="none"/>
          <w:lang w:val="en-US" w:eastAsia="zh-CN"/>
        </w:rPr>
        <w:t>库</w:t>
      </w:r>
      <w:r>
        <w:rPr>
          <w:rFonts w:hint="eastAsia" w:ascii="Times New Roman" w:hAnsi="Times New Roman" w:cs="Times New Roman" w:eastAsiaTheme="minorEastAsia"/>
          <w:sz w:val="24"/>
          <w:highlight w:val="none"/>
          <w:lang w:val="en-US" w:eastAsia="zh-CN"/>
        </w:rPr>
        <w:t>采取合理防渗措施，危险废物定期委托有资质单位处置。</w:t>
      </w:r>
      <w:r>
        <w:rPr>
          <w:rFonts w:hint="eastAsia" w:ascii="Times New Roman" w:hAnsi="Times New Roman" w:cs="Times New Roman"/>
          <w:sz w:val="24"/>
          <w:highlight w:val="none"/>
          <w:lang w:val="en-US" w:eastAsia="zh-CN"/>
        </w:rPr>
        <w:t>项目产生炉渣储存在炉渣间内，定期交由有资质单位处置</w:t>
      </w:r>
      <w:r>
        <w:rPr>
          <w:rFonts w:hint="eastAsia" w:ascii="Times New Roman" w:hAnsi="Times New Roman" w:cs="Times New Roman" w:eastAsiaTheme="minorEastAsia"/>
          <w:sz w:val="24"/>
          <w:highlight w:val="none"/>
          <w:lang w:val="en-US" w:eastAsia="zh-CN"/>
        </w:rPr>
        <w:t>。</w:t>
      </w:r>
    </w:p>
    <w:p w14:paraId="7E54A8D5">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项目产生炉渣和飞灰中含有二噁英类、重金属等有毒有害物质，逸散至外环境会对周边大气、土壤、水环境造成影响。本项目</w:t>
      </w:r>
      <w:r>
        <w:rPr>
          <w:rFonts w:hint="eastAsia" w:ascii="Times New Roman" w:hAnsi="Times New Roman" w:cs="Times New Roman"/>
          <w:sz w:val="24"/>
          <w:highlight w:val="none"/>
          <w:lang w:val="en-US" w:eastAsia="zh-CN"/>
        </w:rPr>
        <w:t>飞灰</w:t>
      </w:r>
      <w:r>
        <w:rPr>
          <w:rFonts w:hint="eastAsia" w:ascii="Times New Roman" w:hAnsi="Times New Roman" w:cs="Times New Roman" w:eastAsiaTheme="minorEastAsia"/>
          <w:sz w:val="24"/>
          <w:highlight w:val="none"/>
          <w:lang w:val="en-US" w:eastAsia="zh-CN"/>
        </w:rPr>
        <w:t>采用</w:t>
      </w:r>
      <w:r>
        <w:rPr>
          <w:rFonts w:hint="eastAsia" w:ascii="Times New Roman" w:hAnsi="Times New Roman" w:cs="Times New Roman"/>
          <w:sz w:val="24"/>
          <w:highlight w:val="none"/>
          <w:lang w:val="en-US" w:eastAsia="zh-CN"/>
        </w:rPr>
        <w:t>防漏胶袋盛装</w:t>
      </w:r>
      <w:r>
        <w:rPr>
          <w:rFonts w:hint="eastAsia"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炉渣</w:t>
      </w:r>
      <w:r>
        <w:rPr>
          <w:rFonts w:hint="eastAsia" w:ascii="Times New Roman" w:hAnsi="Times New Roman" w:cs="Times New Roman" w:eastAsiaTheme="minorEastAsia"/>
          <w:sz w:val="24"/>
          <w:highlight w:val="none"/>
          <w:lang w:val="en-US" w:eastAsia="zh-CN"/>
        </w:rPr>
        <w:t>贮存</w:t>
      </w:r>
      <w:r>
        <w:rPr>
          <w:rFonts w:hint="eastAsia" w:ascii="Times New Roman" w:hAnsi="Times New Roman" w:cs="Times New Roman"/>
          <w:sz w:val="24"/>
          <w:highlight w:val="none"/>
          <w:lang w:val="en-US" w:eastAsia="zh-CN"/>
        </w:rPr>
        <w:t>在炉渣间内并定期洒水，在危废贮存库及炉渣间设置气体导出口与二燃室鼓风机相连，导出气体进入二燃室焚烧。</w:t>
      </w:r>
      <w:r>
        <w:rPr>
          <w:rFonts w:hint="eastAsia" w:ascii="Times New Roman" w:hAnsi="Times New Roman" w:cs="Times New Roman" w:eastAsiaTheme="minorEastAsia"/>
          <w:sz w:val="24"/>
          <w:highlight w:val="none"/>
          <w:lang w:val="en-US" w:eastAsia="zh-CN"/>
        </w:rPr>
        <w:t>炉渣、飞灰储存过程做到防扬尘、防雨和防渗漏要求</w:t>
      </w:r>
      <w:r>
        <w:rPr>
          <w:rFonts w:hint="eastAsia" w:ascii="Times New Roman" w:hAnsi="Times New Roman" w:cs="Times New Roman"/>
          <w:sz w:val="24"/>
          <w:highlight w:val="none"/>
          <w:lang w:val="en-US" w:eastAsia="zh-CN"/>
        </w:rPr>
        <w:t>，符合《排污许可证申请与核发技术规范 危险废物焚烧》（HJ1038-2019）要求。</w:t>
      </w:r>
    </w:p>
    <w:p w14:paraId="4154BE4F">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本项目产生</w:t>
      </w:r>
      <w:r>
        <w:rPr>
          <w:rFonts w:hint="eastAsia" w:ascii="Times New Roman" w:hAnsi="Times New Roman" w:cs="Times New Roman"/>
          <w:sz w:val="24"/>
          <w:highlight w:val="none"/>
          <w:lang w:val="en-US" w:eastAsia="zh-CN"/>
        </w:rPr>
        <w:t>的</w:t>
      </w:r>
      <w:r>
        <w:rPr>
          <w:rFonts w:hint="eastAsia" w:ascii="Times New Roman" w:hAnsi="Times New Roman" w:cs="Times New Roman" w:eastAsiaTheme="minorEastAsia"/>
          <w:sz w:val="24"/>
          <w:highlight w:val="none"/>
          <w:lang w:val="en-US" w:eastAsia="zh-CN"/>
        </w:rPr>
        <w:t>飞灰</w:t>
      </w:r>
      <w:r>
        <w:rPr>
          <w:rFonts w:hint="eastAsia" w:ascii="Times New Roman" w:hAnsi="Times New Roman" w:cs="Times New Roman"/>
          <w:sz w:val="24"/>
          <w:highlight w:val="none"/>
          <w:lang w:val="en-US" w:eastAsia="zh-CN"/>
        </w:rPr>
        <w:t>及炉渣</w:t>
      </w:r>
      <w:r>
        <w:rPr>
          <w:rFonts w:hint="eastAsia" w:ascii="Times New Roman" w:hAnsi="Times New Roman" w:cs="Times New Roman" w:eastAsiaTheme="minorEastAsia"/>
          <w:sz w:val="24"/>
          <w:highlight w:val="none"/>
          <w:lang w:val="en-US" w:eastAsia="zh-CN"/>
        </w:rPr>
        <w:t>在厂区合理暂存，并定期委托有资质单位处置</w:t>
      </w:r>
      <w:r>
        <w:rPr>
          <w:rFonts w:hint="eastAsia" w:ascii="Times New Roman" w:hAnsi="Times New Roman" w:cs="Times New Roman"/>
          <w:sz w:val="24"/>
          <w:highlight w:val="none"/>
          <w:lang w:val="en-US" w:eastAsia="zh-CN"/>
        </w:rPr>
        <w:t>，处置措施可行。</w:t>
      </w:r>
    </w:p>
    <w:p w14:paraId="41FB167F">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6.2.5.2医废收集相关规定</w:t>
      </w:r>
    </w:p>
    <w:p w14:paraId="04848BC5">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医疗废物在各医疗机构已进行分类，分别放入做好标签分类的周转箱中，由运输车送至本医废处置中心。手术或尸检后能辨认的人体组织、器官及死胎由各医疗机构自行送至当地火葬场处理，不进入本处置中心；放射性废弃物、高压容器、废弃的细胞毒性药品、剧毒物品、易燃易爆物品、重金属（如铅、镉、汞）含量高的医疗废物不宜在医疗废物焚烧炉处理，亦不得进入本处置中心。</w:t>
      </w:r>
    </w:p>
    <w:p w14:paraId="578F0F34">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医疗废物具有毒性、感染性等特点，只有对其进行全程监控，才能达到有效处理，因此医疗废物的收集和运输由本处置中心派专用医废运输车收集运输。收集装置采用特制带盖聚乙烯转运箱，转运箱内衬双层0.8～1mm厚的塑料袋。转运箱定点放置于各医疗机构的住院部、门诊楼等，并设置医疗废物警示标识，各医院和医疗卫生机构由专人将医疗废物收集倾倒于转运箱内。处置中心每天派专用收集运输车到</w:t>
      </w:r>
      <w:r>
        <w:rPr>
          <w:rFonts w:hint="eastAsia" w:ascii="Times New Roman" w:hAnsi="Times New Roman" w:cs="Times New Roman"/>
          <w:sz w:val="24"/>
          <w:highlight w:val="none"/>
          <w:lang w:val="en-US" w:eastAsia="zh-CN"/>
        </w:rPr>
        <w:t>莎车县</w:t>
      </w:r>
      <w:r>
        <w:rPr>
          <w:rFonts w:hint="eastAsia" w:ascii="Times New Roman" w:hAnsi="Times New Roman" w:cs="Times New Roman" w:eastAsiaTheme="minorEastAsia"/>
          <w:sz w:val="24"/>
          <w:highlight w:val="none"/>
          <w:lang w:val="en-US" w:eastAsia="zh-CN"/>
        </w:rPr>
        <w:t>辖区内各医院或医疗卫生机构收集运输医疗废物，用空转运箱替换装满医疗废物的转运箱，然后由医废运输车运送到处置中心，卸料、暂存等待处理。处置中心医废卸料区及贮存（冷藏）室等均按《危险废物贮存污染控制标准》（GB18597-2023）的相关要求建设。各医院和医疗卫生机构自行按照《医疗废物集中处置技术规范（试行）》 的要求设置医疗废物转运箱的贮存库房。</w:t>
      </w:r>
    </w:p>
    <w:p w14:paraId="4AF97100">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6.2.5.3医废交接的相关规定</w:t>
      </w:r>
    </w:p>
    <w:p w14:paraId="51A4C8D3">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医废交接参照《医疗废物集中处置技术规范》（环发〔2003〕206号）的有关规定进行管理。</w:t>
      </w:r>
    </w:p>
    <w:p w14:paraId="774668D7">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（1）医疗废物运送人员在</w:t>
      </w:r>
      <w:r>
        <w:rPr>
          <w:rFonts w:hint="eastAsia" w:ascii="Times New Roman" w:hAnsi="Times New Roman" w:cs="Times New Roman"/>
          <w:sz w:val="24"/>
          <w:highlight w:val="none"/>
          <w:lang w:val="en-US" w:eastAsia="zh-CN"/>
        </w:rPr>
        <w:t>接收</w:t>
      </w:r>
      <w:r>
        <w:rPr>
          <w:rFonts w:hint="eastAsia" w:ascii="Times New Roman" w:hAnsi="Times New Roman" w:cs="Times New Roman" w:eastAsiaTheme="minorEastAsia"/>
          <w:sz w:val="24"/>
          <w:highlight w:val="none"/>
          <w:lang w:val="en-US" w:eastAsia="zh-CN"/>
        </w:rPr>
        <w:t>医疗废物时应检查医疗机构是否按照规定进行包装和</w:t>
      </w:r>
      <w:r>
        <w:rPr>
          <w:rFonts w:hint="eastAsia" w:ascii="Times New Roman" w:hAnsi="Times New Roman" w:cs="Times New Roman"/>
          <w:sz w:val="24"/>
          <w:highlight w:val="none"/>
          <w:lang w:val="en-US" w:eastAsia="zh-CN"/>
        </w:rPr>
        <w:t>标识</w:t>
      </w:r>
      <w:r>
        <w:rPr>
          <w:rFonts w:hint="eastAsia" w:ascii="Times New Roman" w:hAnsi="Times New Roman" w:cs="Times New Roman" w:eastAsiaTheme="minorEastAsia"/>
          <w:sz w:val="24"/>
          <w:highlight w:val="none"/>
          <w:lang w:val="en-US" w:eastAsia="zh-CN"/>
        </w:rPr>
        <w:t>，并盛于周转箱内，不得打开包装袋取出医废。遇到包装破损、没有按照要求装入周转箱中和没有按照要求进行</w:t>
      </w:r>
      <w:r>
        <w:rPr>
          <w:rFonts w:hint="eastAsia" w:ascii="Times New Roman" w:hAnsi="Times New Roman" w:cs="Times New Roman"/>
          <w:sz w:val="24"/>
          <w:highlight w:val="none"/>
          <w:lang w:val="en-US" w:eastAsia="zh-CN"/>
        </w:rPr>
        <w:t>标识</w:t>
      </w:r>
      <w:r>
        <w:rPr>
          <w:rFonts w:hint="eastAsia" w:ascii="Times New Roman" w:hAnsi="Times New Roman" w:cs="Times New Roman" w:eastAsiaTheme="minorEastAsia"/>
          <w:sz w:val="24"/>
          <w:highlight w:val="none"/>
          <w:lang w:val="en-US" w:eastAsia="zh-CN"/>
        </w:rPr>
        <w:t>等情况时，应要求医疗机构重新包装、</w:t>
      </w:r>
      <w:r>
        <w:rPr>
          <w:rFonts w:hint="eastAsia" w:ascii="Times New Roman" w:hAnsi="Times New Roman" w:cs="Times New Roman"/>
          <w:sz w:val="24"/>
          <w:highlight w:val="none"/>
          <w:lang w:val="en-US" w:eastAsia="zh-CN"/>
        </w:rPr>
        <w:t>标识</w:t>
      </w:r>
      <w:r>
        <w:rPr>
          <w:rFonts w:hint="eastAsia" w:ascii="Times New Roman" w:hAnsi="Times New Roman" w:cs="Times New Roman" w:eastAsiaTheme="minorEastAsia"/>
          <w:sz w:val="24"/>
          <w:highlight w:val="none"/>
          <w:lang w:val="en-US" w:eastAsia="zh-CN"/>
        </w:rPr>
        <w:t>，否则有权拒收并应向当地生态环境部门报告。</w:t>
      </w:r>
    </w:p>
    <w:p w14:paraId="09ACF29F">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（2）医疗机构交予处置的废物采用转移联单管理。</w:t>
      </w:r>
      <w:r>
        <w:rPr>
          <w:rFonts w:hint="eastAsia" w:ascii="Times New Roman" w:hAnsi="Times New Roman" w:cs="Times New Roman"/>
          <w:sz w:val="24"/>
          <w:highlight w:val="none"/>
          <w:lang w:val="en-US" w:eastAsia="zh-CN"/>
        </w:rPr>
        <w:t>当地生态环境主管部门</w:t>
      </w:r>
      <w:r>
        <w:rPr>
          <w:rFonts w:hint="eastAsia" w:ascii="Times New Roman" w:hAnsi="Times New Roman" w:cs="Times New Roman" w:eastAsiaTheme="minorEastAsia"/>
          <w:sz w:val="24"/>
          <w:highlight w:val="none"/>
          <w:lang w:val="en-US" w:eastAsia="zh-CN"/>
        </w:rPr>
        <w:t>负责对医疗废物转运计划进行审批。转移计划批准后，</w:t>
      </w:r>
      <w:r>
        <w:rPr>
          <w:rFonts w:hint="eastAsia" w:ascii="Times New Roman" w:hAnsi="Times New Roman" w:cs="Times New Roman"/>
          <w:sz w:val="24"/>
          <w:highlight w:val="none"/>
          <w:lang w:val="en-US" w:eastAsia="zh-CN"/>
        </w:rPr>
        <w:t>莎车县</w:t>
      </w:r>
      <w:r>
        <w:rPr>
          <w:rFonts w:hint="eastAsia" w:ascii="Times New Roman" w:hAnsi="Times New Roman" w:cs="Times New Roman" w:eastAsiaTheme="minorEastAsia"/>
          <w:sz w:val="24"/>
          <w:highlight w:val="none"/>
          <w:lang w:val="en-US" w:eastAsia="zh-CN"/>
        </w:rPr>
        <w:t>各医疗废物产生单位和处置单位的日常废物交接采用《危险废物转移联单》（医疗废物专用），该联单一式两份，每月一张，由处置单位医疗废物运送人员和医疗卫生机构医疗废物管理人员交接时共同填写，医疗卫生机构和处置单位分别保存，保存期限为5年。</w:t>
      </w:r>
    </w:p>
    <w:p w14:paraId="618D0A1E">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3）每车每次运送的医疗废物采用《医疗废物运送登记卡》管理，一车一卡，由各医疗卫生机构医疗废物管理人员交接时填写并签字。当医疗废物运送至处置单位时，处置单位接收人员确认该登记卡上填写的内容真实、准确后签收。</w:t>
      </w:r>
    </w:p>
    <w:p w14:paraId="59F91530">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（4）医疗废物处置单位应当填报医疗废物处置月报表，报</w:t>
      </w:r>
      <w:r>
        <w:rPr>
          <w:rFonts w:hint="eastAsia" w:ascii="Times New Roman" w:hAnsi="Times New Roman" w:cs="Times New Roman"/>
          <w:sz w:val="24"/>
          <w:highlight w:val="none"/>
          <w:lang w:val="en-US" w:eastAsia="zh-CN"/>
        </w:rPr>
        <w:t>当地</w:t>
      </w:r>
      <w:r>
        <w:rPr>
          <w:rFonts w:hint="eastAsia" w:ascii="Times New Roman" w:hAnsi="Times New Roman" w:cs="Times New Roman" w:eastAsiaTheme="minorEastAsia"/>
          <w:sz w:val="24"/>
          <w:highlight w:val="none"/>
          <w:lang w:val="en-US" w:eastAsia="zh-CN"/>
        </w:rPr>
        <w:t>生态环境</w:t>
      </w:r>
      <w:r>
        <w:rPr>
          <w:rFonts w:hint="eastAsia" w:ascii="Times New Roman" w:hAnsi="Times New Roman" w:cs="Times New Roman"/>
          <w:sz w:val="24"/>
          <w:highlight w:val="none"/>
          <w:lang w:val="en-US" w:eastAsia="zh-CN"/>
        </w:rPr>
        <w:t>主管部门</w:t>
      </w:r>
      <w:r>
        <w:rPr>
          <w:rFonts w:hint="eastAsia" w:ascii="Times New Roman" w:hAnsi="Times New Roman" w:cs="Times New Roman" w:eastAsiaTheme="minorEastAsia"/>
          <w:sz w:val="24"/>
          <w:highlight w:val="none"/>
          <w:lang w:val="en-US" w:eastAsia="zh-CN"/>
        </w:rPr>
        <w:t>备案。医疗废物产生单位和处置单位应当填报医疗废物产生、处置年报表，于每年1月份向</w:t>
      </w:r>
      <w:r>
        <w:rPr>
          <w:rFonts w:hint="eastAsia" w:ascii="Times New Roman" w:hAnsi="Times New Roman" w:cs="Times New Roman"/>
          <w:sz w:val="24"/>
          <w:highlight w:val="none"/>
          <w:lang w:val="en-US" w:eastAsia="zh-CN"/>
        </w:rPr>
        <w:t>当地生态环境主管部门</w:t>
      </w:r>
      <w:r>
        <w:rPr>
          <w:rFonts w:hint="eastAsia" w:ascii="Times New Roman" w:hAnsi="Times New Roman" w:cs="Times New Roman" w:eastAsiaTheme="minorEastAsia"/>
          <w:sz w:val="24"/>
          <w:highlight w:val="none"/>
          <w:lang w:val="en-US" w:eastAsia="zh-CN"/>
        </w:rPr>
        <w:t>报送上一年度的产生和处置情况年报表。</w:t>
      </w:r>
    </w:p>
    <w:p w14:paraId="3B4458E3">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6.2.5.4医废转运的相关规定</w:t>
      </w:r>
    </w:p>
    <w:p w14:paraId="0A6CAA26">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（1）运送车辆要求</w:t>
      </w:r>
    </w:p>
    <w:p w14:paraId="035E5FF8">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①</w:t>
      </w:r>
      <w:r>
        <w:rPr>
          <w:rFonts w:hint="eastAsia" w:ascii="Times New Roman" w:hAnsi="Times New Roman" w:cs="Times New Roman" w:eastAsiaTheme="minorEastAsia"/>
          <w:sz w:val="24"/>
          <w:highlight w:val="none"/>
          <w:lang w:val="en-US" w:eastAsia="zh-CN"/>
        </w:rPr>
        <w:t>医疗废物运送应当使用专用车辆。车辆厢体要求和车辆上配备的东西应满足《医疗废物集中处置技术规范》（环发</w:t>
      </w:r>
      <w:r>
        <w:rPr>
          <w:rFonts w:hint="eastAsia" w:ascii="Times New Roman" w:hAnsi="Times New Roman" w:cs="Times New Roman"/>
          <w:sz w:val="24"/>
          <w:highlight w:val="none"/>
          <w:lang w:val="en-US" w:eastAsia="zh-CN"/>
        </w:rPr>
        <w:t>〔2003〕</w:t>
      </w:r>
      <w:r>
        <w:rPr>
          <w:rFonts w:hint="eastAsia" w:ascii="Times New Roman" w:hAnsi="Times New Roman" w:cs="Times New Roman" w:eastAsiaTheme="minorEastAsia"/>
          <w:sz w:val="24"/>
          <w:highlight w:val="none"/>
          <w:lang w:val="en-US" w:eastAsia="zh-CN"/>
        </w:rPr>
        <w:t>206号）的相关要求。同时运送车辆应符合《</w:t>
      </w:r>
      <w:r>
        <w:rPr>
          <w:rFonts w:hint="eastAsia" w:ascii="Times New Roman" w:hAnsi="Times New Roman" w:cs="Times New Roman"/>
          <w:sz w:val="24"/>
          <w:highlight w:val="none"/>
          <w:lang w:val="en-US" w:eastAsia="zh-CN"/>
        </w:rPr>
        <w:t>医疗废物转运车技术要求（试行）</w:t>
      </w:r>
      <w:r>
        <w:rPr>
          <w:rFonts w:hint="eastAsia" w:ascii="Times New Roman" w:hAnsi="Times New Roman" w:cs="Times New Roman" w:eastAsiaTheme="minorEastAsia"/>
          <w:sz w:val="24"/>
          <w:highlight w:val="none"/>
          <w:lang w:val="en-US" w:eastAsia="zh-CN"/>
        </w:rPr>
        <w:t>》（GB19217-2003）。</w:t>
      </w:r>
    </w:p>
    <w:p w14:paraId="61055D24">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②</w:t>
      </w:r>
      <w:r>
        <w:rPr>
          <w:rFonts w:hint="eastAsia" w:ascii="Times New Roman" w:hAnsi="Times New Roman" w:cs="Times New Roman" w:eastAsiaTheme="minorEastAsia"/>
          <w:sz w:val="24"/>
          <w:highlight w:val="none"/>
          <w:lang w:val="en-US" w:eastAsia="zh-CN"/>
        </w:rPr>
        <w:t>医疗废物运送车必须在车辆前、后部及两侧设置专用警示标识，两侧还应喷涂处置单位的名称和车辆编号。</w:t>
      </w:r>
    </w:p>
    <w:p w14:paraId="098C1145">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③</w:t>
      </w:r>
      <w:r>
        <w:rPr>
          <w:rFonts w:hint="eastAsia" w:ascii="Times New Roman" w:hAnsi="Times New Roman" w:cs="Times New Roman" w:eastAsiaTheme="minorEastAsia"/>
          <w:sz w:val="24"/>
          <w:highlight w:val="none"/>
          <w:lang w:val="en-US" w:eastAsia="zh-CN"/>
        </w:rPr>
        <w:t>医疗废物运送车如需改作其他用途，应经彻底消毒处置，并经生态环境部门同意，取消车辆的医疗废物运送车辆编号，按照公安交通管理规定重新办理车辆用途变更手续。</w:t>
      </w:r>
    </w:p>
    <w:p w14:paraId="6EB28308">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（2）运送要求</w:t>
      </w:r>
    </w:p>
    <w:p w14:paraId="54050CC2">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①</w:t>
      </w:r>
      <w:r>
        <w:rPr>
          <w:rFonts w:hint="eastAsia" w:ascii="Times New Roman" w:hAnsi="Times New Roman" w:cs="Times New Roman" w:eastAsiaTheme="minorEastAsia"/>
          <w:sz w:val="24"/>
          <w:highlight w:val="none"/>
          <w:lang w:val="en-US" w:eastAsia="zh-CN"/>
        </w:rPr>
        <w:t>医废处置单位应当根据总体医疗废物处置方案，配备足够数量的运送车辆和备用应急车辆，医废处置单位应为每辆运送车指定负责人，对医废运送过程负责。</w:t>
      </w:r>
    </w:p>
    <w:p w14:paraId="58CE88D3">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②</w:t>
      </w:r>
      <w:r>
        <w:rPr>
          <w:rFonts w:hint="eastAsia" w:ascii="Times New Roman" w:hAnsi="Times New Roman" w:cs="Times New Roman" w:eastAsiaTheme="minorEastAsia"/>
          <w:sz w:val="24"/>
          <w:highlight w:val="none"/>
          <w:lang w:val="en-US" w:eastAsia="zh-CN"/>
        </w:rPr>
        <w:t>运送频次：对于有住院病床的医疗卫生机构，处置单位必须每天派车上门收集，做到日产日清；对于确实无法做到日产日清的，应将医疗废物低温暂时贮存，暂时贮存温度应低于20℃，时间最长不超过48小时。</w:t>
      </w:r>
    </w:p>
    <w:p w14:paraId="1CA1C750">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③</w:t>
      </w:r>
      <w:r>
        <w:rPr>
          <w:rFonts w:hint="eastAsia" w:ascii="Times New Roman" w:hAnsi="Times New Roman" w:cs="Times New Roman" w:eastAsiaTheme="minorEastAsia"/>
          <w:sz w:val="24"/>
          <w:highlight w:val="none"/>
          <w:lang w:val="en-US" w:eastAsia="zh-CN"/>
        </w:rPr>
        <w:t>运送路线：尽量避开人口密集区域和交通拥堵道路。</w:t>
      </w:r>
    </w:p>
    <w:p w14:paraId="27DED8F5">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④</w:t>
      </w:r>
      <w:r>
        <w:rPr>
          <w:rFonts w:hint="eastAsia" w:ascii="Times New Roman" w:hAnsi="Times New Roman" w:cs="Times New Roman" w:eastAsiaTheme="minorEastAsia"/>
          <w:sz w:val="24"/>
          <w:highlight w:val="none"/>
          <w:lang w:val="en-US" w:eastAsia="zh-CN"/>
        </w:rPr>
        <w:t>经包装的医疗废物应盛放于可重复使用的专用周转箱（桶）或一次性专用包装容器内。专用周转箱（桶）或一次性专用包装容器应符合《医疗废物专用包装袋、容器和警示标志标准》（HJ421-2008）。</w:t>
      </w:r>
    </w:p>
    <w:p w14:paraId="000FD34D">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⑤</w:t>
      </w:r>
      <w:r>
        <w:rPr>
          <w:rFonts w:hint="eastAsia" w:ascii="Times New Roman" w:hAnsi="Times New Roman" w:cs="Times New Roman" w:eastAsiaTheme="minorEastAsia"/>
          <w:sz w:val="24"/>
          <w:highlight w:val="none"/>
          <w:lang w:val="en-US" w:eastAsia="zh-CN"/>
        </w:rPr>
        <w:t>医疗废物运送前，处置单位必须对每辆运送车的车况进行检查，确保车况良好后方可出车。医疗废物运送车辆不得搭乘其他无关人员，不得装载或混装其他货物和动植物。车辆行驶时应锁闭车厢门， 确保安全，不得丢失、遗撒和打开包装取出医废。</w:t>
      </w:r>
    </w:p>
    <w:p w14:paraId="26527965">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（3）消毒和清洗要求</w:t>
      </w:r>
    </w:p>
    <w:p w14:paraId="2FBCDF3C">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医疗废物处置单位必须设置医疗废物运送车辆清洗场所和污水收集消毒处理设施。具体消毒、清洗方式方法和时间按照《医疗废物集中处置技术规范》要求。</w:t>
      </w:r>
    </w:p>
    <w:p w14:paraId="10A15C03">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（4）运送人员专业技能要求</w:t>
      </w:r>
    </w:p>
    <w:p w14:paraId="244C008D">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医疗废物处置单位应对运送人员进行有关专业技能和职业卫生防护的培训， 并达到如下要求：</w:t>
      </w:r>
    </w:p>
    <w:p w14:paraId="206EF598">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①</w:t>
      </w:r>
      <w:r>
        <w:rPr>
          <w:rFonts w:hint="eastAsia" w:ascii="Times New Roman" w:hAnsi="Times New Roman" w:cs="Times New Roman" w:eastAsiaTheme="minorEastAsia"/>
          <w:sz w:val="24"/>
          <w:highlight w:val="none"/>
          <w:lang w:val="en-US" w:eastAsia="zh-CN"/>
        </w:rPr>
        <w:t>熟悉有关的环保法律法规， 掌握生态环境局制定的医疗废物管理的规章制度；熟知本岗位的职责和理解本规范的重要性；</w:t>
      </w:r>
    </w:p>
    <w:p w14:paraId="4AE0973F">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②</w:t>
      </w:r>
      <w:r>
        <w:rPr>
          <w:rFonts w:hint="eastAsia" w:ascii="Times New Roman" w:hAnsi="Times New Roman" w:cs="Times New Roman" w:eastAsiaTheme="minorEastAsia"/>
          <w:sz w:val="24"/>
          <w:highlight w:val="none"/>
          <w:lang w:val="en-US" w:eastAsia="zh-CN"/>
        </w:rPr>
        <w:t>熟悉医疗废物分类与包装标识要求，装卸、搬运医疗废物容器（如包装袋、利器盒等）、周转箱（桶）的正确操作程序；</w:t>
      </w:r>
    </w:p>
    <w:p w14:paraId="4A82EF45">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③</w:t>
      </w:r>
      <w:r>
        <w:rPr>
          <w:rFonts w:hint="eastAsia" w:ascii="Times New Roman" w:hAnsi="Times New Roman" w:cs="Times New Roman" w:eastAsiaTheme="minorEastAsia"/>
          <w:sz w:val="24"/>
          <w:highlight w:val="none"/>
          <w:lang w:val="en-US" w:eastAsia="zh-CN"/>
        </w:rPr>
        <w:t>在运送途中一旦发生医疗废物外溢、散落等应急情况时，知道如何采取应急措施，并及时报告。</w:t>
      </w:r>
    </w:p>
    <w:p w14:paraId="34C19B01">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6.2.5.5医废暂存环保要求</w:t>
      </w:r>
    </w:p>
    <w:p w14:paraId="127BBEEC">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按照相关规范，医废暂存有如下要求：</w:t>
      </w:r>
    </w:p>
    <w:p w14:paraId="46737AF9">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（1）医废暂存间的设计、运行、安全防护等应满足《危险废物贮存污染控制标准》和《医疗卫生机构医疗废物管理办法》的有关要求。</w:t>
      </w:r>
    </w:p>
    <w:p w14:paraId="57D400F6">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（2）焚烧处理厂必须设冷库，冷藏库的温度要求3～7℃，冷藏库可与暂存库合并建设，冷藏库未启动制冷设备时可用作暂存库。</w:t>
      </w:r>
    </w:p>
    <w:p w14:paraId="33FDAA43">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（3）医废暂存间属感染区，应配备隔离设施，报警装置和防风、防晒、防雨设施，并按照《</w:t>
      </w:r>
      <w:r>
        <w:rPr>
          <w:rFonts w:hint="eastAsia" w:ascii="Times New Roman" w:hAnsi="Times New Roman" w:cs="Times New Roman"/>
          <w:sz w:val="24"/>
          <w:highlight w:val="none"/>
          <w:lang w:val="en-US" w:eastAsia="zh-CN"/>
        </w:rPr>
        <w:t>环境保护图形标志 固体废物贮存（处置）场</w:t>
      </w:r>
      <w:r>
        <w:rPr>
          <w:rFonts w:hint="eastAsia"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GB 15562.2-1995</w:t>
      </w:r>
      <w:r>
        <w:rPr>
          <w:rFonts w:hint="eastAsia" w:ascii="Times New Roman" w:hAnsi="Times New Roman" w:cs="Times New Roman" w:eastAsiaTheme="minorEastAsia"/>
          <w:sz w:val="24"/>
          <w:highlight w:val="none"/>
          <w:lang w:val="en-US" w:eastAsia="zh-CN"/>
        </w:rPr>
        <w:t>）的有关规定设置警示标志。</w:t>
      </w:r>
    </w:p>
    <w:p w14:paraId="63A16CAF">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（4）贮存设施应采用全封闭、微负压设计，并应设置事故排风系统或设施。</w:t>
      </w:r>
    </w:p>
    <w:p w14:paraId="0D054779">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（5）贮存设施地面和墙裙应进行防渗处理，地面具有良好的排水性能，产生的废水可采用暗沟、管直接排入集水池。</w:t>
      </w:r>
    </w:p>
    <w:p w14:paraId="76FD0506">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置于医废周转箱内的医疗废物经卸料后暂时存放在医废暂存库，正常情况医废当天收集入厂、当天处置完毕，如果由于设备故障需停产检修或正常检修期间，一天内设备能检修完成则在医废暂存间低温（＜5℃）贮存。</w:t>
      </w:r>
    </w:p>
    <w:p w14:paraId="7A2DEE54">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本项目医废暂存间经厂区围墙与外界隔离，远离人流路线，建筑采用砖混结构，具有防风、防晒、防雨的功能，产生的废水经收集排入厂区集水池。</w:t>
      </w:r>
    </w:p>
    <w:p w14:paraId="4DAD6E7B">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6.2.5.6危废暂存措施</w:t>
      </w:r>
    </w:p>
    <w:p w14:paraId="332961CB">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厂内已建成一座15m</w:t>
      </w:r>
      <w:r>
        <w:rPr>
          <w:rFonts w:hint="default" w:ascii="Times New Roman" w:hAnsi="Times New Roman" w:cs="Times New Roman" w:eastAsiaTheme="minorEastAsia"/>
          <w:sz w:val="24"/>
          <w:highlight w:val="none"/>
          <w:vertAlign w:val="superscript"/>
          <w:lang w:val="en-US" w:eastAsia="zh-CN"/>
        </w:rPr>
        <w:t>2</w:t>
      </w:r>
      <w:r>
        <w:rPr>
          <w:rFonts w:hint="default" w:ascii="Times New Roman" w:hAnsi="Times New Roman" w:cs="Times New Roman" w:eastAsiaTheme="minorEastAsia"/>
          <w:sz w:val="24"/>
          <w:highlight w:val="none"/>
          <w:lang w:val="en-US" w:eastAsia="zh-CN"/>
        </w:rPr>
        <w:t>的危废贮存点，一次可存贮30天生产产生的危废，本次再扩建一座30m</w:t>
      </w:r>
      <w:r>
        <w:rPr>
          <w:rFonts w:hint="default" w:ascii="Times New Roman" w:hAnsi="Times New Roman" w:cs="Times New Roman" w:eastAsiaTheme="minorEastAsia"/>
          <w:sz w:val="24"/>
          <w:highlight w:val="none"/>
          <w:vertAlign w:val="superscript"/>
          <w:lang w:val="en-US" w:eastAsia="zh-CN"/>
        </w:rPr>
        <w:t>2</w:t>
      </w:r>
      <w:r>
        <w:rPr>
          <w:rFonts w:hint="default" w:ascii="Times New Roman" w:hAnsi="Times New Roman" w:cs="Times New Roman" w:eastAsiaTheme="minorEastAsia"/>
          <w:sz w:val="24"/>
          <w:highlight w:val="none"/>
          <w:lang w:val="en-US" w:eastAsia="zh-CN"/>
        </w:rPr>
        <w:t>的危废贮存库，危险废物暂存库严格按《危险废物贮存污染控制标准》（GB18597-2023）的贮存设施设计原则、危废堆放规范等相关要求进行建造和管理，危废贮存库采取防渗层为至少1m厚黏土层（渗透系数不大于10</w:t>
      </w:r>
      <w:r>
        <w:rPr>
          <w:rFonts w:hint="default" w:ascii="Times New Roman" w:hAnsi="Times New Roman" w:cs="Times New Roman" w:eastAsiaTheme="minorEastAsia"/>
          <w:sz w:val="24"/>
          <w:highlight w:val="none"/>
          <w:vertAlign w:val="superscript"/>
          <w:lang w:val="en-US" w:eastAsia="zh-CN"/>
        </w:rPr>
        <w:t>-7</w:t>
      </w:r>
      <w:r>
        <w:rPr>
          <w:rFonts w:hint="default" w:ascii="Times New Roman" w:hAnsi="Times New Roman" w:cs="Times New Roman" w:eastAsiaTheme="minorEastAsia"/>
          <w:sz w:val="24"/>
          <w:highlight w:val="none"/>
          <w:lang w:val="en-US" w:eastAsia="zh-CN"/>
        </w:rPr>
        <w:t>cm/s），或至少2mm厚高密度聚乙烯膜等人工防渗材料（渗透系数不大于10</w:t>
      </w:r>
      <w:r>
        <w:rPr>
          <w:rFonts w:hint="default" w:ascii="Times New Roman" w:hAnsi="Times New Roman" w:cs="Times New Roman" w:eastAsiaTheme="minorEastAsia"/>
          <w:sz w:val="24"/>
          <w:highlight w:val="none"/>
          <w:vertAlign w:val="superscript"/>
          <w:lang w:val="en-US" w:eastAsia="zh-CN"/>
        </w:rPr>
        <w:t>-10</w:t>
      </w:r>
      <w:r>
        <w:rPr>
          <w:rFonts w:hint="default" w:ascii="Times New Roman" w:hAnsi="Times New Roman" w:cs="Times New Roman" w:eastAsiaTheme="minorEastAsia"/>
          <w:sz w:val="24"/>
          <w:highlight w:val="none"/>
          <w:lang w:val="en-US" w:eastAsia="zh-CN"/>
        </w:rPr>
        <w:t>cm/s），或其他防渗性能等效的材料+P8抗渗混凝土+环氧树脂防渗处理，墙面裙角均应进行防渗处理。</w:t>
      </w:r>
    </w:p>
    <w:p w14:paraId="4CFD3843">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6.2.5.7控制和预防感染的措施</w:t>
      </w:r>
    </w:p>
    <w:p w14:paraId="36204F20">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医疗废物具有全空间感染、急性感染和潜伏性感染，预防和控制感染是医疗废物集中处置的核心问题，本工程将采取综合预防的方式防止医疗废物可能产生的感染。</w:t>
      </w:r>
    </w:p>
    <w:p w14:paraId="25EE96AA">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其主要措施有：</w:t>
      </w:r>
    </w:p>
    <w:p w14:paraId="76B14AFF">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（1）本工程不能处理的医疗废物坚决拒收。</w:t>
      </w:r>
    </w:p>
    <w:p w14:paraId="06D6547F">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严格执行《医疗废物专用包装袋、容器和警示标志标准》（HJ421-2008）按照要求对医疗废物进行包装。对病原体的培养基、标本和菌种毒种保存液等高危险废物在装包装袋前要由医疗机构先做消毒。为防止包装袋在运输中破损，包装后置于周转箱中。处置中心四周、医疗废物卸料区、冷藏库均按《环境保护图形标识一固体废物贮存（处置）场》（GBl556.2）规定设置警示标识。</w:t>
      </w:r>
    </w:p>
    <w:p w14:paraId="5B8F7AE9">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（3）医疗废物收集、运输、贮存时应注意的问题</w:t>
      </w:r>
    </w:p>
    <w:p w14:paraId="675BCC9A">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收集运送人员必须</w:t>
      </w:r>
      <w:r>
        <w:rPr>
          <w:rFonts w:hint="eastAsia" w:ascii="Times New Roman" w:hAnsi="Times New Roman" w:cs="Times New Roman"/>
          <w:sz w:val="24"/>
          <w:highlight w:val="none"/>
          <w:lang w:val="en-US" w:eastAsia="zh-CN"/>
        </w:rPr>
        <w:t>做好</w:t>
      </w:r>
      <w:r>
        <w:rPr>
          <w:rFonts w:hint="eastAsia" w:ascii="Times New Roman" w:hAnsi="Times New Roman" w:cs="Times New Roman" w:eastAsiaTheme="minorEastAsia"/>
          <w:sz w:val="24"/>
          <w:highlight w:val="none"/>
          <w:lang w:val="en-US" w:eastAsia="zh-CN"/>
        </w:rPr>
        <w:t>卫生防护措施，穿着防护手套、服装、靴（卫生防护用品要定期消毒，最好使用一次消毒一次）进行作业以避免医疗废物与人员接触；应采用符合《医疗废物的转运车技术要求》（GBl9217-2003）规定的专用封闭式冷藏运输车。医疗废物的运输车、周转箱、贮存冷藏库、卸料区均按要求进行消毒、清洗，污水排至集水池。医疗废物在暂存期间将散发出一定的气味，项目拟采用的防治措施为：微负压设计</w:t>
      </w:r>
      <w:r>
        <w:rPr>
          <w:rFonts w:hint="eastAsia" w:ascii="Times New Roman" w:hAnsi="Times New Roman" w:cs="Times New Roman"/>
          <w:sz w:val="24"/>
          <w:highlight w:val="none"/>
          <w:lang w:val="en-US" w:eastAsia="zh-CN"/>
        </w:rPr>
        <w:t>，废气经UV光氧+活性炭吸附治理后有组织排放</w:t>
      </w:r>
      <w:r>
        <w:rPr>
          <w:rFonts w:hint="eastAsia" w:ascii="Times New Roman" w:hAnsi="Times New Roman" w:cs="Times New Roman" w:eastAsiaTheme="minorEastAsia"/>
          <w:sz w:val="24"/>
          <w:highlight w:val="none"/>
          <w:lang w:val="en-US" w:eastAsia="zh-CN"/>
        </w:rPr>
        <w:t>。</w:t>
      </w:r>
    </w:p>
    <w:p w14:paraId="74B29897">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此外公司应采用有利于职业病防治和保护劳动者健康的措施，工人操作时应佩戴相应的卫生防护用品，并应在热解处理设施等相关设备的醒目位置设置警示标识，并有可靠的防护措施。</w:t>
      </w:r>
    </w:p>
    <w:p w14:paraId="4A283B81">
      <w:pPr>
        <w:adjustRightInd w:val="0"/>
        <w:snapToGrid w:val="0"/>
        <w:spacing w:line="500" w:lineRule="exact"/>
        <w:ind w:firstLine="480" w:firstLineChars="200"/>
        <w:jc w:val="left"/>
        <w:rPr>
          <w:rFonts w:hint="eastAsia" w:ascii="Times New Roman" w:hAnsi="Times New Roman" w:eastAsia="华文中宋" w:cs="Times New Roman"/>
          <w:kern w:val="2"/>
          <w:sz w:val="24"/>
          <w:szCs w:val="24"/>
          <w:lang w:val="en-US" w:eastAsia="zh-CN" w:bidi="ar-SA"/>
        </w:rPr>
      </w:pPr>
      <w:r>
        <w:rPr>
          <w:rFonts w:hint="eastAsia" w:ascii="Times New Roman" w:hAnsi="Times New Roman" w:cs="Times New Roman" w:eastAsiaTheme="minorEastAsia"/>
          <w:sz w:val="24"/>
          <w:highlight w:val="none"/>
          <w:lang w:val="en-US" w:eastAsia="zh-CN"/>
        </w:rPr>
        <w:t>（4）一旦发生重大传染病疫情，医疗废物应由专人收集，按国家有关要求分类并包装，运输路线须避开人群，减少运输过程中的传染概率。处置中心工作人员及车间应按卫生部门有关规定和要求，做好个人防护和区域隔离工作。</w:t>
      </w:r>
    </w:p>
    <w:p w14:paraId="5C1B9C5E">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318" w:name="_Toc10231"/>
      <w:r>
        <w:rPr>
          <w:rFonts w:hint="eastAsia" w:ascii="Times New Roman" w:hAnsi="Times New Roman" w:cs="Times New Roman" w:eastAsiaTheme="minorEastAsia"/>
          <w:kern w:val="0"/>
          <w:sz w:val="24"/>
          <w:szCs w:val="24"/>
          <w:lang w:val="en-US" w:eastAsia="zh-CN"/>
        </w:rPr>
        <w:t>6.2.6土壤环境保护措施</w:t>
      </w:r>
      <w:bookmarkEnd w:id="318"/>
    </w:p>
    <w:p w14:paraId="2A31F259">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6.2.6.1源头控制措施</w:t>
      </w:r>
    </w:p>
    <w:p w14:paraId="1724F4E2">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本项目土壤影响类型主要为大气沉降影响及垂直入渗影响，源头控制措施分别针对这两方面展开。</w:t>
      </w:r>
    </w:p>
    <w:p w14:paraId="347340EC">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（1）大气沉降影响源头控制措施本项目排放的废气主要污染物，在采取达标排放措施后，基本不会对土壤产生明显的污染，不会改变土壤的环境质量，对环境影响较小。</w:t>
      </w:r>
    </w:p>
    <w:p w14:paraId="0186D720">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（2）垂直入渗影响源头控制措施主要为对可能存在土壤污染风险区域进行分区防渗，本项目主要区域均进行硬化和防渗处理。项目生产区主要防渗区域和防渗标准按照地下水章节提出的防渗要求。</w:t>
      </w:r>
    </w:p>
    <w:p w14:paraId="7B4F269B">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3）其他源头控制措施项目对产生的废水进行合理的治理和综合利用，以先进工艺、管道、设备、污水储存，尽可能从源头上减少污染物产生；严格按照国家相关规范要求，对工艺、管道、设备、污水储存及处理构筑物采取相应的措施，以防止和降低可能污染物的跑、冒、滴、漏，将废水泄漏的环境风险事故降低到最低程度；优化排水系统设计，工艺废水、地面冲洗废水等在厂区内收集后通过管线送对应污水处理站处理；管线铺设尽量采用“可视化”原则，即管道尽可能地上铺设，做到污染物“早发现、早处理”，以减少由于埋地管道泄漏而可能造成的土壤污染。进行质量体系认证，实现“质量、安全、环境”三位一体的全面质量管理目标。</w:t>
      </w:r>
    </w:p>
    <w:p w14:paraId="502A38D4">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6.2.6.2过程防控措施</w:t>
      </w:r>
    </w:p>
    <w:p w14:paraId="63BA7787">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本项目为土壤污染型项目，根据《环境影响评价技术导则 土壤环境（试行）》（HJ964-2018）过程控制措施，结合本项目污染特征，本项目拟采取如下过程控制措施：</w:t>
      </w:r>
    </w:p>
    <w:p w14:paraId="338B5B13">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（1）占地范围内及周边采取绿化措施，以种植具有较强吸附能力的植物为主，根据本项目所处区域自然地理特征，该地区可种植易于在该地区生长且富集能力较强、生物量较大的植物种植；</w:t>
      </w:r>
    </w:p>
    <w:p w14:paraId="7B5B7AD2">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（2）涉及入渗途径影响的，应根据相关标准规范要求，对设备设施采取相应的防渗措施，以防止土壤环境污染。</w:t>
      </w:r>
    </w:p>
    <w:p w14:paraId="31C90422">
      <w:pPr>
        <w:adjustRightInd w:val="0"/>
        <w:snapToGrid w:val="0"/>
        <w:spacing w:line="500" w:lineRule="exact"/>
        <w:jc w:val="left"/>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val="en-US" w:eastAsia="zh-CN"/>
        </w:rPr>
        <w:t>6.2.6.3跟踪监测</w:t>
      </w:r>
    </w:p>
    <w:p w14:paraId="34FFB431">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为及时了解项目区域及周边土壤环境质量状况和土壤中污染物的动态变化，根据《环境影响评价技术导则 土壤环境（试行）》（HJ964-2018）、《排污许可证申请与核发技术规范 危险废物焚烧》（HJ1038-2019）、《排污单位自行监测技术指南 固体废物焚烧》（HJ1205-2021）、《工业企业土壤和地下水自行监测技术指南（试行）》（HJ1209-2021）、《排污单位自行监测技术指南 总则》（HJ819-2017）的相关要求，项目制定土壤环境跟踪监测措施，包括制定跟踪监测计划，科学、合理地设置土壤监测点位，建立完善的跟踪监测制度，配备必要的取样设备，以便及时发现并有效控制。</w:t>
      </w:r>
    </w:p>
    <w:p w14:paraId="492B7A27">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通过各项防渗措施，项目污染土壤环境的可能性很小。</w:t>
      </w:r>
    </w:p>
    <w:p w14:paraId="52976530">
      <w:pPr>
        <w:adjustRightInd w:val="0"/>
        <w:snapToGrid w:val="0"/>
        <w:spacing w:line="500" w:lineRule="exact"/>
        <w:ind w:firstLine="480" w:firstLineChars="200"/>
        <w:jc w:val="left"/>
        <w:rPr>
          <w:rFonts w:hint="eastAsia" w:ascii="Times New Roman" w:hAnsi="Times New Roman" w:eastAsia="华文中宋" w:cs="Times New Roman"/>
          <w:kern w:val="2"/>
          <w:sz w:val="24"/>
          <w:szCs w:val="24"/>
          <w:lang w:val="en-US" w:eastAsia="zh-CN" w:bidi="ar-SA"/>
        </w:rPr>
      </w:pPr>
      <w:r>
        <w:rPr>
          <w:rFonts w:hint="eastAsia" w:ascii="Times New Roman" w:hAnsi="Times New Roman" w:eastAsia="华文中宋" w:cs="Times New Roman"/>
          <w:kern w:val="2"/>
          <w:sz w:val="24"/>
          <w:szCs w:val="24"/>
          <w:lang w:val="en-US" w:eastAsia="zh-CN" w:bidi="ar-SA"/>
        </w:rPr>
        <w:br w:type="page"/>
      </w:r>
    </w:p>
    <w:p w14:paraId="5184203E">
      <w:pPr>
        <w:pStyle w:val="2"/>
        <w:keepNext/>
        <w:keepLines/>
        <w:pageBreakBefore/>
        <w:spacing w:before="241" w:beforeLines="50" w:after="241" w:afterLines="50" w:line="560" w:lineRule="exact"/>
        <w:ind w:left="554" w:hanging="555" w:hangingChars="152"/>
        <w:jc w:val="both"/>
        <w:rPr>
          <w:rFonts w:hint="eastAsia" w:ascii="Times New Roman" w:hAnsi="Times New Roman" w:cs="Times New Roman" w:eastAsiaTheme="minorEastAsia"/>
          <w:snapToGrid w:val="0"/>
          <w:spacing w:val="2"/>
          <w:kern w:val="44"/>
          <w:sz w:val="36"/>
          <w:szCs w:val="44"/>
          <w:lang w:val="en-US" w:eastAsia="zh-CN"/>
        </w:rPr>
      </w:pPr>
      <w:bookmarkStart w:id="319" w:name="_Toc22395"/>
      <w:r>
        <w:rPr>
          <w:rFonts w:hint="eastAsia" w:ascii="Times New Roman" w:hAnsi="Times New Roman" w:cs="Times New Roman" w:eastAsiaTheme="minorEastAsia"/>
          <w:snapToGrid w:val="0"/>
          <w:spacing w:val="2"/>
          <w:kern w:val="44"/>
          <w:sz w:val="36"/>
          <w:szCs w:val="44"/>
          <w:lang w:val="en-US" w:eastAsia="zh-CN"/>
        </w:rPr>
        <w:t>7环境影响经济损益分析</w:t>
      </w:r>
      <w:bookmarkEnd w:id="319"/>
    </w:p>
    <w:p w14:paraId="6AE8999C">
      <w:pPr>
        <w:pStyle w:val="3"/>
        <w:spacing w:before="120" w:after="120" w:line="500" w:lineRule="exact"/>
        <w:ind w:left="375" w:hanging="375" w:firstLineChars="0"/>
        <w:contextualSpacing/>
        <w:rPr>
          <w:rFonts w:hint="eastAsia" w:ascii="Times New Roman" w:hAnsi="Times New Roman" w:cs="Times New Roman" w:eastAsiaTheme="minorEastAsia"/>
          <w:snapToGrid w:val="0"/>
          <w:kern w:val="0"/>
          <w:sz w:val="28"/>
          <w:szCs w:val="28"/>
          <w:lang w:val="en-US" w:eastAsia="zh-CN"/>
        </w:rPr>
      </w:pPr>
      <w:bookmarkStart w:id="320" w:name="_Toc9444"/>
      <w:r>
        <w:rPr>
          <w:rFonts w:hint="eastAsia" w:ascii="Times New Roman" w:hAnsi="Times New Roman" w:cs="Times New Roman" w:eastAsiaTheme="minorEastAsia"/>
          <w:snapToGrid w:val="0"/>
          <w:kern w:val="0"/>
          <w:sz w:val="28"/>
          <w:szCs w:val="28"/>
          <w:lang w:val="en-US" w:eastAsia="zh-CN"/>
        </w:rPr>
        <w:t>7.1环境经济损益分析</w:t>
      </w:r>
      <w:bookmarkEnd w:id="320"/>
    </w:p>
    <w:p w14:paraId="3DF932AF">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环境影响经济损益分析是环评工作的一项重要内容，是评判建设项目所产生的环境效益、经济效益和社会效益是否合理的有效方法，是衡量项目建设在环境方面是否可行的一个重要方面。人类的任何社会经济活动都会对环境造成影响，但由于环境本身的复杂特性，这些影响通常无法通过市场交易体现出来。人类活动对生态系统的不可预料的影响意味着我们常常不能计量环境影响的物理效果，人类活动对生态系统的影响之所以难以预料也源于生态破坏具有累积效应、门槛效应及合成效应的特征。因此，环境影响评价工作不能仅仅局限于项目投资方面显现的经济环保效益，更应该宏观</w:t>
      </w:r>
      <w:r>
        <w:rPr>
          <w:rFonts w:hint="eastAsia" w:ascii="Times New Roman" w:hAnsi="Times New Roman" w:cs="Times New Roman"/>
          <w:sz w:val="24"/>
          <w:highlight w:val="none"/>
          <w:lang w:val="en-US" w:eastAsia="zh-CN"/>
        </w:rPr>
        <w:t>地</w:t>
      </w:r>
      <w:r>
        <w:rPr>
          <w:rFonts w:hint="eastAsia" w:ascii="Times New Roman" w:hAnsi="Times New Roman" w:cs="Times New Roman" w:eastAsiaTheme="minorEastAsia"/>
          <w:sz w:val="24"/>
          <w:highlight w:val="none"/>
          <w:lang w:val="en-US" w:eastAsia="zh-CN"/>
        </w:rPr>
        <w:t>以发展的眼光看待项目建设带来的远期环保损益。</w:t>
      </w:r>
    </w:p>
    <w:p w14:paraId="4D8C60E3">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由于医疗垃圾是一种含有大量病原菌及有毒物质的垃圾，具有极大的危害性，如不妥善处理、处置，将直接危害广大人民群众及环境卫生条件。</w:t>
      </w:r>
      <w:r>
        <w:rPr>
          <w:rFonts w:hint="eastAsia" w:ascii="Times New Roman" w:hAnsi="Times New Roman" w:cs="Times New Roman"/>
          <w:sz w:val="24"/>
          <w:highlight w:val="none"/>
          <w:lang w:val="en-US" w:eastAsia="zh-CN"/>
        </w:rPr>
        <w:t>本项目属于</w:t>
      </w:r>
      <w:r>
        <w:rPr>
          <w:rFonts w:hint="eastAsia" w:ascii="Times New Roman" w:hAnsi="Times New Roman" w:cs="Times New Roman" w:eastAsiaTheme="minorEastAsia"/>
          <w:sz w:val="24"/>
          <w:highlight w:val="none"/>
          <w:lang w:val="en-US" w:eastAsia="zh-CN"/>
        </w:rPr>
        <w:t>环境保护工程项目，它的建设主要体现在改善本项目的医疗垃圾处理现状和投资环境，从而保证医疗垃圾的安全处理。</w:t>
      </w:r>
    </w:p>
    <w:p w14:paraId="4C49615A">
      <w:pPr>
        <w:pStyle w:val="3"/>
        <w:spacing w:before="120" w:after="120" w:line="500" w:lineRule="exact"/>
        <w:ind w:left="375" w:hanging="375" w:firstLineChars="0"/>
        <w:contextualSpacing/>
        <w:rPr>
          <w:rFonts w:hint="eastAsia" w:ascii="Times New Roman" w:hAnsi="Times New Roman" w:cs="Times New Roman" w:eastAsiaTheme="minorEastAsia"/>
          <w:snapToGrid w:val="0"/>
          <w:kern w:val="0"/>
          <w:sz w:val="28"/>
          <w:szCs w:val="28"/>
          <w:lang w:val="en-US" w:eastAsia="zh-CN"/>
        </w:rPr>
      </w:pPr>
      <w:bookmarkStart w:id="321" w:name="_Toc26939"/>
      <w:r>
        <w:rPr>
          <w:rFonts w:hint="eastAsia" w:ascii="Times New Roman" w:hAnsi="Times New Roman" w:cs="Times New Roman" w:eastAsiaTheme="minorEastAsia"/>
          <w:snapToGrid w:val="0"/>
          <w:kern w:val="0"/>
          <w:sz w:val="28"/>
          <w:szCs w:val="28"/>
          <w:lang w:val="en-US" w:eastAsia="zh-CN"/>
        </w:rPr>
        <w:t>7.2社会效益分析</w:t>
      </w:r>
      <w:bookmarkEnd w:id="321"/>
    </w:p>
    <w:p w14:paraId="06CA6C74">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本项目是城市建设的重要组成部分，是创造国家卫生城市和文明城市的重要条件，是衡量一个城市文明程度的重要尺度。鉴于</w:t>
      </w:r>
      <w:r>
        <w:rPr>
          <w:rFonts w:hint="eastAsia" w:ascii="Times New Roman" w:hAnsi="Times New Roman" w:cs="Times New Roman"/>
          <w:sz w:val="24"/>
          <w:highlight w:val="none"/>
          <w:lang w:val="en-US" w:eastAsia="zh-CN"/>
        </w:rPr>
        <w:t>莎车县</w:t>
      </w:r>
      <w:r>
        <w:rPr>
          <w:rFonts w:hint="eastAsia" w:ascii="Times New Roman" w:hAnsi="Times New Roman" w:cs="Times New Roman" w:eastAsiaTheme="minorEastAsia"/>
          <w:sz w:val="24"/>
          <w:highlight w:val="none"/>
          <w:lang w:val="en-US" w:eastAsia="zh-CN"/>
        </w:rPr>
        <w:t>的地理位置、城市性质，为其建设一个规范化的、符合国家环保政策的医疗垃圾处理工程已迫在眉睫。因此，拟建项目的建设将彻底改变</w:t>
      </w:r>
      <w:r>
        <w:rPr>
          <w:rFonts w:hint="eastAsia" w:ascii="Times New Roman" w:hAnsi="Times New Roman" w:cs="Times New Roman"/>
          <w:sz w:val="24"/>
          <w:highlight w:val="none"/>
          <w:lang w:val="en-US" w:eastAsia="zh-CN"/>
        </w:rPr>
        <w:t>莎车县</w:t>
      </w:r>
      <w:r>
        <w:rPr>
          <w:rFonts w:hint="eastAsia" w:ascii="Times New Roman" w:hAnsi="Times New Roman" w:cs="Times New Roman" w:eastAsiaTheme="minorEastAsia"/>
          <w:sz w:val="24"/>
          <w:highlight w:val="none"/>
          <w:lang w:val="en-US" w:eastAsia="zh-CN"/>
        </w:rPr>
        <w:t>及其周边区域的医疗垃圾处理现状，并为今后逐步实行医疗垃圾收集、无害化、减量化、资源化打下了坚实的基础。项目的建设有利于改善莎车县及其周边区域的投资环境和经济的持续发展，是长远目标的具体表现，具有明显的社会效益。</w:t>
      </w:r>
    </w:p>
    <w:p w14:paraId="501C9AEC">
      <w:pPr>
        <w:pStyle w:val="3"/>
        <w:spacing w:before="120" w:after="120" w:line="500" w:lineRule="exact"/>
        <w:ind w:left="375" w:hanging="375" w:firstLineChars="0"/>
        <w:contextualSpacing/>
        <w:rPr>
          <w:rFonts w:hint="eastAsia" w:ascii="Times New Roman" w:hAnsi="Times New Roman" w:cs="Times New Roman" w:eastAsiaTheme="minorEastAsia"/>
          <w:snapToGrid w:val="0"/>
          <w:kern w:val="0"/>
          <w:sz w:val="28"/>
          <w:szCs w:val="28"/>
          <w:lang w:val="en-US" w:eastAsia="zh-CN"/>
        </w:rPr>
      </w:pPr>
      <w:bookmarkStart w:id="322" w:name="_Toc5429"/>
      <w:r>
        <w:rPr>
          <w:rFonts w:hint="eastAsia" w:ascii="Times New Roman" w:hAnsi="Times New Roman" w:cs="Times New Roman" w:eastAsiaTheme="minorEastAsia"/>
          <w:snapToGrid w:val="0"/>
          <w:kern w:val="0"/>
          <w:sz w:val="28"/>
          <w:szCs w:val="28"/>
          <w:lang w:val="en-US" w:eastAsia="zh-CN"/>
        </w:rPr>
        <w:t>7.3环保投资估算</w:t>
      </w:r>
      <w:bookmarkEnd w:id="322"/>
    </w:p>
    <w:p w14:paraId="416E7373">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本项目总投资800万元，其中环保投资为</w:t>
      </w:r>
      <w:r>
        <w:rPr>
          <w:rFonts w:hint="eastAsia" w:ascii="Times New Roman" w:hAnsi="Times New Roman" w:cs="Times New Roman"/>
          <w:sz w:val="24"/>
          <w:highlight w:val="none"/>
          <w:lang w:val="en-US" w:eastAsia="zh-CN"/>
        </w:rPr>
        <w:t>232</w:t>
      </w:r>
      <w:r>
        <w:rPr>
          <w:rFonts w:hint="eastAsia" w:ascii="Times New Roman" w:hAnsi="Times New Roman" w:cs="Times New Roman" w:eastAsiaTheme="minorEastAsia"/>
          <w:sz w:val="24"/>
          <w:highlight w:val="none"/>
          <w:lang w:val="en-US" w:eastAsia="zh-CN"/>
        </w:rPr>
        <w:t>万元，占总投资的</w:t>
      </w:r>
      <w:r>
        <w:rPr>
          <w:rFonts w:hint="eastAsia" w:ascii="Times New Roman" w:hAnsi="Times New Roman" w:cs="Times New Roman"/>
          <w:sz w:val="24"/>
          <w:highlight w:val="none"/>
          <w:lang w:val="en-US" w:eastAsia="zh-CN"/>
        </w:rPr>
        <w:t>29</w:t>
      </w:r>
      <w:r>
        <w:rPr>
          <w:rFonts w:hint="eastAsia" w:ascii="Times New Roman" w:hAnsi="Times New Roman" w:cs="Times New Roman" w:eastAsiaTheme="minorEastAsia"/>
          <w:sz w:val="24"/>
          <w:highlight w:val="none"/>
          <w:lang w:val="en-US" w:eastAsia="zh-CN"/>
        </w:rPr>
        <w:t>%。本工程所需的环保投资详见表7.</w:t>
      </w:r>
      <w:r>
        <w:rPr>
          <w:rFonts w:hint="eastAsia" w:ascii="Times New Roman" w:hAnsi="Times New Roman" w:cs="Times New Roman"/>
          <w:sz w:val="24"/>
          <w:highlight w:val="none"/>
          <w:lang w:val="en-US" w:eastAsia="zh-CN"/>
        </w:rPr>
        <w:t>3</w:t>
      </w:r>
      <w:r>
        <w:rPr>
          <w:rFonts w:hint="eastAsia" w:ascii="Times New Roman" w:hAnsi="Times New Roman" w:cs="Times New Roman" w:eastAsiaTheme="minorEastAsia"/>
          <w:sz w:val="24"/>
          <w:highlight w:val="none"/>
          <w:lang w:val="en-US" w:eastAsia="zh-CN"/>
        </w:rPr>
        <w:t>-1。</w:t>
      </w:r>
    </w:p>
    <w:p w14:paraId="03FA5A08">
      <w:pPr>
        <w:snapToGrid w:val="0"/>
        <w:spacing w:before="241"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表7.</w:t>
      </w:r>
      <w:r>
        <w:rPr>
          <w:rFonts w:hint="eastAsia" w:ascii="Times New Roman" w:hAnsi="Times New Roman" w:cs="Times New Roman"/>
          <w:b/>
          <w:szCs w:val="21"/>
          <w:lang w:val="en-US" w:eastAsia="zh-CN"/>
        </w:rPr>
        <w:t>3</w:t>
      </w:r>
      <w:r>
        <w:rPr>
          <w:rFonts w:hint="eastAsia" w:ascii="Times New Roman" w:hAnsi="Times New Roman" w:cs="Times New Roman" w:eastAsiaTheme="minorEastAsia"/>
          <w:b/>
          <w:szCs w:val="21"/>
          <w:lang w:val="en-US" w:eastAsia="zh-CN"/>
        </w:rPr>
        <w:t>-1  环保工程投资估算表</w:t>
      </w:r>
    </w:p>
    <w:p w14:paraId="7CC72234">
      <w:pPr>
        <w:snapToGrid w:val="0"/>
        <w:spacing w:before="241" w:beforeLines="50"/>
        <w:jc w:val="right"/>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单位：万元</w:t>
      </w:r>
    </w:p>
    <w:tbl>
      <w:tblPr>
        <w:tblStyle w:val="12"/>
        <w:tblW w:w="505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25"/>
        <w:gridCol w:w="1970"/>
        <w:gridCol w:w="4294"/>
        <w:gridCol w:w="403"/>
        <w:gridCol w:w="1110"/>
      </w:tblGrid>
      <w:tr w14:paraId="7AEEA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2" w:type="pct"/>
            <w:vAlign w:val="center"/>
          </w:tcPr>
          <w:p w14:paraId="7EC57404">
            <w:pPr>
              <w:pStyle w:val="22"/>
              <w:keepNext w:val="0"/>
              <w:keepLines w:val="0"/>
              <w:suppressLineNumbers w:val="0"/>
              <w:spacing w:before="0" w:beforeAutospacing="0" w:after="0" w:afterAutospacing="0"/>
              <w:ind w:left="0" w:right="0"/>
              <w:rPr>
                <w:rFonts w:hint="default"/>
              </w:rPr>
            </w:pPr>
            <w:r>
              <w:rPr>
                <w:rFonts w:hint="default"/>
              </w:rPr>
              <w:t>类别</w:t>
            </w:r>
          </w:p>
        </w:tc>
        <w:tc>
          <w:tcPr>
            <w:tcW w:w="1171" w:type="pct"/>
            <w:vAlign w:val="center"/>
          </w:tcPr>
          <w:p w14:paraId="2E2AA226">
            <w:pPr>
              <w:pStyle w:val="22"/>
              <w:keepNext w:val="0"/>
              <w:keepLines w:val="0"/>
              <w:suppressLineNumbers w:val="0"/>
              <w:spacing w:before="0" w:beforeAutospacing="0" w:after="0" w:afterAutospacing="0"/>
              <w:ind w:left="0" w:right="0"/>
              <w:rPr>
                <w:rFonts w:hint="default"/>
              </w:rPr>
            </w:pPr>
            <w:r>
              <w:rPr>
                <w:rFonts w:hint="default"/>
              </w:rPr>
              <w:t>污染源</w:t>
            </w:r>
          </w:p>
        </w:tc>
        <w:tc>
          <w:tcPr>
            <w:tcW w:w="2555" w:type="pct"/>
            <w:vAlign w:val="center"/>
          </w:tcPr>
          <w:p w14:paraId="49CF3982">
            <w:pPr>
              <w:pStyle w:val="22"/>
              <w:keepNext w:val="0"/>
              <w:keepLines w:val="0"/>
              <w:suppressLineNumbers w:val="0"/>
              <w:spacing w:before="0" w:beforeAutospacing="0" w:after="0" w:afterAutospacing="0"/>
              <w:ind w:left="0" w:right="0"/>
              <w:rPr>
                <w:rFonts w:hint="default"/>
              </w:rPr>
            </w:pPr>
            <w:r>
              <w:rPr>
                <w:rFonts w:hint="default"/>
              </w:rPr>
              <w:t>环境保护设施</w:t>
            </w:r>
          </w:p>
        </w:tc>
        <w:tc>
          <w:tcPr>
            <w:tcW w:w="240" w:type="pct"/>
            <w:vAlign w:val="center"/>
          </w:tcPr>
          <w:p w14:paraId="1E52782A">
            <w:pPr>
              <w:pStyle w:val="22"/>
              <w:keepNext w:val="0"/>
              <w:keepLines w:val="0"/>
              <w:suppressLineNumbers w:val="0"/>
              <w:spacing w:before="0" w:beforeAutospacing="0" w:after="0" w:afterAutospacing="0"/>
              <w:ind w:left="0" w:right="0"/>
              <w:rPr>
                <w:rFonts w:hint="default"/>
              </w:rPr>
            </w:pPr>
            <w:r>
              <w:rPr>
                <w:rFonts w:hint="default"/>
              </w:rPr>
              <w:t>数量</w:t>
            </w:r>
          </w:p>
        </w:tc>
        <w:tc>
          <w:tcPr>
            <w:tcW w:w="660" w:type="pct"/>
            <w:vAlign w:val="center"/>
          </w:tcPr>
          <w:p w14:paraId="3A931174">
            <w:pPr>
              <w:pStyle w:val="22"/>
              <w:keepNext w:val="0"/>
              <w:keepLines w:val="0"/>
              <w:suppressLineNumbers w:val="0"/>
              <w:spacing w:before="0" w:beforeAutospacing="0" w:after="0" w:afterAutospacing="0"/>
              <w:ind w:left="0" w:right="0"/>
              <w:rPr>
                <w:rFonts w:hint="default"/>
              </w:rPr>
            </w:pPr>
            <w:r>
              <w:rPr>
                <w:rFonts w:hint="default"/>
              </w:rPr>
              <w:t>投资费用（万元）</w:t>
            </w:r>
          </w:p>
        </w:tc>
      </w:tr>
      <w:tr w14:paraId="2706E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2" w:type="pct"/>
            <w:vMerge w:val="restart"/>
            <w:vAlign w:val="center"/>
          </w:tcPr>
          <w:p w14:paraId="78100AAF">
            <w:pPr>
              <w:pStyle w:val="22"/>
              <w:keepNext w:val="0"/>
              <w:keepLines w:val="0"/>
              <w:suppressLineNumbers w:val="0"/>
              <w:spacing w:before="0" w:beforeAutospacing="0" w:after="0" w:afterAutospacing="0"/>
              <w:ind w:left="0" w:right="0"/>
              <w:rPr>
                <w:rFonts w:hint="default"/>
              </w:rPr>
            </w:pPr>
            <w:r>
              <w:rPr>
                <w:rFonts w:hint="default"/>
              </w:rPr>
              <w:t>废气</w:t>
            </w:r>
          </w:p>
        </w:tc>
        <w:tc>
          <w:tcPr>
            <w:tcW w:w="1171" w:type="pct"/>
            <w:vMerge w:val="restart"/>
            <w:vAlign w:val="center"/>
          </w:tcPr>
          <w:p w14:paraId="2B42BABF">
            <w:pPr>
              <w:pStyle w:val="22"/>
              <w:keepNext w:val="0"/>
              <w:keepLines w:val="0"/>
              <w:suppressLineNumbers w:val="0"/>
              <w:spacing w:before="0" w:beforeAutospacing="0" w:after="0" w:afterAutospacing="0"/>
              <w:ind w:left="0" w:right="0"/>
              <w:rPr>
                <w:rFonts w:hint="default"/>
              </w:rPr>
            </w:pPr>
            <w:r>
              <w:rPr>
                <w:rFonts w:hint="default"/>
              </w:rPr>
              <w:t>热解焚烧炉烟气</w:t>
            </w:r>
          </w:p>
        </w:tc>
        <w:tc>
          <w:tcPr>
            <w:tcW w:w="2555" w:type="pct"/>
            <w:vAlign w:val="center"/>
          </w:tcPr>
          <w:p w14:paraId="17B48889">
            <w:pPr>
              <w:pStyle w:val="22"/>
              <w:keepNext w:val="0"/>
              <w:keepLines w:val="0"/>
              <w:suppressLineNumbers w:val="0"/>
              <w:spacing w:before="0" w:beforeAutospacing="0" w:after="0" w:afterAutospacing="0"/>
              <w:ind w:left="0" w:right="0"/>
              <w:rPr>
                <w:rFonts w:hint="default"/>
              </w:rPr>
            </w:pPr>
            <w:r>
              <w:rPr>
                <w:rFonts w:hint="eastAsia"/>
              </w:rPr>
              <w:t>SNCR脱硝+水冷旋风集尘+急冷+干法脱酸（消石灰喷射）+活性炭喷射+布袋除尘+湿法脱酸</w:t>
            </w:r>
          </w:p>
        </w:tc>
        <w:tc>
          <w:tcPr>
            <w:tcW w:w="240" w:type="pct"/>
            <w:vAlign w:val="center"/>
          </w:tcPr>
          <w:p w14:paraId="5F3A4B0A">
            <w:pPr>
              <w:pStyle w:val="22"/>
              <w:keepNext w:val="0"/>
              <w:keepLines w:val="0"/>
              <w:suppressLineNumbers w:val="0"/>
              <w:spacing w:before="0" w:beforeAutospacing="0" w:after="0" w:afterAutospacing="0"/>
              <w:ind w:left="0" w:right="0"/>
              <w:rPr>
                <w:rFonts w:hint="default"/>
              </w:rPr>
            </w:pPr>
            <w:r>
              <w:rPr>
                <w:rFonts w:hint="default"/>
              </w:rPr>
              <w:t>1套</w:t>
            </w:r>
          </w:p>
        </w:tc>
        <w:tc>
          <w:tcPr>
            <w:tcW w:w="660" w:type="pct"/>
            <w:vMerge w:val="restart"/>
            <w:vAlign w:val="center"/>
          </w:tcPr>
          <w:p w14:paraId="4105EFF2">
            <w:pPr>
              <w:pStyle w:val="22"/>
              <w:keepNext w:val="0"/>
              <w:keepLines w:val="0"/>
              <w:suppressLineNumbers w:val="0"/>
              <w:spacing w:before="0" w:beforeAutospacing="0" w:after="0" w:afterAutospacing="0"/>
              <w:ind w:left="0" w:right="0"/>
              <w:rPr>
                <w:rFonts w:hint="default"/>
              </w:rPr>
            </w:pPr>
            <w:r>
              <w:rPr>
                <w:rFonts w:hint="eastAsia"/>
              </w:rPr>
              <w:t>120</w:t>
            </w:r>
          </w:p>
        </w:tc>
      </w:tr>
      <w:tr w14:paraId="1601F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2" w:type="pct"/>
            <w:vMerge w:val="continue"/>
            <w:vAlign w:val="center"/>
          </w:tcPr>
          <w:p w14:paraId="625B088E">
            <w:pPr>
              <w:pStyle w:val="22"/>
              <w:keepNext w:val="0"/>
              <w:keepLines w:val="0"/>
              <w:suppressLineNumbers w:val="0"/>
              <w:spacing w:before="0" w:beforeAutospacing="0" w:after="0" w:afterAutospacing="0"/>
              <w:ind w:left="0" w:right="0"/>
              <w:rPr>
                <w:rFonts w:hint="default"/>
              </w:rPr>
            </w:pPr>
          </w:p>
        </w:tc>
        <w:tc>
          <w:tcPr>
            <w:tcW w:w="1171" w:type="pct"/>
            <w:vMerge w:val="continue"/>
            <w:vAlign w:val="center"/>
          </w:tcPr>
          <w:p w14:paraId="09CB8D5A">
            <w:pPr>
              <w:pStyle w:val="22"/>
              <w:keepNext w:val="0"/>
              <w:keepLines w:val="0"/>
              <w:suppressLineNumbers w:val="0"/>
              <w:spacing w:before="0" w:beforeAutospacing="0" w:after="0" w:afterAutospacing="0"/>
              <w:ind w:left="0" w:right="0"/>
              <w:rPr>
                <w:rFonts w:hint="default"/>
              </w:rPr>
            </w:pPr>
          </w:p>
        </w:tc>
        <w:tc>
          <w:tcPr>
            <w:tcW w:w="2555" w:type="pct"/>
            <w:vAlign w:val="center"/>
          </w:tcPr>
          <w:p w14:paraId="516A71A2">
            <w:pPr>
              <w:pStyle w:val="22"/>
              <w:keepNext w:val="0"/>
              <w:keepLines w:val="0"/>
              <w:suppressLineNumbers w:val="0"/>
              <w:spacing w:before="0" w:beforeAutospacing="0" w:after="0" w:afterAutospacing="0"/>
              <w:ind w:left="0" w:right="0"/>
              <w:rPr>
                <w:rFonts w:hint="default"/>
              </w:rPr>
            </w:pPr>
            <w:r>
              <w:rPr>
                <w:rFonts w:hint="default"/>
              </w:rPr>
              <w:t>1根2</w:t>
            </w:r>
            <w:r>
              <w:rPr>
                <w:rFonts w:hint="eastAsia"/>
                <w:lang w:val="en-US" w:eastAsia="zh-CN"/>
              </w:rPr>
              <w:t>0</w:t>
            </w:r>
            <w:r>
              <w:rPr>
                <w:rFonts w:hint="default"/>
              </w:rPr>
              <w:t>m高烟囱，安装1套烟气</w:t>
            </w:r>
            <w:r>
              <w:rPr>
                <w:rFonts w:hint="eastAsia"/>
              </w:rPr>
              <w:t>在线</w:t>
            </w:r>
            <w:r>
              <w:rPr>
                <w:rFonts w:hint="default"/>
              </w:rPr>
              <w:t>监测系统</w:t>
            </w:r>
          </w:p>
        </w:tc>
        <w:tc>
          <w:tcPr>
            <w:tcW w:w="240" w:type="pct"/>
            <w:vAlign w:val="center"/>
          </w:tcPr>
          <w:p w14:paraId="7DF68189">
            <w:pPr>
              <w:pStyle w:val="22"/>
              <w:keepNext w:val="0"/>
              <w:keepLines w:val="0"/>
              <w:suppressLineNumbers w:val="0"/>
              <w:spacing w:before="0" w:beforeAutospacing="0" w:after="0" w:afterAutospacing="0"/>
              <w:ind w:left="0" w:right="0"/>
              <w:rPr>
                <w:rFonts w:hint="default"/>
              </w:rPr>
            </w:pPr>
            <w:r>
              <w:rPr>
                <w:rFonts w:hint="default"/>
              </w:rPr>
              <w:t>1套</w:t>
            </w:r>
          </w:p>
        </w:tc>
        <w:tc>
          <w:tcPr>
            <w:tcW w:w="660" w:type="pct"/>
            <w:vMerge w:val="continue"/>
            <w:vAlign w:val="center"/>
          </w:tcPr>
          <w:p w14:paraId="2AB8C957">
            <w:pPr>
              <w:pStyle w:val="22"/>
              <w:keepNext w:val="0"/>
              <w:keepLines w:val="0"/>
              <w:suppressLineNumbers w:val="0"/>
              <w:spacing w:before="0" w:beforeAutospacing="0" w:after="0" w:afterAutospacing="0"/>
              <w:ind w:left="0" w:right="0"/>
              <w:rPr>
                <w:rFonts w:hint="default"/>
              </w:rPr>
            </w:pPr>
          </w:p>
        </w:tc>
      </w:tr>
      <w:tr w14:paraId="72513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2" w:type="pct"/>
            <w:vMerge w:val="continue"/>
            <w:vAlign w:val="center"/>
          </w:tcPr>
          <w:p w14:paraId="0B89339F">
            <w:pPr>
              <w:pStyle w:val="22"/>
              <w:keepNext w:val="0"/>
              <w:keepLines w:val="0"/>
              <w:suppressLineNumbers w:val="0"/>
              <w:spacing w:before="0" w:beforeAutospacing="0" w:after="0" w:afterAutospacing="0"/>
              <w:ind w:left="0" w:right="0"/>
              <w:rPr>
                <w:rFonts w:hint="default"/>
              </w:rPr>
            </w:pPr>
          </w:p>
        </w:tc>
        <w:tc>
          <w:tcPr>
            <w:tcW w:w="1171" w:type="pct"/>
            <w:vAlign w:val="center"/>
          </w:tcPr>
          <w:p w14:paraId="6846F4D1">
            <w:pPr>
              <w:pStyle w:val="22"/>
              <w:keepNext w:val="0"/>
              <w:keepLines w:val="0"/>
              <w:suppressLineNumbers w:val="0"/>
              <w:spacing w:before="0" w:beforeAutospacing="0" w:after="0" w:afterAutospacing="0"/>
              <w:ind w:left="0" w:right="0"/>
              <w:rPr>
                <w:rFonts w:hint="default" w:eastAsiaTheme="minorEastAsia"/>
                <w:lang w:val="en-US" w:eastAsia="zh-CN"/>
              </w:rPr>
            </w:pPr>
            <w:r>
              <w:rPr>
                <w:rFonts w:hint="eastAsia"/>
                <w:lang w:val="en-US" w:eastAsia="zh-CN"/>
              </w:rPr>
              <w:t>冷藏库（医疗废物暂存间）</w:t>
            </w:r>
          </w:p>
        </w:tc>
        <w:tc>
          <w:tcPr>
            <w:tcW w:w="2555" w:type="pct"/>
            <w:vAlign w:val="center"/>
          </w:tcPr>
          <w:p w14:paraId="791B34CC">
            <w:pPr>
              <w:pStyle w:val="22"/>
              <w:keepNext w:val="0"/>
              <w:keepLines w:val="0"/>
              <w:suppressLineNumbers w:val="0"/>
              <w:spacing w:before="0" w:beforeAutospacing="0" w:after="0" w:afterAutospacing="0"/>
              <w:ind w:left="0" w:right="0"/>
              <w:rPr>
                <w:rFonts w:hint="default" w:eastAsiaTheme="minorEastAsia"/>
                <w:lang w:val="en-US" w:eastAsia="zh-CN"/>
              </w:rPr>
            </w:pPr>
            <w:r>
              <w:rPr>
                <w:rFonts w:hint="eastAsia"/>
                <w:lang w:val="en-US" w:eastAsia="zh-CN"/>
              </w:rPr>
              <w:t>UV光氧+活性炭吸附+15m高排气筒</w:t>
            </w:r>
          </w:p>
        </w:tc>
        <w:tc>
          <w:tcPr>
            <w:tcW w:w="240" w:type="pct"/>
            <w:vAlign w:val="center"/>
          </w:tcPr>
          <w:p w14:paraId="579F1994">
            <w:pPr>
              <w:pStyle w:val="22"/>
              <w:keepNext w:val="0"/>
              <w:keepLines w:val="0"/>
              <w:suppressLineNumbers w:val="0"/>
              <w:spacing w:before="0" w:beforeAutospacing="0" w:after="0" w:afterAutospacing="0"/>
              <w:ind w:left="0" w:right="0"/>
              <w:rPr>
                <w:rFonts w:hint="default" w:eastAsiaTheme="minorEastAsia"/>
                <w:lang w:val="en-US" w:eastAsia="zh-CN"/>
              </w:rPr>
            </w:pPr>
            <w:r>
              <w:rPr>
                <w:rFonts w:hint="eastAsia"/>
                <w:lang w:val="en-US" w:eastAsia="zh-CN"/>
              </w:rPr>
              <w:t>1套</w:t>
            </w:r>
          </w:p>
        </w:tc>
        <w:tc>
          <w:tcPr>
            <w:tcW w:w="660" w:type="pct"/>
            <w:vAlign w:val="center"/>
          </w:tcPr>
          <w:p w14:paraId="514864C9">
            <w:pPr>
              <w:pStyle w:val="22"/>
              <w:keepNext w:val="0"/>
              <w:keepLines w:val="0"/>
              <w:suppressLineNumbers w:val="0"/>
              <w:spacing w:before="0" w:beforeAutospacing="0" w:after="0" w:afterAutospacing="0"/>
              <w:ind w:left="0" w:right="0"/>
              <w:rPr>
                <w:rFonts w:hint="default" w:eastAsiaTheme="minorEastAsia"/>
                <w:lang w:val="en-US" w:eastAsia="zh-CN"/>
              </w:rPr>
            </w:pPr>
            <w:r>
              <w:rPr>
                <w:rFonts w:hint="eastAsia"/>
                <w:lang w:val="en-US" w:eastAsia="zh-CN"/>
              </w:rPr>
              <w:t>8</w:t>
            </w:r>
          </w:p>
        </w:tc>
      </w:tr>
      <w:tr w14:paraId="2CDE8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2" w:type="pct"/>
            <w:vMerge w:val="continue"/>
            <w:vAlign w:val="center"/>
          </w:tcPr>
          <w:p w14:paraId="1E41D138">
            <w:pPr>
              <w:pStyle w:val="22"/>
              <w:keepNext w:val="0"/>
              <w:keepLines w:val="0"/>
              <w:suppressLineNumbers w:val="0"/>
              <w:spacing w:before="0" w:beforeAutospacing="0" w:after="0" w:afterAutospacing="0"/>
              <w:ind w:left="0" w:right="0"/>
              <w:rPr>
                <w:rFonts w:hint="default"/>
              </w:rPr>
            </w:pPr>
          </w:p>
        </w:tc>
        <w:tc>
          <w:tcPr>
            <w:tcW w:w="1171" w:type="pct"/>
            <w:vAlign w:val="center"/>
          </w:tcPr>
          <w:p w14:paraId="7DFCC468">
            <w:pPr>
              <w:pStyle w:val="22"/>
              <w:keepNext w:val="0"/>
              <w:keepLines w:val="0"/>
              <w:suppressLineNumbers w:val="0"/>
              <w:spacing w:before="0" w:beforeAutospacing="0" w:after="0" w:afterAutospacing="0"/>
              <w:ind w:left="0" w:right="0"/>
              <w:rPr>
                <w:rFonts w:hint="default"/>
              </w:rPr>
            </w:pPr>
            <w:r>
              <w:rPr>
                <w:rFonts w:hint="default"/>
              </w:rPr>
              <w:t>储仓</w:t>
            </w:r>
            <w:r>
              <w:rPr>
                <w:rFonts w:hint="eastAsia"/>
              </w:rPr>
              <w:t>粉尘</w:t>
            </w:r>
          </w:p>
        </w:tc>
        <w:tc>
          <w:tcPr>
            <w:tcW w:w="2555" w:type="pct"/>
            <w:vAlign w:val="center"/>
          </w:tcPr>
          <w:p w14:paraId="5D43DA62">
            <w:pPr>
              <w:pStyle w:val="22"/>
              <w:keepNext w:val="0"/>
              <w:keepLines w:val="0"/>
              <w:suppressLineNumbers w:val="0"/>
              <w:spacing w:before="0" w:beforeAutospacing="0" w:after="0" w:afterAutospacing="0"/>
              <w:ind w:left="0" w:right="0"/>
              <w:rPr>
                <w:rFonts w:hint="default"/>
              </w:rPr>
            </w:pPr>
            <w:r>
              <w:rPr>
                <w:rFonts w:hint="default"/>
              </w:rPr>
              <w:t>密闭车间</w:t>
            </w:r>
          </w:p>
        </w:tc>
        <w:tc>
          <w:tcPr>
            <w:tcW w:w="240" w:type="pct"/>
            <w:vAlign w:val="center"/>
          </w:tcPr>
          <w:p w14:paraId="4F3A9E16">
            <w:pPr>
              <w:pStyle w:val="22"/>
              <w:keepNext w:val="0"/>
              <w:keepLines w:val="0"/>
              <w:suppressLineNumbers w:val="0"/>
              <w:spacing w:before="0" w:beforeAutospacing="0" w:after="0" w:afterAutospacing="0"/>
              <w:ind w:left="0" w:right="0"/>
              <w:rPr>
                <w:rFonts w:hint="default"/>
              </w:rPr>
            </w:pPr>
            <w:r>
              <w:rPr>
                <w:rFonts w:hint="default"/>
              </w:rPr>
              <w:t>1座</w:t>
            </w:r>
          </w:p>
        </w:tc>
        <w:tc>
          <w:tcPr>
            <w:tcW w:w="660" w:type="pct"/>
            <w:vAlign w:val="center"/>
          </w:tcPr>
          <w:p w14:paraId="2DD9DA2A">
            <w:pPr>
              <w:pStyle w:val="22"/>
              <w:keepNext w:val="0"/>
              <w:keepLines w:val="0"/>
              <w:suppressLineNumbers w:val="0"/>
              <w:spacing w:before="0" w:beforeAutospacing="0" w:after="0" w:afterAutospacing="0"/>
              <w:ind w:left="0" w:right="0"/>
              <w:rPr>
                <w:rFonts w:hint="default"/>
              </w:rPr>
            </w:pPr>
            <w:r>
              <w:rPr>
                <w:rFonts w:hint="default"/>
              </w:rPr>
              <w:t>6.0</w:t>
            </w:r>
          </w:p>
        </w:tc>
      </w:tr>
      <w:tr w14:paraId="07547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2" w:type="pct"/>
            <w:vMerge w:val="restart"/>
            <w:vAlign w:val="center"/>
          </w:tcPr>
          <w:p w14:paraId="5C6BCFF9">
            <w:pPr>
              <w:pStyle w:val="22"/>
              <w:keepNext w:val="0"/>
              <w:keepLines w:val="0"/>
              <w:suppressLineNumbers w:val="0"/>
              <w:spacing w:before="0" w:beforeAutospacing="0" w:after="0" w:afterAutospacing="0"/>
              <w:ind w:left="0" w:right="0"/>
              <w:rPr>
                <w:rFonts w:hint="default"/>
              </w:rPr>
            </w:pPr>
            <w:r>
              <w:rPr>
                <w:rFonts w:hint="default"/>
              </w:rPr>
              <w:t>废水</w:t>
            </w:r>
          </w:p>
        </w:tc>
        <w:tc>
          <w:tcPr>
            <w:tcW w:w="1171" w:type="pct"/>
            <w:vAlign w:val="center"/>
          </w:tcPr>
          <w:p w14:paraId="75FB4DB9">
            <w:pPr>
              <w:pStyle w:val="22"/>
              <w:keepNext w:val="0"/>
              <w:keepLines w:val="0"/>
              <w:suppressLineNumbers w:val="0"/>
              <w:spacing w:before="0" w:beforeAutospacing="0" w:after="0" w:afterAutospacing="0"/>
              <w:ind w:left="0" w:leftChars="0" w:right="0" w:rightChars="0" w:firstLine="0" w:firstLineChars="0"/>
              <w:rPr>
                <w:rFonts w:hint="default"/>
              </w:rPr>
            </w:pPr>
            <w:r>
              <w:rPr>
                <w:rFonts w:hint="default"/>
              </w:rPr>
              <w:t>生活污水</w:t>
            </w:r>
          </w:p>
        </w:tc>
        <w:tc>
          <w:tcPr>
            <w:tcW w:w="2555" w:type="pct"/>
            <w:vAlign w:val="center"/>
          </w:tcPr>
          <w:p w14:paraId="6A030A07">
            <w:pPr>
              <w:pStyle w:val="22"/>
              <w:keepNext w:val="0"/>
              <w:keepLines w:val="0"/>
              <w:suppressLineNumbers w:val="0"/>
              <w:spacing w:before="0" w:beforeAutospacing="0" w:after="0" w:afterAutospacing="0"/>
              <w:ind w:left="0" w:leftChars="0" w:right="0" w:rightChars="0" w:firstLine="0" w:firstLineChars="0"/>
              <w:rPr>
                <w:rFonts w:hint="default"/>
              </w:rPr>
            </w:pPr>
            <w:r>
              <w:rPr>
                <w:rFonts w:hint="default"/>
              </w:rPr>
              <w:t>化粪池</w:t>
            </w:r>
          </w:p>
        </w:tc>
        <w:tc>
          <w:tcPr>
            <w:tcW w:w="240" w:type="pct"/>
            <w:vAlign w:val="center"/>
          </w:tcPr>
          <w:p w14:paraId="73FC8C42">
            <w:pPr>
              <w:pStyle w:val="22"/>
              <w:keepNext w:val="0"/>
              <w:keepLines w:val="0"/>
              <w:suppressLineNumbers w:val="0"/>
              <w:spacing w:before="0" w:beforeAutospacing="0" w:after="0" w:afterAutospacing="0"/>
              <w:ind w:left="0" w:leftChars="0" w:right="0" w:rightChars="0" w:firstLine="0" w:firstLineChars="0"/>
              <w:rPr>
                <w:rFonts w:hint="default"/>
              </w:rPr>
            </w:pPr>
            <w:r>
              <w:rPr>
                <w:rFonts w:hint="default"/>
              </w:rPr>
              <w:t>1座</w:t>
            </w:r>
          </w:p>
        </w:tc>
        <w:tc>
          <w:tcPr>
            <w:tcW w:w="660" w:type="pct"/>
            <w:vAlign w:val="center"/>
          </w:tcPr>
          <w:p w14:paraId="0927ACB6">
            <w:pPr>
              <w:pStyle w:val="22"/>
              <w:keepNext w:val="0"/>
              <w:keepLines w:val="0"/>
              <w:suppressLineNumbers w:val="0"/>
              <w:spacing w:before="0" w:beforeAutospacing="0" w:after="0" w:afterAutospacing="0"/>
              <w:ind w:left="0" w:leftChars="0" w:right="0" w:rightChars="0" w:firstLine="0" w:firstLineChars="0"/>
              <w:rPr>
                <w:rFonts w:hint="default"/>
              </w:rPr>
            </w:pPr>
            <w:r>
              <w:rPr>
                <w:rFonts w:hint="eastAsia"/>
              </w:rPr>
              <w:t>依托现有</w:t>
            </w:r>
          </w:p>
        </w:tc>
      </w:tr>
      <w:tr w14:paraId="26837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2" w:type="pct"/>
            <w:vMerge w:val="continue"/>
            <w:vAlign w:val="center"/>
          </w:tcPr>
          <w:p w14:paraId="1E1539D2">
            <w:pPr>
              <w:pStyle w:val="22"/>
              <w:keepNext w:val="0"/>
              <w:keepLines w:val="0"/>
              <w:suppressLineNumbers w:val="0"/>
              <w:spacing w:before="0" w:beforeAutospacing="0" w:after="0" w:afterAutospacing="0"/>
              <w:ind w:left="0" w:right="0"/>
              <w:rPr>
                <w:rFonts w:hint="default"/>
              </w:rPr>
            </w:pPr>
          </w:p>
        </w:tc>
        <w:tc>
          <w:tcPr>
            <w:tcW w:w="1171" w:type="pct"/>
            <w:vAlign w:val="center"/>
          </w:tcPr>
          <w:p w14:paraId="5CFF2556">
            <w:pPr>
              <w:pStyle w:val="22"/>
              <w:keepNext w:val="0"/>
              <w:keepLines w:val="0"/>
              <w:suppressLineNumbers w:val="0"/>
              <w:spacing w:before="0" w:beforeAutospacing="0" w:after="0" w:afterAutospacing="0"/>
              <w:ind w:left="0" w:right="0"/>
              <w:rPr>
                <w:rFonts w:hint="default"/>
              </w:rPr>
            </w:pPr>
            <w:r>
              <w:rPr>
                <w:rFonts w:hint="eastAsia"/>
              </w:rPr>
              <w:t>集水池</w:t>
            </w:r>
          </w:p>
        </w:tc>
        <w:tc>
          <w:tcPr>
            <w:tcW w:w="2555" w:type="pct"/>
            <w:vAlign w:val="center"/>
          </w:tcPr>
          <w:p w14:paraId="136609D2">
            <w:pPr>
              <w:pStyle w:val="22"/>
              <w:keepNext w:val="0"/>
              <w:keepLines w:val="0"/>
              <w:suppressLineNumbers w:val="0"/>
              <w:spacing w:before="0" w:beforeAutospacing="0" w:after="0" w:afterAutospacing="0"/>
              <w:ind w:left="0" w:right="0"/>
              <w:rPr>
                <w:rFonts w:hint="default"/>
              </w:rPr>
            </w:pPr>
            <w:r>
              <w:rPr>
                <w:rFonts w:hint="eastAsia"/>
              </w:rPr>
              <w:t>集水池</w:t>
            </w:r>
          </w:p>
        </w:tc>
        <w:tc>
          <w:tcPr>
            <w:tcW w:w="240" w:type="pct"/>
            <w:vAlign w:val="center"/>
          </w:tcPr>
          <w:p w14:paraId="6336B863">
            <w:pPr>
              <w:pStyle w:val="22"/>
              <w:keepNext w:val="0"/>
              <w:keepLines w:val="0"/>
              <w:suppressLineNumbers w:val="0"/>
              <w:spacing w:before="0" w:beforeAutospacing="0" w:after="0" w:afterAutospacing="0"/>
              <w:ind w:left="0" w:right="0"/>
              <w:rPr>
                <w:rFonts w:hint="default"/>
              </w:rPr>
            </w:pPr>
            <w:r>
              <w:rPr>
                <w:rFonts w:hint="default"/>
              </w:rPr>
              <w:t>1座</w:t>
            </w:r>
          </w:p>
        </w:tc>
        <w:tc>
          <w:tcPr>
            <w:tcW w:w="660" w:type="pct"/>
            <w:vAlign w:val="center"/>
          </w:tcPr>
          <w:p w14:paraId="4419D999">
            <w:pPr>
              <w:pStyle w:val="22"/>
              <w:keepNext w:val="0"/>
              <w:keepLines w:val="0"/>
              <w:suppressLineNumbers w:val="0"/>
              <w:spacing w:before="0" w:beforeAutospacing="0" w:after="0" w:afterAutospacing="0"/>
              <w:ind w:left="0" w:right="0"/>
              <w:rPr>
                <w:rFonts w:hint="default"/>
              </w:rPr>
            </w:pPr>
            <w:r>
              <w:rPr>
                <w:rFonts w:hint="eastAsia"/>
              </w:rPr>
              <w:t>依托现有</w:t>
            </w:r>
          </w:p>
        </w:tc>
      </w:tr>
      <w:tr w14:paraId="6D189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2" w:type="pct"/>
            <w:vMerge w:val="continue"/>
            <w:vAlign w:val="center"/>
          </w:tcPr>
          <w:p w14:paraId="74807600">
            <w:pPr>
              <w:pStyle w:val="22"/>
              <w:keepNext w:val="0"/>
              <w:keepLines w:val="0"/>
              <w:suppressLineNumbers w:val="0"/>
              <w:spacing w:before="0" w:beforeAutospacing="0" w:after="0" w:afterAutospacing="0"/>
              <w:ind w:left="0" w:right="0"/>
              <w:rPr>
                <w:rFonts w:hint="default"/>
              </w:rPr>
            </w:pPr>
          </w:p>
        </w:tc>
        <w:tc>
          <w:tcPr>
            <w:tcW w:w="1171" w:type="pct"/>
            <w:vAlign w:val="center"/>
          </w:tcPr>
          <w:p w14:paraId="242AE262">
            <w:pPr>
              <w:pStyle w:val="22"/>
              <w:keepNext w:val="0"/>
              <w:keepLines w:val="0"/>
              <w:suppressLineNumbers w:val="0"/>
              <w:spacing w:before="0" w:beforeAutospacing="0" w:after="0" w:afterAutospacing="0"/>
              <w:ind w:left="0" w:right="0"/>
              <w:rPr>
                <w:rFonts w:hint="default"/>
              </w:rPr>
            </w:pPr>
            <w:r>
              <w:rPr>
                <w:rFonts w:hint="default"/>
              </w:rPr>
              <w:t>循环水</w:t>
            </w:r>
          </w:p>
        </w:tc>
        <w:tc>
          <w:tcPr>
            <w:tcW w:w="2555" w:type="pct"/>
            <w:vAlign w:val="center"/>
          </w:tcPr>
          <w:p w14:paraId="6E4B6511">
            <w:pPr>
              <w:pStyle w:val="22"/>
              <w:keepNext w:val="0"/>
              <w:keepLines w:val="0"/>
              <w:suppressLineNumbers w:val="0"/>
              <w:spacing w:before="0" w:beforeAutospacing="0" w:after="0" w:afterAutospacing="0"/>
              <w:ind w:left="0" w:right="0"/>
              <w:rPr>
                <w:rFonts w:hint="default"/>
              </w:rPr>
            </w:pPr>
            <w:r>
              <w:rPr>
                <w:rFonts w:hint="eastAsia"/>
                <w:kern w:val="0"/>
              </w:rPr>
              <w:t>喷淋塔</w:t>
            </w:r>
            <w:r>
              <w:rPr>
                <w:rFonts w:hint="default"/>
              </w:rPr>
              <w:t>循环水池</w:t>
            </w:r>
          </w:p>
        </w:tc>
        <w:tc>
          <w:tcPr>
            <w:tcW w:w="240" w:type="pct"/>
            <w:vAlign w:val="center"/>
          </w:tcPr>
          <w:p w14:paraId="1A86D64B">
            <w:pPr>
              <w:pStyle w:val="22"/>
              <w:keepNext w:val="0"/>
              <w:keepLines w:val="0"/>
              <w:suppressLineNumbers w:val="0"/>
              <w:spacing w:before="0" w:beforeAutospacing="0" w:after="0" w:afterAutospacing="0"/>
              <w:ind w:left="0" w:right="0"/>
              <w:rPr>
                <w:rFonts w:hint="default"/>
              </w:rPr>
            </w:pPr>
            <w:r>
              <w:rPr>
                <w:rFonts w:hint="default"/>
              </w:rPr>
              <w:t>1座</w:t>
            </w:r>
          </w:p>
        </w:tc>
        <w:tc>
          <w:tcPr>
            <w:tcW w:w="660" w:type="pct"/>
            <w:vAlign w:val="center"/>
          </w:tcPr>
          <w:p w14:paraId="45C60520">
            <w:pPr>
              <w:pStyle w:val="22"/>
              <w:keepNext w:val="0"/>
              <w:keepLines w:val="0"/>
              <w:suppressLineNumbers w:val="0"/>
              <w:spacing w:before="0" w:beforeAutospacing="0" w:after="0" w:afterAutospacing="0"/>
              <w:ind w:left="0" w:right="0"/>
              <w:rPr>
                <w:rFonts w:hint="default"/>
              </w:rPr>
            </w:pPr>
            <w:r>
              <w:rPr>
                <w:rFonts w:hint="eastAsia"/>
              </w:rPr>
              <w:t>依托现有</w:t>
            </w:r>
          </w:p>
        </w:tc>
      </w:tr>
      <w:tr w14:paraId="3CD18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2" w:type="pct"/>
            <w:vMerge w:val="restart"/>
            <w:vAlign w:val="center"/>
          </w:tcPr>
          <w:p w14:paraId="056B77C6">
            <w:pPr>
              <w:pStyle w:val="22"/>
              <w:keepNext w:val="0"/>
              <w:keepLines w:val="0"/>
              <w:suppressLineNumbers w:val="0"/>
              <w:spacing w:before="0" w:beforeAutospacing="0" w:after="0" w:afterAutospacing="0"/>
              <w:ind w:left="0" w:right="0"/>
              <w:rPr>
                <w:rFonts w:hint="default"/>
              </w:rPr>
            </w:pPr>
            <w:r>
              <w:rPr>
                <w:rFonts w:hint="default"/>
              </w:rPr>
              <w:t>固体废物</w:t>
            </w:r>
          </w:p>
        </w:tc>
        <w:tc>
          <w:tcPr>
            <w:tcW w:w="1171" w:type="pct"/>
            <w:vAlign w:val="center"/>
          </w:tcPr>
          <w:p w14:paraId="12347D25">
            <w:pPr>
              <w:pStyle w:val="22"/>
              <w:keepNext w:val="0"/>
              <w:keepLines w:val="0"/>
              <w:suppressLineNumbers w:val="0"/>
              <w:spacing w:before="0" w:beforeAutospacing="0" w:after="0" w:afterAutospacing="0"/>
              <w:ind w:left="0" w:right="0"/>
              <w:rPr>
                <w:rFonts w:hint="default"/>
              </w:rPr>
            </w:pPr>
            <w:r>
              <w:rPr>
                <w:rFonts w:hint="eastAsia"/>
              </w:rPr>
              <w:t>危险废物</w:t>
            </w:r>
          </w:p>
        </w:tc>
        <w:tc>
          <w:tcPr>
            <w:tcW w:w="2555" w:type="pct"/>
            <w:vAlign w:val="center"/>
          </w:tcPr>
          <w:p w14:paraId="7D8537DD">
            <w:pPr>
              <w:pStyle w:val="22"/>
              <w:keepNext w:val="0"/>
              <w:keepLines w:val="0"/>
              <w:suppressLineNumbers w:val="0"/>
              <w:spacing w:before="0" w:beforeAutospacing="0" w:after="0" w:afterAutospacing="0"/>
              <w:ind w:left="0" w:right="0"/>
              <w:rPr>
                <w:rFonts w:hint="default"/>
              </w:rPr>
            </w:pPr>
            <w:r>
              <w:rPr>
                <w:rFonts w:hint="default"/>
              </w:rPr>
              <w:t>危废</w:t>
            </w:r>
            <w:r>
              <w:rPr>
                <w:rFonts w:hint="eastAsia"/>
                <w:lang w:val="en-US" w:eastAsia="zh-CN"/>
              </w:rPr>
              <w:t>贮存库</w:t>
            </w:r>
            <w:r>
              <w:rPr>
                <w:rFonts w:hint="default"/>
              </w:rPr>
              <w:t>（</w:t>
            </w:r>
            <w:r>
              <w:rPr>
                <w:rFonts w:hint="eastAsia"/>
                <w:lang w:val="en-US" w:eastAsia="zh-CN"/>
              </w:rPr>
              <w:t>30</w:t>
            </w:r>
            <w:r>
              <w:rPr>
                <w:rFonts w:hint="default"/>
              </w:rPr>
              <w:t>m</w:t>
            </w:r>
            <w:r>
              <w:rPr>
                <w:rFonts w:hint="default"/>
                <w:vertAlign w:val="superscript"/>
              </w:rPr>
              <w:t>2</w:t>
            </w:r>
            <w:r>
              <w:rPr>
                <w:rFonts w:hint="default"/>
              </w:rPr>
              <w:t>）</w:t>
            </w:r>
          </w:p>
        </w:tc>
        <w:tc>
          <w:tcPr>
            <w:tcW w:w="240" w:type="pct"/>
            <w:vAlign w:val="center"/>
          </w:tcPr>
          <w:p w14:paraId="0202F646">
            <w:pPr>
              <w:pStyle w:val="22"/>
              <w:keepNext w:val="0"/>
              <w:keepLines w:val="0"/>
              <w:suppressLineNumbers w:val="0"/>
              <w:spacing w:before="0" w:beforeAutospacing="0" w:after="0" w:afterAutospacing="0"/>
              <w:ind w:left="0" w:right="0"/>
              <w:rPr>
                <w:rFonts w:hint="default"/>
              </w:rPr>
            </w:pPr>
            <w:r>
              <w:rPr>
                <w:rFonts w:hint="default"/>
              </w:rPr>
              <w:t>1座</w:t>
            </w:r>
          </w:p>
        </w:tc>
        <w:tc>
          <w:tcPr>
            <w:tcW w:w="660" w:type="pct"/>
            <w:vAlign w:val="center"/>
          </w:tcPr>
          <w:p w14:paraId="12B20A2D">
            <w:pPr>
              <w:pStyle w:val="22"/>
              <w:keepNext w:val="0"/>
              <w:keepLines w:val="0"/>
              <w:suppressLineNumbers w:val="0"/>
              <w:spacing w:before="0" w:beforeAutospacing="0" w:after="0" w:afterAutospacing="0"/>
              <w:ind w:left="0" w:right="0"/>
              <w:rPr>
                <w:rFonts w:hint="default"/>
              </w:rPr>
            </w:pPr>
            <w:r>
              <w:rPr>
                <w:rFonts w:hint="default"/>
              </w:rPr>
              <w:t>15.0</w:t>
            </w:r>
          </w:p>
        </w:tc>
      </w:tr>
      <w:tr w14:paraId="70BC3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2" w:type="pct"/>
            <w:vMerge w:val="continue"/>
            <w:vAlign w:val="center"/>
          </w:tcPr>
          <w:p w14:paraId="18E4C6EF">
            <w:pPr>
              <w:pStyle w:val="22"/>
              <w:keepNext w:val="0"/>
              <w:keepLines w:val="0"/>
              <w:suppressLineNumbers w:val="0"/>
              <w:spacing w:before="0" w:beforeAutospacing="0" w:after="0" w:afterAutospacing="0"/>
              <w:ind w:left="0" w:right="0"/>
              <w:rPr>
                <w:rFonts w:hint="default"/>
              </w:rPr>
            </w:pPr>
          </w:p>
        </w:tc>
        <w:tc>
          <w:tcPr>
            <w:tcW w:w="1171" w:type="pct"/>
            <w:vAlign w:val="center"/>
          </w:tcPr>
          <w:p w14:paraId="5A3F18A8">
            <w:pPr>
              <w:pStyle w:val="22"/>
              <w:keepNext w:val="0"/>
              <w:keepLines w:val="0"/>
              <w:suppressLineNumbers w:val="0"/>
              <w:spacing w:before="0" w:beforeAutospacing="0" w:after="0" w:afterAutospacing="0"/>
              <w:ind w:left="0" w:right="0"/>
              <w:rPr>
                <w:rFonts w:hint="eastAsia" w:eastAsiaTheme="minorEastAsia"/>
                <w:lang w:val="en-US" w:eastAsia="zh-CN"/>
              </w:rPr>
            </w:pPr>
            <w:r>
              <w:rPr>
                <w:rFonts w:hint="eastAsia"/>
                <w:lang w:val="en-US" w:eastAsia="zh-CN"/>
              </w:rPr>
              <w:t>炉渣</w:t>
            </w:r>
          </w:p>
        </w:tc>
        <w:tc>
          <w:tcPr>
            <w:tcW w:w="2555" w:type="pct"/>
            <w:vAlign w:val="center"/>
          </w:tcPr>
          <w:p w14:paraId="28D49512">
            <w:pPr>
              <w:pStyle w:val="22"/>
              <w:keepNext w:val="0"/>
              <w:keepLines w:val="0"/>
              <w:suppressLineNumbers w:val="0"/>
              <w:spacing w:before="0" w:beforeAutospacing="0" w:after="0" w:afterAutospacing="0"/>
              <w:ind w:left="0" w:right="0"/>
              <w:rPr>
                <w:rFonts w:hint="default" w:eastAsiaTheme="minorEastAsia"/>
                <w:lang w:val="en-US" w:eastAsia="zh-CN"/>
              </w:rPr>
            </w:pPr>
            <w:r>
              <w:rPr>
                <w:rFonts w:hint="eastAsia"/>
                <w:lang w:val="en-US" w:eastAsia="zh-CN"/>
              </w:rPr>
              <w:t>炉渣间（30m</w:t>
            </w:r>
            <w:r>
              <w:rPr>
                <w:rFonts w:hint="eastAsia"/>
                <w:vertAlign w:val="superscript"/>
                <w:lang w:val="en-US" w:eastAsia="zh-CN"/>
              </w:rPr>
              <w:t>3</w:t>
            </w:r>
            <w:r>
              <w:rPr>
                <w:rFonts w:hint="eastAsia"/>
                <w:lang w:val="en-US" w:eastAsia="zh-CN"/>
              </w:rPr>
              <w:t>）</w:t>
            </w:r>
          </w:p>
        </w:tc>
        <w:tc>
          <w:tcPr>
            <w:tcW w:w="240" w:type="pct"/>
            <w:vAlign w:val="center"/>
          </w:tcPr>
          <w:p w14:paraId="45DACCDB">
            <w:pPr>
              <w:pStyle w:val="22"/>
              <w:keepNext w:val="0"/>
              <w:keepLines w:val="0"/>
              <w:suppressLineNumbers w:val="0"/>
              <w:spacing w:before="0" w:beforeAutospacing="0" w:after="0" w:afterAutospacing="0"/>
              <w:ind w:left="0" w:right="0"/>
              <w:rPr>
                <w:rFonts w:hint="default" w:eastAsiaTheme="minorEastAsia"/>
                <w:lang w:val="en-US" w:eastAsia="zh-CN"/>
              </w:rPr>
            </w:pPr>
            <w:r>
              <w:rPr>
                <w:rFonts w:hint="eastAsia"/>
                <w:lang w:val="en-US" w:eastAsia="zh-CN"/>
              </w:rPr>
              <w:t>1座</w:t>
            </w:r>
          </w:p>
        </w:tc>
        <w:tc>
          <w:tcPr>
            <w:tcW w:w="660" w:type="pct"/>
            <w:vAlign w:val="center"/>
          </w:tcPr>
          <w:p w14:paraId="3035A546">
            <w:pPr>
              <w:pStyle w:val="22"/>
              <w:keepNext w:val="0"/>
              <w:keepLines w:val="0"/>
              <w:suppressLineNumbers w:val="0"/>
              <w:spacing w:before="0" w:beforeAutospacing="0" w:after="0" w:afterAutospacing="0"/>
              <w:ind w:left="0" w:right="0"/>
              <w:rPr>
                <w:rFonts w:hint="default" w:eastAsiaTheme="minorEastAsia"/>
                <w:lang w:val="en-US" w:eastAsia="zh-CN"/>
              </w:rPr>
            </w:pPr>
            <w:r>
              <w:rPr>
                <w:rFonts w:hint="eastAsia"/>
                <w:lang w:val="en-US" w:eastAsia="zh-CN"/>
              </w:rPr>
              <w:t>12.0</w:t>
            </w:r>
          </w:p>
        </w:tc>
      </w:tr>
      <w:tr w14:paraId="039C4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2" w:type="pct"/>
            <w:vAlign w:val="center"/>
          </w:tcPr>
          <w:p w14:paraId="7646BD3D">
            <w:pPr>
              <w:pStyle w:val="22"/>
              <w:keepNext w:val="0"/>
              <w:keepLines w:val="0"/>
              <w:suppressLineNumbers w:val="0"/>
              <w:spacing w:before="0" w:beforeAutospacing="0" w:after="0" w:afterAutospacing="0"/>
              <w:ind w:left="0" w:right="0"/>
              <w:rPr>
                <w:rFonts w:hint="default"/>
              </w:rPr>
            </w:pPr>
            <w:r>
              <w:rPr>
                <w:rFonts w:hint="default"/>
              </w:rPr>
              <w:t>噪声</w:t>
            </w:r>
          </w:p>
        </w:tc>
        <w:tc>
          <w:tcPr>
            <w:tcW w:w="1171" w:type="pct"/>
            <w:vAlign w:val="center"/>
          </w:tcPr>
          <w:p w14:paraId="10917686">
            <w:pPr>
              <w:pStyle w:val="22"/>
              <w:keepNext w:val="0"/>
              <w:keepLines w:val="0"/>
              <w:suppressLineNumbers w:val="0"/>
              <w:spacing w:before="0" w:beforeAutospacing="0" w:after="0" w:afterAutospacing="0"/>
              <w:ind w:left="0" w:right="0"/>
              <w:rPr>
                <w:rFonts w:hint="default"/>
              </w:rPr>
            </w:pPr>
            <w:r>
              <w:rPr>
                <w:rFonts w:hint="default"/>
              </w:rPr>
              <w:t>设备噪声</w:t>
            </w:r>
          </w:p>
        </w:tc>
        <w:tc>
          <w:tcPr>
            <w:tcW w:w="2555" w:type="pct"/>
            <w:vAlign w:val="center"/>
          </w:tcPr>
          <w:p w14:paraId="1775D368">
            <w:pPr>
              <w:pStyle w:val="22"/>
              <w:keepNext w:val="0"/>
              <w:keepLines w:val="0"/>
              <w:suppressLineNumbers w:val="0"/>
              <w:spacing w:before="0" w:beforeAutospacing="0" w:after="0" w:afterAutospacing="0"/>
              <w:ind w:left="0" w:right="0"/>
              <w:rPr>
                <w:rFonts w:hint="default"/>
              </w:rPr>
            </w:pPr>
            <w:r>
              <w:rPr>
                <w:rFonts w:hint="default"/>
              </w:rPr>
              <w:t>选用低噪声设备，建筑隔声，风机安装消声器，水泵等基础减振等</w:t>
            </w:r>
          </w:p>
        </w:tc>
        <w:tc>
          <w:tcPr>
            <w:tcW w:w="240" w:type="pct"/>
            <w:vAlign w:val="center"/>
          </w:tcPr>
          <w:p w14:paraId="39BAEE19">
            <w:pPr>
              <w:pStyle w:val="22"/>
              <w:keepNext w:val="0"/>
              <w:keepLines w:val="0"/>
              <w:suppressLineNumbers w:val="0"/>
              <w:spacing w:before="0" w:beforeAutospacing="0" w:after="0" w:afterAutospacing="0"/>
              <w:ind w:left="0" w:right="0"/>
              <w:rPr>
                <w:rFonts w:hint="default"/>
              </w:rPr>
            </w:pPr>
            <w:r>
              <w:rPr>
                <w:rFonts w:hint="default"/>
              </w:rPr>
              <w:t>/</w:t>
            </w:r>
          </w:p>
        </w:tc>
        <w:tc>
          <w:tcPr>
            <w:tcW w:w="660" w:type="pct"/>
            <w:vAlign w:val="center"/>
          </w:tcPr>
          <w:p w14:paraId="26E0B70B">
            <w:pPr>
              <w:pStyle w:val="22"/>
              <w:keepNext w:val="0"/>
              <w:keepLines w:val="0"/>
              <w:suppressLineNumbers w:val="0"/>
              <w:spacing w:before="0" w:beforeAutospacing="0" w:after="0" w:afterAutospacing="0"/>
              <w:ind w:left="0" w:right="0"/>
              <w:rPr>
                <w:rFonts w:hint="default"/>
              </w:rPr>
            </w:pPr>
            <w:r>
              <w:rPr>
                <w:rFonts w:hint="eastAsia"/>
              </w:rPr>
              <w:t>15.0</w:t>
            </w:r>
          </w:p>
        </w:tc>
      </w:tr>
      <w:tr w14:paraId="2008A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2" w:type="pct"/>
            <w:vMerge w:val="restart"/>
            <w:vAlign w:val="center"/>
          </w:tcPr>
          <w:p w14:paraId="5195F48A">
            <w:pPr>
              <w:pStyle w:val="22"/>
              <w:keepNext w:val="0"/>
              <w:keepLines w:val="0"/>
              <w:suppressLineNumbers w:val="0"/>
              <w:spacing w:before="0" w:beforeAutospacing="0" w:after="0" w:afterAutospacing="0"/>
              <w:ind w:left="0" w:right="0"/>
              <w:rPr>
                <w:rFonts w:hint="default"/>
              </w:rPr>
            </w:pPr>
            <w:r>
              <w:rPr>
                <w:rFonts w:hint="default"/>
              </w:rPr>
              <w:t>地下水</w:t>
            </w:r>
          </w:p>
        </w:tc>
        <w:tc>
          <w:tcPr>
            <w:tcW w:w="1171" w:type="pct"/>
            <w:vMerge w:val="restart"/>
            <w:vAlign w:val="center"/>
          </w:tcPr>
          <w:p w14:paraId="6AF1EC9E">
            <w:pPr>
              <w:pStyle w:val="22"/>
              <w:keepNext w:val="0"/>
              <w:keepLines w:val="0"/>
              <w:suppressLineNumbers w:val="0"/>
              <w:spacing w:before="0" w:beforeAutospacing="0" w:after="0" w:afterAutospacing="0"/>
              <w:ind w:left="0" w:right="0"/>
              <w:rPr>
                <w:rFonts w:hint="default"/>
              </w:rPr>
            </w:pPr>
            <w:r>
              <w:rPr>
                <w:rFonts w:hint="eastAsia"/>
              </w:rPr>
              <w:t>医废暂存</w:t>
            </w:r>
            <w:r>
              <w:rPr>
                <w:rFonts w:hint="eastAsia"/>
                <w:lang w:val="en-US" w:eastAsia="zh-CN"/>
              </w:rPr>
              <w:t>库</w:t>
            </w:r>
            <w:r>
              <w:rPr>
                <w:rFonts w:hint="eastAsia"/>
              </w:rPr>
              <w:t>、危废贮存</w:t>
            </w:r>
            <w:r>
              <w:rPr>
                <w:rFonts w:hint="eastAsia"/>
                <w:lang w:val="en-US" w:eastAsia="zh-CN"/>
              </w:rPr>
              <w:t>库、</w:t>
            </w:r>
            <w:r>
              <w:rPr>
                <w:rFonts w:hint="eastAsia"/>
              </w:rPr>
              <w:t>医疗废物焚烧车间、</w:t>
            </w:r>
            <w:r>
              <w:rPr>
                <w:rFonts w:hint="eastAsia"/>
                <w:kern w:val="0"/>
              </w:rPr>
              <w:t>喷淋塔</w:t>
            </w:r>
            <w:r>
              <w:rPr>
                <w:rFonts w:hint="eastAsia"/>
              </w:rPr>
              <w:t>循环水池、集水池、事故池、废水收集管（沟）、检测室、配电室、办公楼、厂区道路等</w:t>
            </w:r>
          </w:p>
        </w:tc>
        <w:tc>
          <w:tcPr>
            <w:tcW w:w="2555" w:type="pct"/>
            <w:vAlign w:val="center"/>
          </w:tcPr>
          <w:p w14:paraId="0BFA7984">
            <w:pPr>
              <w:pStyle w:val="22"/>
              <w:keepNext w:val="0"/>
              <w:keepLines w:val="0"/>
              <w:suppressLineNumbers w:val="0"/>
              <w:spacing w:before="0" w:beforeAutospacing="0" w:after="0" w:afterAutospacing="0"/>
              <w:ind w:left="0" w:right="0"/>
              <w:rPr>
                <w:rFonts w:hint="default"/>
              </w:rPr>
            </w:pPr>
            <w:r>
              <w:rPr>
                <w:rFonts w:hint="default"/>
                <w:kern w:val="0"/>
              </w:rPr>
              <w:t>重点防渗区：</w:t>
            </w:r>
            <w:r>
              <w:rPr>
                <w:rFonts w:hint="eastAsia"/>
                <w:kern w:val="0"/>
              </w:rPr>
              <w:t>等效黏土防渗层（Mb≥6m，K</w:t>
            </w:r>
            <w:r>
              <w:rPr>
                <w:rFonts w:hint="default"/>
                <w:kern w:val="0"/>
              </w:rPr>
              <w:t>≤1.0×10</w:t>
            </w:r>
            <w:r>
              <w:rPr>
                <w:rFonts w:hint="default"/>
                <w:kern w:val="0"/>
                <w:vertAlign w:val="superscript"/>
              </w:rPr>
              <w:t>-</w:t>
            </w:r>
            <w:r>
              <w:rPr>
                <w:rFonts w:hint="eastAsia"/>
                <w:kern w:val="0"/>
                <w:vertAlign w:val="superscript"/>
              </w:rPr>
              <w:t>7</w:t>
            </w:r>
            <w:r>
              <w:rPr>
                <w:rFonts w:hint="default"/>
                <w:kern w:val="0"/>
              </w:rPr>
              <w:t>cm/s</w:t>
            </w:r>
            <w:r>
              <w:rPr>
                <w:rFonts w:hint="eastAsia"/>
                <w:kern w:val="0"/>
              </w:rPr>
              <w:t>）+P8抗渗混凝土，医废暂存间</w:t>
            </w:r>
            <w:r>
              <w:rPr>
                <w:rFonts w:hint="default"/>
                <w:kern w:val="0"/>
              </w:rPr>
              <w:t>、</w:t>
            </w:r>
            <w:r>
              <w:rPr>
                <w:rFonts w:hint="eastAsia"/>
                <w:kern w:val="0"/>
              </w:rPr>
              <w:t>危废贮存</w:t>
            </w:r>
            <w:r>
              <w:rPr>
                <w:rFonts w:hint="eastAsia"/>
                <w:kern w:val="0"/>
                <w:lang w:val="en-US" w:eastAsia="zh-CN"/>
              </w:rPr>
              <w:t>库</w:t>
            </w:r>
            <w:r>
              <w:rPr>
                <w:rFonts w:hint="eastAsia"/>
                <w:kern w:val="0"/>
                <w:lang w:eastAsia="zh-CN"/>
              </w:rPr>
              <w:t>、</w:t>
            </w:r>
            <w:r>
              <w:rPr>
                <w:rFonts w:hint="eastAsia"/>
                <w:kern w:val="0"/>
                <w:lang w:val="en-US" w:eastAsia="zh-CN"/>
              </w:rPr>
              <w:t>炉渣间</w:t>
            </w:r>
            <w:r>
              <w:rPr>
                <w:rFonts w:hint="default"/>
                <w:kern w:val="0"/>
                <w:lang w:val="en-US" w:eastAsia="zh-CN"/>
              </w:rPr>
              <w:t>防渗层为至少1m厚黏土层（渗透系数不大于10</w:t>
            </w:r>
            <w:r>
              <w:rPr>
                <w:rFonts w:hint="default"/>
                <w:kern w:val="0"/>
                <w:vertAlign w:val="superscript"/>
                <w:lang w:val="en-US" w:eastAsia="zh-CN"/>
              </w:rPr>
              <w:t>-7</w:t>
            </w:r>
            <w:r>
              <w:rPr>
                <w:rFonts w:hint="default"/>
                <w:kern w:val="0"/>
                <w:lang w:val="en-US" w:eastAsia="zh-CN"/>
              </w:rPr>
              <w:t>cm/s），或至少2mm厚高密度聚乙烯膜等人工防渗材料（渗透系数不大于</w:t>
            </w:r>
            <w:r>
              <w:rPr>
                <w:rFonts w:hint="default"/>
                <w:kern w:val="0"/>
                <w:vertAlign w:val="baseline"/>
                <w:lang w:val="en-US" w:eastAsia="zh-CN"/>
              </w:rPr>
              <w:t>10</w:t>
            </w:r>
            <w:r>
              <w:rPr>
                <w:rFonts w:hint="default"/>
                <w:kern w:val="0"/>
                <w:vertAlign w:val="superscript"/>
                <w:lang w:val="en-US" w:eastAsia="zh-CN"/>
              </w:rPr>
              <w:t>-10</w:t>
            </w:r>
            <w:r>
              <w:rPr>
                <w:rFonts w:hint="default"/>
                <w:kern w:val="0"/>
                <w:lang w:val="en-US" w:eastAsia="zh-CN"/>
              </w:rPr>
              <w:t>cm/s），或其他防渗性能等效的材料</w:t>
            </w:r>
          </w:p>
        </w:tc>
        <w:tc>
          <w:tcPr>
            <w:tcW w:w="240" w:type="pct"/>
            <w:vAlign w:val="center"/>
          </w:tcPr>
          <w:p w14:paraId="2ACDE26E">
            <w:pPr>
              <w:pStyle w:val="22"/>
              <w:keepNext w:val="0"/>
              <w:keepLines w:val="0"/>
              <w:suppressLineNumbers w:val="0"/>
              <w:spacing w:before="0" w:beforeAutospacing="0" w:after="0" w:afterAutospacing="0"/>
              <w:ind w:left="0" w:right="0"/>
              <w:rPr>
                <w:rFonts w:hint="default"/>
              </w:rPr>
            </w:pPr>
            <w:r>
              <w:rPr>
                <w:rFonts w:hint="default"/>
              </w:rPr>
              <w:t>/</w:t>
            </w:r>
          </w:p>
        </w:tc>
        <w:tc>
          <w:tcPr>
            <w:tcW w:w="660" w:type="pct"/>
            <w:vAlign w:val="center"/>
          </w:tcPr>
          <w:p w14:paraId="5E3F9C7B">
            <w:pPr>
              <w:pStyle w:val="22"/>
              <w:keepNext w:val="0"/>
              <w:keepLines w:val="0"/>
              <w:suppressLineNumbers w:val="0"/>
              <w:spacing w:before="0" w:beforeAutospacing="0" w:after="0" w:afterAutospacing="0"/>
              <w:ind w:left="0" w:right="0"/>
              <w:rPr>
                <w:rFonts w:hint="default"/>
              </w:rPr>
            </w:pPr>
            <w:r>
              <w:rPr>
                <w:rFonts w:hint="eastAsia"/>
                <w:lang w:val="en-US" w:eastAsia="zh-CN"/>
              </w:rPr>
              <w:t>15</w:t>
            </w:r>
            <w:r>
              <w:rPr>
                <w:rFonts w:hint="eastAsia"/>
              </w:rPr>
              <w:t>.0</w:t>
            </w:r>
          </w:p>
        </w:tc>
      </w:tr>
      <w:tr w14:paraId="4213A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2" w:type="pct"/>
            <w:vMerge w:val="continue"/>
            <w:vAlign w:val="center"/>
          </w:tcPr>
          <w:p w14:paraId="64CB8816">
            <w:pPr>
              <w:pStyle w:val="22"/>
              <w:keepNext w:val="0"/>
              <w:keepLines w:val="0"/>
              <w:suppressLineNumbers w:val="0"/>
              <w:spacing w:before="0" w:beforeAutospacing="0" w:after="0" w:afterAutospacing="0"/>
              <w:ind w:left="0" w:right="0"/>
              <w:rPr>
                <w:rFonts w:hint="default"/>
              </w:rPr>
            </w:pPr>
          </w:p>
        </w:tc>
        <w:tc>
          <w:tcPr>
            <w:tcW w:w="1171" w:type="pct"/>
            <w:vMerge w:val="continue"/>
            <w:vAlign w:val="center"/>
          </w:tcPr>
          <w:p w14:paraId="1254DFB5">
            <w:pPr>
              <w:pStyle w:val="22"/>
              <w:keepNext w:val="0"/>
              <w:keepLines w:val="0"/>
              <w:suppressLineNumbers w:val="0"/>
              <w:spacing w:before="0" w:beforeAutospacing="0" w:after="0" w:afterAutospacing="0"/>
              <w:ind w:left="0" w:right="0"/>
              <w:rPr>
                <w:rFonts w:hint="default"/>
              </w:rPr>
            </w:pPr>
          </w:p>
        </w:tc>
        <w:tc>
          <w:tcPr>
            <w:tcW w:w="2555" w:type="pct"/>
            <w:vAlign w:val="center"/>
          </w:tcPr>
          <w:p w14:paraId="20456FDD">
            <w:pPr>
              <w:pStyle w:val="22"/>
              <w:keepNext w:val="0"/>
              <w:keepLines w:val="0"/>
              <w:suppressLineNumbers w:val="0"/>
              <w:spacing w:before="0" w:beforeAutospacing="0" w:after="0" w:afterAutospacing="0"/>
              <w:ind w:left="0" w:right="0"/>
              <w:rPr>
                <w:rFonts w:hint="default"/>
              </w:rPr>
            </w:pPr>
            <w:r>
              <w:rPr>
                <w:rFonts w:hint="default"/>
              </w:rPr>
              <w:t>地下水跟踪监测井（潜水含水层）</w:t>
            </w:r>
          </w:p>
        </w:tc>
        <w:tc>
          <w:tcPr>
            <w:tcW w:w="240" w:type="pct"/>
            <w:vAlign w:val="center"/>
          </w:tcPr>
          <w:p w14:paraId="209B1AB7">
            <w:pPr>
              <w:pStyle w:val="22"/>
              <w:keepNext w:val="0"/>
              <w:keepLines w:val="0"/>
              <w:suppressLineNumbers w:val="0"/>
              <w:spacing w:before="0" w:beforeAutospacing="0" w:after="0" w:afterAutospacing="0"/>
              <w:ind w:left="0" w:right="0"/>
              <w:rPr>
                <w:rFonts w:hint="default"/>
              </w:rPr>
            </w:pPr>
            <w:r>
              <w:rPr>
                <w:rFonts w:hint="eastAsia"/>
              </w:rPr>
              <w:t>3</w:t>
            </w:r>
            <w:r>
              <w:rPr>
                <w:rFonts w:hint="default"/>
              </w:rPr>
              <w:t>口</w:t>
            </w:r>
          </w:p>
        </w:tc>
        <w:tc>
          <w:tcPr>
            <w:tcW w:w="660" w:type="pct"/>
            <w:vAlign w:val="center"/>
          </w:tcPr>
          <w:p w14:paraId="36F0C9F6">
            <w:pPr>
              <w:pStyle w:val="22"/>
              <w:keepNext w:val="0"/>
              <w:keepLines w:val="0"/>
              <w:suppressLineNumbers w:val="0"/>
              <w:spacing w:before="0" w:beforeAutospacing="0" w:after="0" w:afterAutospacing="0"/>
              <w:ind w:left="0" w:right="0"/>
              <w:rPr>
                <w:rFonts w:hint="default"/>
              </w:rPr>
            </w:pPr>
            <w:r>
              <w:rPr>
                <w:rFonts w:hint="default"/>
              </w:rPr>
              <w:t>6.0</w:t>
            </w:r>
          </w:p>
        </w:tc>
      </w:tr>
      <w:tr w14:paraId="081EC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2" w:type="pct"/>
            <w:vMerge w:val="restart"/>
            <w:vAlign w:val="center"/>
          </w:tcPr>
          <w:p w14:paraId="7E325751">
            <w:pPr>
              <w:pStyle w:val="22"/>
              <w:keepNext w:val="0"/>
              <w:keepLines w:val="0"/>
              <w:suppressLineNumbers w:val="0"/>
              <w:spacing w:before="0" w:beforeAutospacing="0" w:after="0" w:afterAutospacing="0"/>
              <w:ind w:left="0" w:right="0"/>
              <w:rPr>
                <w:rFonts w:hint="default"/>
              </w:rPr>
            </w:pPr>
            <w:r>
              <w:rPr>
                <w:rFonts w:hint="default"/>
              </w:rPr>
              <w:t>环境风险</w:t>
            </w:r>
          </w:p>
        </w:tc>
        <w:tc>
          <w:tcPr>
            <w:tcW w:w="1171" w:type="pct"/>
            <w:vAlign w:val="center"/>
          </w:tcPr>
          <w:p w14:paraId="5F59FF9A">
            <w:pPr>
              <w:pStyle w:val="22"/>
              <w:keepNext w:val="0"/>
              <w:keepLines w:val="0"/>
              <w:suppressLineNumbers w:val="0"/>
              <w:spacing w:before="0" w:beforeAutospacing="0" w:after="0" w:afterAutospacing="0"/>
              <w:ind w:left="0" w:right="0"/>
              <w:rPr>
                <w:rFonts w:hint="default"/>
              </w:rPr>
            </w:pPr>
            <w:r>
              <w:rPr>
                <w:rFonts w:hint="default"/>
              </w:rPr>
              <w:t>厂区</w:t>
            </w:r>
          </w:p>
        </w:tc>
        <w:tc>
          <w:tcPr>
            <w:tcW w:w="2555" w:type="pct"/>
            <w:vAlign w:val="center"/>
          </w:tcPr>
          <w:p w14:paraId="474134B4">
            <w:pPr>
              <w:pStyle w:val="22"/>
              <w:keepNext w:val="0"/>
              <w:keepLines w:val="0"/>
              <w:suppressLineNumbers w:val="0"/>
              <w:spacing w:before="0" w:beforeAutospacing="0" w:after="0" w:afterAutospacing="0"/>
              <w:ind w:left="0" w:right="0"/>
              <w:rPr>
                <w:rFonts w:hint="default"/>
              </w:rPr>
            </w:pPr>
            <w:r>
              <w:rPr>
                <w:rFonts w:hint="default"/>
              </w:rPr>
              <w:t>环境风险应急预案</w:t>
            </w:r>
          </w:p>
        </w:tc>
        <w:tc>
          <w:tcPr>
            <w:tcW w:w="240" w:type="pct"/>
            <w:vAlign w:val="center"/>
          </w:tcPr>
          <w:p w14:paraId="7C795136">
            <w:pPr>
              <w:pStyle w:val="22"/>
              <w:keepNext w:val="0"/>
              <w:keepLines w:val="0"/>
              <w:suppressLineNumbers w:val="0"/>
              <w:spacing w:before="0" w:beforeAutospacing="0" w:after="0" w:afterAutospacing="0"/>
              <w:ind w:left="0" w:right="0"/>
              <w:rPr>
                <w:rFonts w:hint="default"/>
              </w:rPr>
            </w:pPr>
            <w:r>
              <w:rPr>
                <w:rFonts w:hint="default"/>
              </w:rPr>
              <w:t>/</w:t>
            </w:r>
          </w:p>
        </w:tc>
        <w:tc>
          <w:tcPr>
            <w:tcW w:w="660" w:type="pct"/>
            <w:vAlign w:val="center"/>
          </w:tcPr>
          <w:p w14:paraId="4F45059C">
            <w:pPr>
              <w:pStyle w:val="22"/>
              <w:keepNext w:val="0"/>
              <w:keepLines w:val="0"/>
              <w:suppressLineNumbers w:val="0"/>
              <w:spacing w:before="0" w:beforeAutospacing="0" w:after="0" w:afterAutospacing="0"/>
              <w:ind w:left="0" w:right="0"/>
              <w:rPr>
                <w:rFonts w:hint="default"/>
              </w:rPr>
            </w:pPr>
            <w:r>
              <w:rPr>
                <w:rFonts w:hint="eastAsia"/>
              </w:rPr>
              <w:t>5</w:t>
            </w:r>
            <w:r>
              <w:rPr>
                <w:rFonts w:hint="default"/>
              </w:rPr>
              <w:t>.0</w:t>
            </w:r>
          </w:p>
        </w:tc>
      </w:tr>
      <w:tr w14:paraId="58AA2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2" w:type="pct"/>
            <w:vMerge w:val="continue"/>
            <w:vAlign w:val="center"/>
          </w:tcPr>
          <w:p w14:paraId="12FF4ECD">
            <w:pPr>
              <w:pStyle w:val="22"/>
              <w:keepNext w:val="0"/>
              <w:keepLines w:val="0"/>
              <w:suppressLineNumbers w:val="0"/>
              <w:spacing w:before="0" w:beforeAutospacing="0" w:after="0" w:afterAutospacing="0"/>
              <w:ind w:left="0" w:right="0"/>
              <w:rPr>
                <w:rFonts w:hint="default"/>
              </w:rPr>
            </w:pPr>
          </w:p>
        </w:tc>
        <w:tc>
          <w:tcPr>
            <w:tcW w:w="1171" w:type="pct"/>
            <w:vAlign w:val="center"/>
          </w:tcPr>
          <w:p w14:paraId="29C5D816">
            <w:pPr>
              <w:pStyle w:val="22"/>
              <w:keepNext w:val="0"/>
              <w:keepLines w:val="0"/>
              <w:suppressLineNumbers w:val="0"/>
              <w:spacing w:before="0" w:beforeAutospacing="0" w:after="0" w:afterAutospacing="0"/>
              <w:ind w:left="0" w:right="0"/>
              <w:rPr>
                <w:rFonts w:hint="default"/>
              </w:rPr>
            </w:pPr>
            <w:r>
              <w:rPr>
                <w:rFonts w:hint="default"/>
              </w:rPr>
              <w:t>厂区</w:t>
            </w:r>
          </w:p>
        </w:tc>
        <w:tc>
          <w:tcPr>
            <w:tcW w:w="2555" w:type="pct"/>
            <w:vAlign w:val="center"/>
          </w:tcPr>
          <w:p w14:paraId="46CCEE9C">
            <w:pPr>
              <w:pStyle w:val="22"/>
              <w:keepNext w:val="0"/>
              <w:keepLines w:val="0"/>
              <w:suppressLineNumbers w:val="0"/>
              <w:spacing w:before="0" w:beforeAutospacing="0" w:after="0" w:afterAutospacing="0"/>
              <w:ind w:left="0" w:right="0"/>
              <w:rPr>
                <w:rFonts w:hint="default"/>
              </w:rPr>
            </w:pPr>
            <w:r>
              <w:rPr>
                <w:rFonts w:hint="default"/>
              </w:rPr>
              <w:t>事故池</w:t>
            </w:r>
          </w:p>
        </w:tc>
        <w:tc>
          <w:tcPr>
            <w:tcW w:w="240" w:type="pct"/>
            <w:vAlign w:val="center"/>
          </w:tcPr>
          <w:p w14:paraId="3D48D47C">
            <w:pPr>
              <w:pStyle w:val="22"/>
              <w:keepNext w:val="0"/>
              <w:keepLines w:val="0"/>
              <w:suppressLineNumbers w:val="0"/>
              <w:spacing w:before="0" w:beforeAutospacing="0" w:after="0" w:afterAutospacing="0"/>
              <w:ind w:left="0" w:right="0"/>
              <w:rPr>
                <w:rFonts w:hint="default" w:eastAsiaTheme="minorEastAsia"/>
                <w:lang w:val="en-US" w:eastAsia="zh-CN"/>
              </w:rPr>
            </w:pPr>
            <w:r>
              <w:rPr>
                <w:rFonts w:hint="eastAsia"/>
                <w:lang w:val="en-US" w:eastAsia="zh-CN"/>
              </w:rPr>
              <w:t>1</w:t>
            </w:r>
          </w:p>
        </w:tc>
        <w:tc>
          <w:tcPr>
            <w:tcW w:w="660" w:type="pct"/>
            <w:vAlign w:val="center"/>
          </w:tcPr>
          <w:p w14:paraId="7BB477F6">
            <w:pPr>
              <w:pStyle w:val="22"/>
              <w:keepNext w:val="0"/>
              <w:keepLines w:val="0"/>
              <w:suppressLineNumbers w:val="0"/>
              <w:spacing w:before="0" w:beforeAutospacing="0" w:after="0" w:afterAutospacing="0"/>
              <w:ind w:left="0" w:right="0"/>
              <w:rPr>
                <w:rFonts w:hint="default"/>
              </w:rPr>
            </w:pPr>
            <w:r>
              <w:rPr>
                <w:rFonts w:hint="eastAsia"/>
              </w:rPr>
              <w:t>10</w:t>
            </w:r>
          </w:p>
        </w:tc>
      </w:tr>
      <w:tr w14:paraId="5058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2" w:type="pct"/>
            <w:vAlign w:val="center"/>
          </w:tcPr>
          <w:p w14:paraId="270E339E">
            <w:pPr>
              <w:pStyle w:val="22"/>
              <w:keepNext w:val="0"/>
              <w:keepLines w:val="0"/>
              <w:suppressLineNumbers w:val="0"/>
              <w:spacing w:before="0" w:beforeAutospacing="0" w:after="0" w:afterAutospacing="0"/>
              <w:ind w:left="0" w:right="0"/>
              <w:rPr>
                <w:rFonts w:hint="default"/>
              </w:rPr>
            </w:pPr>
            <w:r>
              <w:rPr>
                <w:rFonts w:hint="eastAsia"/>
              </w:rPr>
              <w:t>环境监测费</w:t>
            </w:r>
          </w:p>
        </w:tc>
        <w:tc>
          <w:tcPr>
            <w:tcW w:w="1171" w:type="pct"/>
            <w:vAlign w:val="center"/>
          </w:tcPr>
          <w:p w14:paraId="02D6B489">
            <w:pPr>
              <w:pStyle w:val="22"/>
              <w:keepNext w:val="0"/>
              <w:keepLines w:val="0"/>
              <w:suppressLineNumbers w:val="0"/>
              <w:spacing w:before="0" w:beforeAutospacing="0" w:after="0" w:afterAutospacing="0"/>
              <w:ind w:left="0" w:right="0"/>
              <w:rPr>
                <w:rFonts w:hint="default"/>
              </w:rPr>
            </w:pPr>
            <w:r>
              <w:rPr>
                <w:rFonts w:hint="eastAsia"/>
              </w:rPr>
              <w:t>项目厂区及周边</w:t>
            </w:r>
          </w:p>
        </w:tc>
        <w:tc>
          <w:tcPr>
            <w:tcW w:w="2555" w:type="pct"/>
            <w:vAlign w:val="center"/>
          </w:tcPr>
          <w:p w14:paraId="34CAE5AA">
            <w:pPr>
              <w:pStyle w:val="22"/>
              <w:keepNext w:val="0"/>
              <w:keepLines w:val="0"/>
              <w:suppressLineNumbers w:val="0"/>
              <w:spacing w:before="0" w:beforeAutospacing="0" w:after="0" w:afterAutospacing="0"/>
              <w:ind w:left="0" w:right="0"/>
              <w:rPr>
                <w:rFonts w:hint="default"/>
              </w:rPr>
            </w:pPr>
            <w:r>
              <w:rPr>
                <w:rFonts w:hint="eastAsia"/>
              </w:rPr>
              <w:t>污染源监测、环境质量监测</w:t>
            </w:r>
          </w:p>
        </w:tc>
        <w:tc>
          <w:tcPr>
            <w:tcW w:w="240" w:type="pct"/>
            <w:vAlign w:val="center"/>
          </w:tcPr>
          <w:p w14:paraId="448ED1E0">
            <w:pPr>
              <w:pStyle w:val="22"/>
              <w:keepNext w:val="0"/>
              <w:keepLines w:val="0"/>
              <w:suppressLineNumbers w:val="0"/>
              <w:spacing w:before="0" w:beforeAutospacing="0" w:after="0" w:afterAutospacing="0"/>
              <w:ind w:left="0" w:right="0"/>
              <w:rPr>
                <w:rFonts w:hint="default"/>
              </w:rPr>
            </w:pPr>
            <w:r>
              <w:rPr>
                <w:rFonts w:hint="default"/>
              </w:rPr>
              <w:t>/</w:t>
            </w:r>
          </w:p>
        </w:tc>
        <w:tc>
          <w:tcPr>
            <w:tcW w:w="660" w:type="pct"/>
            <w:vAlign w:val="center"/>
          </w:tcPr>
          <w:p w14:paraId="41BDE713">
            <w:pPr>
              <w:pStyle w:val="22"/>
              <w:keepNext w:val="0"/>
              <w:keepLines w:val="0"/>
              <w:suppressLineNumbers w:val="0"/>
              <w:spacing w:before="0" w:beforeAutospacing="0" w:after="0" w:afterAutospacing="0"/>
              <w:ind w:left="0" w:right="0"/>
              <w:rPr>
                <w:rFonts w:hint="default"/>
              </w:rPr>
            </w:pPr>
            <w:r>
              <w:rPr>
                <w:rFonts w:hint="eastAsia"/>
              </w:rPr>
              <w:t>20</w:t>
            </w:r>
          </w:p>
        </w:tc>
      </w:tr>
      <w:tr w14:paraId="1D6A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544" w:type="pct"/>
            <w:gridSpan w:val="2"/>
            <w:vAlign w:val="center"/>
          </w:tcPr>
          <w:p w14:paraId="7DE47876">
            <w:pPr>
              <w:pStyle w:val="22"/>
              <w:keepNext w:val="0"/>
              <w:keepLines w:val="0"/>
              <w:suppressLineNumbers w:val="0"/>
              <w:spacing w:before="0" w:beforeAutospacing="0" w:after="0" w:afterAutospacing="0"/>
              <w:ind w:left="0" w:right="0"/>
              <w:rPr>
                <w:rFonts w:hint="default"/>
              </w:rPr>
            </w:pPr>
            <w:r>
              <w:rPr>
                <w:rFonts w:hint="default"/>
              </w:rPr>
              <w:t>合计</w:t>
            </w:r>
          </w:p>
        </w:tc>
        <w:tc>
          <w:tcPr>
            <w:tcW w:w="2555" w:type="pct"/>
            <w:vAlign w:val="center"/>
          </w:tcPr>
          <w:p w14:paraId="2B884215">
            <w:pPr>
              <w:pStyle w:val="22"/>
              <w:keepNext w:val="0"/>
              <w:keepLines w:val="0"/>
              <w:suppressLineNumbers w:val="0"/>
              <w:spacing w:before="0" w:beforeAutospacing="0" w:after="0" w:afterAutospacing="0"/>
              <w:ind w:left="0" w:right="0"/>
              <w:rPr>
                <w:rFonts w:hint="default"/>
              </w:rPr>
            </w:pPr>
            <w:r>
              <w:rPr>
                <w:rFonts w:hint="default"/>
              </w:rPr>
              <w:t>/</w:t>
            </w:r>
          </w:p>
        </w:tc>
        <w:tc>
          <w:tcPr>
            <w:tcW w:w="240" w:type="pct"/>
            <w:vAlign w:val="center"/>
          </w:tcPr>
          <w:p w14:paraId="18BD30AB">
            <w:pPr>
              <w:pStyle w:val="22"/>
              <w:keepNext w:val="0"/>
              <w:keepLines w:val="0"/>
              <w:suppressLineNumbers w:val="0"/>
              <w:spacing w:before="0" w:beforeAutospacing="0" w:after="0" w:afterAutospacing="0"/>
              <w:ind w:left="0" w:right="0"/>
              <w:rPr>
                <w:rFonts w:hint="default"/>
              </w:rPr>
            </w:pPr>
            <w:r>
              <w:rPr>
                <w:rFonts w:hint="default"/>
              </w:rPr>
              <w:t>/</w:t>
            </w:r>
          </w:p>
        </w:tc>
        <w:tc>
          <w:tcPr>
            <w:tcW w:w="660" w:type="pct"/>
            <w:vAlign w:val="center"/>
          </w:tcPr>
          <w:p w14:paraId="4813E8BE">
            <w:pPr>
              <w:pStyle w:val="22"/>
              <w:keepNext w:val="0"/>
              <w:keepLines w:val="0"/>
              <w:suppressLineNumbers w:val="0"/>
              <w:spacing w:before="0" w:beforeAutospacing="0" w:after="0" w:afterAutospacing="0"/>
              <w:ind w:left="0" w:right="0"/>
              <w:rPr>
                <w:rFonts w:hint="default" w:eastAsiaTheme="minorEastAsia"/>
                <w:lang w:val="en-US" w:eastAsia="zh-CN"/>
              </w:rPr>
            </w:pPr>
            <w:r>
              <w:rPr>
                <w:rFonts w:hint="eastAsia"/>
                <w:lang w:val="en-US" w:eastAsia="zh-CN"/>
              </w:rPr>
              <w:t>232</w:t>
            </w:r>
          </w:p>
        </w:tc>
      </w:tr>
    </w:tbl>
    <w:p w14:paraId="6E174F0C">
      <w:pPr>
        <w:pStyle w:val="3"/>
        <w:spacing w:before="120" w:after="120" w:line="500" w:lineRule="exact"/>
        <w:ind w:left="375" w:hanging="375" w:firstLineChars="0"/>
        <w:contextualSpacing/>
        <w:rPr>
          <w:rFonts w:hint="eastAsia" w:ascii="Times New Roman" w:hAnsi="Times New Roman" w:cs="Times New Roman" w:eastAsiaTheme="minorEastAsia"/>
          <w:snapToGrid w:val="0"/>
          <w:kern w:val="0"/>
          <w:sz w:val="28"/>
          <w:szCs w:val="28"/>
          <w:lang w:val="en-US" w:eastAsia="zh-CN"/>
        </w:rPr>
      </w:pPr>
      <w:bookmarkStart w:id="323" w:name="_Toc27190"/>
      <w:r>
        <w:rPr>
          <w:rFonts w:hint="eastAsia" w:ascii="Times New Roman" w:hAnsi="Times New Roman" w:cs="Times New Roman" w:eastAsiaTheme="minorEastAsia"/>
          <w:snapToGrid w:val="0"/>
          <w:kern w:val="0"/>
          <w:sz w:val="28"/>
          <w:szCs w:val="28"/>
          <w:lang w:val="en-US" w:eastAsia="zh-CN"/>
        </w:rPr>
        <w:t>7.4综合分析</w:t>
      </w:r>
      <w:bookmarkEnd w:id="323"/>
      <w:r>
        <w:rPr>
          <w:rFonts w:hint="eastAsia" w:ascii="Times New Roman" w:hAnsi="Times New Roman" w:cs="Times New Roman" w:eastAsiaTheme="minorEastAsia"/>
          <w:snapToGrid w:val="0"/>
          <w:kern w:val="0"/>
          <w:sz w:val="28"/>
          <w:szCs w:val="28"/>
          <w:lang w:val="en-US" w:eastAsia="zh-CN"/>
        </w:rPr>
        <w:tab/>
      </w:r>
    </w:p>
    <w:p w14:paraId="41E80422">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施工期及建设投产营运后，将产生大气污染物、废水污染物、固体废物以及噪声等环境影响因素，将会给项目所在区域的环境质量带来一定的负面影响，会对环境造成一定损失。因此，项目启动后应保证环保投资资金，并加强企业环境管理，认真落实本环评报告书中提出的各项环境保护措施，并严格有效控制项目对厂址所在区域环境带来的不利影响，使企业真正做到社会效益、经济效益、环境效益相统一，步入经济与环境协调发展的战略轨道。</w:t>
      </w:r>
    </w:p>
    <w:p w14:paraId="59AF34C8">
      <w:pPr>
        <w:adjustRightInd w:val="0"/>
        <w:snapToGrid w:val="0"/>
        <w:spacing w:line="500" w:lineRule="exact"/>
        <w:ind w:firstLine="480" w:firstLineChars="200"/>
        <w:jc w:val="left"/>
        <w:rPr>
          <w:rFonts w:hint="default" w:ascii="Times New Roman" w:hAnsi="Times New Roman" w:eastAsia="宋体" w:cs="Times New Roman"/>
          <w:b/>
          <w:bCs/>
          <w:color w:val="000000"/>
          <w:kern w:val="0"/>
          <w:sz w:val="30"/>
          <w:szCs w:val="30"/>
          <w:lang w:val="en-US" w:eastAsia="zh-CN" w:bidi="ar"/>
        </w:rPr>
      </w:pPr>
      <w:r>
        <w:rPr>
          <w:rFonts w:hint="eastAsia" w:ascii="Times New Roman" w:hAnsi="Times New Roman" w:cs="Times New Roman" w:eastAsiaTheme="minorEastAsia"/>
          <w:sz w:val="24"/>
          <w:highlight w:val="none"/>
          <w:lang w:val="en-US" w:eastAsia="zh-CN"/>
        </w:rPr>
        <w:t>项目投产后，在具有显著的社会、经济效益的同时，采取一系列环保措施，对各类污染物能够实现有效</w:t>
      </w:r>
      <w:r>
        <w:rPr>
          <w:rFonts w:hint="eastAsia" w:ascii="Times New Roman" w:hAnsi="Times New Roman" w:cs="Times New Roman"/>
          <w:sz w:val="24"/>
          <w:highlight w:val="none"/>
          <w:lang w:val="en-US" w:eastAsia="zh-CN"/>
        </w:rPr>
        <w:t>地</w:t>
      </w:r>
      <w:r>
        <w:rPr>
          <w:rFonts w:hint="eastAsia" w:ascii="Times New Roman" w:hAnsi="Times New Roman" w:cs="Times New Roman" w:eastAsiaTheme="minorEastAsia"/>
          <w:sz w:val="24"/>
          <w:highlight w:val="none"/>
          <w:lang w:val="en-US" w:eastAsia="zh-CN"/>
        </w:rPr>
        <w:t>治理，保证了主要污染物排放水平，满足环境保护目标的要求。评价认为从环境经济损益分析角度而言建设项目是可行的。</w:t>
      </w:r>
      <w:r>
        <w:rPr>
          <w:rFonts w:hint="default" w:ascii="Times New Roman" w:hAnsi="Times New Roman" w:eastAsia="宋体" w:cs="Times New Roman"/>
          <w:b/>
          <w:bCs/>
          <w:color w:val="000000"/>
          <w:kern w:val="0"/>
          <w:sz w:val="30"/>
          <w:szCs w:val="30"/>
          <w:lang w:val="en-US" w:eastAsia="zh-CN" w:bidi="ar"/>
        </w:rPr>
        <w:br w:type="page"/>
      </w:r>
    </w:p>
    <w:p w14:paraId="3EE85B74">
      <w:pPr>
        <w:pStyle w:val="2"/>
        <w:keepNext/>
        <w:keepLines/>
        <w:pageBreakBefore/>
        <w:spacing w:before="241" w:beforeLines="50" w:after="241" w:afterLines="50" w:line="560" w:lineRule="exact"/>
        <w:ind w:left="554" w:hanging="555" w:hangingChars="152"/>
        <w:jc w:val="both"/>
        <w:rPr>
          <w:rFonts w:hint="eastAsia" w:ascii="Times New Roman" w:hAnsi="Times New Roman" w:cs="Times New Roman" w:eastAsiaTheme="minorEastAsia"/>
          <w:snapToGrid w:val="0"/>
          <w:spacing w:val="2"/>
          <w:kern w:val="44"/>
          <w:sz w:val="36"/>
          <w:szCs w:val="44"/>
          <w:lang w:val="en-US" w:eastAsia="zh-CN"/>
        </w:rPr>
      </w:pPr>
      <w:bookmarkStart w:id="324" w:name="_Toc21652"/>
      <w:r>
        <w:rPr>
          <w:rFonts w:hint="eastAsia" w:ascii="Times New Roman" w:hAnsi="Times New Roman" w:cs="Times New Roman" w:eastAsiaTheme="minorEastAsia"/>
          <w:snapToGrid w:val="0"/>
          <w:spacing w:val="2"/>
          <w:kern w:val="44"/>
          <w:sz w:val="36"/>
          <w:szCs w:val="44"/>
          <w:lang w:val="en-US" w:eastAsia="zh-CN"/>
        </w:rPr>
        <w:t>8环境管理及环境监测</w:t>
      </w:r>
      <w:bookmarkEnd w:id="324"/>
    </w:p>
    <w:p w14:paraId="1D18CD30">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环境管理是企业管理的一项重要内容，</w:t>
      </w:r>
      <w:r>
        <w:rPr>
          <w:rFonts w:hint="eastAsia" w:ascii="Times New Roman" w:hAnsi="Times New Roman" w:cs="Times New Roman"/>
          <w:sz w:val="24"/>
          <w:highlight w:val="none"/>
          <w:lang w:val="en-US" w:eastAsia="zh-CN"/>
        </w:rPr>
        <w:t>加大</w:t>
      </w:r>
      <w:r>
        <w:rPr>
          <w:rFonts w:hint="eastAsia" w:ascii="Times New Roman" w:hAnsi="Times New Roman" w:cs="Times New Roman" w:eastAsiaTheme="minorEastAsia"/>
          <w:sz w:val="24"/>
          <w:highlight w:val="none"/>
          <w:lang w:val="en-US" w:eastAsia="zh-CN"/>
        </w:rPr>
        <w:t>环境监督管理力度，尽可能</w:t>
      </w:r>
      <w:r>
        <w:rPr>
          <w:rFonts w:hint="eastAsia" w:ascii="Times New Roman" w:hAnsi="Times New Roman" w:cs="Times New Roman"/>
          <w:sz w:val="24"/>
          <w:highlight w:val="none"/>
          <w:lang w:val="en-US" w:eastAsia="zh-CN"/>
        </w:rPr>
        <w:t>地</w:t>
      </w:r>
      <w:r>
        <w:rPr>
          <w:rFonts w:hint="eastAsia" w:ascii="Times New Roman" w:hAnsi="Times New Roman" w:cs="Times New Roman" w:eastAsiaTheme="minorEastAsia"/>
          <w:sz w:val="24"/>
          <w:highlight w:val="none"/>
          <w:lang w:val="en-US" w:eastAsia="zh-CN"/>
        </w:rPr>
        <w:t>减少“三废”排放数量及提高资源的合理利用率，把对环境的不良影响</w:t>
      </w:r>
      <w:r>
        <w:rPr>
          <w:rFonts w:hint="eastAsia" w:ascii="Times New Roman" w:hAnsi="Times New Roman" w:cs="Times New Roman"/>
          <w:sz w:val="24"/>
          <w:highlight w:val="none"/>
          <w:lang w:val="en-US" w:eastAsia="zh-CN"/>
        </w:rPr>
        <w:t>减少</w:t>
      </w:r>
      <w:r>
        <w:rPr>
          <w:rFonts w:hint="eastAsia" w:ascii="Times New Roman" w:hAnsi="Times New Roman" w:cs="Times New Roman" w:eastAsiaTheme="minorEastAsia"/>
          <w:sz w:val="24"/>
          <w:highlight w:val="none"/>
          <w:lang w:val="en-US" w:eastAsia="zh-CN"/>
        </w:rPr>
        <w:t>到最低限度，是企业实现环境、生产、经济协调持续发展的重要措施。环境监测是环境管理的重要组成部分，是工业污染防治的依据和环境监督管理工作的哨兵，加强环境监测是了解和掌握项目排污特征，研究污染发展趋势及防治对策的重要依据与途径。</w:t>
      </w:r>
    </w:p>
    <w:p w14:paraId="5AEA33B2">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本项目对环境的影响主要来自运营期医疗废物处置过</w:t>
      </w:r>
      <w:r>
        <w:rPr>
          <w:rFonts w:hint="eastAsia" w:ascii="Times New Roman" w:hAnsi="Times New Roman" w:cs="Times New Roman"/>
          <w:sz w:val="24"/>
          <w:highlight w:val="none"/>
          <w:lang w:val="en-US" w:eastAsia="zh-CN"/>
        </w:rPr>
        <w:t>程中</w:t>
      </w:r>
      <w:r>
        <w:rPr>
          <w:rFonts w:hint="eastAsia" w:ascii="Times New Roman" w:hAnsi="Times New Roman" w:cs="Times New Roman" w:eastAsiaTheme="minorEastAsia"/>
          <w:sz w:val="24"/>
          <w:highlight w:val="none"/>
          <w:lang w:val="en-US" w:eastAsia="zh-CN"/>
        </w:rPr>
        <w:t>产生的污染物排放及运营期的风险事故。本章针对本项目在施工期和运营期的生态破坏和环境污染特征，提出</w:t>
      </w:r>
      <w:r>
        <w:rPr>
          <w:rFonts w:hint="eastAsia" w:ascii="Times New Roman" w:hAnsi="Times New Roman" w:cs="Times New Roman"/>
          <w:sz w:val="24"/>
          <w:highlight w:val="none"/>
          <w:lang w:val="en-US" w:eastAsia="zh-CN"/>
        </w:rPr>
        <w:t>了</w:t>
      </w:r>
      <w:r>
        <w:rPr>
          <w:rFonts w:hint="eastAsia" w:ascii="Times New Roman" w:hAnsi="Times New Roman" w:cs="Times New Roman" w:eastAsiaTheme="minorEastAsia"/>
          <w:sz w:val="24"/>
          <w:highlight w:val="none"/>
          <w:lang w:val="en-US" w:eastAsia="zh-CN"/>
        </w:rPr>
        <w:t>施工期和运营期的环境管理、环境监理和环境监测计划内容。</w:t>
      </w:r>
    </w:p>
    <w:p w14:paraId="6E39F8E7">
      <w:pPr>
        <w:pStyle w:val="3"/>
        <w:spacing w:before="120" w:after="120" w:line="500" w:lineRule="exact"/>
        <w:ind w:left="375" w:hanging="375" w:firstLineChars="0"/>
        <w:contextualSpacing/>
        <w:rPr>
          <w:rFonts w:hint="eastAsia" w:ascii="Times New Roman" w:hAnsi="Times New Roman" w:cs="Times New Roman" w:eastAsiaTheme="minorEastAsia"/>
          <w:snapToGrid w:val="0"/>
          <w:kern w:val="0"/>
          <w:sz w:val="28"/>
          <w:szCs w:val="28"/>
          <w:lang w:val="en-US" w:eastAsia="zh-CN"/>
        </w:rPr>
      </w:pPr>
      <w:bookmarkStart w:id="325" w:name="_Toc15556"/>
      <w:r>
        <w:rPr>
          <w:rFonts w:hint="eastAsia" w:ascii="Times New Roman" w:hAnsi="Times New Roman" w:cs="Times New Roman" w:eastAsiaTheme="minorEastAsia"/>
          <w:snapToGrid w:val="0"/>
          <w:kern w:val="0"/>
          <w:sz w:val="28"/>
          <w:szCs w:val="28"/>
          <w:lang w:val="en-US" w:eastAsia="zh-CN"/>
        </w:rPr>
        <w:t>8.1环境管理</w:t>
      </w:r>
      <w:bookmarkEnd w:id="325"/>
    </w:p>
    <w:p w14:paraId="022EE353">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326" w:name="_Toc9224"/>
      <w:r>
        <w:rPr>
          <w:rFonts w:hint="eastAsia" w:ascii="Times New Roman" w:hAnsi="Times New Roman" w:cs="Times New Roman" w:eastAsiaTheme="minorEastAsia"/>
          <w:kern w:val="0"/>
          <w:sz w:val="24"/>
          <w:szCs w:val="24"/>
          <w:lang w:val="en-US" w:eastAsia="zh-CN"/>
        </w:rPr>
        <w:t>8.1.1环境管理机构与职责</w:t>
      </w:r>
      <w:bookmarkEnd w:id="326"/>
    </w:p>
    <w:p w14:paraId="3AD26AC5">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要求建设单位设置专门的环境管理机构，配备专职的环保技术人员，负责日常环保管理工作，主要职责有：</w:t>
      </w:r>
    </w:p>
    <w:p w14:paraId="74C6CA49">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（1）保持与生态环境主管部门的沟通联系，及时了解国家、地方对本项目有关的环保</w:t>
      </w:r>
      <w:r>
        <w:rPr>
          <w:rFonts w:hint="eastAsia" w:ascii="Times New Roman" w:hAnsi="Times New Roman" w:cs="Times New Roman"/>
          <w:sz w:val="24"/>
          <w:highlight w:val="none"/>
          <w:lang w:val="en-US" w:eastAsia="zh-CN"/>
        </w:rPr>
        <w:t>法律法规</w:t>
      </w:r>
      <w:r>
        <w:rPr>
          <w:rFonts w:hint="eastAsia" w:ascii="Times New Roman" w:hAnsi="Times New Roman" w:cs="Times New Roman" w:eastAsiaTheme="minorEastAsia"/>
          <w:sz w:val="24"/>
          <w:highlight w:val="none"/>
          <w:lang w:val="en-US" w:eastAsia="zh-CN"/>
        </w:rPr>
        <w:t>。组织宣传贯彻国家环保方针政策和进行企业员工环保</w:t>
      </w:r>
      <w:r>
        <w:rPr>
          <w:rFonts w:hint="eastAsia" w:ascii="Times New Roman" w:hAnsi="Times New Roman" w:cs="Times New Roman"/>
          <w:sz w:val="24"/>
          <w:highlight w:val="none"/>
          <w:lang w:val="en-US" w:eastAsia="zh-CN"/>
        </w:rPr>
        <w:t>专业知识</w:t>
      </w:r>
      <w:r>
        <w:rPr>
          <w:rFonts w:hint="eastAsia" w:ascii="Times New Roman" w:hAnsi="Times New Roman" w:cs="Times New Roman" w:eastAsiaTheme="minorEastAsia"/>
          <w:sz w:val="24"/>
          <w:highlight w:val="none"/>
          <w:lang w:val="en-US" w:eastAsia="zh-CN"/>
        </w:rPr>
        <w:t>教育。</w:t>
      </w:r>
    </w:p>
    <w:p w14:paraId="51F08CCF">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（2）组织制订全厂环保管理制度、年度实施计划和长远环保规划，并监督贯彻执行。</w:t>
      </w:r>
    </w:p>
    <w:p w14:paraId="45BF2EF0">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（3）提出可能造成的环境污染事故的防范、应急措施。</w:t>
      </w:r>
    </w:p>
    <w:p w14:paraId="1AB21668">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（4）参加本厂环保设施工程质量的检查、竣工环保验收以及污染事故的调查。</w:t>
      </w:r>
    </w:p>
    <w:p w14:paraId="2F735057">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（5）每季度对全厂各环保设施运行情况全面检查一次。</w:t>
      </w:r>
    </w:p>
    <w:p w14:paraId="7A23F9B1">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（6）对企业生产过程中废气、工艺设备及公用设施排放的废水、固体废物的收集、贮存等设施进行监督、管理，并保证废气达标排放。</w:t>
      </w:r>
    </w:p>
    <w:p w14:paraId="6CBEB094">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327" w:name="_Toc3506"/>
      <w:r>
        <w:rPr>
          <w:rFonts w:hint="eastAsia" w:ascii="Times New Roman" w:hAnsi="Times New Roman" w:cs="Times New Roman" w:eastAsiaTheme="minorEastAsia"/>
          <w:kern w:val="0"/>
          <w:sz w:val="24"/>
          <w:szCs w:val="24"/>
          <w:lang w:val="en-US" w:eastAsia="zh-CN"/>
        </w:rPr>
        <w:t>8.1.2环境管理制度</w:t>
      </w:r>
      <w:bookmarkEnd w:id="327"/>
    </w:p>
    <w:p w14:paraId="48F9337C">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要求建设单位结合国家有关环保</w:t>
      </w:r>
      <w:r>
        <w:rPr>
          <w:rFonts w:hint="eastAsia" w:ascii="Times New Roman" w:hAnsi="Times New Roman" w:cs="Times New Roman"/>
          <w:sz w:val="24"/>
          <w:highlight w:val="none"/>
          <w:lang w:val="en-US" w:eastAsia="zh-CN"/>
        </w:rPr>
        <w:t>法律法规</w:t>
      </w:r>
      <w:r>
        <w:rPr>
          <w:rFonts w:hint="eastAsia" w:ascii="Times New Roman" w:hAnsi="Times New Roman" w:cs="Times New Roman" w:eastAsiaTheme="minorEastAsia"/>
          <w:sz w:val="24"/>
          <w:highlight w:val="none"/>
          <w:lang w:val="en-US" w:eastAsia="zh-CN"/>
        </w:rPr>
        <w:t>，以及各级环境主管部门的规章制度、管理条例，建立相应的环保管理制度，主要内容有：</w:t>
      </w:r>
    </w:p>
    <w:p w14:paraId="344DA8B1">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（1）严格执行“三同时”的管理制度。确保污染处理设施能够和生产工艺“同时设计、同时施工、同时投入使用”。</w:t>
      </w:r>
    </w:p>
    <w:p w14:paraId="5DCE62D4">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（2）建立报告制度。对排放的废气、废水等污染物实行排污许可证登记，按照地方生态环境主管部门的要求执行排污证申报。</w:t>
      </w:r>
    </w:p>
    <w:p w14:paraId="3AE8AE28">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3）健全污染治理设施管理制度。保证处理设施能够长期、稳定、有效运行。污染治理设施的操作管理与生产经营活动一起纳入日常管理工作的范畴，落实责任人、操作人员、维修人员、运行经费、设备的备品备件和其他原辅材料。制定各级岗位责任制，编制操作规程，建立管理台账。</w:t>
      </w:r>
    </w:p>
    <w:p w14:paraId="1237EF9D">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（4）环保奖惩制度。各级管理人员应树立环境保护意识，对爱护环保设施，遵照环保制度执行的工作者实施奖励；对环保意识弱，不按照环保管理操作、破坏环保设施及造成环境污染者予以处罚。</w:t>
      </w:r>
    </w:p>
    <w:p w14:paraId="3359FA09">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328" w:name="_Toc13696"/>
      <w:r>
        <w:rPr>
          <w:rFonts w:hint="eastAsia" w:ascii="Times New Roman" w:hAnsi="Times New Roman" w:cs="Times New Roman" w:eastAsiaTheme="minorEastAsia"/>
          <w:kern w:val="0"/>
          <w:sz w:val="24"/>
          <w:szCs w:val="24"/>
          <w:lang w:val="en-US" w:eastAsia="zh-CN"/>
        </w:rPr>
        <w:t>8.1.3环境保护教育</w:t>
      </w:r>
      <w:bookmarkEnd w:id="328"/>
    </w:p>
    <w:p w14:paraId="0ECE830E">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（1）加强职工的环境保护知识教育，</w:t>
      </w:r>
      <w:r>
        <w:rPr>
          <w:rFonts w:hint="eastAsia" w:ascii="Times New Roman" w:hAnsi="Times New Roman" w:cs="Times New Roman"/>
          <w:sz w:val="24"/>
          <w:highlight w:val="none"/>
          <w:lang w:val="en-US" w:eastAsia="zh-CN"/>
        </w:rPr>
        <w:t>增强</w:t>
      </w:r>
      <w:r>
        <w:rPr>
          <w:rFonts w:hint="eastAsia" w:ascii="Times New Roman" w:hAnsi="Times New Roman" w:cs="Times New Roman" w:eastAsiaTheme="minorEastAsia"/>
          <w:sz w:val="24"/>
          <w:highlight w:val="none"/>
          <w:lang w:val="en-US" w:eastAsia="zh-CN"/>
        </w:rPr>
        <w:t>职工环保意识，增加对生产污染危害的认识，明白自身在生产劳动过程中的位置和责任。</w:t>
      </w:r>
    </w:p>
    <w:p w14:paraId="4339FC61">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（2）加强新招人员上岗培训工作，严格执行培训考核制度，不合格人员不允许上岗操作。</w:t>
      </w:r>
    </w:p>
    <w:p w14:paraId="676E8F7B">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329" w:name="_Toc1573"/>
      <w:r>
        <w:rPr>
          <w:rFonts w:hint="eastAsia" w:ascii="Times New Roman" w:hAnsi="Times New Roman" w:cs="Times New Roman" w:eastAsiaTheme="minorEastAsia"/>
          <w:kern w:val="0"/>
          <w:sz w:val="24"/>
          <w:szCs w:val="24"/>
          <w:lang w:val="en-US" w:eastAsia="zh-CN"/>
        </w:rPr>
        <w:t>8.1.4环境管理措施</w:t>
      </w:r>
      <w:bookmarkEnd w:id="329"/>
    </w:p>
    <w:p w14:paraId="00996D68">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w:t>
      </w:r>
      <w:r>
        <w:rPr>
          <w:rFonts w:hint="default" w:ascii="Times New Roman" w:hAnsi="Times New Roman" w:cs="Times New Roman" w:eastAsiaTheme="minorEastAsia"/>
          <w:sz w:val="24"/>
          <w:highlight w:val="none"/>
          <w:lang w:val="en-US" w:eastAsia="zh-CN"/>
        </w:rPr>
        <w:t>建议企业建立环保经济责任制，并建立环保台账管理制度，应在日常管理中严格落实，避免流于形式。推动车间的清洁生产技术创新。</w:t>
      </w:r>
    </w:p>
    <w:p w14:paraId="536830D2">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w:t>
      </w:r>
      <w:r>
        <w:rPr>
          <w:rFonts w:hint="default" w:ascii="Times New Roman" w:hAnsi="Times New Roman" w:cs="Times New Roman" w:eastAsiaTheme="minorEastAsia"/>
          <w:sz w:val="24"/>
          <w:highlight w:val="none"/>
          <w:lang w:val="en-US" w:eastAsia="zh-CN"/>
        </w:rPr>
        <w:t>建立预防事故排放的制度和添置必要的设备，并加强人员培训，加强防火、防爆、防泄漏管理。</w:t>
      </w:r>
    </w:p>
    <w:p w14:paraId="360B0EA5">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（3）</w:t>
      </w:r>
      <w:r>
        <w:rPr>
          <w:rFonts w:hint="default" w:ascii="Times New Roman" w:hAnsi="Times New Roman" w:cs="Times New Roman" w:eastAsiaTheme="minorEastAsia"/>
          <w:sz w:val="24"/>
          <w:highlight w:val="none"/>
          <w:lang w:val="en-US" w:eastAsia="zh-CN"/>
        </w:rPr>
        <w:t>加强对固废的管理，严格执行危险废物转移联单制度，对危废处理设施运行状况和设备维护制定档案管理制度。</w:t>
      </w:r>
    </w:p>
    <w:p w14:paraId="4D784F09">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（4）</w:t>
      </w:r>
      <w:r>
        <w:rPr>
          <w:rFonts w:hint="default" w:ascii="Times New Roman" w:hAnsi="Times New Roman" w:cs="Times New Roman" w:eastAsiaTheme="minorEastAsia"/>
          <w:sz w:val="24"/>
          <w:highlight w:val="none"/>
          <w:lang w:val="en-US" w:eastAsia="zh-CN"/>
        </w:rPr>
        <w:t>对废物处置全过程中每一个环节可能发生风险事故的原因、类型及其危害进行识别，采取各种有效措施防范风险事故的发生，并制订和演练风险事故应急预案。</w:t>
      </w:r>
    </w:p>
    <w:p w14:paraId="54FE07FE">
      <w:pPr>
        <w:pStyle w:val="3"/>
        <w:spacing w:before="120" w:after="120" w:line="500" w:lineRule="exact"/>
        <w:ind w:left="375" w:hanging="375" w:firstLineChars="0"/>
        <w:contextualSpacing/>
        <w:rPr>
          <w:rFonts w:hint="eastAsia" w:ascii="Times New Roman" w:hAnsi="Times New Roman" w:cs="Times New Roman" w:eastAsiaTheme="minorEastAsia"/>
          <w:snapToGrid w:val="0"/>
          <w:kern w:val="0"/>
          <w:sz w:val="28"/>
          <w:szCs w:val="28"/>
          <w:lang w:val="en-US" w:eastAsia="zh-CN"/>
        </w:rPr>
      </w:pPr>
      <w:bookmarkStart w:id="330" w:name="_Toc6327"/>
      <w:r>
        <w:rPr>
          <w:rFonts w:hint="eastAsia" w:ascii="Times New Roman" w:hAnsi="Times New Roman" w:cs="Times New Roman" w:eastAsiaTheme="minorEastAsia"/>
          <w:snapToGrid w:val="0"/>
          <w:kern w:val="0"/>
          <w:sz w:val="28"/>
          <w:szCs w:val="28"/>
          <w:lang w:val="en-US" w:eastAsia="zh-CN"/>
        </w:rPr>
        <w:t>8.2污染物排放清单</w:t>
      </w:r>
      <w:bookmarkEnd w:id="330"/>
    </w:p>
    <w:p w14:paraId="36C5B85B">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（1）工程组成</w:t>
      </w:r>
    </w:p>
    <w:p w14:paraId="5E183A6C">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项目设置一条2t/d的医疗废物热解焚烧系统，日处理医疗废物2t。</w:t>
      </w:r>
    </w:p>
    <w:p w14:paraId="62BD116E">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（2）原辅材料组成分</w:t>
      </w:r>
    </w:p>
    <w:p w14:paraId="4D473EA8">
      <w:pPr>
        <w:snapToGrid w:val="0"/>
        <w:spacing w:before="241" w:beforeLines="50"/>
        <w:jc w:val="center"/>
        <w:rPr>
          <w:rFonts w:hint="default"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表8.2-1  本项目原辅材料消耗量一览表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1065"/>
        <w:gridCol w:w="1231"/>
        <w:gridCol w:w="1491"/>
        <w:gridCol w:w="1441"/>
        <w:gridCol w:w="2576"/>
      </w:tblGrid>
      <w:tr w14:paraId="6833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vAlign w:val="center"/>
          </w:tcPr>
          <w:p w14:paraId="2A170645">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序号</w:t>
            </w:r>
          </w:p>
        </w:tc>
        <w:tc>
          <w:tcPr>
            <w:tcW w:w="1065" w:type="dxa"/>
            <w:vAlign w:val="center"/>
          </w:tcPr>
          <w:p w14:paraId="0C9B7D91">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名称</w:t>
            </w:r>
          </w:p>
        </w:tc>
        <w:tc>
          <w:tcPr>
            <w:tcW w:w="1231" w:type="dxa"/>
            <w:vAlign w:val="center"/>
          </w:tcPr>
          <w:p w14:paraId="4E08C5EC">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单位</w:t>
            </w:r>
          </w:p>
        </w:tc>
        <w:tc>
          <w:tcPr>
            <w:tcW w:w="1491" w:type="dxa"/>
            <w:vAlign w:val="center"/>
          </w:tcPr>
          <w:p w14:paraId="4F877E6B">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用量</w:t>
            </w:r>
          </w:p>
        </w:tc>
        <w:tc>
          <w:tcPr>
            <w:tcW w:w="1441" w:type="dxa"/>
            <w:vAlign w:val="center"/>
          </w:tcPr>
          <w:p w14:paraId="34572D08">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厂内最大储存量（t）</w:t>
            </w:r>
          </w:p>
        </w:tc>
        <w:tc>
          <w:tcPr>
            <w:tcW w:w="2576" w:type="dxa"/>
            <w:vAlign w:val="center"/>
          </w:tcPr>
          <w:p w14:paraId="06825E2E">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包装/运输方式</w:t>
            </w:r>
          </w:p>
        </w:tc>
      </w:tr>
      <w:tr w14:paraId="49EAD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vAlign w:val="center"/>
          </w:tcPr>
          <w:p w14:paraId="63AD304C">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原材料</w:t>
            </w:r>
          </w:p>
        </w:tc>
        <w:tc>
          <w:tcPr>
            <w:tcW w:w="1065" w:type="dxa"/>
            <w:vAlign w:val="center"/>
          </w:tcPr>
          <w:p w14:paraId="62BADF1E">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医疗垃圾</w:t>
            </w:r>
          </w:p>
        </w:tc>
        <w:tc>
          <w:tcPr>
            <w:tcW w:w="1231" w:type="dxa"/>
            <w:vAlign w:val="center"/>
          </w:tcPr>
          <w:p w14:paraId="0642654C">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t/a</w:t>
            </w:r>
          </w:p>
        </w:tc>
        <w:tc>
          <w:tcPr>
            <w:tcW w:w="1491" w:type="dxa"/>
            <w:vAlign w:val="center"/>
          </w:tcPr>
          <w:p w14:paraId="3DACE5F0">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730</w:t>
            </w:r>
          </w:p>
        </w:tc>
        <w:tc>
          <w:tcPr>
            <w:tcW w:w="1441" w:type="dxa"/>
            <w:vAlign w:val="center"/>
          </w:tcPr>
          <w:p w14:paraId="4D26B01F">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5t</w:t>
            </w:r>
          </w:p>
        </w:tc>
        <w:tc>
          <w:tcPr>
            <w:tcW w:w="2576" w:type="dxa"/>
            <w:vAlign w:val="center"/>
          </w:tcPr>
          <w:p w14:paraId="050952C3">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箱运/汽运（病理性、药物性和化学性医疗废物）</w:t>
            </w:r>
          </w:p>
        </w:tc>
      </w:tr>
      <w:tr w14:paraId="78EAE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vMerge w:val="restart"/>
            <w:vAlign w:val="center"/>
          </w:tcPr>
          <w:p w14:paraId="399C76ED">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辅料</w:t>
            </w:r>
          </w:p>
        </w:tc>
        <w:tc>
          <w:tcPr>
            <w:tcW w:w="1065" w:type="dxa"/>
            <w:vAlign w:val="center"/>
          </w:tcPr>
          <w:p w14:paraId="165661D6">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次氯酸钠</w:t>
            </w:r>
          </w:p>
        </w:tc>
        <w:tc>
          <w:tcPr>
            <w:tcW w:w="1231" w:type="dxa"/>
            <w:vAlign w:val="center"/>
          </w:tcPr>
          <w:p w14:paraId="112703E1">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t/a</w:t>
            </w:r>
          </w:p>
        </w:tc>
        <w:tc>
          <w:tcPr>
            <w:tcW w:w="1491" w:type="dxa"/>
            <w:vAlign w:val="center"/>
          </w:tcPr>
          <w:p w14:paraId="0391D881">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1</w:t>
            </w:r>
          </w:p>
        </w:tc>
        <w:tc>
          <w:tcPr>
            <w:tcW w:w="1441" w:type="dxa"/>
            <w:vAlign w:val="center"/>
          </w:tcPr>
          <w:p w14:paraId="6660EEB5">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0.5t</w:t>
            </w:r>
          </w:p>
        </w:tc>
        <w:tc>
          <w:tcPr>
            <w:tcW w:w="2576" w:type="dxa"/>
            <w:vAlign w:val="center"/>
          </w:tcPr>
          <w:p w14:paraId="6C8F29D6">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瓶装，储存在医疗废物处置车间</w:t>
            </w:r>
          </w:p>
        </w:tc>
      </w:tr>
      <w:tr w14:paraId="73A8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vMerge w:val="continue"/>
            <w:vAlign w:val="center"/>
          </w:tcPr>
          <w:p w14:paraId="60670F8B">
            <w:pPr>
              <w:spacing w:line="300" w:lineRule="exact"/>
              <w:jc w:val="center"/>
              <w:rPr>
                <w:rFonts w:hint="default" w:ascii="Times New Roman" w:hAnsi="Times New Roman" w:eastAsia="华文中宋" w:cs="Times New Roman"/>
                <w:szCs w:val="21"/>
                <w:highlight w:val="none"/>
                <w:lang w:val="en-US" w:eastAsia="zh-CN"/>
              </w:rPr>
            </w:pPr>
          </w:p>
        </w:tc>
        <w:tc>
          <w:tcPr>
            <w:tcW w:w="1065" w:type="dxa"/>
            <w:vAlign w:val="center"/>
          </w:tcPr>
          <w:p w14:paraId="29D55494">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尿素</w:t>
            </w:r>
          </w:p>
        </w:tc>
        <w:tc>
          <w:tcPr>
            <w:tcW w:w="1231" w:type="dxa"/>
            <w:vAlign w:val="center"/>
          </w:tcPr>
          <w:p w14:paraId="331BC63E">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t/a</w:t>
            </w:r>
          </w:p>
        </w:tc>
        <w:tc>
          <w:tcPr>
            <w:tcW w:w="1491" w:type="dxa"/>
            <w:vAlign w:val="center"/>
          </w:tcPr>
          <w:p w14:paraId="4A5BADCF">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5</w:t>
            </w:r>
          </w:p>
        </w:tc>
        <w:tc>
          <w:tcPr>
            <w:tcW w:w="1441" w:type="dxa"/>
            <w:vAlign w:val="center"/>
          </w:tcPr>
          <w:p w14:paraId="0DFAE41C">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1t</w:t>
            </w:r>
          </w:p>
        </w:tc>
        <w:tc>
          <w:tcPr>
            <w:tcW w:w="2576" w:type="dxa"/>
            <w:vAlign w:val="center"/>
          </w:tcPr>
          <w:p w14:paraId="4EAA0AF0">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袋装，储存在医疗废物处置车间</w:t>
            </w:r>
          </w:p>
        </w:tc>
      </w:tr>
      <w:tr w14:paraId="09050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vAlign w:val="center"/>
          </w:tcPr>
          <w:p w14:paraId="15F2ECEE">
            <w:pPr>
              <w:spacing w:line="300" w:lineRule="exact"/>
              <w:jc w:val="center"/>
              <w:rPr>
                <w:rFonts w:hint="default" w:ascii="Times New Roman" w:hAnsi="Times New Roman" w:eastAsia="华文中宋" w:cs="Times New Roman"/>
                <w:szCs w:val="21"/>
                <w:highlight w:val="none"/>
                <w:lang w:val="en-US" w:eastAsia="zh-CN"/>
              </w:rPr>
            </w:pPr>
          </w:p>
        </w:tc>
        <w:tc>
          <w:tcPr>
            <w:tcW w:w="1065" w:type="dxa"/>
            <w:vAlign w:val="center"/>
          </w:tcPr>
          <w:p w14:paraId="3D6BEF8A">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活性炭</w:t>
            </w:r>
          </w:p>
        </w:tc>
        <w:tc>
          <w:tcPr>
            <w:tcW w:w="1231" w:type="dxa"/>
            <w:vAlign w:val="center"/>
          </w:tcPr>
          <w:p w14:paraId="5873E91B">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t/a</w:t>
            </w:r>
          </w:p>
        </w:tc>
        <w:tc>
          <w:tcPr>
            <w:tcW w:w="1491" w:type="dxa"/>
            <w:vAlign w:val="center"/>
          </w:tcPr>
          <w:p w14:paraId="32D3E3B1">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4.227</w:t>
            </w:r>
          </w:p>
        </w:tc>
        <w:tc>
          <w:tcPr>
            <w:tcW w:w="1441" w:type="dxa"/>
            <w:vAlign w:val="center"/>
          </w:tcPr>
          <w:p w14:paraId="67BF54C6">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4t</w:t>
            </w:r>
          </w:p>
        </w:tc>
        <w:tc>
          <w:tcPr>
            <w:tcW w:w="2576" w:type="dxa"/>
            <w:vAlign w:val="center"/>
          </w:tcPr>
          <w:p w14:paraId="703E43EF">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存放于活性炭</w:t>
            </w:r>
            <w:r>
              <w:rPr>
                <w:rFonts w:hint="eastAsia" w:ascii="Times New Roman" w:hAnsi="Times New Roman" w:eastAsia="华文中宋" w:cs="Times New Roman"/>
                <w:szCs w:val="21"/>
                <w:highlight w:val="none"/>
                <w:lang w:val="en-US" w:eastAsia="zh-CN"/>
              </w:rPr>
              <w:t>料仓/医疗废物处置车间</w:t>
            </w:r>
          </w:p>
        </w:tc>
      </w:tr>
      <w:tr w14:paraId="2EB4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vMerge w:val="continue"/>
            <w:vAlign w:val="center"/>
          </w:tcPr>
          <w:p w14:paraId="15DCD28B">
            <w:pPr>
              <w:spacing w:line="300" w:lineRule="exact"/>
              <w:jc w:val="center"/>
              <w:rPr>
                <w:rFonts w:hint="default" w:ascii="Times New Roman" w:hAnsi="Times New Roman" w:eastAsia="华文中宋" w:cs="Times New Roman"/>
                <w:szCs w:val="21"/>
                <w:highlight w:val="none"/>
                <w:lang w:val="en-US" w:eastAsia="zh-CN"/>
              </w:rPr>
            </w:pPr>
          </w:p>
        </w:tc>
        <w:tc>
          <w:tcPr>
            <w:tcW w:w="1065" w:type="dxa"/>
            <w:vAlign w:val="center"/>
          </w:tcPr>
          <w:p w14:paraId="02B61763">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氢氧化钠</w:t>
            </w:r>
          </w:p>
        </w:tc>
        <w:tc>
          <w:tcPr>
            <w:tcW w:w="1231" w:type="dxa"/>
            <w:vAlign w:val="center"/>
          </w:tcPr>
          <w:p w14:paraId="03CE0385">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t/a</w:t>
            </w:r>
          </w:p>
        </w:tc>
        <w:tc>
          <w:tcPr>
            <w:tcW w:w="1491" w:type="dxa"/>
            <w:vAlign w:val="center"/>
          </w:tcPr>
          <w:p w14:paraId="075B4950">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30</w:t>
            </w:r>
          </w:p>
        </w:tc>
        <w:tc>
          <w:tcPr>
            <w:tcW w:w="1441" w:type="dxa"/>
            <w:vAlign w:val="center"/>
          </w:tcPr>
          <w:p w14:paraId="57C31CCB">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10t</w:t>
            </w:r>
          </w:p>
        </w:tc>
        <w:tc>
          <w:tcPr>
            <w:tcW w:w="2576" w:type="dxa"/>
            <w:vAlign w:val="center"/>
          </w:tcPr>
          <w:p w14:paraId="66F1478A">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袋装，储存在医疗废物处置车间</w:t>
            </w:r>
          </w:p>
        </w:tc>
      </w:tr>
      <w:tr w14:paraId="0D1C5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vMerge w:val="continue"/>
            <w:vAlign w:val="center"/>
          </w:tcPr>
          <w:p w14:paraId="06D92D0E">
            <w:pPr>
              <w:spacing w:line="300" w:lineRule="exact"/>
              <w:jc w:val="center"/>
              <w:rPr>
                <w:rFonts w:hint="default" w:ascii="Times New Roman" w:hAnsi="Times New Roman" w:eastAsia="华文中宋" w:cs="Times New Roman"/>
                <w:szCs w:val="21"/>
                <w:highlight w:val="none"/>
                <w:lang w:val="en-US" w:eastAsia="zh-CN"/>
              </w:rPr>
            </w:pPr>
          </w:p>
        </w:tc>
        <w:tc>
          <w:tcPr>
            <w:tcW w:w="1065" w:type="dxa"/>
            <w:vAlign w:val="center"/>
          </w:tcPr>
          <w:p w14:paraId="24A5913A">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消石灰</w:t>
            </w:r>
          </w:p>
        </w:tc>
        <w:tc>
          <w:tcPr>
            <w:tcW w:w="1231" w:type="dxa"/>
            <w:vAlign w:val="center"/>
          </w:tcPr>
          <w:p w14:paraId="13292B4C">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t/a</w:t>
            </w:r>
          </w:p>
        </w:tc>
        <w:tc>
          <w:tcPr>
            <w:tcW w:w="1491" w:type="dxa"/>
            <w:vAlign w:val="center"/>
          </w:tcPr>
          <w:p w14:paraId="60E73BDE">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8</w:t>
            </w:r>
          </w:p>
        </w:tc>
        <w:tc>
          <w:tcPr>
            <w:tcW w:w="1441" w:type="dxa"/>
            <w:vAlign w:val="center"/>
          </w:tcPr>
          <w:p w14:paraId="6FEFB97A">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1t/a</w:t>
            </w:r>
          </w:p>
        </w:tc>
        <w:tc>
          <w:tcPr>
            <w:tcW w:w="2576" w:type="dxa"/>
            <w:vAlign w:val="center"/>
          </w:tcPr>
          <w:p w14:paraId="31E53D7F">
            <w:pPr>
              <w:spacing w:line="300" w:lineRule="exact"/>
              <w:jc w:val="center"/>
              <w:rPr>
                <w:rFonts w:hint="default" w:ascii="Times New Roman" w:hAnsi="Times New Roman" w:eastAsia="华文中宋" w:cs="Times New Roman"/>
                <w:szCs w:val="21"/>
                <w:highlight w:val="none"/>
                <w:lang w:val="en-US" w:eastAsia="zh-CN"/>
              </w:rPr>
            </w:pPr>
            <w:r>
              <w:rPr>
                <w:rFonts w:hint="default" w:ascii="Times New Roman" w:hAnsi="Times New Roman" w:eastAsia="华文中宋" w:cs="Times New Roman"/>
                <w:szCs w:val="21"/>
                <w:highlight w:val="none"/>
                <w:lang w:val="en-US" w:eastAsia="zh-CN"/>
              </w:rPr>
              <w:t>存放于</w:t>
            </w:r>
            <w:r>
              <w:rPr>
                <w:rFonts w:hint="eastAsia" w:ascii="Times New Roman" w:hAnsi="Times New Roman" w:eastAsia="华文中宋" w:cs="Times New Roman"/>
                <w:szCs w:val="21"/>
                <w:highlight w:val="none"/>
                <w:lang w:val="en-US" w:eastAsia="zh-CN"/>
              </w:rPr>
              <w:t>消石灰</w:t>
            </w:r>
            <w:r>
              <w:rPr>
                <w:rFonts w:hint="default" w:ascii="Times New Roman" w:hAnsi="Times New Roman" w:eastAsia="华文中宋" w:cs="Times New Roman"/>
                <w:szCs w:val="21"/>
                <w:highlight w:val="none"/>
                <w:lang w:val="en-US" w:eastAsia="zh-CN"/>
              </w:rPr>
              <w:t>料仓</w:t>
            </w:r>
          </w:p>
        </w:tc>
      </w:tr>
      <w:tr w14:paraId="07DA3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vMerge w:val="restart"/>
            <w:vAlign w:val="center"/>
          </w:tcPr>
          <w:p w14:paraId="08A606F8">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能源</w:t>
            </w:r>
          </w:p>
        </w:tc>
        <w:tc>
          <w:tcPr>
            <w:tcW w:w="1065" w:type="dxa"/>
            <w:vAlign w:val="center"/>
          </w:tcPr>
          <w:p w14:paraId="1774DAF3">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电</w:t>
            </w:r>
          </w:p>
        </w:tc>
        <w:tc>
          <w:tcPr>
            <w:tcW w:w="1231" w:type="dxa"/>
            <w:vAlign w:val="center"/>
          </w:tcPr>
          <w:p w14:paraId="3B9B7059">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万kWh</w:t>
            </w:r>
          </w:p>
        </w:tc>
        <w:tc>
          <w:tcPr>
            <w:tcW w:w="1491" w:type="dxa"/>
            <w:vAlign w:val="center"/>
          </w:tcPr>
          <w:p w14:paraId="34DB7424">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36.5</w:t>
            </w:r>
          </w:p>
        </w:tc>
        <w:tc>
          <w:tcPr>
            <w:tcW w:w="1441" w:type="dxa"/>
            <w:vAlign w:val="center"/>
          </w:tcPr>
          <w:p w14:paraId="0867940A">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w:t>
            </w:r>
          </w:p>
        </w:tc>
        <w:tc>
          <w:tcPr>
            <w:tcW w:w="2576" w:type="dxa"/>
            <w:vAlign w:val="center"/>
          </w:tcPr>
          <w:p w14:paraId="4FC07D65">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w:t>
            </w:r>
          </w:p>
        </w:tc>
      </w:tr>
      <w:tr w14:paraId="3019F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vMerge w:val="continue"/>
            <w:vAlign w:val="center"/>
          </w:tcPr>
          <w:p w14:paraId="31FF9F87">
            <w:pPr>
              <w:spacing w:line="300" w:lineRule="exact"/>
              <w:jc w:val="center"/>
              <w:rPr>
                <w:rFonts w:hint="default" w:ascii="Times New Roman" w:hAnsi="Times New Roman" w:eastAsia="华文中宋" w:cs="Times New Roman"/>
                <w:szCs w:val="21"/>
                <w:highlight w:val="none"/>
                <w:lang w:val="en-US" w:eastAsia="zh-CN"/>
              </w:rPr>
            </w:pPr>
          </w:p>
        </w:tc>
        <w:tc>
          <w:tcPr>
            <w:tcW w:w="1065" w:type="dxa"/>
            <w:vAlign w:val="center"/>
          </w:tcPr>
          <w:p w14:paraId="7DEF0ED1">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水</w:t>
            </w:r>
          </w:p>
        </w:tc>
        <w:tc>
          <w:tcPr>
            <w:tcW w:w="1231" w:type="dxa"/>
            <w:vAlign w:val="center"/>
          </w:tcPr>
          <w:p w14:paraId="52A297F4">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m</w:t>
            </w:r>
            <w:r>
              <w:rPr>
                <w:rFonts w:hint="eastAsia" w:ascii="Times New Roman" w:hAnsi="Times New Roman" w:eastAsia="华文中宋" w:cs="Times New Roman"/>
                <w:szCs w:val="21"/>
                <w:highlight w:val="none"/>
                <w:vertAlign w:val="superscript"/>
                <w:lang w:val="en-US" w:eastAsia="zh-CN"/>
              </w:rPr>
              <w:t>3</w:t>
            </w:r>
          </w:p>
        </w:tc>
        <w:tc>
          <w:tcPr>
            <w:tcW w:w="1491" w:type="dxa"/>
            <w:vAlign w:val="center"/>
          </w:tcPr>
          <w:p w14:paraId="10A0941C">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3506.76</w:t>
            </w:r>
          </w:p>
        </w:tc>
        <w:tc>
          <w:tcPr>
            <w:tcW w:w="1441" w:type="dxa"/>
            <w:vAlign w:val="center"/>
          </w:tcPr>
          <w:p w14:paraId="4C88C9C2">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w:t>
            </w:r>
          </w:p>
        </w:tc>
        <w:tc>
          <w:tcPr>
            <w:tcW w:w="2576" w:type="dxa"/>
            <w:vAlign w:val="center"/>
          </w:tcPr>
          <w:p w14:paraId="4DA73D27">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w:t>
            </w:r>
          </w:p>
        </w:tc>
      </w:tr>
      <w:tr w14:paraId="77BA1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vMerge w:val="continue"/>
            <w:vAlign w:val="center"/>
          </w:tcPr>
          <w:p w14:paraId="7FB48B2B">
            <w:pPr>
              <w:spacing w:line="300" w:lineRule="exact"/>
              <w:jc w:val="center"/>
              <w:rPr>
                <w:rFonts w:hint="default" w:ascii="Times New Roman" w:hAnsi="Times New Roman" w:eastAsia="华文中宋" w:cs="Times New Roman"/>
                <w:szCs w:val="21"/>
                <w:highlight w:val="none"/>
                <w:lang w:val="en-US" w:eastAsia="zh-CN"/>
              </w:rPr>
            </w:pPr>
          </w:p>
        </w:tc>
        <w:tc>
          <w:tcPr>
            <w:tcW w:w="1065" w:type="dxa"/>
            <w:vAlign w:val="center"/>
          </w:tcPr>
          <w:p w14:paraId="1659C811">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柴油</w:t>
            </w:r>
          </w:p>
        </w:tc>
        <w:tc>
          <w:tcPr>
            <w:tcW w:w="1231" w:type="dxa"/>
            <w:vAlign w:val="center"/>
          </w:tcPr>
          <w:p w14:paraId="776406CF">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t/a</w:t>
            </w:r>
          </w:p>
        </w:tc>
        <w:tc>
          <w:tcPr>
            <w:tcW w:w="1491" w:type="dxa"/>
            <w:vAlign w:val="center"/>
          </w:tcPr>
          <w:p w14:paraId="2AA2AE58">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21.9</w:t>
            </w:r>
          </w:p>
        </w:tc>
        <w:tc>
          <w:tcPr>
            <w:tcW w:w="1441" w:type="dxa"/>
            <w:vAlign w:val="center"/>
          </w:tcPr>
          <w:p w14:paraId="389F2B86">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2.55</w:t>
            </w:r>
          </w:p>
        </w:tc>
        <w:tc>
          <w:tcPr>
            <w:tcW w:w="2576" w:type="dxa"/>
            <w:vAlign w:val="center"/>
          </w:tcPr>
          <w:p w14:paraId="0BC87EEA">
            <w:pPr>
              <w:spacing w:line="300" w:lineRule="exact"/>
              <w:jc w:val="center"/>
              <w:rPr>
                <w:rFonts w:hint="default" w:ascii="Times New Roman" w:hAnsi="Times New Roman" w:eastAsia="华文中宋" w:cs="Times New Roman"/>
                <w:szCs w:val="21"/>
                <w:highlight w:val="none"/>
                <w:lang w:val="en-US" w:eastAsia="zh-CN"/>
              </w:rPr>
            </w:pPr>
            <w:r>
              <w:rPr>
                <w:rFonts w:hint="eastAsia" w:ascii="Times New Roman" w:hAnsi="Times New Roman" w:eastAsia="华文中宋" w:cs="Times New Roman"/>
                <w:szCs w:val="21"/>
                <w:highlight w:val="none"/>
                <w:lang w:val="en-US" w:eastAsia="zh-CN"/>
              </w:rPr>
              <w:t>厂区柴油储罐</w:t>
            </w:r>
          </w:p>
        </w:tc>
      </w:tr>
    </w:tbl>
    <w:p w14:paraId="5CC18763">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（3）污染物排放情况及环境保护措施</w:t>
      </w:r>
    </w:p>
    <w:p w14:paraId="5728CC85">
      <w:pPr>
        <w:snapToGrid w:val="0"/>
        <w:spacing w:before="241"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表8.2-2  污染物排放总量</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3"/>
        <w:gridCol w:w="1168"/>
        <w:gridCol w:w="2017"/>
        <w:gridCol w:w="1683"/>
        <w:gridCol w:w="1467"/>
        <w:gridCol w:w="1414"/>
      </w:tblGrid>
      <w:tr w14:paraId="00611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Align w:val="center"/>
          </w:tcPr>
          <w:p w14:paraId="220BDD1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类别</w:t>
            </w:r>
          </w:p>
        </w:tc>
        <w:tc>
          <w:tcPr>
            <w:tcW w:w="3185" w:type="dxa"/>
            <w:gridSpan w:val="2"/>
            <w:vAlign w:val="center"/>
          </w:tcPr>
          <w:p w14:paraId="4F4938C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污染物名称</w:t>
            </w:r>
          </w:p>
        </w:tc>
        <w:tc>
          <w:tcPr>
            <w:tcW w:w="1683" w:type="dxa"/>
            <w:vAlign w:val="center"/>
          </w:tcPr>
          <w:p w14:paraId="4980AD1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产生量（t/a）</w:t>
            </w:r>
          </w:p>
        </w:tc>
        <w:tc>
          <w:tcPr>
            <w:tcW w:w="1467" w:type="dxa"/>
            <w:vAlign w:val="center"/>
          </w:tcPr>
          <w:p w14:paraId="6B55870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消减量（t/a）</w:t>
            </w:r>
          </w:p>
        </w:tc>
        <w:tc>
          <w:tcPr>
            <w:tcW w:w="1414" w:type="dxa"/>
            <w:vAlign w:val="center"/>
          </w:tcPr>
          <w:p w14:paraId="157DFCA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排放量（t/a）</w:t>
            </w:r>
          </w:p>
        </w:tc>
      </w:tr>
      <w:tr w14:paraId="5C131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3" w:type="dxa"/>
            <w:vMerge w:val="restart"/>
            <w:vAlign w:val="center"/>
          </w:tcPr>
          <w:p w14:paraId="39260D9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废气</w:t>
            </w:r>
          </w:p>
        </w:tc>
        <w:tc>
          <w:tcPr>
            <w:tcW w:w="1168" w:type="dxa"/>
            <w:vMerge w:val="restart"/>
            <w:vAlign w:val="center"/>
          </w:tcPr>
          <w:p w14:paraId="5C82E37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有组织焚烧烟气</w:t>
            </w:r>
          </w:p>
        </w:tc>
        <w:tc>
          <w:tcPr>
            <w:tcW w:w="2017" w:type="dxa"/>
            <w:shd w:val="clear" w:color="auto" w:fill="auto"/>
            <w:vAlign w:val="center"/>
          </w:tcPr>
          <w:p w14:paraId="263BD44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烟尘</w:t>
            </w:r>
          </w:p>
        </w:tc>
        <w:tc>
          <w:tcPr>
            <w:tcW w:w="1683" w:type="dxa"/>
            <w:shd w:val="clear" w:color="auto" w:fill="auto"/>
            <w:vAlign w:val="center"/>
          </w:tcPr>
          <w:p w14:paraId="1B51EFFA">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44.533</w:t>
            </w:r>
          </w:p>
        </w:tc>
        <w:tc>
          <w:tcPr>
            <w:tcW w:w="1467" w:type="dxa"/>
            <w:vAlign w:val="center"/>
          </w:tcPr>
          <w:p w14:paraId="4C5415D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44.355</w:t>
            </w:r>
          </w:p>
        </w:tc>
        <w:tc>
          <w:tcPr>
            <w:tcW w:w="1414" w:type="dxa"/>
            <w:shd w:val="clear" w:color="auto" w:fill="auto"/>
            <w:vAlign w:val="center"/>
          </w:tcPr>
          <w:p w14:paraId="5981622D">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highlight w:val="none"/>
                <w:lang w:val="en-US" w:eastAsia="zh-CN"/>
              </w:rPr>
              <w:t>0.</w:t>
            </w:r>
            <w:r>
              <w:rPr>
                <w:rFonts w:hint="eastAsia" w:ascii="Times New Roman" w:hAnsi="Times New Roman" w:cs="Times New Roman"/>
                <w:szCs w:val="21"/>
                <w:highlight w:val="none"/>
                <w:lang w:val="en-US" w:eastAsia="zh-CN"/>
              </w:rPr>
              <w:t>178</w:t>
            </w:r>
          </w:p>
        </w:tc>
      </w:tr>
      <w:tr w14:paraId="76266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15202D6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017B7D75">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55F0A2A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SO</w:t>
            </w:r>
            <w:r>
              <w:rPr>
                <w:rFonts w:hint="eastAsia" w:ascii="Times New Roman" w:hAnsi="Times New Roman" w:cs="Times New Roman" w:eastAsiaTheme="minorEastAsia"/>
                <w:szCs w:val="21"/>
                <w:vertAlign w:val="subscript"/>
                <w:lang w:val="en-US" w:eastAsia="zh-CN"/>
              </w:rPr>
              <w:t>2</w:t>
            </w:r>
          </w:p>
        </w:tc>
        <w:tc>
          <w:tcPr>
            <w:tcW w:w="1683" w:type="dxa"/>
            <w:shd w:val="clear" w:color="auto" w:fill="auto"/>
            <w:vAlign w:val="center"/>
          </w:tcPr>
          <w:p w14:paraId="33AE5383">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3.190</w:t>
            </w:r>
          </w:p>
        </w:tc>
        <w:tc>
          <w:tcPr>
            <w:tcW w:w="1467" w:type="dxa"/>
            <w:vAlign w:val="center"/>
          </w:tcPr>
          <w:p w14:paraId="5C7D958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2.935</w:t>
            </w:r>
          </w:p>
        </w:tc>
        <w:tc>
          <w:tcPr>
            <w:tcW w:w="1414" w:type="dxa"/>
            <w:shd w:val="clear" w:color="auto" w:fill="auto"/>
            <w:vAlign w:val="center"/>
          </w:tcPr>
          <w:p w14:paraId="715162CF">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highlight w:val="none"/>
                <w:lang w:val="en-US" w:eastAsia="zh-CN"/>
              </w:rPr>
              <w:t>0.</w:t>
            </w:r>
            <w:r>
              <w:rPr>
                <w:rFonts w:hint="eastAsia" w:ascii="Times New Roman" w:hAnsi="Times New Roman" w:cs="Times New Roman"/>
                <w:szCs w:val="21"/>
                <w:highlight w:val="none"/>
                <w:lang w:val="en-US" w:eastAsia="zh-CN"/>
              </w:rPr>
              <w:t>255</w:t>
            </w:r>
          </w:p>
        </w:tc>
      </w:tr>
      <w:tr w14:paraId="506CB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6CD0BEA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2407B9C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1F1A5AA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NOx</w:t>
            </w:r>
          </w:p>
        </w:tc>
        <w:tc>
          <w:tcPr>
            <w:tcW w:w="1683" w:type="dxa"/>
            <w:shd w:val="clear" w:color="auto" w:fill="auto"/>
            <w:vAlign w:val="center"/>
          </w:tcPr>
          <w:p w14:paraId="61C93ADC">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2.087</w:t>
            </w:r>
          </w:p>
        </w:tc>
        <w:tc>
          <w:tcPr>
            <w:tcW w:w="1467" w:type="dxa"/>
            <w:vAlign w:val="center"/>
          </w:tcPr>
          <w:p w14:paraId="3AF59B6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0.835</w:t>
            </w:r>
          </w:p>
        </w:tc>
        <w:tc>
          <w:tcPr>
            <w:tcW w:w="1414" w:type="dxa"/>
            <w:shd w:val="clear" w:color="auto" w:fill="auto"/>
            <w:vAlign w:val="center"/>
          </w:tcPr>
          <w:p w14:paraId="3DA5BD01">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1.252</w:t>
            </w:r>
          </w:p>
        </w:tc>
      </w:tr>
      <w:tr w14:paraId="572DB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327F18C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5F13D5E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46D2ED5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CO</w:t>
            </w:r>
          </w:p>
        </w:tc>
        <w:tc>
          <w:tcPr>
            <w:tcW w:w="1683" w:type="dxa"/>
            <w:shd w:val="clear" w:color="auto" w:fill="auto"/>
            <w:vAlign w:val="center"/>
          </w:tcPr>
          <w:p w14:paraId="3ECD922D">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0.345</w:t>
            </w:r>
          </w:p>
        </w:tc>
        <w:tc>
          <w:tcPr>
            <w:tcW w:w="1467" w:type="dxa"/>
            <w:vAlign w:val="center"/>
          </w:tcPr>
          <w:p w14:paraId="0DDE03B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c>
          <w:tcPr>
            <w:tcW w:w="1414" w:type="dxa"/>
            <w:shd w:val="clear" w:color="auto" w:fill="auto"/>
            <w:vAlign w:val="center"/>
          </w:tcPr>
          <w:p w14:paraId="1E5AAAD3">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w:t>
            </w:r>
            <w:r>
              <w:rPr>
                <w:rFonts w:hint="eastAsia" w:ascii="Times New Roman" w:hAnsi="Times New Roman" w:cs="Times New Roman"/>
                <w:szCs w:val="21"/>
                <w:lang w:val="en-US" w:eastAsia="zh-CN"/>
              </w:rPr>
              <w:t>345</w:t>
            </w:r>
          </w:p>
        </w:tc>
      </w:tr>
      <w:tr w14:paraId="68E51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6508519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14B0976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48FA269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HCl</w:t>
            </w:r>
          </w:p>
        </w:tc>
        <w:tc>
          <w:tcPr>
            <w:tcW w:w="1683" w:type="dxa"/>
            <w:shd w:val="clear" w:color="auto" w:fill="auto"/>
            <w:vAlign w:val="center"/>
          </w:tcPr>
          <w:p w14:paraId="3579477F">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1.446</w:t>
            </w:r>
          </w:p>
        </w:tc>
        <w:tc>
          <w:tcPr>
            <w:tcW w:w="1467" w:type="dxa"/>
            <w:vAlign w:val="center"/>
          </w:tcPr>
          <w:p w14:paraId="2CF3846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1.302</w:t>
            </w:r>
          </w:p>
        </w:tc>
        <w:tc>
          <w:tcPr>
            <w:tcW w:w="1414" w:type="dxa"/>
            <w:shd w:val="clear" w:color="auto" w:fill="auto"/>
            <w:vAlign w:val="center"/>
          </w:tcPr>
          <w:p w14:paraId="4EB2BE15">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0.1</w:t>
            </w:r>
            <w:r>
              <w:rPr>
                <w:rFonts w:hint="eastAsia" w:ascii="Times New Roman" w:hAnsi="Times New Roman" w:cs="Times New Roman"/>
                <w:szCs w:val="21"/>
                <w:lang w:val="en-US" w:eastAsia="zh-CN"/>
              </w:rPr>
              <w:t>44</w:t>
            </w:r>
          </w:p>
        </w:tc>
      </w:tr>
      <w:tr w14:paraId="382F9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064A8EC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558C87F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765F656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HF</w:t>
            </w:r>
          </w:p>
        </w:tc>
        <w:tc>
          <w:tcPr>
            <w:tcW w:w="1683" w:type="dxa"/>
            <w:shd w:val="clear" w:color="auto" w:fill="auto"/>
            <w:vAlign w:val="center"/>
          </w:tcPr>
          <w:p w14:paraId="340E18BC">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0.199</w:t>
            </w:r>
          </w:p>
        </w:tc>
        <w:tc>
          <w:tcPr>
            <w:tcW w:w="1467" w:type="dxa"/>
            <w:vAlign w:val="center"/>
          </w:tcPr>
          <w:p w14:paraId="1F17D1C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r>
              <w:rPr>
                <w:rFonts w:hint="eastAsia" w:ascii="Times New Roman" w:hAnsi="Times New Roman" w:cs="Times New Roman"/>
                <w:szCs w:val="21"/>
                <w:lang w:val="en-US" w:eastAsia="zh-CN"/>
              </w:rPr>
              <w:t>159</w:t>
            </w:r>
          </w:p>
        </w:tc>
        <w:tc>
          <w:tcPr>
            <w:tcW w:w="1414" w:type="dxa"/>
            <w:shd w:val="clear" w:color="auto" w:fill="auto"/>
            <w:vAlign w:val="center"/>
          </w:tcPr>
          <w:p w14:paraId="4BEFDF9E">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0.0</w:t>
            </w:r>
            <w:r>
              <w:rPr>
                <w:rFonts w:hint="eastAsia" w:ascii="Times New Roman" w:hAnsi="Times New Roman" w:cs="Times New Roman"/>
                <w:szCs w:val="21"/>
                <w:lang w:val="en-US" w:eastAsia="zh-CN"/>
              </w:rPr>
              <w:t>4</w:t>
            </w:r>
          </w:p>
        </w:tc>
      </w:tr>
      <w:tr w14:paraId="2F6D3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1A7D710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3DED540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34C3D79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汞及其化合物</w:t>
            </w:r>
          </w:p>
        </w:tc>
        <w:tc>
          <w:tcPr>
            <w:tcW w:w="1683" w:type="dxa"/>
            <w:shd w:val="clear" w:color="auto" w:fill="auto"/>
            <w:vAlign w:val="center"/>
          </w:tcPr>
          <w:p w14:paraId="02BC5027">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2.382</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7</w:t>
            </w:r>
          </w:p>
        </w:tc>
        <w:tc>
          <w:tcPr>
            <w:tcW w:w="1467" w:type="dxa"/>
            <w:vAlign w:val="center"/>
          </w:tcPr>
          <w:p w14:paraId="1D6F9AC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1.667×10</w:t>
            </w:r>
            <w:r>
              <w:rPr>
                <w:rFonts w:hint="eastAsia" w:ascii="Times New Roman" w:hAnsi="Times New Roman" w:cs="Times New Roman"/>
                <w:szCs w:val="21"/>
                <w:vertAlign w:val="superscript"/>
                <w:lang w:val="en-US" w:eastAsia="zh-CN"/>
              </w:rPr>
              <w:t>-7</w:t>
            </w:r>
          </w:p>
        </w:tc>
        <w:tc>
          <w:tcPr>
            <w:tcW w:w="1414" w:type="dxa"/>
            <w:shd w:val="clear" w:color="auto" w:fill="auto"/>
            <w:vAlign w:val="center"/>
          </w:tcPr>
          <w:p w14:paraId="2DA13D24">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7.1</w:t>
            </w:r>
            <w:r>
              <w:rPr>
                <w:rFonts w:hint="eastAsia" w:ascii="Times New Roman" w:hAnsi="Times New Roman" w:cs="Times New Roman"/>
                <w:szCs w:val="21"/>
                <w:lang w:val="en-US" w:eastAsia="zh-CN"/>
              </w:rPr>
              <w:t>46</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8</w:t>
            </w:r>
          </w:p>
        </w:tc>
      </w:tr>
      <w:tr w14:paraId="6FB7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5CAF011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4F9FB3F7">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73BA34C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铅及其化合物</w:t>
            </w:r>
          </w:p>
        </w:tc>
        <w:tc>
          <w:tcPr>
            <w:tcW w:w="1683" w:type="dxa"/>
            <w:shd w:val="clear" w:color="auto" w:fill="auto"/>
            <w:vAlign w:val="center"/>
          </w:tcPr>
          <w:p w14:paraId="2F037911">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6.422</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-4</w:t>
            </w:r>
          </w:p>
        </w:tc>
        <w:tc>
          <w:tcPr>
            <w:tcW w:w="1467" w:type="dxa"/>
            <w:vAlign w:val="center"/>
          </w:tcPr>
          <w:p w14:paraId="4AA99F9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5.138</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-4</w:t>
            </w:r>
          </w:p>
        </w:tc>
        <w:tc>
          <w:tcPr>
            <w:tcW w:w="1414" w:type="dxa"/>
            <w:shd w:val="clear" w:color="auto" w:fill="auto"/>
            <w:vAlign w:val="center"/>
          </w:tcPr>
          <w:p w14:paraId="508D41D7">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1.</w:t>
            </w:r>
            <w:r>
              <w:rPr>
                <w:rFonts w:hint="eastAsia" w:ascii="Times New Roman" w:hAnsi="Times New Roman" w:cs="Times New Roman"/>
                <w:szCs w:val="21"/>
                <w:lang w:val="en-US" w:eastAsia="zh-CN"/>
              </w:rPr>
              <w:t>284</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-4</w:t>
            </w:r>
          </w:p>
        </w:tc>
      </w:tr>
      <w:tr w14:paraId="0E958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17C223C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0C22F76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194BB9C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镉及其化合物</w:t>
            </w:r>
          </w:p>
        </w:tc>
        <w:tc>
          <w:tcPr>
            <w:tcW w:w="1683" w:type="dxa"/>
            <w:shd w:val="clear" w:color="auto" w:fill="auto"/>
            <w:vAlign w:val="center"/>
          </w:tcPr>
          <w:p w14:paraId="506D98B6">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7.665</w:t>
            </w:r>
            <w:r>
              <w:rPr>
                <w:rFonts w:hint="eastAsia" w:ascii="Times New Roman" w:hAnsi="Times New Roman" w:cs="Times New Roman" w:eastAsiaTheme="minorEastAsia"/>
                <w:szCs w:val="21"/>
                <w:lang w:val="en-US" w:eastAsia="zh-CN"/>
              </w:rPr>
              <w:t>×10</w:t>
            </w:r>
            <w:r>
              <w:rPr>
                <w:rFonts w:hint="eastAsia" w:ascii="Times New Roman" w:hAnsi="Times New Roman" w:cs="Times New Roman"/>
                <w:szCs w:val="21"/>
                <w:vertAlign w:val="superscript"/>
                <w:lang w:val="en-US" w:eastAsia="zh-CN"/>
              </w:rPr>
              <w:t>-6</w:t>
            </w:r>
          </w:p>
        </w:tc>
        <w:tc>
          <w:tcPr>
            <w:tcW w:w="1467" w:type="dxa"/>
            <w:vAlign w:val="center"/>
          </w:tcPr>
          <w:p w14:paraId="2873556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6.132×10</w:t>
            </w:r>
            <w:r>
              <w:rPr>
                <w:rFonts w:hint="eastAsia" w:ascii="Times New Roman" w:hAnsi="Times New Roman" w:cs="Times New Roman"/>
                <w:szCs w:val="21"/>
                <w:vertAlign w:val="superscript"/>
                <w:lang w:val="en-US" w:eastAsia="zh-CN"/>
              </w:rPr>
              <w:t>-6</w:t>
            </w:r>
          </w:p>
        </w:tc>
        <w:tc>
          <w:tcPr>
            <w:tcW w:w="1414" w:type="dxa"/>
            <w:shd w:val="clear" w:color="auto" w:fill="auto"/>
            <w:vAlign w:val="center"/>
          </w:tcPr>
          <w:p w14:paraId="25788C2C">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highlight w:val="none"/>
                <w:lang w:val="en-US" w:eastAsia="zh-CN"/>
              </w:rPr>
              <w:t>1.533</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-6</w:t>
            </w:r>
          </w:p>
        </w:tc>
      </w:tr>
      <w:tr w14:paraId="2C745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327EC26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280CB76F">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62A992C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砷及其化合物</w:t>
            </w:r>
          </w:p>
        </w:tc>
        <w:tc>
          <w:tcPr>
            <w:tcW w:w="1683" w:type="dxa"/>
            <w:shd w:val="clear" w:color="auto" w:fill="auto"/>
            <w:vAlign w:val="center"/>
          </w:tcPr>
          <w:p w14:paraId="2F7909B9">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6.57</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-3</w:t>
            </w:r>
          </w:p>
        </w:tc>
        <w:tc>
          <w:tcPr>
            <w:tcW w:w="1467" w:type="dxa"/>
            <w:vAlign w:val="center"/>
          </w:tcPr>
          <w:p w14:paraId="234DE3C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2.929×10</w:t>
            </w:r>
            <w:r>
              <w:rPr>
                <w:rFonts w:hint="eastAsia" w:ascii="Times New Roman" w:hAnsi="Times New Roman" w:cs="Times New Roman"/>
                <w:szCs w:val="21"/>
                <w:vertAlign w:val="superscript"/>
                <w:lang w:val="en-US" w:eastAsia="zh-CN"/>
              </w:rPr>
              <w:t>-3</w:t>
            </w:r>
          </w:p>
        </w:tc>
        <w:tc>
          <w:tcPr>
            <w:tcW w:w="1414" w:type="dxa"/>
            <w:shd w:val="clear" w:color="auto" w:fill="auto"/>
            <w:vAlign w:val="center"/>
          </w:tcPr>
          <w:p w14:paraId="06558255">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1.314</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3</w:t>
            </w:r>
          </w:p>
        </w:tc>
      </w:tr>
      <w:tr w14:paraId="22008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37422D5A">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74A8BA6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13C64C6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铬及其化合物</w:t>
            </w:r>
          </w:p>
        </w:tc>
        <w:tc>
          <w:tcPr>
            <w:tcW w:w="1683" w:type="dxa"/>
            <w:shd w:val="clear" w:color="auto" w:fill="auto"/>
            <w:vAlign w:val="center"/>
          </w:tcPr>
          <w:p w14:paraId="2C46DEC7">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5.17</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-3</w:t>
            </w:r>
          </w:p>
        </w:tc>
        <w:tc>
          <w:tcPr>
            <w:tcW w:w="1467" w:type="dxa"/>
            <w:vAlign w:val="center"/>
          </w:tcPr>
          <w:p w14:paraId="31F9EC5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4.17×10</w:t>
            </w:r>
            <w:r>
              <w:rPr>
                <w:rFonts w:hint="eastAsia" w:ascii="Times New Roman" w:hAnsi="Times New Roman" w:cs="Times New Roman"/>
                <w:szCs w:val="21"/>
                <w:vertAlign w:val="superscript"/>
                <w:lang w:val="en-US" w:eastAsia="zh-CN"/>
              </w:rPr>
              <w:t>-3</w:t>
            </w:r>
          </w:p>
        </w:tc>
        <w:tc>
          <w:tcPr>
            <w:tcW w:w="1414" w:type="dxa"/>
            <w:shd w:val="clear" w:color="auto" w:fill="auto"/>
            <w:vAlign w:val="center"/>
          </w:tcPr>
          <w:p w14:paraId="65B04E2C">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0.001</w:t>
            </w:r>
          </w:p>
        </w:tc>
      </w:tr>
      <w:tr w14:paraId="6B12D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6A93217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098ABFA5">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1464728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铊及其化合物</w:t>
            </w:r>
          </w:p>
        </w:tc>
        <w:tc>
          <w:tcPr>
            <w:tcW w:w="1683" w:type="dxa"/>
            <w:shd w:val="clear" w:color="auto" w:fill="auto"/>
            <w:vAlign w:val="center"/>
          </w:tcPr>
          <w:p w14:paraId="024F23EB">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9.598</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-6</w:t>
            </w:r>
          </w:p>
        </w:tc>
        <w:tc>
          <w:tcPr>
            <w:tcW w:w="1467" w:type="dxa"/>
            <w:vAlign w:val="center"/>
          </w:tcPr>
          <w:p w14:paraId="3359055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7.678×10</w:t>
            </w:r>
            <w:r>
              <w:rPr>
                <w:rFonts w:hint="eastAsia" w:ascii="Times New Roman" w:hAnsi="Times New Roman" w:cs="Times New Roman"/>
                <w:szCs w:val="21"/>
                <w:vertAlign w:val="superscript"/>
                <w:lang w:val="en-US" w:eastAsia="zh-CN"/>
              </w:rPr>
              <w:t>-6</w:t>
            </w:r>
          </w:p>
        </w:tc>
        <w:tc>
          <w:tcPr>
            <w:tcW w:w="1414" w:type="dxa"/>
            <w:shd w:val="clear" w:color="auto" w:fill="auto"/>
            <w:vAlign w:val="center"/>
          </w:tcPr>
          <w:p w14:paraId="048FD178">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1.92</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w:t>
            </w:r>
            <w:r>
              <w:rPr>
                <w:rFonts w:hint="eastAsia" w:ascii="Times New Roman" w:hAnsi="Times New Roman" w:cs="Times New Roman"/>
                <w:szCs w:val="21"/>
                <w:vertAlign w:val="superscript"/>
                <w:lang w:val="en-US" w:eastAsia="zh-CN"/>
              </w:rPr>
              <w:t>6</w:t>
            </w:r>
          </w:p>
        </w:tc>
      </w:tr>
      <w:tr w14:paraId="71B24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17634EB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4F6E8D6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6844F77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Sn+Sb+Cu+Mn+Ni</w:t>
            </w:r>
          </w:p>
        </w:tc>
        <w:tc>
          <w:tcPr>
            <w:tcW w:w="1683" w:type="dxa"/>
            <w:shd w:val="clear" w:color="auto" w:fill="auto"/>
            <w:vAlign w:val="center"/>
          </w:tcPr>
          <w:p w14:paraId="1BA0615E">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3.575</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-3</w:t>
            </w:r>
          </w:p>
        </w:tc>
        <w:tc>
          <w:tcPr>
            <w:tcW w:w="1467" w:type="dxa"/>
            <w:vAlign w:val="center"/>
          </w:tcPr>
          <w:p w14:paraId="3E2279B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286×10</w:t>
            </w:r>
            <w:r>
              <w:rPr>
                <w:rFonts w:hint="eastAsia" w:ascii="Times New Roman" w:hAnsi="Times New Roman" w:cs="Times New Roman"/>
                <w:szCs w:val="21"/>
                <w:vertAlign w:val="superscript"/>
                <w:lang w:val="en-US" w:eastAsia="zh-CN"/>
              </w:rPr>
              <w:t>-3</w:t>
            </w:r>
          </w:p>
        </w:tc>
        <w:tc>
          <w:tcPr>
            <w:tcW w:w="1414" w:type="dxa"/>
            <w:shd w:val="clear" w:color="auto" w:fill="auto"/>
            <w:vAlign w:val="center"/>
          </w:tcPr>
          <w:p w14:paraId="6B9EB9EF">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highlight w:val="none"/>
                <w:lang w:val="en-US" w:eastAsia="zh-CN"/>
              </w:rPr>
              <w:t>7.150</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-4</w:t>
            </w:r>
          </w:p>
        </w:tc>
      </w:tr>
      <w:tr w14:paraId="2A8D3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01E9C93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4FC6156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6ACB697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二噁英类</w:t>
            </w:r>
          </w:p>
        </w:tc>
        <w:tc>
          <w:tcPr>
            <w:tcW w:w="1683" w:type="dxa"/>
            <w:shd w:val="clear" w:color="auto" w:fill="auto"/>
            <w:vAlign w:val="center"/>
          </w:tcPr>
          <w:p w14:paraId="2CECE12A">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6.293</w:t>
            </w:r>
            <w:r>
              <w:rPr>
                <w:rFonts w:hint="eastAsia" w:ascii="Times New Roman" w:hAnsi="Times New Roman" w:cs="Times New Roman" w:eastAsiaTheme="minorEastAsia"/>
                <w:szCs w:val="21"/>
                <w:lang w:val="en-US" w:eastAsia="zh-CN"/>
              </w:rPr>
              <w:t>×10</w:t>
            </w:r>
            <w:r>
              <w:rPr>
                <w:rFonts w:hint="eastAsia" w:ascii="Times New Roman" w:hAnsi="Times New Roman" w:cs="Times New Roman" w:eastAsiaTheme="minorEastAsia"/>
                <w:szCs w:val="21"/>
                <w:vertAlign w:val="superscript"/>
                <w:lang w:val="en-US" w:eastAsia="zh-CN"/>
              </w:rPr>
              <w:t>-10</w:t>
            </w:r>
          </w:p>
        </w:tc>
        <w:tc>
          <w:tcPr>
            <w:tcW w:w="1467" w:type="dxa"/>
            <w:vAlign w:val="center"/>
          </w:tcPr>
          <w:p w14:paraId="092F001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5.79×10</w:t>
            </w:r>
            <w:r>
              <w:rPr>
                <w:rFonts w:hint="eastAsia" w:ascii="Times New Roman" w:hAnsi="Times New Roman" w:cs="Times New Roman"/>
                <w:szCs w:val="21"/>
                <w:vertAlign w:val="superscript"/>
                <w:lang w:val="en-US" w:eastAsia="zh-CN"/>
              </w:rPr>
              <w:t>-10</w:t>
            </w:r>
          </w:p>
        </w:tc>
        <w:tc>
          <w:tcPr>
            <w:tcW w:w="1414" w:type="dxa"/>
            <w:shd w:val="clear" w:color="auto" w:fill="auto"/>
            <w:vAlign w:val="center"/>
          </w:tcPr>
          <w:p w14:paraId="1B5DE6E9">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highlight w:val="none"/>
                <w:lang w:val="en-US" w:eastAsia="zh-CN"/>
              </w:rPr>
              <w:t>5.034</w:t>
            </w:r>
            <w:r>
              <w:rPr>
                <w:rFonts w:hint="eastAsia" w:ascii="Times New Roman" w:hAnsi="Times New Roman" w:cs="Times New Roman" w:eastAsiaTheme="minorEastAsia"/>
                <w:szCs w:val="21"/>
                <w:highlight w:val="none"/>
                <w:lang w:val="en-US" w:eastAsia="zh-CN"/>
              </w:rPr>
              <w:t>×10</w:t>
            </w:r>
            <w:r>
              <w:rPr>
                <w:rFonts w:hint="eastAsia" w:ascii="Times New Roman" w:hAnsi="Times New Roman" w:cs="Times New Roman" w:eastAsiaTheme="minorEastAsia"/>
                <w:szCs w:val="21"/>
                <w:highlight w:val="none"/>
                <w:vertAlign w:val="superscript"/>
                <w:lang w:val="en-US" w:eastAsia="zh-CN"/>
              </w:rPr>
              <w:t>-11</w:t>
            </w:r>
          </w:p>
        </w:tc>
      </w:tr>
      <w:tr w14:paraId="51B8F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73" w:type="dxa"/>
            <w:vMerge w:val="continue"/>
            <w:vAlign w:val="center"/>
          </w:tcPr>
          <w:p w14:paraId="430FFBB5">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restart"/>
            <w:vAlign w:val="center"/>
          </w:tcPr>
          <w:p w14:paraId="1EF5E1C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医疗废物贮存废气</w:t>
            </w:r>
          </w:p>
        </w:tc>
        <w:tc>
          <w:tcPr>
            <w:tcW w:w="2017" w:type="dxa"/>
            <w:vAlign w:val="center"/>
          </w:tcPr>
          <w:p w14:paraId="1E0E173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H</w:t>
            </w:r>
            <w:r>
              <w:rPr>
                <w:rFonts w:hint="eastAsia" w:ascii="Times New Roman" w:hAnsi="Times New Roman" w:cs="Times New Roman" w:eastAsiaTheme="minorEastAsia"/>
                <w:szCs w:val="21"/>
                <w:vertAlign w:val="subscript"/>
                <w:lang w:val="en-US" w:eastAsia="zh-CN"/>
              </w:rPr>
              <w:t>2</w:t>
            </w:r>
            <w:r>
              <w:rPr>
                <w:rFonts w:hint="eastAsia" w:ascii="Times New Roman" w:hAnsi="Times New Roman" w:cs="Times New Roman" w:eastAsiaTheme="minorEastAsia"/>
                <w:szCs w:val="21"/>
                <w:lang w:val="en-US" w:eastAsia="zh-CN"/>
              </w:rPr>
              <w:t>S</w:t>
            </w:r>
          </w:p>
        </w:tc>
        <w:tc>
          <w:tcPr>
            <w:tcW w:w="1683" w:type="dxa"/>
            <w:vAlign w:val="center"/>
          </w:tcPr>
          <w:p w14:paraId="6FA3908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0.047</w:t>
            </w:r>
          </w:p>
        </w:tc>
        <w:tc>
          <w:tcPr>
            <w:tcW w:w="1467" w:type="dxa"/>
            <w:vAlign w:val="center"/>
          </w:tcPr>
          <w:p w14:paraId="20DD9B40">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0.042</w:t>
            </w:r>
          </w:p>
        </w:tc>
        <w:tc>
          <w:tcPr>
            <w:tcW w:w="1414" w:type="dxa"/>
            <w:shd w:val="clear" w:color="auto" w:fill="auto"/>
            <w:vAlign w:val="center"/>
          </w:tcPr>
          <w:p w14:paraId="22576D0E">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4.678×10</w:t>
            </w:r>
            <w:r>
              <w:rPr>
                <w:rFonts w:hint="eastAsia" w:ascii="Times New Roman" w:hAnsi="Times New Roman" w:cs="Times New Roman"/>
                <w:szCs w:val="21"/>
                <w:vertAlign w:val="superscript"/>
                <w:lang w:val="en-US" w:eastAsia="zh-CN"/>
              </w:rPr>
              <w:t>-3</w:t>
            </w:r>
          </w:p>
        </w:tc>
      </w:tr>
      <w:tr w14:paraId="1CF8B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773" w:type="dxa"/>
            <w:vMerge w:val="continue"/>
            <w:vAlign w:val="center"/>
          </w:tcPr>
          <w:p w14:paraId="1C6798D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5FCFB903">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vAlign w:val="center"/>
          </w:tcPr>
          <w:p w14:paraId="5B26672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NH</w:t>
            </w:r>
            <w:r>
              <w:rPr>
                <w:rFonts w:hint="eastAsia" w:ascii="Times New Roman" w:hAnsi="Times New Roman" w:cs="Times New Roman" w:eastAsiaTheme="minorEastAsia"/>
                <w:szCs w:val="21"/>
                <w:vertAlign w:val="subscript"/>
                <w:lang w:val="en-US" w:eastAsia="zh-CN"/>
              </w:rPr>
              <w:t>3</w:t>
            </w:r>
          </w:p>
        </w:tc>
        <w:tc>
          <w:tcPr>
            <w:tcW w:w="1683" w:type="dxa"/>
            <w:vAlign w:val="center"/>
          </w:tcPr>
          <w:p w14:paraId="6AB72B0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0.037</w:t>
            </w:r>
          </w:p>
        </w:tc>
        <w:tc>
          <w:tcPr>
            <w:tcW w:w="1467" w:type="dxa"/>
            <w:vAlign w:val="center"/>
          </w:tcPr>
          <w:p w14:paraId="5920ECFA">
            <w:pPr>
              <w:autoSpaceDE w:val="0"/>
              <w:autoSpaceDN w:val="0"/>
              <w:spacing w:line="300" w:lineRule="exact"/>
              <w:jc w:val="center"/>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0.033</w:t>
            </w:r>
          </w:p>
        </w:tc>
        <w:tc>
          <w:tcPr>
            <w:tcW w:w="1414" w:type="dxa"/>
            <w:shd w:val="clear" w:color="auto" w:fill="auto"/>
            <w:vAlign w:val="center"/>
          </w:tcPr>
          <w:p w14:paraId="3F8610DA">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3.711×10</w:t>
            </w:r>
            <w:r>
              <w:rPr>
                <w:rFonts w:hint="eastAsia" w:ascii="Times New Roman" w:hAnsi="Times New Roman" w:cs="Times New Roman"/>
                <w:szCs w:val="21"/>
                <w:vertAlign w:val="superscript"/>
                <w:lang w:val="en-US" w:eastAsia="zh-CN"/>
              </w:rPr>
              <w:t>-3</w:t>
            </w:r>
          </w:p>
        </w:tc>
      </w:tr>
      <w:tr w14:paraId="7E477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restart"/>
            <w:vAlign w:val="center"/>
          </w:tcPr>
          <w:p w14:paraId="021D3FC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废水</w:t>
            </w:r>
          </w:p>
        </w:tc>
        <w:tc>
          <w:tcPr>
            <w:tcW w:w="1168" w:type="dxa"/>
            <w:shd w:val="clear" w:color="auto" w:fill="auto"/>
            <w:vAlign w:val="center"/>
          </w:tcPr>
          <w:p w14:paraId="5C16EB7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循环冷却系统定排水</w:t>
            </w:r>
          </w:p>
        </w:tc>
        <w:tc>
          <w:tcPr>
            <w:tcW w:w="2017" w:type="dxa"/>
            <w:shd w:val="clear" w:color="auto" w:fill="auto"/>
            <w:vAlign w:val="center"/>
          </w:tcPr>
          <w:p w14:paraId="5FBA8D2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COD</w:t>
            </w:r>
          </w:p>
        </w:tc>
        <w:tc>
          <w:tcPr>
            <w:tcW w:w="1683" w:type="dxa"/>
            <w:shd w:val="clear" w:color="auto" w:fill="auto"/>
            <w:vAlign w:val="center"/>
          </w:tcPr>
          <w:p w14:paraId="7B0FF5D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7.008×10</w:t>
            </w:r>
            <w:r>
              <w:rPr>
                <w:rFonts w:hint="eastAsia" w:ascii="Times New Roman" w:hAnsi="Times New Roman" w:cs="Times New Roman" w:eastAsiaTheme="minorEastAsia"/>
                <w:szCs w:val="21"/>
                <w:vertAlign w:val="superscript"/>
                <w:lang w:val="en-US" w:eastAsia="zh-CN"/>
              </w:rPr>
              <w:t>-4</w:t>
            </w:r>
          </w:p>
        </w:tc>
        <w:tc>
          <w:tcPr>
            <w:tcW w:w="1467" w:type="dxa"/>
            <w:vAlign w:val="center"/>
          </w:tcPr>
          <w:p w14:paraId="4206814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w:t>
            </w:r>
          </w:p>
        </w:tc>
        <w:tc>
          <w:tcPr>
            <w:tcW w:w="1414" w:type="dxa"/>
            <w:shd w:val="clear" w:color="auto" w:fill="auto"/>
            <w:vAlign w:val="center"/>
          </w:tcPr>
          <w:p w14:paraId="43FC0CF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w:t>
            </w:r>
          </w:p>
        </w:tc>
      </w:tr>
      <w:tr w14:paraId="55FF4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7A772ED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shd w:val="clear" w:color="auto" w:fill="auto"/>
            <w:vAlign w:val="center"/>
          </w:tcPr>
          <w:p w14:paraId="1D5FC4C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软水制备废水</w:t>
            </w:r>
          </w:p>
        </w:tc>
        <w:tc>
          <w:tcPr>
            <w:tcW w:w="2017" w:type="dxa"/>
            <w:shd w:val="clear" w:color="auto" w:fill="auto"/>
            <w:vAlign w:val="center"/>
          </w:tcPr>
          <w:p w14:paraId="30B8598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硬度</w:t>
            </w:r>
          </w:p>
        </w:tc>
        <w:tc>
          <w:tcPr>
            <w:tcW w:w="1683" w:type="dxa"/>
            <w:shd w:val="clear" w:color="auto" w:fill="auto"/>
            <w:vAlign w:val="center"/>
          </w:tcPr>
          <w:p w14:paraId="5A4CC5B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w:t>
            </w:r>
          </w:p>
        </w:tc>
        <w:tc>
          <w:tcPr>
            <w:tcW w:w="1467" w:type="dxa"/>
            <w:vAlign w:val="center"/>
          </w:tcPr>
          <w:p w14:paraId="652DD42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w:t>
            </w:r>
          </w:p>
        </w:tc>
        <w:tc>
          <w:tcPr>
            <w:tcW w:w="1414" w:type="dxa"/>
            <w:shd w:val="clear" w:color="auto" w:fill="auto"/>
            <w:vAlign w:val="center"/>
          </w:tcPr>
          <w:p w14:paraId="3B3018E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w:t>
            </w:r>
          </w:p>
        </w:tc>
      </w:tr>
      <w:tr w14:paraId="1AFC5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5E40E72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restart"/>
            <w:vAlign w:val="center"/>
          </w:tcPr>
          <w:p w14:paraId="2A22A00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综合生产废水</w:t>
            </w:r>
          </w:p>
        </w:tc>
        <w:tc>
          <w:tcPr>
            <w:tcW w:w="2017" w:type="dxa"/>
            <w:shd w:val="clear" w:color="auto" w:fill="auto"/>
            <w:vAlign w:val="center"/>
          </w:tcPr>
          <w:p w14:paraId="70260F00">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COD</w:t>
            </w:r>
          </w:p>
        </w:tc>
        <w:tc>
          <w:tcPr>
            <w:tcW w:w="1683" w:type="dxa"/>
            <w:shd w:val="clear" w:color="auto" w:fill="auto"/>
            <w:vAlign w:val="center"/>
          </w:tcPr>
          <w:p w14:paraId="1D7516EE">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0.291</w:t>
            </w:r>
          </w:p>
        </w:tc>
        <w:tc>
          <w:tcPr>
            <w:tcW w:w="1467" w:type="dxa"/>
            <w:vAlign w:val="center"/>
          </w:tcPr>
          <w:p w14:paraId="1601FEE0">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0.394</w:t>
            </w:r>
          </w:p>
        </w:tc>
        <w:tc>
          <w:tcPr>
            <w:tcW w:w="1414" w:type="dxa"/>
            <w:shd w:val="clear" w:color="auto" w:fill="auto"/>
            <w:vAlign w:val="center"/>
          </w:tcPr>
          <w:p w14:paraId="7F45FC84">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0.036</w:t>
            </w:r>
          </w:p>
        </w:tc>
      </w:tr>
      <w:tr w14:paraId="1D82B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3032513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7152EC91">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0041DB9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BOD</w:t>
            </w:r>
            <w:r>
              <w:rPr>
                <w:rFonts w:hint="eastAsia" w:ascii="Times New Roman" w:hAnsi="Times New Roman" w:cs="Times New Roman" w:eastAsiaTheme="minorEastAsia"/>
                <w:szCs w:val="21"/>
                <w:vertAlign w:val="subscript"/>
                <w:lang w:val="en-US" w:eastAsia="zh-CN"/>
              </w:rPr>
              <w:t>5</w:t>
            </w:r>
          </w:p>
        </w:tc>
        <w:tc>
          <w:tcPr>
            <w:tcW w:w="1683" w:type="dxa"/>
            <w:shd w:val="clear" w:color="auto" w:fill="auto"/>
            <w:vAlign w:val="center"/>
          </w:tcPr>
          <w:p w14:paraId="211B26CC">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0.145</w:t>
            </w:r>
          </w:p>
        </w:tc>
        <w:tc>
          <w:tcPr>
            <w:tcW w:w="1467" w:type="dxa"/>
            <w:vAlign w:val="center"/>
          </w:tcPr>
          <w:p w14:paraId="074BFE1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0.214</w:t>
            </w:r>
          </w:p>
        </w:tc>
        <w:tc>
          <w:tcPr>
            <w:tcW w:w="1414" w:type="dxa"/>
            <w:shd w:val="clear" w:color="auto" w:fill="auto"/>
            <w:vAlign w:val="center"/>
          </w:tcPr>
          <w:p w14:paraId="6260DBCC">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0.007</w:t>
            </w:r>
          </w:p>
        </w:tc>
      </w:tr>
      <w:tr w14:paraId="11668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31BD007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6E4FA01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0D151DC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SS</w:t>
            </w:r>
          </w:p>
        </w:tc>
        <w:tc>
          <w:tcPr>
            <w:tcW w:w="1683" w:type="dxa"/>
            <w:shd w:val="clear" w:color="auto" w:fill="auto"/>
            <w:vAlign w:val="center"/>
          </w:tcPr>
          <w:p w14:paraId="686B7695">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0.226</w:t>
            </w:r>
          </w:p>
        </w:tc>
        <w:tc>
          <w:tcPr>
            <w:tcW w:w="1467" w:type="dxa"/>
            <w:vAlign w:val="center"/>
          </w:tcPr>
          <w:p w14:paraId="2C2B78A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0.327</w:t>
            </w:r>
          </w:p>
        </w:tc>
        <w:tc>
          <w:tcPr>
            <w:tcW w:w="1414" w:type="dxa"/>
            <w:shd w:val="clear" w:color="auto" w:fill="auto"/>
            <w:vAlign w:val="center"/>
          </w:tcPr>
          <w:p w14:paraId="011AAAC3">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0.015</w:t>
            </w:r>
          </w:p>
        </w:tc>
      </w:tr>
      <w:tr w14:paraId="66DD8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6A36677A">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47A66B0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417FDF0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NH</w:t>
            </w:r>
            <w:r>
              <w:rPr>
                <w:rFonts w:hint="eastAsia" w:ascii="Times New Roman" w:hAnsi="Times New Roman" w:cs="Times New Roman" w:eastAsiaTheme="minorEastAsia"/>
                <w:szCs w:val="21"/>
                <w:vertAlign w:val="subscript"/>
                <w:lang w:val="en-US" w:eastAsia="zh-CN"/>
              </w:rPr>
              <w:t>3</w:t>
            </w:r>
            <w:r>
              <w:rPr>
                <w:rFonts w:hint="eastAsia" w:ascii="Times New Roman" w:hAnsi="Times New Roman" w:cs="Times New Roman" w:eastAsiaTheme="minorEastAsia"/>
                <w:szCs w:val="21"/>
                <w:lang w:val="en-US" w:eastAsia="zh-CN"/>
              </w:rPr>
              <w:t>-N</w:t>
            </w:r>
          </w:p>
        </w:tc>
        <w:tc>
          <w:tcPr>
            <w:tcW w:w="1683" w:type="dxa"/>
            <w:shd w:val="clear" w:color="auto" w:fill="auto"/>
            <w:vAlign w:val="center"/>
          </w:tcPr>
          <w:p w14:paraId="157803F5">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0.019</w:t>
            </w:r>
          </w:p>
        </w:tc>
        <w:tc>
          <w:tcPr>
            <w:tcW w:w="1467" w:type="dxa"/>
            <w:vAlign w:val="center"/>
          </w:tcPr>
          <w:p w14:paraId="169F860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0.023</w:t>
            </w:r>
          </w:p>
        </w:tc>
        <w:tc>
          <w:tcPr>
            <w:tcW w:w="1414" w:type="dxa"/>
            <w:shd w:val="clear" w:color="auto" w:fill="auto"/>
            <w:vAlign w:val="center"/>
          </w:tcPr>
          <w:p w14:paraId="36E5B291">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0.004</w:t>
            </w:r>
          </w:p>
        </w:tc>
      </w:tr>
      <w:tr w14:paraId="5ADD6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297FF4F5">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13FD740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76FB5A1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Hg</w:t>
            </w:r>
          </w:p>
        </w:tc>
        <w:tc>
          <w:tcPr>
            <w:tcW w:w="1683" w:type="dxa"/>
            <w:shd w:val="clear" w:color="auto" w:fill="auto"/>
            <w:vAlign w:val="center"/>
          </w:tcPr>
          <w:p w14:paraId="32179B6C">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2.907×10</w:t>
            </w:r>
            <w:r>
              <w:rPr>
                <w:rFonts w:hint="eastAsia" w:ascii="Times New Roman" w:hAnsi="Times New Roman" w:cs="Times New Roman"/>
                <w:szCs w:val="21"/>
                <w:vertAlign w:val="superscript"/>
                <w:lang w:val="en-US" w:eastAsia="zh-CN"/>
              </w:rPr>
              <w:t>-6</w:t>
            </w:r>
          </w:p>
        </w:tc>
        <w:tc>
          <w:tcPr>
            <w:tcW w:w="1467" w:type="dxa"/>
            <w:vAlign w:val="center"/>
          </w:tcPr>
          <w:p w14:paraId="26FCA6B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w:t>
            </w:r>
          </w:p>
        </w:tc>
        <w:tc>
          <w:tcPr>
            <w:tcW w:w="1414" w:type="dxa"/>
            <w:shd w:val="clear" w:color="auto" w:fill="auto"/>
            <w:vAlign w:val="center"/>
          </w:tcPr>
          <w:p w14:paraId="1F0124C9">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2.907×10</w:t>
            </w:r>
            <w:r>
              <w:rPr>
                <w:rFonts w:hint="eastAsia" w:ascii="Times New Roman" w:hAnsi="Times New Roman" w:cs="Times New Roman"/>
                <w:szCs w:val="21"/>
                <w:vertAlign w:val="superscript"/>
                <w:lang w:val="en-US" w:eastAsia="zh-CN"/>
              </w:rPr>
              <w:t>-6</w:t>
            </w:r>
          </w:p>
        </w:tc>
      </w:tr>
      <w:tr w14:paraId="409D8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3DFD7DC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7AA64B6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6EC187D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Cd</w:t>
            </w:r>
          </w:p>
        </w:tc>
        <w:tc>
          <w:tcPr>
            <w:tcW w:w="1683" w:type="dxa"/>
            <w:shd w:val="clear" w:color="auto" w:fill="auto"/>
            <w:vAlign w:val="center"/>
          </w:tcPr>
          <w:p w14:paraId="5121E866">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1.09×10</w:t>
            </w:r>
            <w:r>
              <w:rPr>
                <w:rFonts w:hint="eastAsia" w:ascii="Times New Roman" w:hAnsi="Times New Roman" w:cs="Times New Roman"/>
                <w:szCs w:val="21"/>
                <w:vertAlign w:val="superscript"/>
                <w:lang w:val="en-US" w:eastAsia="zh-CN"/>
              </w:rPr>
              <w:t>-5</w:t>
            </w:r>
          </w:p>
        </w:tc>
        <w:tc>
          <w:tcPr>
            <w:tcW w:w="1467" w:type="dxa"/>
            <w:vAlign w:val="center"/>
          </w:tcPr>
          <w:p w14:paraId="5AC0163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w:t>
            </w:r>
          </w:p>
        </w:tc>
        <w:tc>
          <w:tcPr>
            <w:tcW w:w="1414" w:type="dxa"/>
            <w:shd w:val="clear" w:color="auto" w:fill="auto"/>
            <w:vAlign w:val="center"/>
          </w:tcPr>
          <w:p w14:paraId="00C0CE6E">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1.09×10</w:t>
            </w:r>
            <w:r>
              <w:rPr>
                <w:rFonts w:hint="eastAsia" w:ascii="Times New Roman" w:hAnsi="Times New Roman" w:cs="Times New Roman"/>
                <w:szCs w:val="21"/>
                <w:vertAlign w:val="superscript"/>
                <w:lang w:val="en-US" w:eastAsia="zh-CN"/>
              </w:rPr>
              <w:t>-5</w:t>
            </w:r>
          </w:p>
        </w:tc>
      </w:tr>
      <w:tr w14:paraId="54E71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619E435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08FAFDD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12C957F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Pb</w:t>
            </w:r>
          </w:p>
        </w:tc>
        <w:tc>
          <w:tcPr>
            <w:tcW w:w="1683" w:type="dxa"/>
            <w:shd w:val="clear" w:color="auto" w:fill="auto"/>
            <w:vAlign w:val="center"/>
          </w:tcPr>
          <w:p w14:paraId="44EDB54B">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4.433×10</w:t>
            </w:r>
            <w:r>
              <w:rPr>
                <w:rFonts w:hint="eastAsia" w:ascii="Times New Roman" w:hAnsi="Times New Roman" w:cs="Times New Roman"/>
                <w:szCs w:val="21"/>
                <w:vertAlign w:val="superscript"/>
                <w:lang w:val="en-US" w:eastAsia="zh-CN"/>
              </w:rPr>
              <w:t>-5</w:t>
            </w:r>
          </w:p>
        </w:tc>
        <w:tc>
          <w:tcPr>
            <w:tcW w:w="1467" w:type="dxa"/>
            <w:vAlign w:val="center"/>
          </w:tcPr>
          <w:p w14:paraId="7139925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w:t>
            </w:r>
          </w:p>
        </w:tc>
        <w:tc>
          <w:tcPr>
            <w:tcW w:w="1414" w:type="dxa"/>
            <w:shd w:val="clear" w:color="auto" w:fill="auto"/>
            <w:vAlign w:val="center"/>
          </w:tcPr>
          <w:p w14:paraId="5351D04D">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4.433×10</w:t>
            </w:r>
            <w:r>
              <w:rPr>
                <w:rFonts w:hint="eastAsia" w:ascii="Times New Roman" w:hAnsi="Times New Roman" w:cs="Times New Roman"/>
                <w:szCs w:val="21"/>
                <w:vertAlign w:val="superscript"/>
                <w:lang w:val="en-US" w:eastAsia="zh-CN"/>
              </w:rPr>
              <w:t>-5</w:t>
            </w:r>
          </w:p>
        </w:tc>
      </w:tr>
      <w:tr w14:paraId="215FC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255A3CE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1821C5C0">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5EA86FF2">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As</w:t>
            </w:r>
          </w:p>
        </w:tc>
        <w:tc>
          <w:tcPr>
            <w:tcW w:w="1683" w:type="dxa"/>
            <w:shd w:val="clear" w:color="auto" w:fill="auto"/>
            <w:vAlign w:val="center"/>
          </w:tcPr>
          <w:p w14:paraId="27B446A7">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5.523×10</w:t>
            </w:r>
            <w:r>
              <w:rPr>
                <w:rFonts w:hint="eastAsia" w:ascii="Times New Roman" w:hAnsi="Times New Roman" w:cs="Times New Roman"/>
                <w:szCs w:val="21"/>
                <w:vertAlign w:val="superscript"/>
                <w:lang w:val="en-US" w:eastAsia="zh-CN"/>
              </w:rPr>
              <w:t>-5</w:t>
            </w:r>
          </w:p>
        </w:tc>
        <w:tc>
          <w:tcPr>
            <w:tcW w:w="1467" w:type="dxa"/>
            <w:vAlign w:val="center"/>
          </w:tcPr>
          <w:p w14:paraId="467ADDD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w:t>
            </w:r>
          </w:p>
        </w:tc>
        <w:tc>
          <w:tcPr>
            <w:tcW w:w="1414" w:type="dxa"/>
            <w:shd w:val="clear" w:color="auto" w:fill="auto"/>
            <w:vAlign w:val="center"/>
          </w:tcPr>
          <w:p w14:paraId="205A8758">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5.523×10</w:t>
            </w:r>
            <w:r>
              <w:rPr>
                <w:rFonts w:hint="eastAsia" w:ascii="Times New Roman" w:hAnsi="Times New Roman" w:cs="Times New Roman"/>
                <w:szCs w:val="21"/>
                <w:vertAlign w:val="superscript"/>
                <w:lang w:val="en-US" w:eastAsia="zh-CN"/>
              </w:rPr>
              <w:t>-5</w:t>
            </w:r>
          </w:p>
        </w:tc>
      </w:tr>
      <w:tr w14:paraId="175E3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613B3EA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6363DEE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005709E4">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Cr</w:t>
            </w:r>
          </w:p>
        </w:tc>
        <w:tc>
          <w:tcPr>
            <w:tcW w:w="1683" w:type="dxa"/>
            <w:shd w:val="clear" w:color="auto" w:fill="auto"/>
            <w:vAlign w:val="center"/>
          </w:tcPr>
          <w:p w14:paraId="4F4ED4A5">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3.343×10</w:t>
            </w:r>
            <w:r>
              <w:rPr>
                <w:rFonts w:hint="eastAsia" w:ascii="Times New Roman" w:hAnsi="Times New Roman" w:cs="Times New Roman"/>
                <w:szCs w:val="21"/>
                <w:vertAlign w:val="superscript"/>
                <w:lang w:val="en-US" w:eastAsia="zh-CN"/>
              </w:rPr>
              <w:t>-5</w:t>
            </w:r>
          </w:p>
        </w:tc>
        <w:tc>
          <w:tcPr>
            <w:tcW w:w="1467" w:type="dxa"/>
            <w:vAlign w:val="center"/>
          </w:tcPr>
          <w:p w14:paraId="7A4082E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w:t>
            </w:r>
          </w:p>
        </w:tc>
        <w:tc>
          <w:tcPr>
            <w:tcW w:w="1414" w:type="dxa"/>
            <w:shd w:val="clear" w:color="auto" w:fill="auto"/>
            <w:vAlign w:val="center"/>
          </w:tcPr>
          <w:p w14:paraId="3EFA64E5">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3.343×10</w:t>
            </w:r>
            <w:r>
              <w:rPr>
                <w:rFonts w:hint="eastAsia" w:ascii="Times New Roman" w:hAnsi="Times New Roman" w:cs="Times New Roman"/>
                <w:szCs w:val="21"/>
                <w:vertAlign w:val="superscript"/>
                <w:lang w:val="en-US" w:eastAsia="zh-CN"/>
              </w:rPr>
              <w:t>-5</w:t>
            </w:r>
          </w:p>
        </w:tc>
      </w:tr>
      <w:tr w14:paraId="4F344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6FD39EA5">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1F6D489C">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2131B771">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Cr</w:t>
            </w:r>
            <w:r>
              <w:rPr>
                <w:rFonts w:hint="eastAsia" w:ascii="Times New Roman" w:hAnsi="Times New Roman" w:cs="Times New Roman" w:eastAsiaTheme="minorEastAsia"/>
                <w:szCs w:val="21"/>
                <w:vertAlign w:val="superscript"/>
                <w:lang w:val="en-US" w:eastAsia="zh-CN"/>
              </w:rPr>
              <w:t>6+</w:t>
            </w:r>
          </w:p>
        </w:tc>
        <w:tc>
          <w:tcPr>
            <w:tcW w:w="1683" w:type="dxa"/>
            <w:shd w:val="clear" w:color="auto" w:fill="auto"/>
            <w:vAlign w:val="center"/>
          </w:tcPr>
          <w:p w14:paraId="43BB3383">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1.09×10</w:t>
            </w:r>
            <w:r>
              <w:rPr>
                <w:rFonts w:hint="eastAsia" w:ascii="Times New Roman" w:hAnsi="Times New Roman" w:cs="Times New Roman"/>
                <w:szCs w:val="21"/>
                <w:vertAlign w:val="superscript"/>
                <w:lang w:val="en-US" w:eastAsia="zh-CN"/>
              </w:rPr>
              <w:t>-5</w:t>
            </w:r>
          </w:p>
        </w:tc>
        <w:tc>
          <w:tcPr>
            <w:tcW w:w="1467" w:type="dxa"/>
            <w:vAlign w:val="center"/>
          </w:tcPr>
          <w:p w14:paraId="278D2CD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w:t>
            </w:r>
          </w:p>
        </w:tc>
        <w:tc>
          <w:tcPr>
            <w:tcW w:w="1414" w:type="dxa"/>
            <w:shd w:val="clear" w:color="auto" w:fill="auto"/>
            <w:vAlign w:val="center"/>
          </w:tcPr>
          <w:p w14:paraId="07EB639E">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1.09×10</w:t>
            </w:r>
            <w:r>
              <w:rPr>
                <w:rFonts w:hint="eastAsia" w:ascii="Times New Roman" w:hAnsi="Times New Roman" w:cs="Times New Roman"/>
                <w:szCs w:val="21"/>
                <w:vertAlign w:val="superscript"/>
                <w:lang w:val="en-US" w:eastAsia="zh-CN"/>
              </w:rPr>
              <w:t>-5</w:t>
            </w:r>
          </w:p>
        </w:tc>
      </w:tr>
      <w:tr w14:paraId="10015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46D471D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34DC290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0A6BE434">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石油类</w:t>
            </w:r>
          </w:p>
        </w:tc>
        <w:tc>
          <w:tcPr>
            <w:tcW w:w="1683" w:type="dxa"/>
            <w:shd w:val="clear" w:color="auto" w:fill="auto"/>
            <w:vAlign w:val="center"/>
          </w:tcPr>
          <w:p w14:paraId="3EEC286E">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0.036</w:t>
            </w:r>
          </w:p>
        </w:tc>
        <w:tc>
          <w:tcPr>
            <w:tcW w:w="1467" w:type="dxa"/>
            <w:vAlign w:val="center"/>
          </w:tcPr>
          <w:p w14:paraId="3F214C5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0.022</w:t>
            </w:r>
          </w:p>
        </w:tc>
        <w:tc>
          <w:tcPr>
            <w:tcW w:w="1414" w:type="dxa"/>
            <w:shd w:val="clear" w:color="auto" w:fill="auto"/>
            <w:vAlign w:val="center"/>
          </w:tcPr>
          <w:p w14:paraId="79488E9B">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0.0007</w:t>
            </w:r>
          </w:p>
        </w:tc>
      </w:tr>
      <w:tr w14:paraId="3D885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restart"/>
            <w:vAlign w:val="center"/>
          </w:tcPr>
          <w:p w14:paraId="2D9929B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固废</w:t>
            </w:r>
          </w:p>
        </w:tc>
        <w:tc>
          <w:tcPr>
            <w:tcW w:w="1168" w:type="dxa"/>
            <w:vMerge w:val="restart"/>
            <w:vAlign w:val="center"/>
          </w:tcPr>
          <w:p w14:paraId="4511E01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一般固废</w:t>
            </w:r>
          </w:p>
        </w:tc>
        <w:tc>
          <w:tcPr>
            <w:tcW w:w="2017" w:type="dxa"/>
            <w:shd w:val="clear" w:color="auto" w:fill="auto"/>
            <w:vAlign w:val="center"/>
          </w:tcPr>
          <w:p w14:paraId="0805B773">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废离子交换树脂</w:t>
            </w:r>
          </w:p>
        </w:tc>
        <w:tc>
          <w:tcPr>
            <w:tcW w:w="1683" w:type="dxa"/>
            <w:shd w:val="clear" w:color="auto" w:fill="auto"/>
            <w:vAlign w:val="center"/>
          </w:tcPr>
          <w:p w14:paraId="5448E3E6">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0.3</w:t>
            </w:r>
          </w:p>
        </w:tc>
        <w:tc>
          <w:tcPr>
            <w:tcW w:w="1467" w:type="dxa"/>
            <w:vAlign w:val="center"/>
          </w:tcPr>
          <w:p w14:paraId="6FA5BAF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w:t>
            </w:r>
          </w:p>
        </w:tc>
        <w:tc>
          <w:tcPr>
            <w:tcW w:w="1414" w:type="dxa"/>
            <w:shd w:val="clear" w:color="auto" w:fill="auto"/>
            <w:vAlign w:val="center"/>
          </w:tcPr>
          <w:p w14:paraId="50716C10">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0.3</w:t>
            </w:r>
          </w:p>
        </w:tc>
      </w:tr>
      <w:tr w14:paraId="75EBB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62005B77">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1168" w:type="dxa"/>
            <w:vMerge w:val="continue"/>
            <w:vAlign w:val="center"/>
          </w:tcPr>
          <w:p w14:paraId="55D33B60">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2017" w:type="dxa"/>
            <w:shd w:val="clear" w:color="auto" w:fill="auto"/>
            <w:vAlign w:val="center"/>
          </w:tcPr>
          <w:p w14:paraId="11F6D37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废包装袋</w:t>
            </w:r>
          </w:p>
        </w:tc>
        <w:tc>
          <w:tcPr>
            <w:tcW w:w="1683" w:type="dxa"/>
            <w:shd w:val="clear" w:color="auto" w:fill="auto"/>
            <w:vAlign w:val="center"/>
          </w:tcPr>
          <w:p w14:paraId="276C9D6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w:t>
            </w:r>
          </w:p>
        </w:tc>
        <w:tc>
          <w:tcPr>
            <w:tcW w:w="1467" w:type="dxa"/>
            <w:vAlign w:val="center"/>
          </w:tcPr>
          <w:p w14:paraId="71094A79">
            <w:pPr>
              <w:autoSpaceDE w:val="0"/>
              <w:autoSpaceDN w:val="0"/>
              <w:spacing w:line="30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0</w:t>
            </w:r>
          </w:p>
        </w:tc>
        <w:tc>
          <w:tcPr>
            <w:tcW w:w="1414" w:type="dxa"/>
            <w:shd w:val="clear" w:color="auto" w:fill="auto"/>
            <w:vAlign w:val="center"/>
          </w:tcPr>
          <w:p w14:paraId="1A985B7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2</w:t>
            </w:r>
          </w:p>
        </w:tc>
      </w:tr>
      <w:tr w14:paraId="0E0F0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3E92F89C">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restart"/>
            <w:vAlign w:val="center"/>
          </w:tcPr>
          <w:p w14:paraId="7CDC3B5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危险废物</w:t>
            </w:r>
          </w:p>
        </w:tc>
        <w:tc>
          <w:tcPr>
            <w:tcW w:w="2017" w:type="dxa"/>
            <w:shd w:val="clear" w:color="auto" w:fill="auto"/>
            <w:vAlign w:val="center"/>
          </w:tcPr>
          <w:p w14:paraId="2EB4AEEA">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highlight w:val="none"/>
                <w:lang w:val="en-US" w:eastAsia="zh-CN"/>
              </w:rPr>
              <w:t>飞灰</w:t>
            </w:r>
          </w:p>
        </w:tc>
        <w:tc>
          <w:tcPr>
            <w:tcW w:w="1683" w:type="dxa"/>
            <w:shd w:val="clear" w:color="auto" w:fill="auto"/>
            <w:vAlign w:val="center"/>
          </w:tcPr>
          <w:p w14:paraId="5654637C">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53.596</w:t>
            </w:r>
          </w:p>
        </w:tc>
        <w:tc>
          <w:tcPr>
            <w:tcW w:w="1467" w:type="dxa"/>
            <w:vAlign w:val="center"/>
          </w:tcPr>
          <w:p w14:paraId="184D9EDB">
            <w:pPr>
              <w:autoSpaceDE w:val="0"/>
              <w:autoSpaceDN w:val="0"/>
              <w:spacing w:line="300" w:lineRule="exact"/>
              <w:jc w:val="center"/>
              <w:rPr>
                <w:rFonts w:hint="default" w:ascii="Times New Roman" w:hAnsi="Times New Roman" w:cs="Times New Roman" w:eastAsiaTheme="minorEastAsia"/>
                <w:szCs w:val="21"/>
                <w:highlight w:val="none"/>
                <w:lang w:val="en-US" w:eastAsia="zh-CN"/>
              </w:rPr>
            </w:pPr>
            <w:r>
              <w:rPr>
                <w:rFonts w:hint="eastAsia" w:ascii="Times New Roman" w:hAnsi="Times New Roman" w:cs="Times New Roman"/>
                <w:szCs w:val="21"/>
                <w:highlight w:val="none"/>
                <w:lang w:val="en-US" w:eastAsia="zh-CN"/>
              </w:rPr>
              <w:t>0</w:t>
            </w:r>
          </w:p>
        </w:tc>
        <w:tc>
          <w:tcPr>
            <w:tcW w:w="1414" w:type="dxa"/>
            <w:shd w:val="clear" w:color="auto" w:fill="auto"/>
            <w:vAlign w:val="center"/>
          </w:tcPr>
          <w:p w14:paraId="13C0CBF9">
            <w:pPr>
              <w:autoSpaceDE w:val="0"/>
              <w:autoSpaceDN w:val="0"/>
              <w:spacing w:line="300" w:lineRule="exact"/>
              <w:jc w:val="center"/>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Cs w:val="21"/>
                <w:highlight w:val="none"/>
                <w:lang w:val="en-US" w:eastAsia="zh-CN"/>
              </w:rPr>
              <w:t>53.596</w:t>
            </w:r>
          </w:p>
        </w:tc>
      </w:tr>
      <w:tr w14:paraId="49DE3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1714764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19ED14CC">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2017" w:type="dxa"/>
            <w:shd w:val="clear" w:color="auto" w:fill="auto"/>
            <w:vAlign w:val="center"/>
          </w:tcPr>
          <w:p w14:paraId="0A5727C2">
            <w:pPr>
              <w:autoSpaceDE w:val="0"/>
              <w:autoSpaceDN w:val="0"/>
              <w:spacing w:line="300" w:lineRule="exact"/>
              <w:jc w:val="center"/>
              <w:rPr>
                <w:rFonts w:hint="eastAsia" w:ascii="Times New Roman" w:hAnsi="Times New Roman" w:cs="Times New Roman" w:eastAsiaTheme="minorEastAsia"/>
                <w:szCs w:val="21"/>
                <w:highlight w:val="none"/>
                <w:lang w:val="en-US" w:eastAsia="zh-CN"/>
              </w:rPr>
            </w:pPr>
            <w:r>
              <w:rPr>
                <w:rFonts w:hint="eastAsia" w:ascii="Times New Roman" w:hAnsi="Times New Roman" w:cs="Times New Roman" w:eastAsiaTheme="minorEastAsia"/>
                <w:szCs w:val="21"/>
                <w:lang w:val="en-US" w:eastAsia="zh-CN"/>
              </w:rPr>
              <w:t>炉渣</w:t>
            </w:r>
          </w:p>
        </w:tc>
        <w:tc>
          <w:tcPr>
            <w:tcW w:w="1683" w:type="dxa"/>
            <w:shd w:val="clear" w:color="auto" w:fill="auto"/>
            <w:vAlign w:val="center"/>
          </w:tcPr>
          <w:p w14:paraId="6352497E">
            <w:pPr>
              <w:autoSpaceDE w:val="0"/>
              <w:autoSpaceDN w:val="0"/>
              <w:spacing w:line="300" w:lineRule="exact"/>
              <w:jc w:val="center"/>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szCs w:val="21"/>
                <w:lang w:val="en-US" w:eastAsia="zh-CN"/>
              </w:rPr>
              <w:t>182.5</w:t>
            </w:r>
          </w:p>
        </w:tc>
        <w:tc>
          <w:tcPr>
            <w:tcW w:w="1467" w:type="dxa"/>
            <w:vAlign w:val="center"/>
          </w:tcPr>
          <w:p w14:paraId="49A2ED85">
            <w:pPr>
              <w:autoSpaceDE w:val="0"/>
              <w:autoSpaceDN w:val="0"/>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lang w:val="en-US" w:eastAsia="zh-CN"/>
              </w:rPr>
              <w:t>0</w:t>
            </w:r>
          </w:p>
        </w:tc>
        <w:tc>
          <w:tcPr>
            <w:tcW w:w="1414" w:type="dxa"/>
            <w:shd w:val="clear" w:color="auto" w:fill="auto"/>
            <w:vAlign w:val="center"/>
          </w:tcPr>
          <w:p w14:paraId="705C1EE0">
            <w:pPr>
              <w:autoSpaceDE w:val="0"/>
              <w:autoSpaceDN w:val="0"/>
              <w:spacing w:line="300" w:lineRule="exact"/>
              <w:jc w:val="center"/>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szCs w:val="21"/>
                <w:lang w:val="en-US" w:eastAsia="zh-CN"/>
              </w:rPr>
              <w:t>182.5</w:t>
            </w:r>
          </w:p>
        </w:tc>
      </w:tr>
      <w:tr w14:paraId="39BD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5610D73A">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3E49691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05F45963">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废活性炭</w:t>
            </w:r>
          </w:p>
        </w:tc>
        <w:tc>
          <w:tcPr>
            <w:tcW w:w="1683" w:type="dxa"/>
            <w:shd w:val="clear" w:color="auto" w:fill="auto"/>
            <w:vAlign w:val="center"/>
          </w:tcPr>
          <w:p w14:paraId="5B6202D2">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0.303</w:t>
            </w:r>
          </w:p>
        </w:tc>
        <w:tc>
          <w:tcPr>
            <w:tcW w:w="1467" w:type="dxa"/>
            <w:vAlign w:val="center"/>
          </w:tcPr>
          <w:p w14:paraId="1232BA9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w:t>
            </w:r>
          </w:p>
        </w:tc>
        <w:tc>
          <w:tcPr>
            <w:tcW w:w="1414" w:type="dxa"/>
            <w:shd w:val="clear" w:color="auto" w:fill="auto"/>
            <w:vAlign w:val="center"/>
          </w:tcPr>
          <w:p w14:paraId="6B5716CE">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lang w:val="en-US" w:eastAsia="zh-CN"/>
              </w:rPr>
              <w:t>0.303</w:t>
            </w:r>
          </w:p>
        </w:tc>
      </w:tr>
      <w:tr w14:paraId="07C3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773" w:type="dxa"/>
            <w:vMerge w:val="continue"/>
            <w:vAlign w:val="center"/>
          </w:tcPr>
          <w:p w14:paraId="2AFA8579">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0B4EC83E">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35973F20">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水处理污泥</w:t>
            </w:r>
          </w:p>
        </w:tc>
        <w:tc>
          <w:tcPr>
            <w:tcW w:w="1683" w:type="dxa"/>
            <w:shd w:val="clear" w:color="auto" w:fill="auto"/>
            <w:vAlign w:val="center"/>
          </w:tcPr>
          <w:p w14:paraId="6F37522E">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w:t>
            </w:r>
            <w:r>
              <w:rPr>
                <w:rFonts w:hint="eastAsia" w:ascii="Times New Roman" w:hAnsi="Times New Roman" w:cs="Times New Roman"/>
                <w:szCs w:val="21"/>
                <w:lang w:val="en-US" w:eastAsia="zh-CN"/>
              </w:rPr>
              <w:t>958</w:t>
            </w:r>
          </w:p>
        </w:tc>
        <w:tc>
          <w:tcPr>
            <w:tcW w:w="1467" w:type="dxa"/>
            <w:vAlign w:val="center"/>
          </w:tcPr>
          <w:p w14:paraId="1E9C7D9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w:t>
            </w:r>
          </w:p>
        </w:tc>
        <w:tc>
          <w:tcPr>
            <w:tcW w:w="1414" w:type="dxa"/>
            <w:shd w:val="clear" w:color="auto" w:fill="auto"/>
            <w:vAlign w:val="center"/>
          </w:tcPr>
          <w:p w14:paraId="6F131D25">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w:t>
            </w:r>
            <w:r>
              <w:rPr>
                <w:rFonts w:hint="eastAsia" w:ascii="Times New Roman" w:hAnsi="Times New Roman" w:cs="Times New Roman"/>
                <w:szCs w:val="21"/>
                <w:lang w:val="en-US" w:eastAsia="zh-CN"/>
              </w:rPr>
              <w:t>958</w:t>
            </w:r>
          </w:p>
        </w:tc>
      </w:tr>
      <w:tr w14:paraId="271F8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30953B4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62D095B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583A23CE">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废滤袋、废专用桶、废手套</w:t>
            </w:r>
          </w:p>
        </w:tc>
        <w:tc>
          <w:tcPr>
            <w:tcW w:w="1683" w:type="dxa"/>
            <w:shd w:val="clear" w:color="auto" w:fill="auto"/>
            <w:vAlign w:val="center"/>
          </w:tcPr>
          <w:p w14:paraId="3A24AA79">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0.52</w:t>
            </w:r>
          </w:p>
        </w:tc>
        <w:tc>
          <w:tcPr>
            <w:tcW w:w="1467" w:type="dxa"/>
            <w:vAlign w:val="center"/>
          </w:tcPr>
          <w:p w14:paraId="1583DEA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w:t>
            </w:r>
          </w:p>
        </w:tc>
        <w:tc>
          <w:tcPr>
            <w:tcW w:w="1414" w:type="dxa"/>
            <w:shd w:val="clear" w:color="auto" w:fill="auto"/>
            <w:vAlign w:val="center"/>
          </w:tcPr>
          <w:p w14:paraId="4D8E4B07">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0.52</w:t>
            </w:r>
          </w:p>
        </w:tc>
      </w:tr>
      <w:tr w14:paraId="2C72D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Merge w:val="continue"/>
            <w:vAlign w:val="center"/>
          </w:tcPr>
          <w:p w14:paraId="3C979EF8">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168" w:type="dxa"/>
            <w:vMerge w:val="continue"/>
            <w:vAlign w:val="center"/>
          </w:tcPr>
          <w:p w14:paraId="433B7756">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017" w:type="dxa"/>
            <w:shd w:val="clear" w:color="auto" w:fill="auto"/>
            <w:vAlign w:val="center"/>
          </w:tcPr>
          <w:p w14:paraId="31687982">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废机油</w:t>
            </w:r>
          </w:p>
        </w:tc>
        <w:tc>
          <w:tcPr>
            <w:tcW w:w="1683" w:type="dxa"/>
            <w:shd w:val="clear" w:color="auto" w:fill="auto"/>
            <w:vAlign w:val="center"/>
          </w:tcPr>
          <w:p w14:paraId="10B667E2">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0.7</w:t>
            </w:r>
          </w:p>
        </w:tc>
        <w:tc>
          <w:tcPr>
            <w:tcW w:w="1467" w:type="dxa"/>
            <w:vAlign w:val="center"/>
          </w:tcPr>
          <w:p w14:paraId="07CC117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0</w:t>
            </w:r>
          </w:p>
        </w:tc>
        <w:tc>
          <w:tcPr>
            <w:tcW w:w="1414" w:type="dxa"/>
            <w:shd w:val="clear" w:color="auto" w:fill="auto"/>
            <w:vAlign w:val="center"/>
          </w:tcPr>
          <w:p w14:paraId="73CC18E3">
            <w:pPr>
              <w:autoSpaceDE w:val="0"/>
              <w:autoSpaceDN w:val="0"/>
              <w:spacing w:line="300" w:lineRule="exact"/>
              <w:jc w:val="center"/>
              <w:rPr>
                <w:rFonts w:hint="default" w:ascii="Times New Roman" w:hAnsi="Times New Roman" w:cs="Times New Roman" w:eastAsiaTheme="minorEastAsia"/>
                <w:kern w:val="2"/>
                <w:sz w:val="21"/>
                <w:szCs w:val="21"/>
                <w:lang w:val="en-US" w:eastAsia="zh-CN" w:bidi="ar-SA"/>
              </w:rPr>
            </w:pPr>
            <w:r>
              <w:rPr>
                <w:rFonts w:hint="eastAsia" w:ascii="Times New Roman" w:hAnsi="Times New Roman" w:cs="Times New Roman" w:eastAsiaTheme="minorEastAsia"/>
                <w:szCs w:val="21"/>
                <w:lang w:val="en-US" w:eastAsia="zh-CN"/>
              </w:rPr>
              <w:t>0.7</w:t>
            </w:r>
          </w:p>
        </w:tc>
      </w:tr>
    </w:tbl>
    <w:p w14:paraId="75BDCE9B">
      <w:pPr>
        <w:pStyle w:val="3"/>
        <w:spacing w:before="120" w:after="120" w:line="500" w:lineRule="exact"/>
        <w:contextualSpacing/>
        <w:rPr>
          <w:rFonts w:hint="eastAsia" w:ascii="Times New Roman" w:hAnsi="Times New Roman" w:cs="Times New Roman" w:eastAsiaTheme="minorEastAsia"/>
          <w:snapToGrid w:val="0"/>
          <w:kern w:val="0"/>
          <w:sz w:val="28"/>
          <w:szCs w:val="28"/>
          <w:lang w:val="en-US" w:eastAsia="zh-CN"/>
        </w:rPr>
      </w:pPr>
      <w:bookmarkStart w:id="331" w:name="_Toc32109"/>
      <w:r>
        <w:rPr>
          <w:rFonts w:hint="eastAsia" w:ascii="Times New Roman" w:hAnsi="Times New Roman" w:cs="Times New Roman" w:eastAsiaTheme="minorEastAsia"/>
          <w:snapToGrid w:val="0"/>
          <w:kern w:val="0"/>
          <w:sz w:val="28"/>
          <w:szCs w:val="28"/>
          <w:lang w:val="en-US" w:eastAsia="zh-CN"/>
        </w:rPr>
        <w:t>8.3环境监测</w:t>
      </w:r>
      <w:bookmarkEnd w:id="331"/>
    </w:p>
    <w:p w14:paraId="71F93434">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332" w:name="_Toc15419"/>
      <w:r>
        <w:rPr>
          <w:rFonts w:hint="eastAsia" w:ascii="Times New Roman" w:hAnsi="Times New Roman" w:cs="Times New Roman" w:eastAsiaTheme="minorEastAsia"/>
          <w:kern w:val="0"/>
          <w:sz w:val="24"/>
          <w:szCs w:val="24"/>
          <w:lang w:val="en-US" w:eastAsia="zh-CN"/>
        </w:rPr>
        <w:t>8.3.1排污口规范化管理</w:t>
      </w:r>
      <w:bookmarkEnd w:id="332"/>
    </w:p>
    <w:p w14:paraId="42FD4D22">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企业废气排放口、废水排污口、噪声排放源和固体废物贮存、处置场所应适于采样、监测计量等工作条件，排污单位应按所在地环境保护主管部门的要求设立标志。</w:t>
      </w:r>
    </w:p>
    <w:p w14:paraId="11A05923">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项目应按《</w:t>
      </w:r>
      <w:r>
        <w:rPr>
          <w:rFonts w:hint="eastAsia" w:ascii="Times New Roman" w:hAnsi="Times New Roman" w:cs="Times New Roman" w:eastAsiaTheme="minorEastAsia"/>
          <w:color w:val="auto"/>
          <w:lang w:val="en-US" w:eastAsia="zh-CN"/>
        </w:rPr>
        <w:t>环境保护图形标志-排放口（源）</w:t>
      </w:r>
      <w:r>
        <w:rPr>
          <w:rFonts w:hint="default" w:ascii="Times New Roman" w:hAnsi="Times New Roman" w:cs="Times New Roman" w:eastAsiaTheme="minorEastAsia"/>
          <w:color w:val="auto"/>
          <w:lang w:val="en-US" w:eastAsia="zh-CN"/>
        </w:rPr>
        <w:t>》（GB15562.1-1995）规定的图形，在各气、水、声排污口（源）挂牌标识，做到各排污口（源）的环保标志明显，便于企业管理和公众监督。</w:t>
      </w:r>
    </w:p>
    <w:p w14:paraId="6F768A4C">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列入总量控制污染物的排污口为管理的重点，排污口应便于采样与计量监测，便于日常现场监督检查。排污口位置必须合理确定，按要求规范化管理。</w:t>
      </w:r>
    </w:p>
    <w:p w14:paraId="4854D0A5">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污染物排放口的环保图形标志牌应设置在靠近采样点的醒目位置处，标志牌设置高度为其上缘距地面约2m。</w:t>
      </w:r>
    </w:p>
    <w:p w14:paraId="263847DB">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重点排污单位的污染物排放口或固体废物贮存处置场地以设置立式标志牌为主，一般排污单位的污染物排放口或固体废物贮存处置场地可以根据情况设置立式或平面固定式标志牌。一般污染物排放口或固体废物贮存堆放场地设置提示性环境保护图形标志牌。要求使用国家环境保护总局统一印制的《中华人民共和国规范化排污口标志登记证》，并按要求填写有关内容。根据排污口管理档案内容要求，项目建成后，应将主要污染物的种类、数量、浓度、排放去向、达标情况及设施运行情况记录于档案。</w:t>
      </w:r>
    </w:p>
    <w:p w14:paraId="24DAE84D">
      <w:pPr>
        <w:pStyle w:val="20"/>
        <w:snapToGrid w:val="0"/>
        <w:jc w:val="left"/>
        <w:rPr>
          <w:rFonts w:hint="default" w:ascii="Times New Roman" w:hAnsi="Times New Roman" w:cs="Times New Roman" w:eastAsiaTheme="minorEastAsia"/>
          <w:color w:val="auto"/>
          <w:lang w:val="en-US" w:eastAsia="en-US"/>
        </w:rPr>
      </w:pPr>
      <w:r>
        <w:rPr>
          <w:rFonts w:hint="default" w:ascii="Times New Roman" w:hAnsi="Times New Roman" w:cs="Times New Roman" w:eastAsiaTheme="minorEastAsia"/>
          <w:color w:val="auto"/>
          <w:lang w:val="en-US" w:eastAsia="en-US"/>
        </w:rPr>
        <w:t>本项目应按《环境保护图形标志—排放口（源）》（GB15562.1-1995）规定的图形，在各气、水、声排污口（源）挂牌标识，做到各排污口（源）的环保标志明显，便于企业管理和公众监督。污染物排放口的环保图形标志牌应设置在靠近采样点的醒目位置处，标志牌设置高度为其上缘距地面约2m。</w:t>
      </w:r>
    </w:p>
    <w:p w14:paraId="7F68841F">
      <w:pPr>
        <w:pStyle w:val="20"/>
        <w:snapToGrid w:val="0"/>
        <w:jc w:val="left"/>
        <w:rPr>
          <w:rFonts w:hint="default" w:ascii="Times New Roman" w:hAnsi="Times New Roman" w:cs="Times New Roman" w:eastAsiaTheme="minorEastAsia"/>
          <w:color w:val="auto"/>
          <w:lang w:val="en-US" w:eastAsia="en-US"/>
        </w:rPr>
      </w:pPr>
      <w:r>
        <w:rPr>
          <w:rFonts w:hint="default" w:ascii="Times New Roman" w:hAnsi="Times New Roman" w:cs="Times New Roman" w:eastAsiaTheme="minorEastAsia"/>
          <w:color w:val="auto"/>
          <w:lang w:val="en-US" w:eastAsia="en-US"/>
        </w:rPr>
        <w:t>重点排污单位的污染物排放口或固体废物贮存处置场地以设置立式标志牌为主，一般排污单位的污染物排放口或固体废物贮存处置场地可以根据情况设置立式或平面固定式标志牌。一般污染物排放口或固体废物贮存堆放场地设置提示性环境保护图形标志牌。</w:t>
      </w:r>
    </w:p>
    <w:p w14:paraId="4222F3F4">
      <w:pPr>
        <w:pStyle w:val="20"/>
        <w:snapToGrid w:val="0"/>
        <w:jc w:val="left"/>
        <w:rPr>
          <w:rFonts w:hint="default" w:ascii="Times New Roman" w:hAnsi="Times New Roman" w:cs="Times New Roman" w:eastAsiaTheme="minorEastAsia"/>
          <w:color w:val="auto"/>
          <w:lang w:val="en-US" w:eastAsia="en-US"/>
        </w:rPr>
      </w:pPr>
      <w:r>
        <w:rPr>
          <w:rFonts w:hint="default" w:ascii="Times New Roman" w:hAnsi="Times New Roman" w:cs="Times New Roman" w:eastAsiaTheme="minorEastAsia"/>
          <w:color w:val="auto"/>
          <w:lang w:val="en-US" w:eastAsia="en-US"/>
        </w:rPr>
        <w:t>环境保护图形标志具体设置图形见表</w:t>
      </w:r>
      <w:r>
        <w:rPr>
          <w:rFonts w:hint="default" w:ascii="Times New Roman" w:hAnsi="Times New Roman" w:cs="Times New Roman" w:eastAsiaTheme="minorEastAsia"/>
          <w:color w:val="auto"/>
          <w:lang w:val="en-US" w:eastAsia="zh-CN"/>
        </w:rPr>
        <w:t>8.</w:t>
      </w:r>
      <w:r>
        <w:rPr>
          <w:rFonts w:hint="eastAsia" w:ascii="Times New Roman" w:hAnsi="Times New Roman" w:cs="Times New Roman" w:eastAsiaTheme="minorEastAsia"/>
          <w:color w:val="auto"/>
          <w:lang w:val="en-US" w:eastAsia="zh-CN"/>
        </w:rPr>
        <w:t>3-1</w:t>
      </w:r>
      <w:r>
        <w:rPr>
          <w:rFonts w:hint="default" w:ascii="Times New Roman" w:hAnsi="Times New Roman" w:cs="Times New Roman" w:eastAsiaTheme="minorEastAsia"/>
          <w:color w:val="auto"/>
          <w:lang w:val="en-US" w:eastAsia="zh-CN"/>
        </w:rPr>
        <w:t>。</w:t>
      </w:r>
    </w:p>
    <w:p w14:paraId="21775099">
      <w:pPr>
        <w:adjustRightInd w:val="0"/>
        <w:snapToGrid w:val="0"/>
        <w:spacing w:before="250" w:beforeLines="50"/>
        <w:ind w:firstLine="422" w:firstLineChars="200"/>
        <w:jc w:val="center"/>
        <w:rPr>
          <w:rFonts w:hint="default" w:ascii="Times New Roman" w:hAnsi="Times New Roman" w:cs="Times New Roman" w:eastAsiaTheme="minorEastAsia"/>
          <w:b/>
          <w:szCs w:val="21"/>
          <w:lang w:val="en-US" w:eastAsia="en-US"/>
        </w:rPr>
      </w:pPr>
      <w:r>
        <w:rPr>
          <w:rFonts w:hint="default" w:ascii="Times New Roman" w:hAnsi="Times New Roman" w:cs="Times New Roman" w:eastAsiaTheme="minorEastAsia"/>
          <w:b/>
          <w:szCs w:val="21"/>
          <w:lang w:val="en-US" w:eastAsia="en-US"/>
        </w:rPr>
        <w:t>表</w:t>
      </w:r>
      <w:r>
        <w:rPr>
          <w:rFonts w:hint="default" w:ascii="Times New Roman" w:hAnsi="Times New Roman" w:cs="Times New Roman" w:eastAsiaTheme="minorEastAsia"/>
          <w:b/>
          <w:szCs w:val="21"/>
          <w:lang w:val="en-US" w:eastAsia="zh-CN"/>
        </w:rPr>
        <w:t>8.</w:t>
      </w:r>
      <w:r>
        <w:rPr>
          <w:rFonts w:hint="eastAsia" w:ascii="Times New Roman" w:hAnsi="Times New Roman" w:cs="Times New Roman"/>
          <w:b/>
          <w:szCs w:val="21"/>
          <w:lang w:val="en-US" w:eastAsia="zh-CN"/>
        </w:rPr>
        <w:t>3-1</w:t>
      </w:r>
      <w:r>
        <w:rPr>
          <w:rFonts w:hint="default" w:ascii="Times New Roman" w:hAnsi="Times New Roman" w:cs="Times New Roman" w:eastAsiaTheme="minorEastAsia"/>
          <w:b/>
          <w:szCs w:val="21"/>
          <w:lang w:val="en-US" w:eastAsia="zh-CN"/>
        </w:rPr>
        <w:t xml:space="preserve"> </w:t>
      </w:r>
      <w:r>
        <w:rPr>
          <w:rFonts w:hint="default" w:ascii="Times New Roman" w:hAnsi="Times New Roman" w:cs="Times New Roman" w:eastAsiaTheme="minorEastAsia"/>
          <w:b/>
          <w:szCs w:val="21"/>
          <w:lang w:val="en-US" w:eastAsia="en-US"/>
        </w:rPr>
        <w:t xml:space="preserve"> 环境保护图形标志设置图形表</w:t>
      </w:r>
    </w:p>
    <w:tbl>
      <w:tblPr>
        <w:tblStyle w:val="12"/>
        <w:tblW w:w="5000" w:type="pct"/>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autofit"/>
        <w:tblCellMar>
          <w:top w:w="0" w:type="dxa"/>
          <w:left w:w="108" w:type="dxa"/>
          <w:bottom w:w="0" w:type="dxa"/>
          <w:right w:w="108" w:type="dxa"/>
        </w:tblCellMar>
      </w:tblPr>
      <w:tblGrid>
        <w:gridCol w:w="563"/>
        <w:gridCol w:w="2131"/>
        <w:gridCol w:w="1954"/>
        <w:gridCol w:w="1245"/>
        <w:gridCol w:w="2629"/>
      </w:tblGrid>
      <w:tr w14:paraId="65CEEC0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330" w:type="pct"/>
            <w:tcBorders>
              <w:tl2br w:val="nil"/>
              <w:tr2bl w:val="nil"/>
            </w:tcBorders>
            <w:noWrap w:val="0"/>
            <w:vAlign w:val="center"/>
          </w:tcPr>
          <w:p w14:paraId="5B7AE5DB">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序号</w:t>
            </w:r>
          </w:p>
        </w:tc>
        <w:tc>
          <w:tcPr>
            <w:tcW w:w="1250" w:type="pct"/>
            <w:tcBorders>
              <w:tl2br w:val="nil"/>
              <w:tr2bl w:val="nil"/>
            </w:tcBorders>
            <w:noWrap w:val="0"/>
            <w:tcMar>
              <w:left w:w="0" w:type="dxa"/>
              <w:right w:w="0" w:type="dxa"/>
            </w:tcMar>
            <w:vAlign w:val="center"/>
          </w:tcPr>
          <w:p w14:paraId="679CEBDE">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提示图形符号</w:t>
            </w:r>
          </w:p>
        </w:tc>
        <w:tc>
          <w:tcPr>
            <w:tcW w:w="1146" w:type="pct"/>
            <w:tcBorders>
              <w:tl2br w:val="nil"/>
              <w:tr2bl w:val="nil"/>
            </w:tcBorders>
            <w:noWrap w:val="0"/>
            <w:vAlign w:val="center"/>
          </w:tcPr>
          <w:p w14:paraId="3E40D5DD">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警告图形符号</w:t>
            </w:r>
          </w:p>
        </w:tc>
        <w:tc>
          <w:tcPr>
            <w:tcW w:w="730" w:type="pct"/>
            <w:tcBorders>
              <w:tl2br w:val="nil"/>
              <w:tr2bl w:val="nil"/>
            </w:tcBorders>
            <w:noWrap w:val="0"/>
            <w:vAlign w:val="center"/>
          </w:tcPr>
          <w:p w14:paraId="44DD8858">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名称</w:t>
            </w:r>
          </w:p>
        </w:tc>
        <w:tc>
          <w:tcPr>
            <w:tcW w:w="1542" w:type="pct"/>
            <w:tcBorders>
              <w:tl2br w:val="nil"/>
              <w:tr2bl w:val="nil"/>
            </w:tcBorders>
            <w:noWrap w:val="0"/>
            <w:vAlign w:val="center"/>
          </w:tcPr>
          <w:p w14:paraId="3AACB1BE">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功能</w:t>
            </w:r>
          </w:p>
        </w:tc>
      </w:tr>
      <w:tr w14:paraId="6948B20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330" w:type="pct"/>
            <w:tcBorders>
              <w:tl2br w:val="nil"/>
              <w:tr2bl w:val="nil"/>
            </w:tcBorders>
            <w:noWrap w:val="0"/>
            <w:vAlign w:val="center"/>
          </w:tcPr>
          <w:p w14:paraId="1D3E89CB">
            <w:pPr>
              <w:spacing w:line="360" w:lineRule="auto"/>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1</w:t>
            </w:r>
          </w:p>
        </w:tc>
        <w:tc>
          <w:tcPr>
            <w:tcW w:w="1250" w:type="pct"/>
            <w:tcBorders>
              <w:tl2br w:val="nil"/>
              <w:tr2bl w:val="nil"/>
            </w:tcBorders>
            <w:noWrap w:val="0"/>
            <w:tcMar>
              <w:left w:w="0" w:type="dxa"/>
              <w:right w:w="0" w:type="dxa"/>
            </w:tcMar>
            <w:vAlign w:val="center"/>
          </w:tcPr>
          <w:p w14:paraId="35AAEC0F">
            <w:pPr>
              <w:spacing w:line="360" w:lineRule="auto"/>
              <w:jc w:val="center"/>
              <w:rPr>
                <w:rFonts w:hint="default" w:ascii="Times New Roman" w:hAnsi="Times New Roman" w:cs="Times New Roman" w:eastAsiaTheme="minorEastAsia"/>
                <w:szCs w:val="21"/>
                <w:lang w:val="en-US" w:eastAsia="zh-CN"/>
              </w:rPr>
            </w:pPr>
          </w:p>
        </w:tc>
        <w:tc>
          <w:tcPr>
            <w:tcW w:w="1146" w:type="pct"/>
            <w:tcBorders>
              <w:tl2br w:val="nil"/>
              <w:tr2bl w:val="nil"/>
            </w:tcBorders>
            <w:noWrap w:val="0"/>
            <w:vAlign w:val="center"/>
          </w:tcPr>
          <w:p w14:paraId="5CACB71A">
            <w:pPr>
              <w:spacing w:line="360" w:lineRule="auto"/>
              <w:jc w:val="center"/>
              <w:rPr>
                <w:rFonts w:hint="default" w:ascii="Times New Roman" w:hAnsi="Times New Roman" w:cs="Times New Roman" w:eastAsiaTheme="minorEastAsia"/>
                <w:szCs w:val="21"/>
                <w:lang w:val="en-US" w:eastAsia="zh-CN"/>
              </w:rPr>
            </w:pPr>
          </w:p>
        </w:tc>
        <w:tc>
          <w:tcPr>
            <w:tcW w:w="730" w:type="pct"/>
            <w:tcBorders>
              <w:tl2br w:val="nil"/>
              <w:tr2bl w:val="nil"/>
            </w:tcBorders>
            <w:noWrap w:val="0"/>
            <w:vAlign w:val="center"/>
          </w:tcPr>
          <w:p w14:paraId="36C1708A">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废气排放口</w:t>
            </w:r>
          </w:p>
        </w:tc>
        <w:tc>
          <w:tcPr>
            <w:tcW w:w="1542" w:type="pct"/>
            <w:tcBorders>
              <w:tl2br w:val="nil"/>
              <w:tr2bl w:val="nil"/>
            </w:tcBorders>
            <w:noWrap w:val="0"/>
            <w:vAlign w:val="center"/>
          </w:tcPr>
          <w:p w14:paraId="23ACEBAF">
            <w:pPr>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表示废气向大气环境排放</w:t>
            </w:r>
          </w:p>
        </w:tc>
      </w:tr>
      <w:tr w14:paraId="4DF0A91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330" w:type="pct"/>
            <w:tcBorders>
              <w:tl2br w:val="nil"/>
              <w:tr2bl w:val="nil"/>
            </w:tcBorders>
            <w:noWrap w:val="0"/>
            <w:vAlign w:val="center"/>
          </w:tcPr>
          <w:p w14:paraId="02ED63F5">
            <w:pPr>
              <w:spacing w:line="360" w:lineRule="auto"/>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2</w:t>
            </w:r>
          </w:p>
        </w:tc>
        <w:tc>
          <w:tcPr>
            <w:tcW w:w="1250" w:type="pct"/>
            <w:tcBorders>
              <w:tl2br w:val="nil"/>
              <w:tr2bl w:val="nil"/>
            </w:tcBorders>
            <w:noWrap w:val="0"/>
            <w:tcMar>
              <w:left w:w="0" w:type="dxa"/>
              <w:right w:w="0" w:type="dxa"/>
            </w:tcMar>
            <w:vAlign w:val="center"/>
          </w:tcPr>
          <w:p w14:paraId="3A45D334">
            <w:pPr>
              <w:spacing w:line="360" w:lineRule="auto"/>
              <w:jc w:val="center"/>
              <w:rPr>
                <w:rFonts w:hint="default" w:ascii="Times New Roman" w:hAnsi="Times New Roman" w:cs="Times New Roman" w:eastAsiaTheme="minorEastAsia"/>
                <w:szCs w:val="21"/>
                <w:lang w:val="en-US" w:eastAsia="zh-CN"/>
              </w:rPr>
            </w:pPr>
          </w:p>
        </w:tc>
        <w:tc>
          <w:tcPr>
            <w:tcW w:w="1146" w:type="pct"/>
            <w:tcBorders>
              <w:tl2br w:val="nil"/>
              <w:tr2bl w:val="nil"/>
            </w:tcBorders>
            <w:noWrap w:val="0"/>
            <w:vAlign w:val="center"/>
          </w:tcPr>
          <w:p w14:paraId="01F8153C">
            <w:pPr>
              <w:spacing w:line="360" w:lineRule="auto"/>
              <w:jc w:val="center"/>
              <w:rPr>
                <w:rFonts w:hint="default" w:ascii="Times New Roman" w:hAnsi="Times New Roman" w:cs="Times New Roman" w:eastAsiaTheme="minorEastAsia"/>
                <w:szCs w:val="21"/>
                <w:lang w:val="en-US" w:eastAsia="zh-CN"/>
              </w:rPr>
            </w:pPr>
          </w:p>
        </w:tc>
        <w:tc>
          <w:tcPr>
            <w:tcW w:w="730" w:type="pct"/>
            <w:tcBorders>
              <w:tl2br w:val="nil"/>
              <w:tr2bl w:val="nil"/>
            </w:tcBorders>
            <w:noWrap w:val="0"/>
            <w:vAlign w:val="center"/>
          </w:tcPr>
          <w:p w14:paraId="78A900A1">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噪声排放源</w:t>
            </w:r>
          </w:p>
        </w:tc>
        <w:tc>
          <w:tcPr>
            <w:tcW w:w="1542" w:type="pct"/>
            <w:tcBorders>
              <w:tl2br w:val="nil"/>
              <w:tr2bl w:val="nil"/>
            </w:tcBorders>
            <w:noWrap w:val="0"/>
            <w:vAlign w:val="center"/>
          </w:tcPr>
          <w:p w14:paraId="075B2C61">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表示噪声向外环境排放</w:t>
            </w:r>
          </w:p>
        </w:tc>
      </w:tr>
      <w:tr w14:paraId="01DCAF5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330" w:type="pct"/>
            <w:tcBorders>
              <w:tl2br w:val="nil"/>
              <w:tr2bl w:val="nil"/>
            </w:tcBorders>
            <w:noWrap w:val="0"/>
            <w:vAlign w:val="center"/>
          </w:tcPr>
          <w:p w14:paraId="02B8936D">
            <w:pPr>
              <w:spacing w:line="360" w:lineRule="auto"/>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w:t>
            </w:r>
          </w:p>
        </w:tc>
        <w:tc>
          <w:tcPr>
            <w:tcW w:w="1250" w:type="pct"/>
            <w:tcBorders>
              <w:tl2br w:val="nil"/>
              <w:tr2bl w:val="nil"/>
            </w:tcBorders>
            <w:noWrap w:val="0"/>
            <w:tcMar>
              <w:left w:w="0" w:type="dxa"/>
              <w:right w:w="0" w:type="dxa"/>
            </w:tcMar>
            <w:vAlign w:val="center"/>
          </w:tcPr>
          <w:p w14:paraId="49D8B5E6">
            <w:pPr>
              <w:spacing w:line="360" w:lineRule="auto"/>
              <w:jc w:val="center"/>
              <w:rPr>
                <w:rFonts w:hint="default" w:ascii="Times New Roman" w:hAnsi="Times New Roman" w:cs="Times New Roman" w:eastAsiaTheme="minorEastAsia"/>
                <w:szCs w:val="21"/>
                <w:lang w:val="en-US" w:eastAsia="zh-CN"/>
              </w:rPr>
            </w:pPr>
          </w:p>
        </w:tc>
        <w:tc>
          <w:tcPr>
            <w:tcW w:w="1146" w:type="pct"/>
            <w:tcBorders>
              <w:tl2br w:val="nil"/>
              <w:tr2bl w:val="nil"/>
            </w:tcBorders>
            <w:noWrap w:val="0"/>
            <w:vAlign w:val="center"/>
          </w:tcPr>
          <w:p w14:paraId="515E302E">
            <w:pPr>
              <w:spacing w:line="360" w:lineRule="auto"/>
              <w:jc w:val="center"/>
              <w:rPr>
                <w:rFonts w:hint="default" w:ascii="Times New Roman" w:hAnsi="Times New Roman" w:cs="Times New Roman" w:eastAsiaTheme="minorEastAsia"/>
                <w:szCs w:val="21"/>
                <w:lang w:val="en-US" w:eastAsia="zh-CN"/>
              </w:rPr>
            </w:pPr>
          </w:p>
        </w:tc>
        <w:tc>
          <w:tcPr>
            <w:tcW w:w="730" w:type="pct"/>
            <w:tcBorders>
              <w:tl2br w:val="nil"/>
              <w:tr2bl w:val="nil"/>
            </w:tcBorders>
            <w:noWrap w:val="0"/>
            <w:vAlign w:val="center"/>
          </w:tcPr>
          <w:p w14:paraId="6ECC587D">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一般固体废物</w:t>
            </w:r>
          </w:p>
        </w:tc>
        <w:tc>
          <w:tcPr>
            <w:tcW w:w="1542" w:type="pct"/>
            <w:tcBorders>
              <w:tl2br w:val="nil"/>
              <w:tr2bl w:val="nil"/>
            </w:tcBorders>
            <w:noWrap w:val="0"/>
            <w:vAlign w:val="center"/>
          </w:tcPr>
          <w:p w14:paraId="095C8247">
            <w:pPr>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表示一般固体废物贮存、处置场</w:t>
            </w:r>
          </w:p>
        </w:tc>
      </w:tr>
      <w:tr w14:paraId="28FC7D2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330" w:type="pct"/>
            <w:tcBorders>
              <w:tl2br w:val="nil"/>
              <w:tr2bl w:val="nil"/>
            </w:tcBorders>
            <w:noWrap w:val="0"/>
            <w:vAlign w:val="center"/>
          </w:tcPr>
          <w:p w14:paraId="10643487">
            <w:pPr>
              <w:spacing w:line="360" w:lineRule="auto"/>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4</w:t>
            </w:r>
          </w:p>
        </w:tc>
        <w:tc>
          <w:tcPr>
            <w:tcW w:w="2396" w:type="pct"/>
            <w:gridSpan w:val="2"/>
            <w:tcBorders>
              <w:tl2br w:val="nil"/>
              <w:tr2bl w:val="nil"/>
            </w:tcBorders>
            <w:noWrap w:val="0"/>
            <w:tcMar>
              <w:left w:w="0" w:type="dxa"/>
              <w:right w:w="0" w:type="dxa"/>
            </w:tcMar>
            <w:vAlign w:val="center"/>
          </w:tcPr>
          <w:p w14:paraId="00E96DB3">
            <w:pPr>
              <w:spacing w:line="360" w:lineRule="auto"/>
              <w:jc w:val="both"/>
              <w:rPr>
                <w:rFonts w:hint="default" w:ascii="Times New Roman" w:hAnsi="Times New Roman" w:cs="Times New Roman" w:eastAsiaTheme="minorEastAsia"/>
                <w:szCs w:val="21"/>
                <w:lang w:val="en-US" w:eastAsia="zh-CN"/>
              </w:rPr>
            </w:pPr>
          </w:p>
        </w:tc>
        <w:tc>
          <w:tcPr>
            <w:tcW w:w="730" w:type="pct"/>
            <w:tcBorders>
              <w:tl2br w:val="nil"/>
              <w:tr2bl w:val="nil"/>
            </w:tcBorders>
            <w:noWrap w:val="0"/>
            <w:vAlign w:val="center"/>
          </w:tcPr>
          <w:p w14:paraId="70ECEAF2">
            <w:pPr>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危险废物</w:t>
            </w:r>
          </w:p>
        </w:tc>
        <w:tc>
          <w:tcPr>
            <w:tcW w:w="1542" w:type="pct"/>
            <w:tcBorders>
              <w:tl2br w:val="nil"/>
              <w:tr2bl w:val="nil"/>
            </w:tcBorders>
            <w:noWrap w:val="0"/>
            <w:vAlign w:val="center"/>
          </w:tcPr>
          <w:p w14:paraId="72792E9A">
            <w:pPr>
              <w:spacing w:line="300" w:lineRule="exact"/>
              <w:jc w:val="center"/>
              <w:rPr>
                <w:rFonts w:hint="default" w:ascii="Times New Roman" w:hAnsi="Times New Roman" w:cs="Times New Roman" w:eastAsiaTheme="minorEastAsia"/>
                <w:szCs w:val="21"/>
                <w:lang w:val="zh-CN" w:eastAsia="zh-CN"/>
              </w:rPr>
            </w:pPr>
            <w:r>
              <w:rPr>
                <w:rFonts w:hint="default" w:ascii="Times New Roman" w:hAnsi="Times New Roman" w:cs="Times New Roman" w:eastAsiaTheme="minorEastAsia"/>
                <w:szCs w:val="21"/>
                <w:lang w:val="en-US" w:eastAsia="zh-CN"/>
              </w:rPr>
              <w:t>表示危险废物贮存、处置场</w:t>
            </w:r>
          </w:p>
        </w:tc>
      </w:tr>
    </w:tbl>
    <w:p w14:paraId="39C3F13C">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333" w:name="_Toc12914"/>
      <w:r>
        <w:rPr>
          <w:rFonts w:hint="eastAsia" w:ascii="Times New Roman" w:hAnsi="Times New Roman" w:cs="Times New Roman" w:eastAsiaTheme="minorEastAsia"/>
          <w:kern w:val="0"/>
          <w:sz w:val="24"/>
          <w:szCs w:val="24"/>
          <w:lang w:val="en-US" w:eastAsia="zh-CN"/>
        </w:rPr>
        <w:t>8.</w:t>
      </w:r>
      <w:r>
        <w:rPr>
          <w:rFonts w:hint="eastAsia" w:ascii="Times New Roman" w:hAnsi="Times New Roman" w:cs="Times New Roman"/>
          <w:kern w:val="0"/>
          <w:sz w:val="24"/>
          <w:szCs w:val="24"/>
          <w:lang w:val="en-US" w:eastAsia="zh-CN"/>
        </w:rPr>
        <w:t>3.2</w:t>
      </w:r>
      <w:r>
        <w:rPr>
          <w:rFonts w:hint="eastAsia" w:ascii="Times New Roman" w:hAnsi="Times New Roman" w:cs="Times New Roman" w:eastAsiaTheme="minorEastAsia"/>
          <w:kern w:val="0"/>
          <w:sz w:val="24"/>
          <w:szCs w:val="24"/>
          <w:lang w:val="en-US" w:eastAsia="zh-CN"/>
        </w:rPr>
        <w:t>排放口监测点位</w:t>
      </w:r>
      <w:bookmarkEnd w:id="333"/>
    </w:p>
    <w:p w14:paraId="71415648">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根据《排污单位污染物排放口监测点位设置技术规范》（HJ1405-2024），规定了固定污染源废气及污水排放口监测点位设置的技术要求、信息标志牌要求及排放口监测点位管理要求。</w:t>
      </w:r>
    </w:p>
    <w:p w14:paraId="354AF095">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（1）排放口监测点位设置的技术要求</w:t>
      </w:r>
    </w:p>
    <w:p w14:paraId="682629E3">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应在废气排放口设置科学、规范、便于采样监测的监测点位，避开对测试人员操作有危险的场所。在流场均匀稳定的监测断面规范开设监测孔，设置工作平台、梯架及相应安全防护设施等。</w:t>
      </w:r>
    </w:p>
    <w:p w14:paraId="61C7D136">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排放污水进入市政、工业园区管网或外环境前，应按要求设置污水排放口监测点位，原则上1个排污单位只保留1个污水排放口。监测点位宜设置在厂界内或厂界外10m范围内，避免雨水和其他来 源的排水混入、渗入，干扰采样监测。污水排放口监测点位应满足现场水质采样和流量测量要求，溢流及事故排水应纳入污水排放口排放。</w:t>
      </w:r>
    </w:p>
    <w:p w14:paraId="48A1BB28">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产生第一类污染物或排放标准、排污许可证、自行监测技术指南、环境影响评价文件等相关标准文件规定在车间或生产设施排放口设置污染物排放监控位置的，应在相应位置设置污水排放口监测点位。</w:t>
      </w:r>
    </w:p>
    <w:p w14:paraId="2B02C32A">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排污单位为单一排放源入河入海排污口责任主体的，其入河入海排污口监测点位设置应符合HJ1309等标准以及排污许可证的要求。</w:t>
      </w:r>
    </w:p>
    <w:p w14:paraId="5AF85FBB">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（2）排放口监测点位信息标志牌设置要求</w:t>
      </w:r>
    </w:p>
    <w:p w14:paraId="76EDA757">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在距排放口监测点位较近且醒目处应设置监测点位信息标志牌，并长久保留。单个排放口监测点位涉及多股排气/排水的，可设置多个监测点位信息标志牌，分别记录每股排气/排水的相关信息。</w:t>
      </w:r>
    </w:p>
    <w:p w14:paraId="759691EB">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根据监测点位情况，可设置立式或平面固定式监测点位信息标志牌。</w:t>
      </w:r>
    </w:p>
    <w:p w14:paraId="63B425D2">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监测点位信息标志牌的技术规格及信息内容应符合附录A规定，其中点位编号包含排污单位编号和排放口编号两部分，应与排污许可证中载明的编号一致。</w:t>
      </w:r>
    </w:p>
    <w:p w14:paraId="366D6CF3">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监测点位信息标志牌右下角应设置与标志牌图案总体协调的二维码，相关要求按HJ1297执行。</w:t>
      </w:r>
    </w:p>
    <w:p w14:paraId="1E9B4F45">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（3）排放口监测点位管理</w:t>
      </w:r>
    </w:p>
    <w:p w14:paraId="3180D37E">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排污单位应制定相应的管理办法和规章制度，对排放口监测点位进行管理，并保存相关管理记录。</w:t>
      </w:r>
    </w:p>
    <w:p w14:paraId="3792C40F">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应建立排放口监测点位档案，档案内容应包含监测点位二维码涵盖的信息，以及对监测点位的管理记录，包括对标志牌的标识是否清晰完整，工作平台、梯架、自动监测系统是否能正常使用，安全防护装置是否过期失效，防护设施有无破损现象，排放口附近有无堆积物等方面的检查和维修清理记录，记录周期不少于每半年一次</w:t>
      </w:r>
    </w:p>
    <w:p w14:paraId="0011987D">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排放口监测点位信息变化时，应及时更新排放口监测点位信息标志牌相应内容。</w:t>
      </w:r>
    </w:p>
    <w:p w14:paraId="00F1197A">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334" w:name="_Toc2969"/>
      <w:r>
        <w:rPr>
          <w:rFonts w:hint="default" w:ascii="Times New Roman" w:hAnsi="Times New Roman" w:cs="Times New Roman" w:eastAsiaTheme="minorEastAsia"/>
          <w:kern w:val="0"/>
          <w:sz w:val="24"/>
          <w:szCs w:val="24"/>
          <w:lang w:val="en-US" w:eastAsia="zh-CN"/>
        </w:rPr>
        <w:t>8.</w:t>
      </w:r>
      <w:r>
        <w:rPr>
          <w:rFonts w:hint="eastAsia" w:ascii="Times New Roman" w:hAnsi="Times New Roman" w:cs="Times New Roman"/>
          <w:kern w:val="0"/>
          <w:sz w:val="24"/>
          <w:szCs w:val="24"/>
          <w:lang w:val="en-US" w:eastAsia="zh-CN"/>
        </w:rPr>
        <w:t>3.3</w:t>
      </w:r>
      <w:r>
        <w:rPr>
          <w:rFonts w:hint="default" w:ascii="Times New Roman" w:hAnsi="Times New Roman" w:cs="Times New Roman" w:eastAsiaTheme="minorEastAsia"/>
          <w:kern w:val="0"/>
          <w:sz w:val="24"/>
          <w:szCs w:val="24"/>
          <w:lang w:val="en-US" w:eastAsia="zh-CN"/>
        </w:rPr>
        <w:t>环境信息公开制度</w:t>
      </w:r>
      <w:bookmarkEnd w:id="334"/>
    </w:p>
    <w:p w14:paraId="7AC5AA8F">
      <w:pPr>
        <w:pStyle w:val="20"/>
        <w:snapToGrid w:val="0"/>
        <w:jc w:val="left"/>
        <w:rPr>
          <w:rFonts w:hint="eastAsia"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根据《</w:t>
      </w:r>
      <w:r>
        <w:rPr>
          <w:rFonts w:hint="eastAsia" w:ascii="Times New Roman" w:hAnsi="Times New Roman" w:cs="Times New Roman" w:eastAsiaTheme="minorEastAsia"/>
          <w:color w:val="auto"/>
          <w:lang w:val="en-US" w:eastAsia="zh-CN"/>
        </w:rPr>
        <w:t>企业环境信息依法披露管理办法</w:t>
      </w:r>
      <w:r>
        <w:rPr>
          <w:rFonts w:hint="default" w:ascii="Times New Roman" w:hAnsi="Times New Roman" w:cs="Times New Roman" w:eastAsiaTheme="minorEastAsia"/>
          <w:color w:val="auto"/>
          <w:lang w:val="en-US" w:eastAsia="zh-CN"/>
        </w:rPr>
        <w:t>》（环境保护部第</w:t>
      </w:r>
      <w:r>
        <w:rPr>
          <w:rFonts w:hint="eastAsia" w:ascii="Times New Roman" w:hAnsi="Times New Roman" w:cs="Times New Roman" w:eastAsiaTheme="minorEastAsia"/>
          <w:color w:val="auto"/>
          <w:lang w:val="en-US" w:eastAsia="zh-CN"/>
        </w:rPr>
        <w:t>24</w:t>
      </w:r>
      <w:r>
        <w:rPr>
          <w:rFonts w:hint="default" w:ascii="Times New Roman" w:hAnsi="Times New Roman" w:cs="Times New Roman" w:eastAsiaTheme="minorEastAsia"/>
          <w:color w:val="auto"/>
          <w:lang w:val="en-US" w:eastAsia="zh-CN"/>
        </w:rPr>
        <w:t>号令）</w:t>
      </w:r>
      <w:r>
        <w:rPr>
          <w:rFonts w:hint="eastAsia" w:ascii="Times New Roman" w:hAnsi="Times New Roman" w:cs="Times New Roman" w:eastAsiaTheme="minorEastAsia"/>
          <w:color w:val="auto"/>
          <w:lang w:val="en-US" w:eastAsia="zh-CN"/>
        </w:rPr>
        <w:t>。</w:t>
      </w:r>
    </w:p>
    <w:p w14:paraId="21AFB885">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生态环境部负责制定企业环境信息依法披露格式准则</w:t>
      </w: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以下简称准则</w:t>
      </w: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，并根据生态环境管理需要适时进行调整。</w:t>
      </w:r>
    </w:p>
    <w:p w14:paraId="4BDBF577">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企业应当按照准则编制年度环境信息依法披露报告和临时环境信息依法披露报告，并上传至企业环境信息依法披露系统。</w:t>
      </w:r>
    </w:p>
    <w:p w14:paraId="0BCB097E">
      <w:pPr>
        <w:pStyle w:val="20"/>
        <w:snapToGrid w:val="0"/>
        <w:jc w:val="left"/>
        <w:rPr>
          <w:rFonts w:hint="default"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（1）</w:t>
      </w:r>
      <w:r>
        <w:rPr>
          <w:rFonts w:hint="default" w:ascii="Times New Roman" w:hAnsi="Times New Roman" w:cs="Times New Roman" w:eastAsiaTheme="minorEastAsia"/>
          <w:color w:val="auto"/>
          <w:lang w:val="en-US" w:eastAsia="zh-CN"/>
        </w:rPr>
        <w:t>企业年度环境信息依法披露报告应当包括以下内容：</w:t>
      </w:r>
    </w:p>
    <w:p w14:paraId="4AD13749">
      <w:pPr>
        <w:pStyle w:val="20"/>
        <w:snapToGrid w:val="0"/>
        <w:jc w:val="left"/>
        <w:rPr>
          <w:rFonts w:hint="default"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一</w:t>
      </w: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企业基本信息，包括企业生产和生态环境保护等方面的基础信息</w:t>
      </w: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二</w:t>
      </w: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企业环境管理信息，包括生态环境行政许可、环境保护税、环境污染责任保险、环保信用评价等方面的信息</w:t>
      </w: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三</w:t>
      </w: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污染物产生、治理与排放信息，包括污染防治设施，污染物排放，有毒有害物质排放，工业固体废物和危险废物产生、贮存、流向、利用、处置，自行监测等方面的信息</w:t>
      </w:r>
      <w:r>
        <w:rPr>
          <w:rFonts w:hint="eastAsia" w:ascii="Times New Roman" w:hAnsi="Times New Roman" w:cs="Times New Roman" w:eastAsiaTheme="minorEastAsia"/>
          <w:color w:val="auto"/>
          <w:lang w:val="en-US" w:eastAsia="zh-CN"/>
        </w:rPr>
        <w:t>；</w:t>
      </w:r>
    </w:p>
    <w:p w14:paraId="1CA54FDC">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四</w:t>
      </w: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碳排放信息，包括排放量、排放设施等方面的信息</w:t>
      </w:r>
      <w:r>
        <w:rPr>
          <w:rFonts w:hint="eastAsia" w:ascii="Times New Roman" w:hAnsi="Times New Roman" w:cs="Times New Roman" w:eastAsiaTheme="minorEastAsia"/>
          <w:color w:val="auto"/>
          <w:lang w:val="en-US" w:eastAsia="zh-CN"/>
        </w:rPr>
        <w:t>；</w:t>
      </w:r>
    </w:p>
    <w:p w14:paraId="2CD444E2">
      <w:pPr>
        <w:pStyle w:val="20"/>
        <w:snapToGrid w:val="0"/>
        <w:jc w:val="left"/>
        <w:rPr>
          <w:rFonts w:hint="default"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五</w:t>
      </w: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生态环境应急信息，包括突发环境事件应急预案、重污染天气应急响应等方面的信息</w:t>
      </w:r>
      <w:r>
        <w:rPr>
          <w:rFonts w:hint="eastAsia" w:ascii="Times New Roman" w:hAnsi="Times New Roman" w:cs="Times New Roman" w:eastAsiaTheme="minorEastAsia"/>
          <w:color w:val="auto"/>
          <w:lang w:val="en-US" w:eastAsia="zh-CN"/>
        </w:rPr>
        <w:t>；</w:t>
      </w:r>
    </w:p>
    <w:p w14:paraId="331E7FD9">
      <w:pPr>
        <w:pStyle w:val="20"/>
        <w:snapToGrid w:val="0"/>
        <w:jc w:val="left"/>
        <w:rPr>
          <w:rFonts w:hint="default"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六</w:t>
      </w: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生态环境违法信息</w:t>
      </w:r>
      <w:r>
        <w:rPr>
          <w:rFonts w:hint="eastAsia" w:ascii="Times New Roman" w:hAnsi="Times New Roman" w:cs="Times New Roman" w:eastAsiaTheme="minorEastAsia"/>
          <w:color w:val="auto"/>
          <w:lang w:val="en-US" w:eastAsia="zh-CN"/>
        </w:rPr>
        <w:t>；</w:t>
      </w:r>
    </w:p>
    <w:p w14:paraId="63864052">
      <w:pPr>
        <w:pStyle w:val="20"/>
        <w:snapToGrid w:val="0"/>
        <w:jc w:val="left"/>
        <w:rPr>
          <w:rFonts w:hint="default"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七</w:t>
      </w: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本年度临时环境信息依法披露情况</w:t>
      </w:r>
      <w:r>
        <w:rPr>
          <w:rFonts w:hint="eastAsia" w:ascii="Times New Roman" w:hAnsi="Times New Roman" w:cs="Times New Roman" w:eastAsiaTheme="minorEastAsia"/>
          <w:color w:val="auto"/>
          <w:lang w:val="en-US" w:eastAsia="zh-CN"/>
        </w:rPr>
        <w:t>；</w:t>
      </w:r>
    </w:p>
    <w:p w14:paraId="070BF234">
      <w:pPr>
        <w:pStyle w:val="20"/>
        <w:snapToGrid w:val="0"/>
        <w:jc w:val="left"/>
        <w:rPr>
          <w:rFonts w:hint="default"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（八）</w:t>
      </w:r>
      <w:r>
        <w:rPr>
          <w:rFonts w:hint="default" w:ascii="Times New Roman" w:hAnsi="Times New Roman" w:cs="Times New Roman" w:eastAsiaTheme="minorEastAsia"/>
          <w:color w:val="auto"/>
          <w:lang w:val="en-US" w:eastAsia="zh-CN"/>
        </w:rPr>
        <w:t>法律法规规定的其他环境信息。</w:t>
      </w:r>
    </w:p>
    <w:p w14:paraId="05FD81C9">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（2）</w:t>
      </w:r>
      <w:r>
        <w:rPr>
          <w:rFonts w:hint="default" w:ascii="Times New Roman" w:hAnsi="Times New Roman" w:cs="Times New Roman" w:eastAsiaTheme="minorEastAsia"/>
          <w:color w:val="auto"/>
          <w:lang w:val="en-US" w:eastAsia="zh-CN"/>
        </w:rPr>
        <w:t>实施强制性清洁生产审核的企业披露年度环境信息时，除了披露本办法第十二条规定的环境信息外，还应当披露以下信息</w:t>
      </w:r>
      <w:r>
        <w:rPr>
          <w:rFonts w:hint="eastAsia" w:ascii="Times New Roman" w:hAnsi="Times New Roman" w:cs="Times New Roman" w:eastAsiaTheme="minorEastAsia"/>
          <w:color w:val="auto"/>
          <w:lang w:val="en-US" w:eastAsia="zh-CN"/>
        </w:rPr>
        <w:t>：</w:t>
      </w:r>
    </w:p>
    <w:p w14:paraId="3EFA4676">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一</w:t>
      </w: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实施强制性清洁生产审核的原因</w:t>
      </w:r>
      <w:r>
        <w:rPr>
          <w:rFonts w:hint="eastAsia" w:ascii="Times New Roman" w:hAnsi="Times New Roman" w:cs="Times New Roman" w:eastAsiaTheme="minorEastAsia"/>
          <w:color w:val="auto"/>
          <w:lang w:val="en-US" w:eastAsia="zh-CN"/>
        </w:rPr>
        <w:t>；</w:t>
      </w:r>
    </w:p>
    <w:p w14:paraId="0137EC06">
      <w:pPr>
        <w:pStyle w:val="20"/>
        <w:snapToGrid w:val="0"/>
        <w:jc w:val="left"/>
        <w:rPr>
          <w:rFonts w:hint="default"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二</w:t>
      </w: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强制性清洁生产审核的实施情况、评估与验收结果。</w:t>
      </w:r>
    </w:p>
    <w:p w14:paraId="62627DF4">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（3）上市公司和发债企业披露年度环境信息时，除了披露本办法第十二条规定的环境信息外，还应当按照以下规定披露相关信息：</w:t>
      </w:r>
    </w:p>
    <w:p w14:paraId="46F9C957">
      <w:pPr>
        <w:pStyle w:val="20"/>
        <w:snapToGrid w:val="0"/>
        <w:jc w:val="left"/>
        <w:rPr>
          <w:rFonts w:hint="default"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一</w:t>
      </w: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上市公司通过发行股票、债券、存托凭证、中期票据、短期融资券、超短期融资券、资产证券化、银行贷款等形式进行融资的，应当披露年度融资形式、金额、投向等信息，以及融资所投项目的应对气候变化、生态环境保护等相关信息</w:t>
      </w:r>
      <w:r>
        <w:rPr>
          <w:rFonts w:hint="eastAsia" w:ascii="Times New Roman" w:hAnsi="Times New Roman" w:cs="Times New Roman" w:eastAsiaTheme="minorEastAsia"/>
          <w:color w:val="auto"/>
          <w:lang w:val="en-US" w:eastAsia="zh-CN"/>
        </w:rPr>
        <w:t>；</w:t>
      </w:r>
    </w:p>
    <w:p w14:paraId="216F9BAD">
      <w:pPr>
        <w:pStyle w:val="20"/>
        <w:snapToGrid w:val="0"/>
        <w:jc w:val="left"/>
        <w:rPr>
          <w:rFonts w:hint="default"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二</w:t>
      </w: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发债企业通过发行股票、债券、存托凭证、可交换债、中期票据、短期融资券、超短期融资券、资产证券化、银行贷款等形式融资的，应当披露年度融资形式、金额、投向等信息，以及融资所投项目的应对气候变化、生态环境保护等相关信息。</w:t>
      </w:r>
    </w:p>
    <w:p w14:paraId="5E197F37">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上市公司和发债企业属于强制性清洁生产审核企业的，还应当按照本办法第十四条的规定披露相关环境信息。</w:t>
      </w:r>
    </w:p>
    <w:p w14:paraId="5CB64B10">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（4）企业未产生本办法规定的环境信息的，可以不予披露。</w:t>
      </w:r>
    </w:p>
    <w:p w14:paraId="373C9306">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（5）企业应当自收到相关法律文书之日起五个工作日内，以临时环境信息依法披露报告的形式，披露以下环境信息：</w:t>
      </w:r>
    </w:p>
    <w:p w14:paraId="31D5B2E8">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（一）生态环境行政许可准予、变更、延续、撤销等信息；</w:t>
      </w:r>
    </w:p>
    <w:p w14:paraId="3B9C9DDC">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（二）因生态环境违法行为受到行政处罚的信息；</w:t>
      </w:r>
    </w:p>
    <w:p w14:paraId="46550B9D">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（三）因生态环境违法行为，其法定代表人、主要负责人、直接负责的主管人员和其他直接责任人员被依法处以行政拘留的信息；</w:t>
      </w:r>
    </w:p>
    <w:p w14:paraId="56140959">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（四）因生态环境违法行为，企业或者其法定代表人、主要负责人、直接负责的主管人员和其他直接责任人员被追究刑事责任的信息；</w:t>
      </w:r>
    </w:p>
    <w:p w14:paraId="0A016EB2">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（五）生态环境损害赔偿及协议信息。</w:t>
      </w:r>
    </w:p>
    <w:p w14:paraId="3FA273D8">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企业发生突发环境事件的，应当依照有关法律法规规定披露相关信息。</w:t>
      </w:r>
    </w:p>
    <w:p w14:paraId="06C6C7C8">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（6）企业可以根据实际情况对已披露的环境信息进行变更；进行变更的，应当以临时环境信息依法披露报告的形式变更，并说明变更事项和理由。</w:t>
      </w:r>
    </w:p>
    <w:p w14:paraId="2034DF02">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（7）企业应当于每年3月15日前披露上一年度1月1日至12月31日的环境信息。</w:t>
      </w:r>
    </w:p>
    <w:p w14:paraId="26A61974">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（8）企业在企业名单公布前存在本办法第十七条规定的环境信息的，应当于企业名单公布后十个工作日内以临时环境信息依法披露报告的形式披露本年度企业名单公布前的相关信息。</w:t>
      </w:r>
    </w:p>
    <w:p w14:paraId="223F983A">
      <w:pPr>
        <w:pStyle w:val="4"/>
        <w:spacing w:before="120" w:after="120" w:line="500" w:lineRule="exact"/>
        <w:rPr>
          <w:rFonts w:hint="default" w:ascii="Times New Roman" w:hAnsi="Times New Roman" w:cs="Times New Roman" w:eastAsiaTheme="minorEastAsia"/>
          <w:kern w:val="0"/>
          <w:sz w:val="24"/>
          <w:szCs w:val="24"/>
          <w:lang w:val="en-US" w:eastAsia="zh-CN"/>
        </w:rPr>
      </w:pPr>
      <w:bookmarkStart w:id="335" w:name="_Toc14231"/>
      <w:bookmarkStart w:id="336" w:name="_Toc4527"/>
      <w:r>
        <w:rPr>
          <w:rFonts w:hint="default" w:ascii="Times New Roman" w:hAnsi="Times New Roman" w:cs="Times New Roman" w:eastAsiaTheme="minorEastAsia"/>
          <w:kern w:val="0"/>
          <w:sz w:val="24"/>
          <w:szCs w:val="24"/>
          <w:lang w:val="en-US" w:eastAsia="zh-CN"/>
        </w:rPr>
        <w:t>8.</w:t>
      </w:r>
      <w:r>
        <w:rPr>
          <w:rFonts w:hint="eastAsia" w:ascii="Times New Roman" w:hAnsi="Times New Roman" w:cs="Times New Roman"/>
          <w:kern w:val="0"/>
          <w:sz w:val="24"/>
          <w:szCs w:val="24"/>
          <w:lang w:val="en-US" w:eastAsia="zh-CN"/>
        </w:rPr>
        <w:t>3.4</w:t>
      </w:r>
      <w:r>
        <w:rPr>
          <w:rFonts w:hint="default" w:ascii="Times New Roman" w:hAnsi="Times New Roman" w:cs="Times New Roman" w:eastAsiaTheme="minorEastAsia"/>
          <w:kern w:val="0"/>
          <w:sz w:val="24"/>
          <w:szCs w:val="24"/>
          <w:lang w:val="en-US" w:eastAsia="zh-CN"/>
        </w:rPr>
        <w:t>排污许可证制度</w:t>
      </w:r>
      <w:bookmarkEnd w:id="335"/>
      <w:bookmarkEnd w:id="336"/>
    </w:p>
    <w:p w14:paraId="43C9599E">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根据《新疆维吾尔自治区排污许可证管理暂行办法》要求，排污单位应当依法持有排污许可证，并按照排污许可证的规定排放污染物。</w:t>
      </w:r>
    </w:p>
    <w:p w14:paraId="7B78BE82">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根据《固定污染源排污许可分类管理名录（2019年版）》（生态环境部令第11号，2019年12月20日），本项目为</w:t>
      </w:r>
      <w:r>
        <w:rPr>
          <w:rFonts w:hint="eastAsia" w:ascii="Times New Roman" w:hAnsi="Times New Roman" w:cs="Times New Roman" w:eastAsiaTheme="minorEastAsia"/>
          <w:color w:val="auto"/>
          <w:lang w:val="en-US" w:eastAsia="zh-CN"/>
        </w:rPr>
        <w:t>“四十五</w:t>
      </w:r>
      <w:r>
        <w:rPr>
          <w:rFonts w:hint="default" w:ascii="Times New Roman" w:hAnsi="Times New Roman" w:cs="Times New Roman" w:eastAsiaTheme="minorEastAsia"/>
          <w:color w:val="auto"/>
          <w:lang w:val="en-US" w:eastAsia="zh-CN"/>
        </w:rPr>
        <w:t>、</w:t>
      </w:r>
      <w:r>
        <w:rPr>
          <w:rFonts w:hint="eastAsia" w:ascii="Times New Roman" w:hAnsi="Times New Roman" w:cs="Times New Roman" w:eastAsiaTheme="minorEastAsia"/>
          <w:color w:val="auto"/>
          <w:lang w:val="en-US" w:eastAsia="zh-CN"/>
        </w:rPr>
        <w:t>生态环境保护和环境治理业77”</w:t>
      </w:r>
      <w:r>
        <w:rPr>
          <w:rFonts w:hint="default" w:ascii="Times New Roman" w:hAnsi="Times New Roman" w:cs="Times New Roman" w:eastAsiaTheme="minorEastAsia"/>
          <w:color w:val="auto"/>
          <w:lang w:val="en-US" w:eastAsia="zh-CN"/>
        </w:rPr>
        <w:t>中</w:t>
      </w: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专业从事危险废物贮存、利用、处理、处置</w:t>
      </w: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含焚烧发电</w:t>
      </w: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的，专业从事一般工业固体废物贮存、处置</w:t>
      </w: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含焚烧发电</w:t>
      </w: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的</w:t>
      </w: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，属于重点管理类。本项目在取得环评批复后，在启动生产设施或者发生实际排污之前须在全国排污许可证管理信息平台</w:t>
      </w:r>
      <w:r>
        <w:rPr>
          <w:rFonts w:hint="eastAsia" w:ascii="Times New Roman" w:hAnsi="Times New Roman" w:cs="Times New Roman" w:eastAsiaTheme="minorEastAsia"/>
          <w:color w:val="auto"/>
          <w:lang w:val="en-US" w:eastAsia="zh-CN"/>
        </w:rPr>
        <w:t>变更</w:t>
      </w:r>
      <w:r>
        <w:rPr>
          <w:rFonts w:hint="default" w:ascii="Times New Roman" w:hAnsi="Times New Roman" w:cs="Times New Roman" w:eastAsiaTheme="minorEastAsia"/>
          <w:color w:val="auto"/>
          <w:lang w:val="en-US" w:eastAsia="zh-CN"/>
        </w:rPr>
        <w:t>排污许可证，</w:t>
      </w:r>
      <w:r>
        <w:rPr>
          <w:rFonts w:hint="eastAsia" w:ascii="Times New Roman" w:hAnsi="Times New Roman" w:cs="Times New Roman" w:eastAsiaTheme="minorEastAsia"/>
          <w:color w:val="auto"/>
          <w:lang w:val="en-US" w:eastAsia="zh-CN"/>
        </w:rPr>
        <w:t>变更完成</w:t>
      </w:r>
      <w:r>
        <w:rPr>
          <w:rFonts w:hint="default" w:ascii="Times New Roman" w:hAnsi="Times New Roman" w:cs="Times New Roman" w:eastAsiaTheme="minorEastAsia"/>
          <w:color w:val="auto"/>
          <w:lang w:val="en-US" w:eastAsia="zh-CN"/>
        </w:rPr>
        <w:t>排污许可证后方能正式投入生产，严禁无证排污。</w:t>
      </w:r>
    </w:p>
    <w:p w14:paraId="62304712">
      <w:pPr>
        <w:pStyle w:val="20"/>
        <w:snapToGrid w:val="0"/>
        <w:ind w:left="0" w:leftChars="0" w:firstLine="0" w:firstLineChars="0"/>
        <w:jc w:val="left"/>
        <w:rPr>
          <w:rFonts w:hint="default" w:ascii="Times New Roman" w:hAnsi="Times New Roman" w:cs="Times New Roman" w:eastAsiaTheme="minorEastAsia"/>
          <w:b/>
          <w:bCs/>
          <w:color w:val="auto"/>
          <w:lang w:val="en-US" w:eastAsia="zh-CN"/>
        </w:rPr>
      </w:pPr>
      <w:r>
        <w:rPr>
          <w:rFonts w:hint="default" w:ascii="Times New Roman" w:hAnsi="Times New Roman" w:cs="Times New Roman" w:eastAsiaTheme="minorEastAsia"/>
          <w:b/>
          <w:bCs/>
          <w:color w:val="auto"/>
          <w:lang w:val="en-US" w:eastAsia="zh-CN"/>
        </w:rPr>
        <w:t>8.</w:t>
      </w:r>
      <w:r>
        <w:rPr>
          <w:rFonts w:hint="eastAsia" w:ascii="Times New Roman" w:hAnsi="Times New Roman" w:cs="Times New Roman" w:eastAsiaTheme="minorEastAsia"/>
          <w:b/>
          <w:bCs/>
          <w:color w:val="auto"/>
          <w:lang w:val="en-US" w:eastAsia="zh-CN"/>
        </w:rPr>
        <w:t>3.4.</w:t>
      </w:r>
      <w:r>
        <w:rPr>
          <w:rFonts w:hint="default" w:ascii="Times New Roman" w:hAnsi="Times New Roman" w:cs="Times New Roman" w:eastAsiaTheme="minorEastAsia"/>
          <w:b/>
          <w:bCs/>
          <w:color w:val="auto"/>
          <w:lang w:val="en-US" w:eastAsia="zh-CN"/>
        </w:rPr>
        <w:t>1申请与核发</w:t>
      </w:r>
    </w:p>
    <w:p w14:paraId="7D0E0C7D">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排污单位在申请排污许可证前，应当将主要申请内容，包括排污单位基本信息、拟申请的许可事项、产排污环节、污染防治设施，通过国家排污许可证管理信息平台或者其他规定途径等便于公众知晓的方式向社会公开。公开时间不得少于5日。</w:t>
      </w:r>
    </w:p>
    <w:p w14:paraId="6A95CE59">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排污单位应当在国家排污许可证管理信息平台上填报并提交排污许可证申请，同时向有核发权限的生态环境主管部门提交通过平台印制的书面申请材料。 排污单位对申请材料的真实性、合法性、完整性负法律责任。申请材料应当包括：</w:t>
      </w:r>
    </w:p>
    <w:p w14:paraId="5D9B1ECD">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一）排污许可证申请表，主要内容包括：排污单位基本信息，主要生产装置，废气、废水等生产排污环节和污染防治设施，申请的排污口位置和数量、排放方式、排放去向、排放污染物种类、排放浓度和排放量、执行的排放标准。</w:t>
      </w:r>
    </w:p>
    <w:p w14:paraId="59A1829C">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二）有排污单位法定代表人或者实际负责人签字或盖章的承诺书。主要承诺内容包括：对申请材料的真实性、合法性、完整性负法律责任；按照排污许可证的要求控制污染物排放；按照相关标准规范开展自行监测、台账记录；按时提交执行报告并及时公开相关信息等。</w:t>
      </w:r>
    </w:p>
    <w:p w14:paraId="3EDFF5EF">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（三）排污单位按照有关要求进行排污口和监测孔规范化设置的情况说明。</w:t>
      </w:r>
    </w:p>
    <w:p w14:paraId="37BD3B49">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（四）建设项目环境影响评价批复文号。</w:t>
      </w:r>
    </w:p>
    <w:p w14:paraId="33FAA73D">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（五）法律法规规定的其他材料。</w:t>
      </w:r>
    </w:p>
    <w:p w14:paraId="0557D71D">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核发机关收到排污单位提交的申请材料后，对材料的完整性、规范性进行审查，按照下列情形分别作出处理：</w:t>
      </w:r>
    </w:p>
    <w:p w14:paraId="435889C6">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（1）依据《排污许可管理条例》不需要取得排污许可证的，应当</w:t>
      </w:r>
      <w:r>
        <w:rPr>
          <w:rFonts w:hint="eastAsia" w:ascii="Times New Roman" w:hAnsi="Times New Roman" w:cs="Times New Roman" w:eastAsiaTheme="minorEastAsia"/>
          <w:color w:val="auto"/>
          <w:lang w:val="en-US" w:eastAsia="zh-CN"/>
        </w:rPr>
        <w:t>及时</w:t>
      </w:r>
      <w:r>
        <w:rPr>
          <w:rFonts w:hint="default" w:ascii="Times New Roman" w:hAnsi="Times New Roman" w:cs="Times New Roman" w:eastAsiaTheme="minorEastAsia"/>
          <w:color w:val="auto"/>
          <w:lang w:val="en-US" w:eastAsia="zh-CN"/>
        </w:rPr>
        <w:t>告知排污单位不需要办理。</w:t>
      </w:r>
    </w:p>
    <w:p w14:paraId="26919240">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（2）不属于本行政机关职权范围的，应当即时作出不予受理的决定，并告知排污单位有核发权限的机关。</w:t>
      </w:r>
    </w:p>
    <w:p w14:paraId="43F267FA">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（3）申请材料不齐全的，应当当场或在五日内出具一次性告知单，告知排污单位需要补充的全部材料。逾期不告知的，自收到申请材料之日起即为受理。</w:t>
      </w:r>
    </w:p>
    <w:p w14:paraId="143C58EA">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（4）申请材料不符合规定的，应当当场或在五日内出具一次性告知单，告知排污单位需要改正的全部内容。可以当场改正的，应当允许排污单位当场改正。 逾期不告知的，自收到申请材料之日起即为受理。</w:t>
      </w:r>
    </w:p>
    <w:p w14:paraId="38172CA7">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（5）属于本行政机关职权范围，申请材料齐全、符合规定，或者排污单位按要求提交全部补正申请材料的，应当受理。</w:t>
      </w:r>
    </w:p>
    <w:p w14:paraId="22809002">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核发机关应当在国家排污许可证管理信息平台上作出受理或者不予受理排污许可申请的决定，同时向排污单位出具加盖本行政机关专用印章和注明日期的受理单或不予受理告知单。</w:t>
      </w:r>
    </w:p>
    <w:p w14:paraId="08E79304">
      <w:pPr>
        <w:pStyle w:val="20"/>
        <w:snapToGrid w:val="0"/>
        <w:ind w:left="0" w:leftChars="0" w:firstLine="0" w:firstLineChars="0"/>
        <w:jc w:val="left"/>
        <w:rPr>
          <w:rFonts w:hint="default" w:ascii="Times New Roman" w:hAnsi="Times New Roman" w:cs="Times New Roman" w:eastAsiaTheme="minorEastAsia"/>
          <w:b/>
          <w:bCs/>
          <w:color w:val="auto"/>
          <w:lang w:val="en-US" w:eastAsia="zh-CN"/>
        </w:rPr>
      </w:pPr>
      <w:r>
        <w:rPr>
          <w:rFonts w:hint="default" w:ascii="Times New Roman" w:hAnsi="Times New Roman" w:cs="Times New Roman" w:eastAsiaTheme="minorEastAsia"/>
          <w:b/>
          <w:bCs/>
          <w:color w:val="auto"/>
          <w:lang w:val="en-US" w:eastAsia="zh-CN"/>
        </w:rPr>
        <w:t>8.</w:t>
      </w:r>
      <w:r>
        <w:rPr>
          <w:rFonts w:hint="eastAsia" w:ascii="Times New Roman" w:hAnsi="Times New Roman" w:cs="Times New Roman" w:eastAsiaTheme="minorEastAsia"/>
          <w:b/>
          <w:bCs/>
          <w:color w:val="auto"/>
          <w:lang w:val="en-US" w:eastAsia="zh-CN"/>
        </w:rPr>
        <w:t>3.4.2环境管理台账记录要求</w:t>
      </w:r>
    </w:p>
    <w:p w14:paraId="31B33633">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（1）一般原则</w:t>
      </w:r>
    </w:p>
    <w:p w14:paraId="464B59A1">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排污单位在申请排污许可证时，应在排污许可平台中明确环境管理台账记录要求。有核发权的地方生态环境主管部门可以依据法律法规、标准规范增加和加严记录要求。排污单位也可自行增加记录要求。</w:t>
      </w:r>
    </w:p>
    <w:p w14:paraId="3692ABD5">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环境管理台账分为电子台账和纸质台账两种形式。</w:t>
      </w:r>
    </w:p>
    <w:p w14:paraId="5344B475">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排污单位可在满足本标准要求的基础上根据实际情况自行制定记录格式，其中记录频次和内容须满足排污许可证环境管理要求。</w:t>
      </w:r>
    </w:p>
    <w:p w14:paraId="2CEEBE5B">
      <w:pPr>
        <w:pStyle w:val="20"/>
        <w:snapToGrid w:val="0"/>
        <w:jc w:val="left"/>
        <w:rPr>
          <w:rFonts w:hint="eastAsia" w:ascii="Times New Roman" w:hAnsi="Times New Roman" w:cs="Times New Roman" w:eastAsiaTheme="minorEastAsia"/>
          <w:color w:val="auto"/>
          <w:highlight w:val="none"/>
          <w:lang w:val="en-US" w:eastAsia="zh-CN"/>
        </w:rPr>
      </w:pPr>
      <w:r>
        <w:rPr>
          <w:rFonts w:hint="eastAsia" w:ascii="Times New Roman" w:hAnsi="Times New Roman" w:cs="Times New Roman" w:eastAsiaTheme="minorEastAsia"/>
          <w:color w:val="auto"/>
          <w:lang w:val="en-US" w:eastAsia="zh-CN"/>
        </w:rPr>
        <w:t>（2）记录内容</w:t>
      </w:r>
    </w:p>
    <w:p w14:paraId="593C8CF3">
      <w:pPr>
        <w:pStyle w:val="20"/>
        <w:snapToGrid w:val="0"/>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排污单位环境管理台账应真实记录基本信息、主要生产设施运行管理信息和污染防治设施运行管理信息、监测记录信息及其他环境管理信息等，参见附录B。主要生产设施、污染防治设施、排放口编号应与排污许可证副本中规定的编号一致。</w:t>
      </w:r>
    </w:p>
    <w:p w14:paraId="480D3A96">
      <w:pPr>
        <w:pStyle w:val="20"/>
        <w:snapToGrid w:val="0"/>
        <w:jc w:val="left"/>
        <w:rPr>
          <w:rFonts w:hint="eastAsia" w:ascii="Times New Roman" w:hAnsi="Times New Roman" w:cs="Times New Roman" w:eastAsiaTheme="minorEastAsia"/>
          <w:color w:val="auto"/>
          <w:highlight w:val="none"/>
          <w:lang w:val="en-US" w:eastAsia="zh-CN"/>
        </w:rPr>
      </w:pPr>
      <w:r>
        <w:rPr>
          <w:rFonts w:hint="eastAsia" w:ascii="Times New Roman" w:hAnsi="Times New Roman" w:cs="Times New Roman" w:eastAsiaTheme="minorEastAsia"/>
          <w:color w:val="auto"/>
          <w:highlight w:val="none"/>
          <w:lang w:val="en-US" w:eastAsia="zh-CN"/>
        </w:rPr>
        <w:t>1）基本信息</w:t>
      </w:r>
    </w:p>
    <w:p w14:paraId="4E1746CC">
      <w:pPr>
        <w:pStyle w:val="20"/>
        <w:snapToGrid w:val="0"/>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排污单位基本信息包括排污单位名称、生产经营场所地址、行业类别、法定代表人、统一社会信用代码、环境影响评价审批意见文号、排污权交易文件及排污许可证编号等。</w:t>
      </w:r>
    </w:p>
    <w:p w14:paraId="7C1E96DC">
      <w:pPr>
        <w:pStyle w:val="20"/>
        <w:snapToGrid w:val="0"/>
        <w:jc w:val="left"/>
        <w:rPr>
          <w:rFonts w:hint="default" w:ascii="Times New Roman" w:hAnsi="Times New Roman" w:cs="Times New Roman" w:eastAsiaTheme="minorEastAsia"/>
          <w:color w:val="auto"/>
          <w:highlight w:val="none"/>
          <w:lang w:val="en-US" w:eastAsia="zh-CN"/>
        </w:rPr>
      </w:pPr>
      <w:r>
        <w:rPr>
          <w:rFonts w:hint="eastAsia" w:ascii="Times New Roman" w:hAnsi="Times New Roman" w:cs="Times New Roman" w:eastAsiaTheme="minorEastAsia"/>
          <w:color w:val="auto"/>
          <w:highlight w:val="none"/>
          <w:lang w:val="en-US" w:eastAsia="zh-CN"/>
        </w:rPr>
        <w:t>2）主要生产设施运行管理信息</w:t>
      </w:r>
    </w:p>
    <w:p w14:paraId="5F575BA6">
      <w:pPr>
        <w:pStyle w:val="20"/>
        <w:snapToGrid w:val="0"/>
        <w:jc w:val="left"/>
        <w:rPr>
          <w:rFonts w:hint="eastAsia" w:ascii="Times New Roman" w:hAnsi="Times New Roman" w:cs="Times New Roman" w:eastAsiaTheme="minorEastAsia"/>
          <w:color w:val="auto"/>
          <w:highlight w:val="none"/>
          <w:lang w:val="en-US" w:eastAsia="zh-CN"/>
        </w:rPr>
      </w:pPr>
      <w:r>
        <w:rPr>
          <w:rFonts w:hint="eastAsia" w:ascii="Times New Roman" w:hAnsi="Times New Roman" w:cs="Times New Roman" w:eastAsiaTheme="minorEastAsia"/>
          <w:color w:val="auto"/>
          <w:highlight w:val="none"/>
          <w:lang w:val="en-US" w:eastAsia="zh-CN"/>
        </w:rPr>
        <w:t>至少记录以下内容。</w:t>
      </w:r>
    </w:p>
    <w:p w14:paraId="4B09D9D8">
      <w:pPr>
        <w:pStyle w:val="20"/>
        <w:snapToGrid w:val="0"/>
        <w:jc w:val="left"/>
        <w:rPr>
          <w:rFonts w:hint="eastAsia" w:ascii="Times New Roman" w:hAnsi="Times New Roman" w:cs="Times New Roman" w:eastAsiaTheme="minorEastAsia"/>
          <w:color w:val="auto"/>
          <w:highlight w:val="none"/>
          <w:lang w:val="en-US" w:eastAsia="zh-CN"/>
        </w:rPr>
      </w:pPr>
      <w:r>
        <w:rPr>
          <w:rFonts w:hint="eastAsia" w:ascii="Times New Roman" w:hAnsi="Times New Roman" w:cs="Times New Roman" w:eastAsiaTheme="minorEastAsia"/>
          <w:color w:val="auto"/>
          <w:highlight w:val="none"/>
          <w:lang w:val="en-US" w:eastAsia="zh-CN"/>
        </w:rPr>
        <w:t>a正常工况</w:t>
      </w:r>
    </w:p>
    <w:p w14:paraId="6872021E">
      <w:pPr>
        <w:pStyle w:val="20"/>
        <w:snapToGrid w:val="0"/>
        <w:jc w:val="left"/>
        <w:rPr>
          <w:rFonts w:hint="eastAsia" w:ascii="Times New Roman" w:hAnsi="Times New Roman" w:cs="Times New Roman" w:eastAsiaTheme="minorEastAsia"/>
          <w:color w:val="auto"/>
          <w:highlight w:val="none"/>
          <w:lang w:val="en-US" w:eastAsia="zh-CN"/>
        </w:rPr>
      </w:pPr>
      <w:r>
        <w:rPr>
          <w:rFonts w:hint="eastAsia" w:ascii="Times New Roman" w:hAnsi="Times New Roman" w:cs="Times New Roman" w:eastAsiaTheme="minorEastAsia"/>
          <w:color w:val="auto"/>
          <w:highlight w:val="none"/>
          <w:lang w:val="en-US" w:eastAsia="zh-CN"/>
        </w:rPr>
        <w:t>1.运行状态：开始时间、结束时间。</w:t>
      </w:r>
    </w:p>
    <w:p w14:paraId="2903E783">
      <w:pPr>
        <w:pStyle w:val="20"/>
        <w:snapToGrid w:val="0"/>
        <w:jc w:val="left"/>
        <w:rPr>
          <w:rFonts w:hint="eastAsia" w:ascii="Times New Roman" w:hAnsi="Times New Roman" w:cs="Times New Roman" w:eastAsiaTheme="minorEastAsia"/>
          <w:color w:val="auto"/>
          <w:highlight w:val="none"/>
          <w:lang w:val="en-US" w:eastAsia="zh-CN"/>
        </w:rPr>
      </w:pPr>
      <w:r>
        <w:rPr>
          <w:rFonts w:hint="eastAsia" w:ascii="Times New Roman" w:hAnsi="Times New Roman" w:cs="Times New Roman" w:eastAsiaTheme="minorEastAsia"/>
          <w:color w:val="auto"/>
          <w:highlight w:val="none"/>
          <w:lang w:val="en-US" w:eastAsia="zh-CN"/>
        </w:rPr>
        <w:t>2.处置能力：设计能力、实际能力。</w:t>
      </w:r>
    </w:p>
    <w:p w14:paraId="59F0529B">
      <w:pPr>
        <w:pStyle w:val="20"/>
        <w:snapToGrid w:val="0"/>
        <w:jc w:val="left"/>
        <w:rPr>
          <w:rFonts w:hint="eastAsia" w:ascii="Times New Roman" w:hAnsi="Times New Roman" w:cs="Times New Roman" w:eastAsiaTheme="minorEastAsia"/>
          <w:color w:val="auto"/>
          <w:highlight w:val="none"/>
          <w:lang w:val="en-US" w:eastAsia="zh-CN"/>
        </w:rPr>
      </w:pPr>
      <w:r>
        <w:rPr>
          <w:rFonts w:hint="eastAsia" w:ascii="Times New Roman" w:hAnsi="Times New Roman" w:cs="Times New Roman" w:eastAsiaTheme="minorEastAsia"/>
          <w:color w:val="auto"/>
          <w:highlight w:val="none"/>
          <w:lang w:val="en-US" w:eastAsia="zh-CN"/>
        </w:rPr>
        <w:t>3.生产负荷：实际生产能力（处置能力）与设计生产能力（处置能力）之比。</w:t>
      </w:r>
    </w:p>
    <w:p w14:paraId="57C2FEFD">
      <w:pPr>
        <w:pStyle w:val="20"/>
        <w:snapToGrid w:val="0"/>
        <w:jc w:val="left"/>
        <w:rPr>
          <w:rFonts w:hint="eastAsia" w:ascii="Times New Roman" w:hAnsi="Times New Roman" w:cs="Times New Roman" w:eastAsiaTheme="minorEastAsia"/>
          <w:color w:val="auto"/>
          <w:highlight w:val="none"/>
          <w:lang w:val="en-US" w:eastAsia="zh-CN"/>
        </w:rPr>
      </w:pPr>
      <w:r>
        <w:rPr>
          <w:rFonts w:hint="eastAsia" w:ascii="Times New Roman" w:hAnsi="Times New Roman" w:cs="Times New Roman" w:eastAsiaTheme="minorEastAsia"/>
          <w:color w:val="auto"/>
          <w:highlight w:val="none"/>
          <w:lang w:val="en-US" w:eastAsia="zh-CN"/>
        </w:rPr>
        <w:t>4.燃料和辅料信息：名称、处置（消耗）量、成分分析数据等。</w:t>
      </w:r>
    </w:p>
    <w:p w14:paraId="2A43DBCA">
      <w:pPr>
        <w:pStyle w:val="20"/>
        <w:snapToGrid w:val="0"/>
        <w:jc w:val="left"/>
        <w:rPr>
          <w:rFonts w:hint="eastAsia" w:ascii="Times New Roman" w:hAnsi="Times New Roman" w:cs="Times New Roman" w:eastAsiaTheme="minorEastAsia"/>
          <w:color w:val="auto"/>
          <w:highlight w:val="none"/>
          <w:lang w:val="en-US" w:eastAsia="zh-CN"/>
        </w:rPr>
      </w:pPr>
      <w:r>
        <w:rPr>
          <w:rFonts w:hint="eastAsia" w:ascii="Times New Roman" w:hAnsi="Times New Roman" w:cs="Times New Roman" w:eastAsiaTheme="minorEastAsia"/>
          <w:color w:val="auto"/>
          <w:highlight w:val="none"/>
          <w:lang w:val="en-US" w:eastAsia="zh-CN"/>
        </w:rPr>
        <w:t>b非正常工况</w:t>
      </w:r>
    </w:p>
    <w:p w14:paraId="69512DA2">
      <w:pPr>
        <w:pStyle w:val="20"/>
        <w:snapToGrid w:val="0"/>
        <w:jc w:val="left"/>
        <w:rPr>
          <w:rFonts w:hint="eastAsia" w:ascii="Times New Roman" w:hAnsi="Times New Roman" w:cs="Times New Roman" w:eastAsiaTheme="minorEastAsia"/>
          <w:color w:val="auto"/>
          <w:highlight w:val="none"/>
          <w:lang w:val="en-US" w:eastAsia="zh-CN"/>
        </w:rPr>
      </w:pPr>
      <w:r>
        <w:rPr>
          <w:rFonts w:hint="eastAsia" w:ascii="Times New Roman" w:hAnsi="Times New Roman" w:cs="Times New Roman" w:eastAsiaTheme="minorEastAsia"/>
          <w:color w:val="auto"/>
          <w:highlight w:val="none"/>
          <w:lang w:val="en-US" w:eastAsia="zh-CN"/>
        </w:rPr>
        <w:t>起止时间、污染物排放情况、事件原因、应对措施、是否报告等。</w:t>
      </w:r>
    </w:p>
    <w:p w14:paraId="794767A9">
      <w:pPr>
        <w:pStyle w:val="20"/>
        <w:snapToGrid w:val="0"/>
        <w:jc w:val="left"/>
        <w:rPr>
          <w:rFonts w:hint="eastAsia" w:ascii="Times New Roman" w:hAnsi="Times New Roman" w:cs="Times New Roman" w:eastAsiaTheme="minorEastAsia"/>
          <w:color w:val="auto"/>
          <w:highlight w:val="none"/>
          <w:lang w:val="en-US" w:eastAsia="zh-CN"/>
        </w:rPr>
      </w:pPr>
      <w:r>
        <w:rPr>
          <w:rFonts w:hint="eastAsia" w:ascii="Times New Roman" w:hAnsi="Times New Roman" w:cs="Times New Roman" w:eastAsiaTheme="minorEastAsia"/>
          <w:color w:val="auto"/>
          <w:highlight w:val="none"/>
          <w:lang w:val="en-US" w:eastAsia="zh-CN"/>
        </w:rPr>
        <w:t>3）污染防治设施运行管理信息</w:t>
      </w:r>
    </w:p>
    <w:p w14:paraId="45F728B6">
      <w:pPr>
        <w:pStyle w:val="20"/>
        <w:snapToGrid w:val="0"/>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包括废气、废水污染防治设施、工业固体废物产生及处置的运行管理信息，至少记录以下内容。</w:t>
      </w:r>
    </w:p>
    <w:p w14:paraId="265DA9B7">
      <w:pPr>
        <w:pStyle w:val="20"/>
        <w:snapToGrid w:val="0"/>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a正常状况</w:t>
      </w:r>
    </w:p>
    <w:p w14:paraId="3D6BFC8C">
      <w:pPr>
        <w:pStyle w:val="20"/>
        <w:snapToGrid w:val="0"/>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w:t>
      </w:r>
      <w:r>
        <w:rPr>
          <w:rFonts w:hint="eastAsia" w:ascii="Times New Roman" w:hAnsi="Times New Roman" w:cs="Times New Roman" w:eastAsiaTheme="minorEastAsia"/>
          <w:color w:val="auto"/>
          <w:highlight w:val="none"/>
          <w:lang w:val="en-US" w:eastAsia="zh-CN"/>
        </w:rPr>
        <w:t>.</w:t>
      </w:r>
      <w:r>
        <w:rPr>
          <w:rFonts w:hint="default" w:ascii="Times New Roman" w:hAnsi="Times New Roman" w:cs="Times New Roman" w:eastAsiaTheme="minorEastAsia"/>
          <w:color w:val="auto"/>
          <w:highlight w:val="none"/>
          <w:lang w:val="en-US" w:eastAsia="zh-CN"/>
        </w:rPr>
        <w:t>有组织废气污染防治设施</w:t>
      </w:r>
    </w:p>
    <w:p w14:paraId="450E2D7D">
      <w:pPr>
        <w:pStyle w:val="20"/>
        <w:snapToGrid w:val="0"/>
        <w:ind w:left="479" w:leftChars="228" w:firstLine="0" w:firstLineChars="0"/>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开始时间、结束时间、是否正常运行、污染物排放情况、排口温度等信息。2</w:t>
      </w:r>
      <w:r>
        <w:rPr>
          <w:rFonts w:hint="eastAsia" w:ascii="Times New Roman" w:hAnsi="Times New Roman" w:cs="Times New Roman" w:eastAsiaTheme="minorEastAsia"/>
          <w:color w:val="auto"/>
          <w:highlight w:val="none"/>
          <w:lang w:val="en-US" w:eastAsia="zh-CN"/>
        </w:rPr>
        <w:t>.</w:t>
      </w:r>
      <w:r>
        <w:rPr>
          <w:rFonts w:hint="default" w:ascii="Times New Roman" w:hAnsi="Times New Roman" w:cs="Times New Roman" w:eastAsiaTheme="minorEastAsia"/>
          <w:color w:val="auto"/>
          <w:highlight w:val="none"/>
          <w:lang w:val="en-US" w:eastAsia="zh-CN"/>
        </w:rPr>
        <w:t>无组织废气污染防治措施</w:t>
      </w:r>
    </w:p>
    <w:p w14:paraId="0CB6E6B3">
      <w:pPr>
        <w:pStyle w:val="20"/>
        <w:snapToGrid w:val="0"/>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无组织控制采取的措施、措施描述等信息。</w:t>
      </w:r>
    </w:p>
    <w:p w14:paraId="531A3027">
      <w:pPr>
        <w:pStyle w:val="20"/>
        <w:snapToGrid w:val="0"/>
        <w:jc w:val="left"/>
        <w:rPr>
          <w:rFonts w:hint="default" w:ascii="Times New Roman" w:hAnsi="Times New Roman" w:cs="Times New Roman" w:eastAsiaTheme="minorEastAsia"/>
          <w:color w:val="auto"/>
          <w:highlight w:val="none"/>
          <w:lang w:val="en-US" w:eastAsia="zh-CN"/>
        </w:rPr>
      </w:pPr>
      <w:r>
        <w:rPr>
          <w:rFonts w:hint="eastAsia" w:ascii="Times New Roman" w:hAnsi="Times New Roman" w:cs="Times New Roman" w:eastAsiaTheme="minorEastAsia"/>
          <w:color w:val="auto"/>
          <w:highlight w:val="none"/>
          <w:lang w:val="en-US" w:eastAsia="zh-CN"/>
        </w:rPr>
        <w:t>3.</w:t>
      </w:r>
      <w:r>
        <w:rPr>
          <w:rFonts w:hint="default" w:ascii="Times New Roman" w:hAnsi="Times New Roman" w:cs="Times New Roman" w:eastAsiaTheme="minorEastAsia"/>
          <w:color w:val="auto"/>
          <w:highlight w:val="none"/>
          <w:lang w:val="en-US" w:eastAsia="zh-CN"/>
        </w:rPr>
        <w:t>废水污染防治设施</w:t>
      </w:r>
    </w:p>
    <w:p w14:paraId="3FDBCBFD">
      <w:pPr>
        <w:pStyle w:val="20"/>
        <w:snapToGrid w:val="0"/>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开始时间、结束时间、是否正常运行、污染物排放情况等信息。</w:t>
      </w:r>
    </w:p>
    <w:p w14:paraId="2ED6E1FA">
      <w:pPr>
        <w:pStyle w:val="20"/>
        <w:snapToGrid w:val="0"/>
        <w:jc w:val="left"/>
        <w:rPr>
          <w:rFonts w:hint="default" w:ascii="Times New Roman" w:hAnsi="Times New Roman" w:cs="Times New Roman" w:eastAsiaTheme="minorEastAsia"/>
          <w:color w:val="auto"/>
          <w:highlight w:val="none"/>
          <w:lang w:val="en-US" w:eastAsia="zh-CN"/>
        </w:rPr>
      </w:pPr>
      <w:r>
        <w:rPr>
          <w:rFonts w:hint="eastAsia" w:ascii="Times New Roman" w:hAnsi="Times New Roman" w:cs="Times New Roman" w:eastAsiaTheme="minorEastAsia"/>
          <w:color w:val="auto"/>
          <w:highlight w:val="none"/>
          <w:lang w:val="en-US" w:eastAsia="zh-CN"/>
        </w:rPr>
        <w:t>4.</w:t>
      </w:r>
      <w:r>
        <w:rPr>
          <w:rFonts w:hint="default" w:ascii="Times New Roman" w:hAnsi="Times New Roman" w:cs="Times New Roman" w:eastAsiaTheme="minorEastAsia"/>
          <w:color w:val="auto"/>
          <w:highlight w:val="none"/>
          <w:lang w:val="en-US" w:eastAsia="zh-CN"/>
        </w:rPr>
        <w:t>固体废物产生及处置</w:t>
      </w:r>
    </w:p>
    <w:p w14:paraId="37479817">
      <w:pPr>
        <w:pStyle w:val="20"/>
        <w:snapToGrid w:val="0"/>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固体废物产生环节、处置去向等。</w:t>
      </w:r>
    </w:p>
    <w:p w14:paraId="5820E401">
      <w:pPr>
        <w:pStyle w:val="20"/>
        <w:snapToGrid w:val="0"/>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b非正常状况</w:t>
      </w:r>
    </w:p>
    <w:p w14:paraId="1B1791D0">
      <w:pPr>
        <w:pStyle w:val="20"/>
        <w:snapToGrid w:val="0"/>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起止时间、污染物排放情况、事件原因、应对措施、是否报告等信息。</w:t>
      </w:r>
    </w:p>
    <w:p w14:paraId="168F2F11">
      <w:pPr>
        <w:pStyle w:val="20"/>
        <w:snapToGrid w:val="0"/>
        <w:jc w:val="left"/>
        <w:rPr>
          <w:rFonts w:hint="eastAsia" w:ascii="Times New Roman" w:hAnsi="Times New Roman" w:cs="Times New Roman" w:eastAsiaTheme="minorEastAsia"/>
          <w:color w:val="auto"/>
          <w:highlight w:val="none"/>
          <w:lang w:val="en-US" w:eastAsia="zh-CN"/>
        </w:rPr>
      </w:pPr>
      <w:r>
        <w:rPr>
          <w:rFonts w:hint="eastAsia" w:ascii="Times New Roman" w:hAnsi="Times New Roman" w:cs="Times New Roman" w:eastAsiaTheme="minorEastAsia"/>
          <w:color w:val="auto"/>
          <w:highlight w:val="none"/>
          <w:lang w:val="en-US" w:eastAsia="zh-CN"/>
        </w:rPr>
        <w:t>4）监测记录信息</w:t>
      </w:r>
    </w:p>
    <w:p w14:paraId="0C05AE09">
      <w:pPr>
        <w:pStyle w:val="20"/>
        <w:snapToGrid w:val="0"/>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按照本标准自行监测管理要求章节中相应排污单位要求执行，待危险废物焚烧相关自行监测技术指南发布后，从其规定。</w:t>
      </w:r>
    </w:p>
    <w:p w14:paraId="0A9EDC4D">
      <w:pPr>
        <w:pStyle w:val="20"/>
        <w:snapToGrid w:val="0"/>
        <w:jc w:val="left"/>
        <w:rPr>
          <w:rFonts w:hint="default" w:ascii="Times New Roman" w:hAnsi="Times New Roman" w:cs="Times New Roman" w:eastAsiaTheme="minorEastAsia"/>
          <w:color w:val="auto"/>
          <w:highlight w:val="none"/>
          <w:lang w:val="en-US" w:eastAsia="zh-CN"/>
        </w:rPr>
      </w:pPr>
      <w:r>
        <w:rPr>
          <w:rFonts w:hint="eastAsia" w:ascii="Times New Roman" w:hAnsi="Times New Roman" w:cs="Times New Roman" w:eastAsiaTheme="minorEastAsia"/>
          <w:color w:val="auto"/>
          <w:highlight w:val="none"/>
          <w:lang w:val="en-US" w:eastAsia="zh-CN"/>
        </w:rPr>
        <w:t>5）其他环境管理信息</w:t>
      </w:r>
    </w:p>
    <w:p w14:paraId="5279E7E0">
      <w:pPr>
        <w:pStyle w:val="20"/>
        <w:snapToGrid w:val="0"/>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a无组织废气污染防治措施管理维护信息管理维护时间及主要内容等。</w:t>
      </w:r>
    </w:p>
    <w:p w14:paraId="28D40977">
      <w:pPr>
        <w:pStyle w:val="20"/>
        <w:snapToGrid w:val="0"/>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b其他信息</w:t>
      </w:r>
    </w:p>
    <w:p w14:paraId="68DA53EE">
      <w:pPr>
        <w:pStyle w:val="20"/>
        <w:snapToGrid w:val="0"/>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法律法规、标准规范确定的其他信息，排污单位自主记录的环境管理信息。</w:t>
      </w:r>
    </w:p>
    <w:p w14:paraId="0C48C5C3">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（3）记录频次</w:t>
      </w:r>
    </w:p>
    <w:p w14:paraId="5047BC0C">
      <w:pPr>
        <w:pStyle w:val="20"/>
        <w:snapToGrid w:val="0"/>
        <w:jc w:val="left"/>
        <w:rPr>
          <w:rFonts w:hint="eastAsia" w:ascii="Times New Roman" w:hAnsi="Times New Roman" w:cs="Times New Roman" w:eastAsiaTheme="minorEastAsia"/>
          <w:color w:val="auto"/>
          <w:highlight w:val="none"/>
          <w:lang w:val="en-US" w:eastAsia="zh-CN"/>
        </w:rPr>
      </w:pPr>
      <w:r>
        <w:rPr>
          <w:rFonts w:hint="eastAsia" w:ascii="Times New Roman" w:hAnsi="Times New Roman" w:cs="Times New Roman" w:eastAsiaTheme="minorEastAsia"/>
          <w:color w:val="auto"/>
          <w:highlight w:val="none"/>
          <w:lang w:val="en-US" w:eastAsia="zh-CN"/>
        </w:rPr>
        <w:t>1）基本信息</w:t>
      </w:r>
    </w:p>
    <w:p w14:paraId="5C107AE9">
      <w:pPr>
        <w:pStyle w:val="20"/>
        <w:snapToGrid w:val="0"/>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对于未发生变化的基本信息，按年记录，1次/年</w:t>
      </w:r>
      <w:r>
        <w:rPr>
          <w:rFonts w:hint="eastAsia" w:ascii="Times New Roman" w:hAnsi="Times New Roman" w:cs="Times New Roman" w:eastAsiaTheme="minorEastAsia"/>
          <w:color w:val="auto"/>
          <w:highlight w:val="none"/>
          <w:lang w:val="en-US" w:eastAsia="zh-CN"/>
        </w:rPr>
        <w:t>；</w:t>
      </w:r>
      <w:r>
        <w:rPr>
          <w:rFonts w:hint="default" w:ascii="Times New Roman" w:hAnsi="Times New Roman" w:cs="Times New Roman" w:eastAsiaTheme="minorEastAsia"/>
          <w:color w:val="auto"/>
          <w:highlight w:val="none"/>
          <w:lang w:val="en-US" w:eastAsia="zh-CN"/>
        </w:rPr>
        <w:t>对于发生变化的基本信息，在发生变化时记录1次。</w:t>
      </w:r>
    </w:p>
    <w:p w14:paraId="3CC39E29">
      <w:pPr>
        <w:pStyle w:val="20"/>
        <w:snapToGrid w:val="0"/>
        <w:jc w:val="left"/>
        <w:rPr>
          <w:rFonts w:hint="eastAsia" w:ascii="Times New Roman" w:hAnsi="Times New Roman" w:cs="Times New Roman" w:eastAsiaTheme="minorEastAsia"/>
          <w:color w:val="auto"/>
          <w:highlight w:val="none"/>
          <w:lang w:val="en-US" w:eastAsia="zh-CN"/>
        </w:rPr>
      </w:pPr>
      <w:r>
        <w:rPr>
          <w:rFonts w:hint="eastAsia" w:ascii="Times New Roman" w:hAnsi="Times New Roman" w:cs="Times New Roman" w:eastAsiaTheme="minorEastAsia"/>
          <w:color w:val="auto"/>
          <w:highlight w:val="none"/>
          <w:lang w:val="en-US" w:eastAsia="zh-CN"/>
        </w:rPr>
        <w:t>2）生产设施运行管理信息</w:t>
      </w:r>
    </w:p>
    <w:p w14:paraId="32A8DF08">
      <w:pPr>
        <w:pStyle w:val="20"/>
        <w:snapToGrid w:val="0"/>
        <w:jc w:val="left"/>
        <w:rPr>
          <w:rFonts w:hint="eastAsia" w:ascii="Times New Roman" w:hAnsi="Times New Roman" w:cs="Times New Roman" w:eastAsiaTheme="minorEastAsia"/>
          <w:color w:val="auto"/>
          <w:highlight w:val="none"/>
          <w:lang w:val="en-US" w:eastAsia="zh-CN"/>
        </w:rPr>
      </w:pPr>
      <w:r>
        <w:rPr>
          <w:rFonts w:hint="eastAsia" w:ascii="Times New Roman" w:hAnsi="Times New Roman" w:cs="Times New Roman" w:eastAsiaTheme="minorEastAsia"/>
          <w:color w:val="auto"/>
          <w:highlight w:val="none"/>
          <w:lang w:val="en-US" w:eastAsia="zh-CN"/>
        </w:rPr>
        <w:t>a正常工况</w:t>
      </w:r>
    </w:p>
    <w:p w14:paraId="22227962">
      <w:pPr>
        <w:pStyle w:val="20"/>
        <w:snapToGrid w:val="0"/>
        <w:jc w:val="left"/>
        <w:rPr>
          <w:rFonts w:hint="eastAsia" w:ascii="Times New Roman" w:hAnsi="Times New Roman" w:cs="Times New Roman" w:eastAsiaTheme="minorEastAsia"/>
          <w:color w:val="auto"/>
          <w:highlight w:val="none"/>
          <w:lang w:val="en-US" w:eastAsia="zh-CN"/>
        </w:rPr>
      </w:pPr>
      <w:r>
        <w:rPr>
          <w:rFonts w:hint="eastAsia" w:ascii="Times New Roman" w:hAnsi="Times New Roman" w:cs="Times New Roman" w:eastAsiaTheme="minorEastAsia"/>
          <w:color w:val="auto"/>
          <w:highlight w:val="none"/>
          <w:lang w:val="en-US" w:eastAsia="zh-CN"/>
        </w:rPr>
        <w:t>1.运行状态：一般按日或班次记录，1次/日或班次。</w:t>
      </w:r>
    </w:p>
    <w:p w14:paraId="305D605F">
      <w:pPr>
        <w:pStyle w:val="20"/>
        <w:snapToGrid w:val="0"/>
        <w:jc w:val="left"/>
        <w:rPr>
          <w:rFonts w:hint="eastAsia" w:ascii="Times New Roman" w:hAnsi="Times New Roman" w:cs="Times New Roman" w:eastAsiaTheme="minorEastAsia"/>
          <w:color w:val="auto"/>
          <w:highlight w:val="none"/>
          <w:lang w:val="en-US" w:eastAsia="zh-CN"/>
        </w:rPr>
      </w:pPr>
      <w:r>
        <w:rPr>
          <w:rFonts w:hint="eastAsia" w:ascii="Times New Roman" w:hAnsi="Times New Roman" w:cs="Times New Roman" w:eastAsiaTheme="minorEastAsia"/>
          <w:color w:val="auto"/>
          <w:highlight w:val="none"/>
          <w:lang w:val="en-US" w:eastAsia="zh-CN"/>
        </w:rPr>
        <w:t>2.生产负荷：一般按日或班次记录，1次/日或班次。</w:t>
      </w:r>
    </w:p>
    <w:p w14:paraId="4A296838">
      <w:pPr>
        <w:pStyle w:val="20"/>
        <w:snapToGrid w:val="0"/>
        <w:jc w:val="left"/>
        <w:rPr>
          <w:rFonts w:hint="eastAsia" w:ascii="Times New Roman" w:hAnsi="Times New Roman" w:cs="Times New Roman" w:eastAsiaTheme="minorEastAsia"/>
          <w:color w:val="auto"/>
          <w:highlight w:val="none"/>
          <w:lang w:val="en-US" w:eastAsia="zh-CN"/>
        </w:rPr>
      </w:pPr>
      <w:r>
        <w:rPr>
          <w:rFonts w:hint="eastAsia" w:ascii="Times New Roman" w:hAnsi="Times New Roman" w:cs="Times New Roman" w:eastAsiaTheme="minorEastAsia"/>
          <w:color w:val="auto"/>
          <w:highlight w:val="none"/>
          <w:lang w:val="en-US" w:eastAsia="zh-CN"/>
        </w:rPr>
        <w:t>3.处置能力：连续生产的，按日记录，1次/日。非连续生产的，按照生产周期记录，1次/周期：周期小于1天，按日记录，1次/日。</w:t>
      </w:r>
    </w:p>
    <w:p w14:paraId="1E20BB7F">
      <w:pPr>
        <w:pStyle w:val="20"/>
        <w:snapToGrid w:val="0"/>
        <w:jc w:val="left"/>
        <w:rPr>
          <w:rFonts w:hint="eastAsia" w:ascii="Times New Roman" w:hAnsi="Times New Roman" w:cs="Times New Roman" w:eastAsiaTheme="minorEastAsia"/>
          <w:color w:val="auto"/>
          <w:highlight w:val="none"/>
          <w:lang w:val="en-US" w:eastAsia="zh-CN"/>
        </w:rPr>
      </w:pPr>
      <w:r>
        <w:rPr>
          <w:rFonts w:hint="eastAsia" w:ascii="Times New Roman" w:hAnsi="Times New Roman" w:cs="Times New Roman" w:eastAsiaTheme="minorEastAsia"/>
          <w:color w:val="auto"/>
          <w:highlight w:val="none"/>
          <w:lang w:val="en-US" w:eastAsia="zh-CN"/>
        </w:rPr>
        <w:t>4.燃、辅料：处置（消耗）量一般按日或班次记录，1次/日或班次。成分分析按照批次记录，1次/批。</w:t>
      </w:r>
    </w:p>
    <w:p w14:paraId="217CA700">
      <w:pPr>
        <w:pStyle w:val="20"/>
        <w:snapToGrid w:val="0"/>
        <w:jc w:val="left"/>
        <w:rPr>
          <w:rFonts w:hint="eastAsia" w:ascii="Times New Roman" w:hAnsi="Times New Roman" w:cs="Times New Roman" w:eastAsiaTheme="minorEastAsia"/>
          <w:color w:val="auto"/>
          <w:highlight w:val="none"/>
          <w:lang w:val="en-US" w:eastAsia="zh-CN"/>
        </w:rPr>
      </w:pPr>
      <w:r>
        <w:rPr>
          <w:rFonts w:hint="eastAsia" w:ascii="Times New Roman" w:hAnsi="Times New Roman" w:cs="Times New Roman" w:eastAsiaTheme="minorEastAsia"/>
          <w:color w:val="auto"/>
          <w:highlight w:val="none"/>
          <w:lang w:val="en-US" w:eastAsia="zh-CN"/>
        </w:rPr>
        <w:t>b非正常工况</w:t>
      </w:r>
    </w:p>
    <w:p w14:paraId="6A7219D8">
      <w:pPr>
        <w:pStyle w:val="20"/>
        <w:snapToGrid w:val="0"/>
        <w:jc w:val="left"/>
        <w:rPr>
          <w:rFonts w:hint="default"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按照工况期记录，1次/工况期。</w:t>
      </w:r>
    </w:p>
    <w:p w14:paraId="248D7336">
      <w:pPr>
        <w:pStyle w:val="20"/>
        <w:snapToGrid w:val="0"/>
        <w:jc w:val="left"/>
        <w:rPr>
          <w:rFonts w:hint="default"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3）污染防治设施运行管理信息</w:t>
      </w:r>
    </w:p>
    <w:p w14:paraId="2E1B799A">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a正常状况</w:t>
      </w:r>
    </w:p>
    <w:p w14:paraId="23A32481">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运行情况：按日或班次记录，1次/日或班次。</w:t>
      </w:r>
    </w:p>
    <w:p w14:paraId="74FB9E7B">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b非正常状况。</w:t>
      </w:r>
    </w:p>
    <w:p w14:paraId="5CEED7E8">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按照非正常状况期记录，1次/非正常状况期。</w:t>
      </w:r>
    </w:p>
    <w:p w14:paraId="016738CD">
      <w:pPr>
        <w:pStyle w:val="20"/>
        <w:snapToGrid w:val="0"/>
        <w:jc w:val="left"/>
        <w:rPr>
          <w:rFonts w:hint="default"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4）监测记录信息</w:t>
      </w:r>
    </w:p>
    <w:p w14:paraId="681E2E22">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按照本标准自行监测管理要求章节中相应排污单位要求执行。</w:t>
      </w:r>
    </w:p>
    <w:p w14:paraId="2F5A4AC7">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5）其他环境管理信息</w:t>
      </w:r>
    </w:p>
    <w:p w14:paraId="7FBC64F6">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无组织废气污染防治措施的信息记录频次原则上不小于1次/日。依据法律法规、标准规范或实际生产运行规律等确定其他记录频次。</w:t>
      </w:r>
    </w:p>
    <w:p w14:paraId="464585A3">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（4）记录存储及保存</w:t>
      </w:r>
    </w:p>
    <w:p w14:paraId="22C9C971">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纸质存储：</w:t>
      </w:r>
    </w:p>
    <w:p w14:paraId="02691A95">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纸质台账应存放于保护袋、卷夹或保护盒等保存媒介中，专人保存于专门的档案保存地点，并由相关人员签字。档案保存应采取防光、防热、防潮、防细菌及防污染等措施。纸质类档案如有破损应及时修补，并留存备查。</w:t>
      </w:r>
    </w:p>
    <w:p w14:paraId="6B6105C0">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电子化存储：</w:t>
      </w:r>
    </w:p>
    <w:p w14:paraId="29D8A8B4">
      <w:pPr>
        <w:pStyle w:val="20"/>
        <w:snapToGrid w:val="0"/>
        <w:ind w:left="0" w:leftChars="0" w:firstLine="480" w:firstLineChars="20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电子台账保存于专门存贮设备中，并保留备份数据。存贮设备由专人负责管理，定期进行维护。电子台账根据地方生态环境主管部门管理要求定期上传。</w:t>
      </w:r>
    </w:p>
    <w:p w14:paraId="39AF381C">
      <w:pPr>
        <w:pStyle w:val="20"/>
        <w:snapToGrid w:val="0"/>
        <w:ind w:left="0" w:leftChars="0" w:firstLine="0" w:firstLineChars="0"/>
        <w:jc w:val="left"/>
        <w:rPr>
          <w:rFonts w:hint="eastAsia" w:ascii="Times New Roman" w:hAnsi="Times New Roman" w:cs="Times New Roman" w:eastAsiaTheme="minorEastAsia"/>
          <w:b/>
          <w:bCs/>
          <w:color w:val="auto"/>
          <w:lang w:val="en-US" w:eastAsia="zh-CN"/>
        </w:rPr>
      </w:pPr>
      <w:r>
        <w:rPr>
          <w:rFonts w:hint="eastAsia" w:ascii="Times New Roman" w:hAnsi="Times New Roman" w:cs="Times New Roman" w:eastAsiaTheme="minorEastAsia"/>
          <w:b/>
          <w:bCs/>
          <w:color w:val="auto"/>
          <w:lang w:val="en-US" w:eastAsia="zh-CN"/>
        </w:rPr>
        <w:t>8.4.3.3排污许可证执行报告编制要求</w:t>
      </w:r>
    </w:p>
    <w:p w14:paraId="00E44B86">
      <w:pPr>
        <w:pStyle w:val="20"/>
        <w:snapToGrid w:val="0"/>
        <w:jc w:val="left"/>
        <w:rPr>
          <w:rFonts w:hint="default"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（1）报告周期</w:t>
      </w:r>
    </w:p>
    <w:p w14:paraId="360CD266">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执行报告包括年度执行报告、季度执行报告。地方生态环境主管部门根据环境管理需求，可要求排污单位上报月度执行报告（具体要求参照HJ944），并在排污许可证中明确。排污单位按照排污许可证规定的时间提交执行报告。</w:t>
      </w:r>
    </w:p>
    <w:p w14:paraId="7DFE4F3C">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a）年度执行报告</w:t>
      </w:r>
    </w:p>
    <w:p w14:paraId="3C1238E9">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对于持证时间超过三个月的年度，报告周期为当年全年（自然年）；对于持证时间不足三个月的年度，当年可不提交年度执行报告，排污许可证执行情况纳入下一年度执行报告。</w:t>
      </w:r>
    </w:p>
    <w:p w14:paraId="23AEA043">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b）季度执行报告</w:t>
      </w:r>
    </w:p>
    <w:p w14:paraId="459A8A09">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对于持证时间超过一个月的季度，报告周期为当季全季（自然季度）；对于持证时间不足一个月的季度，该报告周期内可不提交季度执行报告，排污许可证执行情况纳入下一季度执行报告。</w:t>
      </w:r>
    </w:p>
    <w:p w14:paraId="464CF79E">
      <w:pPr>
        <w:pStyle w:val="20"/>
        <w:snapToGrid w:val="0"/>
        <w:jc w:val="left"/>
        <w:rPr>
          <w:rFonts w:hint="default"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（2）编制内容</w:t>
      </w:r>
    </w:p>
    <w:p w14:paraId="5CF04A54">
      <w:pPr>
        <w:pStyle w:val="20"/>
        <w:snapToGrid w:val="0"/>
        <w:jc w:val="left"/>
        <w:rPr>
          <w:rFonts w:hint="eastAsia"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①</w:t>
      </w:r>
      <w:r>
        <w:rPr>
          <w:rFonts w:hint="eastAsia" w:ascii="Times New Roman" w:hAnsi="Times New Roman" w:cs="Times New Roman" w:eastAsiaTheme="minorEastAsia"/>
          <w:color w:val="auto"/>
          <w:lang w:val="en-US" w:eastAsia="zh-CN"/>
        </w:rPr>
        <w:t>年度执行报告</w:t>
      </w:r>
    </w:p>
    <w:p w14:paraId="11B7A3BB">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年度执行报告内容应包括</w:t>
      </w:r>
      <w:r>
        <w:rPr>
          <w:rFonts w:hint="eastAsia" w:ascii="Times New Roman" w:hAnsi="Times New Roman" w:cs="Times New Roman" w:eastAsiaTheme="minorEastAsia"/>
          <w:color w:val="auto"/>
          <w:lang w:val="en-US" w:eastAsia="zh-CN"/>
        </w:rPr>
        <w:t>：</w:t>
      </w:r>
    </w:p>
    <w:p w14:paraId="1486B944">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1.排污单位基本情况</w:t>
      </w:r>
      <w:r>
        <w:rPr>
          <w:rFonts w:hint="eastAsia" w:ascii="Times New Roman" w:hAnsi="Times New Roman" w:cs="Times New Roman" w:eastAsiaTheme="minorEastAsia"/>
          <w:color w:val="auto"/>
          <w:lang w:val="en-US" w:eastAsia="zh-CN"/>
        </w:rPr>
        <w:t>；</w:t>
      </w:r>
    </w:p>
    <w:p w14:paraId="47F614C5">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2.污染防治设施运行情况</w:t>
      </w:r>
      <w:r>
        <w:rPr>
          <w:rFonts w:hint="eastAsia" w:ascii="Times New Roman" w:hAnsi="Times New Roman" w:cs="Times New Roman" w:eastAsiaTheme="minorEastAsia"/>
          <w:color w:val="auto"/>
          <w:lang w:val="en-US" w:eastAsia="zh-CN"/>
        </w:rPr>
        <w:t>；</w:t>
      </w:r>
    </w:p>
    <w:p w14:paraId="29D03235">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3.自行监测执行情况</w:t>
      </w:r>
      <w:r>
        <w:rPr>
          <w:rFonts w:hint="eastAsia" w:ascii="Times New Roman" w:hAnsi="Times New Roman" w:cs="Times New Roman" w:eastAsiaTheme="minorEastAsia"/>
          <w:color w:val="auto"/>
          <w:lang w:val="en-US" w:eastAsia="zh-CN"/>
        </w:rPr>
        <w:t>；</w:t>
      </w:r>
    </w:p>
    <w:p w14:paraId="6C108E4A">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4.环境管理台账记录执行情况</w:t>
      </w:r>
      <w:r>
        <w:rPr>
          <w:rFonts w:hint="eastAsia" w:ascii="Times New Roman" w:hAnsi="Times New Roman" w:cs="Times New Roman" w:eastAsiaTheme="minorEastAsia"/>
          <w:color w:val="auto"/>
          <w:lang w:val="en-US" w:eastAsia="zh-CN"/>
        </w:rPr>
        <w:t>；</w:t>
      </w:r>
    </w:p>
    <w:p w14:paraId="0A60BEC6">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5.实际排放情况及合规判定分析</w:t>
      </w:r>
      <w:r>
        <w:rPr>
          <w:rFonts w:hint="eastAsia" w:ascii="Times New Roman" w:hAnsi="Times New Roman" w:cs="Times New Roman" w:eastAsiaTheme="minorEastAsia"/>
          <w:color w:val="auto"/>
          <w:lang w:val="en-US" w:eastAsia="zh-CN"/>
        </w:rPr>
        <w:t>；</w:t>
      </w:r>
    </w:p>
    <w:p w14:paraId="700C5194">
      <w:pPr>
        <w:pStyle w:val="20"/>
        <w:snapToGrid w:val="0"/>
        <w:jc w:val="left"/>
        <w:rPr>
          <w:rFonts w:hint="eastAsia"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6.信息公开情况</w:t>
      </w:r>
      <w:r>
        <w:rPr>
          <w:rFonts w:hint="eastAsia" w:ascii="Times New Roman" w:hAnsi="Times New Roman" w:cs="Times New Roman" w:eastAsiaTheme="minorEastAsia"/>
          <w:color w:val="auto"/>
          <w:lang w:val="en-US" w:eastAsia="zh-CN"/>
        </w:rPr>
        <w:t>；</w:t>
      </w:r>
    </w:p>
    <w:p w14:paraId="73793116">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7.排污单位内部环境管理体系建设与运行情况</w:t>
      </w:r>
      <w:r>
        <w:rPr>
          <w:rFonts w:hint="eastAsia" w:ascii="Times New Roman" w:hAnsi="Times New Roman" w:cs="Times New Roman" w:eastAsiaTheme="minorEastAsia"/>
          <w:color w:val="auto"/>
          <w:lang w:val="en-US" w:eastAsia="zh-CN"/>
        </w:rPr>
        <w:t>；</w:t>
      </w:r>
    </w:p>
    <w:p w14:paraId="23B5B90D">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8.其他排污许可证规定的内容执行情况</w:t>
      </w:r>
      <w:r>
        <w:rPr>
          <w:rFonts w:hint="eastAsia" w:ascii="Times New Roman" w:hAnsi="Times New Roman" w:cs="Times New Roman" w:eastAsiaTheme="minorEastAsia"/>
          <w:color w:val="auto"/>
          <w:lang w:val="en-US" w:eastAsia="zh-CN"/>
        </w:rPr>
        <w:t>；</w:t>
      </w:r>
    </w:p>
    <w:p w14:paraId="584E08F5">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9.其他需要说明的问题</w:t>
      </w:r>
      <w:r>
        <w:rPr>
          <w:rFonts w:hint="eastAsia" w:ascii="Times New Roman" w:hAnsi="Times New Roman" w:cs="Times New Roman" w:eastAsiaTheme="minorEastAsia"/>
          <w:color w:val="auto"/>
          <w:lang w:val="en-US" w:eastAsia="zh-CN"/>
        </w:rPr>
        <w:t>；</w:t>
      </w:r>
    </w:p>
    <w:p w14:paraId="5C302D9E">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10.结论</w:t>
      </w:r>
      <w:r>
        <w:rPr>
          <w:rFonts w:hint="eastAsia" w:ascii="Times New Roman" w:hAnsi="Times New Roman" w:cs="Times New Roman" w:eastAsiaTheme="minorEastAsia"/>
          <w:color w:val="auto"/>
          <w:lang w:val="en-US" w:eastAsia="zh-CN"/>
        </w:rPr>
        <w:t>；</w:t>
      </w:r>
    </w:p>
    <w:p w14:paraId="38B6F947">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11.附图附件要求。</w:t>
      </w:r>
    </w:p>
    <w:p w14:paraId="5D88250A">
      <w:pPr>
        <w:pStyle w:val="20"/>
        <w:snapToGrid w:val="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具体内容要求参见HJ944的5.3.1，实际排放量核算按照本标准规定方法进行。</w:t>
      </w:r>
      <w:r>
        <w:rPr>
          <w:rFonts w:hint="eastAsia" w:ascii="Times New Roman" w:hAnsi="Times New Roman" w:cs="Times New Roman" w:eastAsiaTheme="minorEastAsia"/>
          <w:color w:val="auto"/>
          <w:lang w:val="en-US" w:eastAsia="zh-CN"/>
        </w:rPr>
        <w:t>表格形式参见本标准附录C</w:t>
      </w:r>
      <w:r>
        <w:rPr>
          <w:rFonts w:hint="default" w:ascii="Times New Roman" w:hAnsi="Times New Roman" w:cs="Times New Roman" w:eastAsiaTheme="minorEastAsia"/>
          <w:color w:val="auto"/>
          <w:lang w:val="en-US" w:eastAsia="zh-CN"/>
        </w:rPr>
        <w:t>。</w:t>
      </w:r>
    </w:p>
    <w:p w14:paraId="375646DA">
      <w:pPr>
        <w:pStyle w:val="20"/>
        <w:snapToGrid w:val="0"/>
        <w:jc w:val="left"/>
        <w:rPr>
          <w:rFonts w:hint="eastAsia"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②</w:t>
      </w:r>
      <w:r>
        <w:rPr>
          <w:rFonts w:hint="eastAsia" w:ascii="Times New Roman" w:hAnsi="Times New Roman" w:cs="Times New Roman" w:eastAsiaTheme="minorEastAsia"/>
          <w:color w:val="auto"/>
          <w:lang w:val="en-US" w:eastAsia="zh-CN"/>
        </w:rPr>
        <w:t>季度执行报告</w:t>
      </w:r>
    </w:p>
    <w:p w14:paraId="05883E59">
      <w:pPr>
        <w:pStyle w:val="20"/>
        <w:snapToGrid w:val="0"/>
        <w:jc w:val="left"/>
        <w:rPr>
          <w:rFonts w:hint="default" w:ascii="Times New Roman" w:hAnsi="Times New Roman" w:cs="Times New Roman" w:eastAsiaTheme="minorEastAsia"/>
          <w:b/>
          <w:bCs/>
          <w:color w:val="auto"/>
          <w:lang w:val="en-US" w:eastAsia="zh-CN"/>
        </w:rPr>
      </w:pPr>
      <w:r>
        <w:rPr>
          <w:rFonts w:hint="default" w:ascii="Times New Roman" w:hAnsi="Times New Roman" w:cs="Times New Roman" w:eastAsiaTheme="minorEastAsia"/>
          <w:color w:val="auto"/>
          <w:lang w:val="en-US" w:eastAsia="zh-CN"/>
        </w:rPr>
        <w:t>季度执行报告应包括污染物实际排放浓度和排放量、合规判定分析、超标排放或污染防治设施非正常状况说明等内容，以及各月度生产小时数、主要产品及其产量、主要燃料及其处置</w:t>
      </w: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消耗</w:t>
      </w: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量等信息。</w:t>
      </w:r>
    </w:p>
    <w:p w14:paraId="54B0FEA1">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337" w:name="_Toc15358"/>
      <w:r>
        <w:rPr>
          <w:rFonts w:hint="eastAsia" w:ascii="Times New Roman" w:hAnsi="Times New Roman" w:cs="Times New Roman" w:eastAsiaTheme="minorEastAsia"/>
          <w:kern w:val="0"/>
          <w:sz w:val="24"/>
          <w:szCs w:val="24"/>
          <w:lang w:val="en-US" w:eastAsia="zh-CN"/>
        </w:rPr>
        <w:t>8.3.</w:t>
      </w:r>
      <w:r>
        <w:rPr>
          <w:rFonts w:hint="eastAsia" w:ascii="Times New Roman" w:hAnsi="Times New Roman" w:cs="Times New Roman"/>
          <w:kern w:val="0"/>
          <w:sz w:val="24"/>
          <w:szCs w:val="24"/>
          <w:lang w:val="en-US" w:eastAsia="zh-CN"/>
        </w:rPr>
        <w:t>5</w:t>
      </w:r>
      <w:r>
        <w:rPr>
          <w:rFonts w:hint="eastAsia" w:ascii="Times New Roman" w:hAnsi="Times New Roman" w:cs="Times New Roman" w:eastAsiaTheme="minorEastAsia"/>
          <w:kern w:val="0"/>
          <w:sz w:val="24"/>
          <w:szCs w:val="24"/>
          <w:lang w:val="en-US" w:eastAsia="zh-CN"/>
        </w:rPr>
        <w:t>自行</w:t>
      </w:r>
      <w:r>
        <w:rPr>
          <w:rFonts w:hint="eastAsia" w:ascii="Times New Roman" w:hAnsi="Times New Roman" w:cs="Times New Roman"/>
          <w:kern w:val="0"/>
          <w:sz w:val="24"/>
          <w:szCs w:val="24"/>
          <w:lang w:val="en-US" w:eastAsia="zh-CN"/>
        </w:rPr>
        <w:t>监测</w:t>
      </w:r>
      <w:r>
        <w:rPr>
          <w:rFonts w:hint="eastAsia" w:ascii="Times New Roman" w:hAnsi="Times New Roman" w:cs="Times New Roman" w:eastAsiaTheme="minorEastAsia"/>
          <w:kern w:val="0"/>
          <w:sz w:val="24"/>
          <w:szCs w:val="24"/>
          <w:lang w:val="en-US" w:eastAsia="zh-CN"/>
        </w:rPr>
        <w:t>计划</w:t>
      </w:r>
      <w:bookmarkEnd w:id="337"/>
    </w:p>
    <w:p w14:paraId="1D1AC530">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本项目运营期环境监测根据《排污许可证申请与核发技术规范 总则》（</w:t>
      </w:r>
      <w:r>
        <w:rPr>
          <w:rFonts w:hint="default" w:ascii="Times New Roman" w:hAnsi="Times New Roman" w:cs="Times New Roman" w:eastAsiaTheme="minorEastAsia"/>
          <w:color w:val="auto"/>
          <w:lang w:val="en-US" w:eastAsia="zh-CN"/>
        </w:rPr>
        <w:t>HJ942-2018</w:t>
      </w:r>
      <w:r>
        <w:rPr>
          <w:rFonts w:hint="eastAsia" w:ascii="Times New Roman" w:hAnsi="Times New Roman" w:cs="Times New Roman" w:eastAsiaTheme="minorEastAsia"/>
          <w:color w:val="auto"/>
          <w:lang w:val="en-US" w:eastAsia="zh-CN"/>
        </w:rPr>
        <w:t>）、《排污许可证申请与核发技术规范 危险废物焚烧》（</w:t>
      </w:r>
      <w:r>
        <w:rPr>
          <w:rFonts w:hint="default" w:ascii="Times New Roman" w:hAnsi="Times New Roman" w:cs="Times New Roman" w:eastAsiaTheme="minorEastAsia"/>
          <w:color w:val="auto"/>
          <w:lang w:val="en-US" w:eastAsia="zh-CN"/>
        </w:rPr>
        <w:t>HJ1038-2019</w:t>
      </w:r>
      <w:r>
        <w:rPr>
          <w:rFonts w:hint="eastAsia" w:ascii="Times New Roman" w:hAnsi="Times New Roman" w:cs="Times New Roman" w:eastAsiaTheme="minorEastAsia"/>
          <w:color w:val="auto"/>
          <w:lang w:val="en-US" w:eastAsia="zh-CN"/>
        </w:rPr>
        <w:t>）、《排污单位自行监测技术指南 固体废物焚烧》（HJ1205-2021）及《医疗废物处理处置污染控制标准》（</w:t>
      </w:r>
      <w:r>
        <w:rPr>
          <w:rFonts w:hint="default" w:ascii="Times New Roman" w:hAnsi="Times New Roman" w:cs="Times New Roman" w:eastAsiaTheme="minorEastAsia"/>
          <w:color w:val="auto"/>
          <w:lang w:val="en-US" w:eastAsia="zh-CN"/>
        </w:rPr>
        <w:t>GB39707</w:t>
      </w: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2020</w:t>
      </w:r>
      <w:r>
        <w:rPr>
          <w:rFonts w:hint="eastAsia" w:ascii="Times New Roman" w:hAnsi="Times New Roman" w:cs="Times New Roman" w:eastAsiaTheme="minorEastAsia"/>
          <w:color w:val="auto"/>
          <w:lang w:val="en-US" w:eastAsia="zh-CN"/>
        </w:rPr>
        <w:t>）中的规定执行。</w:t>
      </w:r>
    </w:p>
    <w:p w14:paraId="2A7AE5FD">
      <w:pPr>
        <w:pStyle w:val="20"/>
        <w:snapToGrid w:val="0"/>
        <w:jc w:val="left"/>
        <w:rPr>
          <w:rFonts w:hint="eastAsia"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对运营期污染源开展日常环境监控监测，计划见表8.3-2。</w:t>
      </w:r>
    </w:p>
    <w:p w14:paraId="04090DBA">
      <w:pPr>
        <w:snapToGrid w:val="0"/>
        <w:spacing w:before="241"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表8.3-</w:t>
      </w:r>
      <w:r>
        <w:rPr>
          <w:rFonts w:hint="eastAsia" w:ascii="Times New Roman" w:hAnsi="Times New Roman" w:cs="Times New Roman"/>
          <w:b/>
          <w:szCs w:val="21"/>
          <w:lang w:val="en-US" w:eastAsia="zh-CN"/>
        </w:rPr>
        <w:t>2</w:t>
      </w:r>
      <w:r>
        <w:rPr>
          <w:rFonts w:hint="eastAsia" w:ascii="Times New Roman" w:hAnsi="Times New Roman" w:cs="Times New Roman" w:eastAsiaTheme="minorEastAsia"/>
          <w:b/>
          <w:szCs w:val="21"/>
          <w:lang w:val="en-US" w:eastAsia="zh-CN"/>
        </w:rPr>
        <w:t xml:space="preserve">  污染源企业自行监测计划一览表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5"/>
        <w:gridCol w:w="915"/>
        <w:gridCol w:w="2490"/>
        <w:gridCol w:w="1320"/>
        <w:gridCol w:w="3102"/>
      </w:tblGrid>
      <w:tr w14:paraId="14548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Align w:val="center"/>
          </w:tcPr>
          <w:p w14:paraId="22EE7B3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类型</w:t>
            </w:r>
          </w:p>
        </w:tc>
        <w:tc>
          <w:tcPr>
            <w:tcW w:w="915" w:type="dxa"/>
            <w:vAlign w:val="center"/>
          </w:tcPr>
          <w:p w14:paraId="5876546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监测点位置</w:t>
            </w:r>
          </w:p>
        </w:tc>
        <w:tc>
          <w:tcPr>
            <w:tcW w:w="2490" w:type="dxa"/>
            <w:vAlign w:val="center"/>
          </w:tcPr>
          <w:p w14:paraId="1AAA17A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监测因子</w:t>
            </w:r>
          </w:p>
        </w:tc>
        <w:tc>
          <w:tcPr>
            <w:tcW w:w="1320" w:type="dxa"/>
            <w:vAlign w:val="center"/>
          </w:tcPr>
          <w:p w14:paraId="2822A09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监测频次</w:t>
            </w:r>
          </w:p>
        </w:tc>
        <w:tc>
          <w:tcPr>
            <w:tcW w:w="3102" w:type="dxa"/>
            <w:vAlign w:val="center"/>
          </w:tcPr>
          <w:p w14:paraId="4B555A3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标准</w:t>
            </w:r>
          </w:p>
        </w:tc>
      </w:tr>
      <w:tr w14:paraId="309B4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Merge w:val="restart"/>
            <w:vAlign w:val="center"/>
          </w:tcPr>
          <w:p w14:paraId="7DCBD55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废气</w:t>
            </w:r>
          </w:p>
        </w:tc>
        <w:tc>
          <w:tcPr>
            <w:tcW w:w="915" w:type="dxa"/>
            <w:vMerge w:val="restart"/>
            <w:vAlign w:val="center"/>
          </w:tcPr>
          <w:p w14:paraId="5C6F99A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焚烧</w:t>
            </w:r>
            <w:r>
              <w:rPr>
                <w:rFonts w:hint="eastAsia" w:ascii="Times New Roman" w:hAnsi="Times New Roman" w:cs="Times New Roman"/>
                <w:szCs w:val="21"/>
                <w:lang w:val="en-US" w:eastAsia="zh-CN"/>
              </w:rPr>
              <w:t>炉</w:t>
            </w:r>
            <w:r>
              <w:rPr>
                <w:rFonts w:hint="eastAsia" w:ascii="Times New Roman" w:hAnsi="Times New Roman" w:cs="Times New Roman" w:eastAsiaTheme="minorEastAsia"/>
                <w:szCs w:val="21"/>
                <w:lang w:val="en-US" w:eastAsia="zh-CN"/>
              </w:rPr>
              <w:t>排气筒</w:t>
            </w:r>
          </w:p>
        </w:tc>
        <w:tc>
          <w:tcPr>
            <w:tcW w:w="2490" w:type="dxa"/>
            <w:vAlign w:val="center"/>
          </w:tcPr>
          <w:p w14:paraId="0F5788C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SO</w:t>
            </w:r>
            <w:r>
              <w:rPr>
                <w:rFonts w:hint="eastAsia" w:ascii="Times New Roman" w:hAnsi="Times New Roman" w:cs="Times New Roman" w:eastAsiaTheme="minorEastAsia"/>
                <w:szCs w:val="21"/>
                <w:vertAlign w:val="subscript"/>
                <w:lang w:val="en-US" w:eastAsia="zh-CN"/>
              </w:rPr>
              <w:t>2</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NOx</w:t>
            </w:r>
            <w:r>
              <w:rPr>
                <w:rFonts w:hint="eastAsia" w:ascii="Times New Roman" w:hAnsi="Times New Roman" w:cs="Times New Roman" w:eastAsiaTheme="minorEastAsia"/>
                <w:szCs w:val="21"/>
                <w:lang w:val="en-US" w:eastAsia="zh-CN"/>
              </w:rPr>
              <w:t>、颗粒物、</w:t>
            </w:r>
            <w:r>
              <w:rPr>
                <w:rFonts w:hint="default" w:ascii="Times New Roman" w:hAnsi="Times New Roman" w:cs="Times New Roman" w:eastAsiaTheme="minorEastAsia"/>
                <w:szCs w:val="21"/>
                <w:lang w:val="en-US" w:eastAsia="zh-CN"/>
              </w:rPr>
              <w:t>HCl</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CO</w:t>
            </w:r>
          </w:p>
        </w:tc>
        <w:tc>
          <w:tcPr>
            <w:tcW w:w="1320" w:type="dxa"/>
            <w:vAlign w:val="center"/>
          </w:tcPr>
          <w:p w14:paraId="2A96833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自动监测</w:t>
            </w:r>
          </w:p>
        </w:tc>
        <w:tc>
          <w:tcPr>
            <w:tcW w:w="3102" w:type="dxa"/>
            <w:vMerge w:val="restart"/>
            <w:vAlign w:val="center"/>
          </w:tcPr>
          <w:p w14:paraId="09CBC7D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《医疗废物处理处置污染控制标准》</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GB39707</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2020</w:t>
            </w:r>
            <w:r>
              <w:rPr>
                <w:rFonts w:hint="eastAsia" w:ascii="Times New Roman" w:hAnsi="Times New Roman" w:cs="Times New Roman"/>
                <w:szCs w:val="21"/>
                <w:lang w:val="en-US" w:eastAsia="zh-CN"/>
              </w:rPr>
              <w:t>）</w:t>
            </w:r>
          </w:p>
        </w:tc>
      </w:tr>
      <w:tr w14:paraId="28C25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Merge w:val="continue"/>
            <w:vAlign w:val="center"/>
          </w:tcPr>
          <w:p w14:paraId="430B3AEB">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5" w:type="dxa"/>
            <w:vMerge w:val="continue"/>
            <w:vAlign w:val="center"/>
          </w:tcPr>
          <w:p w14:paraId="4CD9846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490" w:type="dxa"/>
            <w:vAlign w:val="center"/>
          </w:tcPr>
          <w:p w14:paraId="556EC28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HF</w:t>
            </w:r>
            <w:r>
              <w:rPr>
                <w:rFonts w:hint="eastAsia" w:ascii="Times New Roman" w:hAnsi="Times New Roman" w:cs="Times New Roman" w:eastAsiaTheme="minorEastAsia"/>
                <w:szCs w:val="21"/>
                <w:lang w:val="en-US" w:eastAsia="zh-CN"/>
              </w:rPr>
              <w:t>、二噁英类</w:t>
            </w:r>
          </w:p>
        </w:tc>
        <w:tc>
          <w:tcPr>
            <w:tcW w:w="1320" w:type="dxa"/>
            <w:vAlign w:val="center"/>
          </w:tcPr>
          <w:p w14:paraId="68C9BFE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正常生产期间半年监测一次</w:t>
            </w:r>
          </w:p>
        </w:tc>
        <w:tc>
          <w:tcPr>
            <w:tcW w:w="3102" w:type="dxa"/>
            <w:vMerge w:val="continue"/>
            <w:vAlign w:val="center"/>
          </w:tcPr>
          <w:p w14:paraId="1ABFE477">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039C8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Merge w:val="continue"/>
            <w:vAlign w:val="center"/>
          </w:tcPr>
          <w:p w14:paraId="75124B52">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5" w:type="dxa"/>
            <w:vMerge w:val="continue"/>
            <w:vAlign w:val="center"/>
          </w:tcPr>
          <w:p w14:paraId="6D034D9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2490" w:type="dxa"/>
            <w:vAlign w:val="center"/>
          </w:tcPr>
          <w:p w14:paraId="53F8DB1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汞及其化合物</w:t>
            </w:r>
            <w:r>
              <w:rPr>
                <w:rFonts w:hint="eastAsia" w:ascii="Times New Roman" w:hAnsi="Times New Roman" w:cs="Times New Roman"/>
                <w:szCs w:val="21"/>
                <w:lang w:val="en-US" w:eastAsia="zh-CN"/>
              </w:rPr>
              <w:t>（以Hg计）</w:t>
            </w:r>
            <w:r>
              <w:rPr>
                <w:rFonts w:hint="eastAsia" w:ascii="Times New Roman" w:hAnsi="Times New Roman" w:cs="Times New Roman" w:eastAsiaTheme="minorEastAsia"/>
                <w:szCs w:val="21"/>
                <w:lang w:val="en-US" w:eastAsia="zh-CN"/>
              </w:rPr>
              <w:t>、镉及其化合物</w:t>
            </w:r>
            <w:r>
              <w:rPr>
                <w:rFonts w:hint="eastAsia" w:ascii="Times New Roman" w:hAnsi="Times New Roman" w:cs="Times New Roman"/>
                <w:szCs w:val="21"/>
                <w:lang w:val="en-US" w:eastAsia="zh-CN"/>
              </w:rPr>
              <w:t>（以Cd计）</w:t>
            </w:r>
            <w:r>
              <w:rPr>
                <w:rFonts w:hint="eastAsia" w:ascii="Times New Roman" w:hAnsi="Times New Roman" w:cs="Times New Roman" w:eastAsiaTheme="minorEastAsia"/>
                <w:szCs w:val="21"/>
                <w:lang w:val="en-US" w:eastAsia="zh-CN"/>
              </w:rPr>
              <w:t>、砷、镍及其化合物</w:t>
            </w:r>
            <w:r>
              <w:rPr>
                <w:rFonts w:hint="eastAsia" w:ascii="Times New Roman" w:hAnsi="Times New Roman" w:cs="Times New Roman"/>
                <w:szCs w:val="21"/>
                <w:lang w:val="en-US" w:eastAsia="zh-CN"/>
              </w:rPr>
              <w:t>（以As+Ni计）</w:t>
            </w:r>
            <w:r>
              <w:rPr>
                <w:rFonts w:hint="eastAsia" w:ascii="Times New Roman" w:hAnsi="Times New Roman" w:cs="Times New Roman" w:eastAsiaTheme="minorEastAsia"/>
                <w:szCs w:val="21"/>
                <w:lang w:val="en-US" w:eastAsia="zh-CN"/>
              </w:rPr>
              <w:t>、铅及其化合物</w:t>
            </w:r>
            <w:r>
              <w:rPr>
                <w:rFonts w:hint="eastAsia" w:ascii="Times New Roman" w:hAnsi="Times New Roman" w:cs="Times New Roman"/>
                <w:szCs w:val="21"/>
                <w:lang w:val="en-US" w:eastAsia="zh-CN"/>
              </w:rPr>
              <w:t>（以Pb计）</w:t>
            </w:r>
            <w:r>
              <w:rPr>
                <w:rFonts w:hint="eastAsia" w:ascii="Times New Roman" w:hAnsi="Times New Roman" w:cs="Times New Roman" w:eastAsiaTheme="minorEastAsia"/>
                <w:szCs w:val="21"/>
                <w:lang w:val="en-US" w:eastAsia="zh-CN"/>
              </w:rPr>
              <w:t>、铬、锡、锑、铜、锰及其化合物</w:t>
            </w:r>
            <w:r>
              <w:rPr>
                <w:rFonts w:hint="eastAsia" w:ascii="Times New Roman" w:hAnsi="Times New Roman" w:cs="Times New Roman"/>
                <w:szCs w:val="21"/>
                <w:lang w:val="en-US" w:eastAsia="zh-CN"/>
              </w:rPr>
              <w:t>（以Cr+Sn+Sb+Cu+Mn计）</w:t>
            </w:r>
          </w:p>
        </w:tc>
        <w:tc>
          <w:tcPr>
            <w:tcW w:w="1320" w:type="dxa"/>
            <w:vAlign w:val="center"/>
          </w:tcPr>
          <w:p w14:paraId="043D626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正常生产期间1月监测一次</w:t>
            </w:r>
          </w:p>
        </w:tc>
        <w:tc>
          <w:tcPr>
            <w:tcW w:w="3102" w:type="dxa"/>
            <w:vMerge w:val="continue"/>
            <w:vAlign w:val="center"/>
          </w:tcPr>
          <w:p w14:paraId="24FCB604">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47717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Merge w:val="continue"/>
            <w:vAlign w:val="center"/>
          </w:tcPr>
          <w:p w14:paraId="13708BA4">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915" w:type="dxa"/>
            <w:vAlign w:val="center"/>
          </w:tcPr>
          <w:p w14:paraId="75D7E67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冷藏库（医疗废物暂存间）排气筒</w:t>
            </w:r>
          </w:p>
        </w:tc>
        <w:tc>
          <w:tcPr>
            <w:tcW w:w="2490" w:type="dxa"/>
            <w:vAlign w:val="center"/>
          </w:tcPr>
          <w:p w14:paraId="7E7BE37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氨、硫化氢</w:t>
            </w:r>
          </w:p>
        </w:tc>
        <w:tc>
          <w:tcPr>
            <w:tcW w:w="1320" w:type="dxa"/>
            <w:vAlign w:val="center"/>
          </w:tcPr>
          <w:p w14:paraId="5C671678">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正常生产期间</w:t>
            </w:r>
            <w:r>
              <w:rPr>
                <w:rFonts w:hint="eastAsia" w:ascii="Times New Roman" w:hAnsi="Times New Roman" w:cs="Times New Roman"/>
                <w:szCs w:val="21"/>
                <w:lang w:val="en-US" w:eastAsia="zh-CN"/>
              </w:rPr>
              <w:t>每季度</w:t>
            </w:r>
            <w:r>
              <w:rPr>
                <w:rFonts w:hint="eastAsia" w:ascii="Times New Roman" w:hAnsi="Times New Roman" w:cs="Times New Roman" w:eastAsiaTheme="minorEastAsia"/>
                <w:szCs w:val="21"/>
                <w:lang w:val="en-US" w:eastAsia="zh-CN"/>
              </w:rPr>
              <w:t>监测一次</w:t>
            </w:r>
          </w:p>
        </w:tc>
        <w:tc>
          <w:tcPr>
            <w:tcW w:w="3102" w:type="dxa"/>
            <w:vAlign w:val="center"/>
          </w:tcPr>
          <w:p w14:paraId="672D43E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《恶臭污染物排放标准》（</w:t>
            </w:r>
            <w:r>
              <w:rPr>
                <w:rFonts w:hint="default" w:ascii="Times New Roman" w:hAnsi="Times New Roman" w:cs="Times New Roman" w:eastAsiaTheme="minorEastAsia"/>
                <w:szCs w:val="21"/>
                <w:lang w:val="en-US" w:eastAsia="zh-CN"/>
              </w:rPr>
              <w:t>GB14554-93</w:t>
            </w:r>
            <w:r>
              <w:rPr>
                <w:rFonts w:hint="eastAsia" w:ascii="Times New Roman" w:hAnsi="Times New Roman" w:cs="Times New Roman" w:eastAsiaTheme="minorEastAsia"/>
                <w:szCs w:val="21"/>
                <w:lang w:val="en-US" w:eastAsia="zh-CN"/>
              </w:rPr>
              <w:t>）</w:t>
            </w:r>
          </w:p>
        </w:tc>
      </w:tr>
      <w:tr w14:paraId="79615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Align w:val="center"/>
          </w:tcPr>
          <w:p w14:paraId="3E3A817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废水</w:t>
            </w:r>
          </w:p>
        </w:tc>
        <w:tc>
          <w:tcPr>
            <w:tcW w:w="915" w:type="dxa"/>
            <w:vAlign w:val="center"/>
          </w:tcPr>
          <w:p w14:paraId="1EAE0FA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污水处理站排放口</w:t>
            </w:r>
          </w:p>
        </w:tc>
        <w:tc>
          <w:tcPr>
            <w:tcW w:w="2490" w:type="dxa"/>
            <w:vAlign w:val="center"/>
          </w:tcPr>
          <w:p w14:paraId="38ABDF0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pH</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COD</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BOD</w:t>
            </w:r>
            <w:r>
              <w:rPr>
                <w:rFonts w:hint="default" w:ascii="Times New Roman" w:hAnsi="Times New Roman" w:cs="Times New Roman" w:eastAsiaTheme="minorEastAsia"/>
                <w:szCs w:val="21"/>
                <w:vertAlign w:val="subscript"/>
                <w:lang w:val="en-US" w:eastAsia="zh-CN"/>
              </w:rPr>
              <w:t>5</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SS</w:t>
            </w:r>
            <w:r>
              <w:rPr>
                <w:rFonts w:hint="eastAsia" w:ascii="Times New Roman" w:hAnsi="Times New Roman" w:cs="Times New Roman" w:eastAsiaTheme="minorEastAsia"/>
                <w:szCs w:val="21"/>
                <w:lang w:val="en-US" w:eastAsia="zh-CN"/>
              </w:rPr>
              <w:t>、氨氮、粪大肠菌群数、总汞、总镉、总铬、六价铬、总砷、总铅、</w:t>
            </w:r>
            <w:r>
              <w:rPr>
                <w:rFonts w:hint="eastAsia" w:ascii="Times New Roman" w:hAnsi="Times New Roman" w:cs="Times New Roman"/>
                <w:szCs w:val="21"/>
                <w:lang w:val="en-US" w:eastAsia="zh-CN"/>
              </w:rPr>
              <w:t>石油类、</w:t>
            </w:r>
            <w:r>
              <w:rPr>
                <w:rFonts w:hint="eastAsia" w:ascii="Times New Roman" w:hAnsi="Times New Roman" w:cs="Times New Roman" w:eastAsiaTheme="minorEastAsia"/>
                <w:szCs w:val="21"/>
                <w:lang w:val="en-US" w:eastAsia="zh-CN"/>
              </w:rPr>
              <w:t>流量等</w:t>
            </w:r>
          </w:p>
        </w:tc>
        <w:tc>
          <w:tcPr>
            <w:tcW w:w="1320" w:type="dxa"/>
            <w:vAlign w:val="center"/>
          </w:tcPr>
          <w:p w14:paraId="4AC41BF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正常生产期间</w:t>
            </w:r>
            <w:r>
              <w:rPr>
                <w:rFonts w:hint="default" w:ascii="Times New Roman" w:hAnsi="Times New Roman" w:cs="Times New Roman" w:eastAsiaTheme="minorEastAsia"/>
                <w:szCs w:val="21"/>
                <w:lang w:val="en-US" w:eastAsia="zh-CN"/>
              </w:rPr>
              <w:t>1</w:t>
            </w:r>
            <w:r>
              <w:rPr>
                <w:rFonts w:hint="eastAsia" w:ascii="Times New Roman" w:hAnsi="Times New Roman" w:cs="Times New Roman" w:eastAsiaTheme="minorEastAsia"/>
                <w:szCs w:val="21"/>
                <w:lang w:val="en-US" w:eastAsia="zh-CN"/>
              </w:rPr>
              <w:t>季度监测一次</w:t>
            </w:r>
          </w:p>
        </w:tc>
        <w:tc>
          <w:tcPr>
            <w:tcW w:w="3102" w:type="dxa"/>
            <w:vAlign w:val="center"/>
          </w:tcPr>
          <w:p w14:paraId="30AFA38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满足《医疗机构水污染物排放标准》</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GB18466-2005</w:t>
            </w: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《城市污水再生利用工业用水水质》（</w:t>
            </w:r>
            <w:r>
              <w:rPr>
                <w:rFonts w:hint="eastAsia" w:ascii="Times New Roman" w:hAnsi="Times New Roman" w:cs="Times New Roman"/>
                <w:szCs w:val="21"/>
                <w:lang w:val="en-US" w:eastAsia="zh-CN"/>
              </w:rPr>
              <w:t>GB/T 19923-2024</w:t>
            </w:r>
            <w:r>
              <w:rPr>
                <w:rFonts w:hint="eastAsia" w:ascii="Times New Roman" w:hAnsi="Times New Roman" w:cs="Times New Roman" w:eastAsiaTheme="minorEastAsia"/>
                <w:szCs w:val="21"/>
                <w:lang w:val="en-US" w:eastAsia="zh-CN"/>
              </w:rPr>
              <w:t>）</w:t>
            </w:r>
            <w:r>
              <w:rPr>
                <w:rFonts w:hint="eastAsia" w:ascii="Times New Roman" w:hAnsi="Times New Roman" w:cs="Times New Roman"/>
                <w:szCs w:val="21"/>
                <w:lang w:val="en-US" w:eastAsia="zh-CN"/>
              </w:rPr>
              <w:t>和《污水综合排放标准》（GB8978-1996）三</w:t>
            </w:r>
            <w:r>
              <w:rPr>
                <w:rFonts w:hint="eastAsia" w:ascii="Times New Roman" w:hAnsi="Times New Roman" w:cs="Times New Roman" w:eastAsiaTheme="minorEastAsia"/>
                <w:szCs w:val="21"/>
                <w:lang w:val="en-US" w:eastAsia="zh-CN"/>
              </w:rPr>
              <w:t>者较严限值后作为洗涤用水全部回用</w:t>
            </w:r>
          </w:p>
        </w:tc>
      </w:tr>
      <w:tr w14:paraId="42D51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5" w:type="dxa"/>
            <w:vAlign w:val="center"/>
          </w:tcPr>
          <w:p w14:paraId="7A99771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噪声</w:t>
            </w:r>
          </w:p>
        </w:tc>
        <w:tc>
          <w:tcPr>
            <w:tcW w:w="915" w:type="dxa"/>
            <w:vAlign w:val="center"/>
          </w:tcPr>
          <w:p w14:paraId="7F4E0A6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厂界</w:t>
            </w:r>
          </w:p>
        </w:tc>
        <w:tc>
          <w:tcPr>
            <w:tcW w:w="2490" w:type="dxa"/>
            <w:vAlign w:val="center"/>
          </w:tcPr>
          <w:p w14:paraId="3F0F54C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等效连续</w:t>
            </w:r>
            <w:r>
              <w:rPr>
                <w:rFonts w:hint="default" w:ascii="Times New Roman" w:hAnsi="Times New Roman" w:cs="Times New Roman" w:eastAsiaTheme="minorEastAsia"/>
                <w:szCs w:val="21"/>
                <w:lang w:val="en-US" w:eastAsia="zh-CN"/>
              </w:rPr>
              <w:t>A</w:t>
            </w:r>
            <w:r>
              <w:rPr>
                <w:rFonts w:hint="eastAsia" w:ascii="Times New Roman" w:hAnsi="Times New Roman" w:cs="Times New Roman" w:eastAsiaTheme="minorEastAsia"/>
                <w:szCs w:val="21"/>
                <w:lang w:val="en-US" w:eastAsia="zh-CN"/>
              </w:rPr>
              <w:t>声级</w:t>
            </w:r>
          </w:p>
        </w:tc>
        <w:tc>
          <w:tcPr>
            <w:tcW w:w="1320" w:type="dxa"/>
            <w:vAlign w:val="center"/>
          </w:tcPr>
          <w:p w14:paraId="5D323CC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1次/季</w:t>
            </w:r>
          </w:p>
        </w:tc>
        <w:tc>
          <w:tcPr>
            <w:tcW w:w="3102" w:type="dxa"/>
            <w:vAlign w:val="center"/>
          </w:tcPr>
          <w:p w14:paraId="21BB890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《工业企业厂界环境噪声排放标准》（</w:t>
            </w:r>
            <w:r>
              <w:rPr>
                <w:rFonts w:hint="default" w:ascii="Times New Roman" w:hAnsi="Times New Roman" w:cs="Times New Roman" w:eastAsiaTheme="minorEastAsia"/>
                <w:szCs w:val="21"/>
                <w:lang w:val="en-US" w:eastAsia="zh-CN"/>
              </w:rPr>
              <w:t>GB12348-2008</w:t>
            </w:r>
            <w:r>
              <w:rPr>
                <w:rFonts w:hint="eastAsia" w:ascii="Times New Roman" w:hAnsi="Times New Roman" w:cs="Times New Roman" w:eastAsiaTheme="minorEastAsia"/>
                <w:szCs w:val="21"/>
                <w:lang w:val="en-US" w:eastAsia="zh-CN"/>
              </w:rPr>
              <w:t>）中</w:t>
            </w:r>
            <w:r>
              <w:rPr>
                <w:rFonts w:hint="eastAsia" w:ascii="Times New Roman" w:hAnsi="Times New Roman" w:cs="Times New Roman"/>
                <w:szCs w:val="21"/>
                <w:lang w:val="en-US" w:eastAsia="zh-CN"/>
              </w:rPr>
              <w:t>3</w:t>
            </w:r>
            <w:r>
              <w:rPr>
                <w:rFonts w:hint="eastAsia" w:ascii="Times New Roman" w:hAnsi="Times New Roman" w:cs="Times New Roman" w:eastAsiaTheme="minorEastAsia"/>
                <w:szCs w:val="21"/>
                <w:lang w:val="en-US" w:eastAsia="zh-CN"/>
              </w:rPr>
              <w:t>类</w:t>
            </w:r>
          </w:p>
        </w:tc>
      </w:tr>
    </w:tbl>
    <w:p w14:paraId="0B08E3CB">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338" w:name="_Toc29648"/>
      <w:r>
        <w:rPr>
          <w:rFonts w:hint="eastAsia" w:ascii="Times New Roman" w:hAnsi="Times New Roman" w:cs="Times New Roman" w:eastAsiaTheme="minorEastAsia"/>
          <w:kern w:val="0"/>
          <w:sz w:val="24"/>
          <w:szCs w:val="24"/>
          <w:lang w:val="en-US" w:eastAsia="zh-CN"/>
        </w:rPr>
        <w:t>8.3.</w:t>
      </w:r>
      <w:r>
        <w:rPr>
          <w:rFonts w:hint="eastAsia" w:ascii="Times New Roman" w:hAnsi="Times New Roman" w:cs="Times New Roman"/>
          <w:kern w:val="0"/>
          <w:sz w:val="24"/>
          <w:szCs w:val="24"/>
          <w:lang w:val="en-US" w:eastAsia="zh-CN"/>
        </w:rPr>
        <w:t>6</w:t>
      </w:r>
      <w:r>
        <w:rPr>
          <w:rFonts w:hint="eastAsia" w:ascii="Times New Roman" w:hAnsi="Times New Roman" w:cs="Times New Roman" w:eastAsiaTheme="minorEastAsia"/>
          <w:kern w:val="0"/>
          <w:sz w:val="24"/>
          <w:szCs w:val="24"/>
          <w:lang w:val="en-US" w:eastAsia="zh-CN"/>
        </w:rPr>
        <w:t>环境质量监测</w:t>
      </w:r>
      <w:bookmarkEnd w:id="338"/>
    </w:p>
    <w:p w14:paraId="1532E5AA">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根据《排污单位自行监测技术指南 总则》</w:t>
      </w:r>
      <w:r>
        <w:rPr>
          <w:rFonts w:hint="eastAsia" w:ascii="Times New Roman" w:hAnsi="Times New Roman" w:cs="Times New Roman"/>
          <w:sz w:val="24"/>
          <w:lang w:val="en-US" w:eastAsia="zh-CN"/>
        </w:rPr>
        <w:t>（</w:t>
      </w:r>
      <w:r>
        <w:rPr>
          <w:rFonts w:hint="default" w:ascii="Times New Roman" w:hAnsi="Times New Roman" w:cs="Times New Roman" w:eastAsiaTheme="minorEastAsia"/>
          <w:sz w:val="24"/>
          <w:lang w:val="en-US" w:eastAsia="zh-CN"/>
        </w:rPr>
        <w:t>HJ819-2017</w:t>
      </w:r>
      <w:r>
        <w:rPr>
          <w:rFonts w:hint="eastAsia" w:ascii="Times New Roman" w:hAnsi="Times New Roman" w:cs="Times New Roman"/>
          <w:sz w:val="24"/>
          <w:lang w:val="en-US" w:eastAsia="zh-CN"/>
        </w:rPr>
        <w:t>）</w:t>
      </w:r>
      <w:r>
        <w:rPr>
          <w:rFonts w:hint="eastAsia" w:ascii="Times New Roman" w:hAnsi="Times New Roman" w:cs="Times New Roman" w:eastAsiaTheme="minorEastAsia"/>
          <w:sz w:val="24"/>
          <w:lang w:val="en-US" w:eastAsia="zh-CN"/>
        </w:rPr>
        <w:t>要求，企业应定期开展周边环境质量影响的监测，监测方案</w:t>
      </w:r>
      <w:r>
        <w:rPr>
          <w:rFonts w:hint="eastAsia" w:ascii="Times New Roman" w:hAnsi="Times New Roman" w:cs="Times New Roman"/>
          <w:sz w:val="24"/>
          <w:lang w:val="en-US" w:eastAsia="zh-CN"/>
        </w:rPr>
        <w:t>如下</w:t>
      </w:r>
      <w:r>
        <w:rPr>
          <w:rFonts w:hint="eastAsia" w:ascii="Times New Roman" w:hAnsi="Times New Roman" w:cs="Times New Roman" w:eastAsiaTheme="minorEastAsia"/>
          <w:sz w:val="24"/>
          <w:lang w:val="en-US" w:eastAsia="zh-CN"/>
        </w:rPr>
        <w:t>表</w:t>
      </w:r>
      <w:r>
        <w:rPr>
          <w:rFonts w:hint="default" w:ascii="Times New Roman" w:hAnsi="Times New Roman" w:cs="Times New Roman" w:eastAsiaTheme="minorEastAsia"/>
          <w:sz w:val="24"/>
          <w:lang w:val="en-US" w:eastAsia="zh-CN"/>
        </w:rPr>
        <w:t>8.3-2</w:t>
      </w:r>
      <w:r>
        <w:rPr>
          <w:rFonts w:hint="eastAsia" w:ascii="Times New Roman" w:hAnsi="Times New Roman" w:cs="Times New Roman" w:eastAsiaTheme="minorEastAsia"/>
          <w:sz w:val="24"/>
          <w:lang w:val="en-US" w:eastAsia="zh-CN"/>
        </w:rPr>
        <w:t>所示。</w:t>
      </w:r>
    </w:p>
    <w:p w14:paraId="43281BEC">
      <w:pPr>
        <w:snapToGrid w:val="0"/>
        <w:spacing w:before="241"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表8.3-</w:t>
      </w:r>
      <w:r>
        <w:rPr>
          <w:rFonts w:hint="eastAsia" w:ascii="Times New Roman" w:hAnsi="Times New Roman" w:cs="Times New Roman"/>
          <w:b/>
          <w:szCs w:val="21"/>
          <w:lang w:val="en-US" w:eastAsia="zh-CN"/>
        </w:rPr>
        <w:t>3</w:t>
      </w:r>
      <w:r>
        <w:rPr>
          <w:rFonts w:hint="eastAsia" w:ascii="Times New Roman" w:hAnsi="Times New Roman" w:cs="Times New Roman" w:eastAsiaTheme="minorEastAsia"/>
          <w:b/>
          <w:szCs w:val="21"/>
          <w:lang w:val="en-US" w:eastAsia="zh-CN"/>
        </w:rPr>
        <w:t xml:space="preserve">  周边环境影响企业自行监测计划一览表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887"/>
        <w:gridCol w:w="4034"/>
        <w:gridCol w:w="896"/>
        <w:gridCol w:w="2001"/>
      </w:tblGrid>
      <w:tr w14:paraId="30092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75275C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类型</w:t>
            </w:r>
          </w:p>
        </w:tc>
        <w:tc>
          <w:tcPr>
            <w:tcW w:w="887" w:type="dxa"/>
            <w:vAlign w:val="center"/>
          </w:tcPr>
          <w:p w14:paraId="41BD09D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监测点位置</w:t>
            </w:r>
          </w:p>
        </w:tc>
        <w:tc>
          <w:tcPr>
            <w:tcW w:w="4034" w:type="dxa"/>
            <w:vAlign w:val="center"/>
          </w:tcPr>
          <w:p w14:paraId="711BDF7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监测因子</w:t>
            </w:r>
          </w:p>
        </w:tc>
        <w:tc>
          <w:tcPr>
            <w:tcW w:w="896" w:type="dxa"/>
            <w:vAlign w:val="center"/>
          </w:tcPr>
          <w:p w14:paraId="1E14D485">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监测频次</w:t>
            </w:r>
          </w:p>
        </w:tc>
        <w:tc>
          <w:tcPr>
            <w:tcW w:w="2001" w:type="dxa"/>
            <w:vAlign w:val="center"/>
          </w:tcPr>
          <w:p w14:paraId="1E93F93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标准</w:t>
            </w:r>
          </w:p>
        </w:tc>
      </w:tr>
      <w:tr w14:paraId="31E14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D562A33">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eastAsia" w:ascii="Times New Roman" w:hAnsi="Times New Roman" w:cs="Times New Roman" w:eastAsiaTheme="minorEastAsia"/>
                <w:szCs w:val="21"/>
                <w:highlight w:val="none"/>
                <w:lang w:val="en-US" w:eastAsia="zh-CN"/>
              </w:rPr>
              <w:t>大气</w:t>
            </w:r>
          </w:p>
        </w:tc>
        <w:tc>
          <w:tcPr>
            <w:tcW w:w="887" w:type="dxa"/>
            <w:vAlign w:val="center"/>
          </w:tcPr>
          <w:p w14:paraId="77172911">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eastAsia" w:ascii="Times New Roman" w:hAnsi="Times New Roman" w:cs="Times New Roman"/>
                <w:szCs w:val="21"/>
                <w:highlight w:val="none"/>
                <w:lang w:val="en-US" w:eastAsia="zh-CN"/>
              </w:rPr>
              <w:t>大气敏感点</w:t>
            </w:r>
          </w:p>
        </w:tc>
        <w:tc>
          <w:tcPr>
            <w:tcW w:w="4034" w:type="dxa"/>
            <w:vAlign w:val="center"/>
          </w:tcPr>
          <w:p w14:paraId="32B695FE">
            <w:pPr>
              <w:autoSpaceDE w:val="0"/>
              <w:autoSpaceDN w:val="0"/>
              <w:spacing w:line="300" w:lineRule="exact"/>
              <w:jc w:val="center"/>
              <w:rPr>
                <w:rFonts w:hint="default" w:ascii="Times New Roman" w:hAnsi="Times New Roman" w:cs="Times New Roman" w:eastAsiaTheme="minorEastAsia"/>
                <w:szCs w:val="21"/>
                <w:highlight w:val="yellow"/>
                <w:lang w:val="en-US" w:eastAsia="zh-CN"/>
              </w:rPr>
            </w:pPr>
            <w:r>
              <w:rPr>
                <w:rFonts w:hint="default" w:ascii="Times New Roman" w:hAnsi="Times New Roman" w:cs="Times New Roman" w:eastAsiaTheme="minorEastAsia"/>
                <w:szCs w:val="21"/>
                <w:highlight w:val="none"/>
                <w:lang w:val="en-US" w:eastAsia="zh-CN"/>
              </w:rPr>
              <w:t>SO</w:t>
            </w:r>
            <w:r>
              <w:rPr>
                <w:rFonts w:hint="default" w:ascii="Times New Roman" w:hAnsi="Times New Roman" w:cs="Times New Roman" w:eastAsiaTheme="minorEastAsia"/>
                <w:szCs w:val="21"/>
                <w:highlight w:val="none"/>
                <w:vertAlign w:val="subscript"/>
                <w:lang w:val="en-US" w:eastAsia="zh-CN"/>
              </w:rPr>
              <w:t>2</w:t>
            </w:r>
            <w:r>
              <w:rPr>
                <w:rFonts w:hint="eastAsia" w:ascii="Times New Roman" w:hAnsi="Times New Roman" w:cs="Times New Roman" w:eastAsiaTheme="minorEastAsia"/>
                <w:szCs w:val="21"/>
                <w:highlight w:val="none"/>
                <w:lang w:val="en-US" w:eastAsia="zh-CN"/>
              </w:rPr>
              <w:t>、</w:t>
            </w:r>
            <w:r>
              <w:rPr>
                <w:rFonts w:hint="default" w:ascii="Times New Roman" w:hAnsi="Times New Roman" w:cs="Times New Roman" w:eastAsiaTheme="minorEastAsia"/>
                <w:szCs w:val="21"/>
                <w:highlight w:val="none"/>
                <w:lang w:val="en-US" w:eastAsia="zh-CN"/>
              </w:rPr>
              <w:t>NOx</w:t>
            </w:r>
            <w:r>
              <w:rPr>
                <w:rFonts w:hint="eastAsia" w:ascii="Times New Roman" w:hAnsi="Times New Roman" w:cs="Times New Roman" w:eastAsiaTheme="minorEastAsia"/>
                <w:szCs w:val="21"/>
                <w:highlight w:val="none"/>
                <w:lang w:val="en-US" w:eastAsia="zh-CN"/>
              </w:rPr>
              <w:t>、颗粒物、</w:t>
            </w:r>
            <w:r>
              <w:rPr>
                <w:rFonts w:hint="default" w:ascii="Times New Roman" w:hAnsi="Times New Roman" w:cs="Times New Roman" w:eastAsiaTheme="minorEastAsia"/>
                <w:szCs w:val="21"/>
                <w:highlight w:val="none"/>
                <w:lang w:val="en-US" w:eastAsia="zh-CN"/>
              </w:rPr>
              <w:t>HCl</w:t>
            </w:r>
            <w:r>
              <w:rPr>
                <w:rFonts w:hint="eastAsia" w:ascii="Times New Roman" w:hAnsi="Times New Roman" w:cs="Times New Roman" w:eastAsiaTheme="minorEastAsia"/>
                <w:szCs w:val="21"/>
                <w:highlight w:val="none"/>
                <w:lang w:val="en-US" w:eastAsia="zh-CN"/>
              </w:rPr>
              <w:t>、</w:t>
            </w:r>
            <w:r>
              <w:rPr>
                <w:rFonts w:hint="default" w:ascii="Times New Roman" w:hAnsi="Times New Roman" w:cs="Times New Roman" w:eastAsiaTheme="minorEastAsia"/>
                <w:szCs w:val="21"/>
                <w:highlight w:val="none"/>
                <w:lang w:val="en-US" w:eastAsia="zh-CN"/>
              </w:rPr>
              <w:t>CO</w:t>
            </w:r>
            <w:r>
              <w:rPr>
                <w:rFonts w:hint="eastAsia" w:ascii="Times New Roman" w:hAnsi="Times New Roman" w:cs="Times New Roman" w:eastAsiaTheme="minorEastAsia"/>
                <w:szCs w:val="21"/>
                <w:highlight w:val="none"/>
                <w:lang w:val="en-US" w:eastAsia="zh-CN"/>
              </w:rPr>
              <w:t>、</w:t>
            </w:r>
            <w:r>
              <w:rPr>
                <w:rFonts w:hint="default" w:ascii="Times New Roman" w:hAnsi="Times New Roman" w:cs="Times New Roman" w:eastAsiaTheme="minorEastAsia"/>
                <w:szCs w:val="21"/>
                <w:highlight w:val="none"/>
                <w:lang w:val="en-US" w:eastAsia="zh-CN"/>
              </w:rPr>
              <w:t>HF</w:t>
            </w:r>
            <w:r>
              <w:rPr>
                <w:rFonts w:hint="eastAsia" w:ascii="Times New Roman" w:hAnsi="Times New Roman" w:cs="Times New Roman" w:eastAsiaTheme="minorEastAsia"/>
                <w:szCs w:val="21"/>
                <w:highlight w:val="none"/>
                <w:lang w:val="en-US" w:eastAsia="zh-CN"/>
              </w:rPr>
              <w:t>、二噁英类、汞及其化合物、镉及其化合物、砷、镍及其化合物、铅及其化合物、铬、锡、锑、铜、锰及其化合物</w:t>
            </w:r>
          </w:p>
        </w:tc>
        <w:tc>
          <w:tcPr>
            <w:tcW w:w="896" w:type="dxa"/>
            <w:vAlign w:val="center"/>
          </w:tcPr>
          <w:p w14:paraId="0A97DC9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highlight w:val="none"/>
                <w:lang w:val="en-US" w:eastAsia="zh-CN"/>
              </w:rPr>
              <w:t>每年监测一次</w:t>
            </w:r>
          </w:p>
        </w:tc>
        <w:tc>
          <w:tcPr>
            <w:tcW w:w="2001" w:type="dxa"/>
            <w:vAlign w:val="center"/>
          </w:tcPr>
          <w:p w14:paraId="3064675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《环境空气质量标准》（</w:t>
            </w:r>
            <w:r>
              <w:rPr>
                <w:rFonts w:hint="default" w:ascii="Times New Roman" w:hAnsi="Times New Roman" w:cs="Times New Roman" w:eastAsiaTheme="minorEastAsia"/>
                <w:szCs w:val="21"/>
                <w:lang w:val="en-US" w:eastAsia="zh-CN"/>
              </w:rPr>
              <w:t>GB3095-20</w:t>
            </w:r>
            <w:r>
              <w:rPr>
                <w:rFonts w:hint="eastAsia" w:ascii="Times New Roman" w:hAnsi="Times New Roman" w:cs="Times New Roman"/>
                <w:szCs w:val="21"/>
                <w:lang w:val="en-US" w:eastAsia="zh-CN"/>
              </w:rPr>
              <w:t>26</w:t>
            </w:r>
            <w:r>
              <w:rPr>
                <w:rFonts w:hint="eastAsia" w:ascii="Times New Roman" w:hAnsi="Times New Roman" w:cs="Times New Roman" w:eastAsiaTheme="minorEastAsia"/>
                <w:szCs w:val="21"/>
                <w:lang w:val="en-US" w:eastAsia="zh-CN"/>
              </w:rPr>
              <w:t>）中的二级标准 《环境影响评价技术导则 大气环境》（</w:t>
            </w:r>
            <w:r>
              <w:rPr>
                <w:rFonts w:hint="default" w:ascii="Times New Roman" w:hAnsi="Times New Roman" w:cs="Times New Roman" w:eastAsiaTheme="minorEastAsia"/>
                <w:szCs w:val="21"/>
                <w:lang w:val="en-US" w:eastAsia="zh-CN"/>
              </w:rPr>
              <w:t>HJ2.2-2018</w:t>
            </w:r>
            <w:r>
              <w:rPr>
                <w:rFonts w:hint="eastAsia" w:ascii="Times New Roman" w:hAnsi="Times New Roman" w:cs="Times New Roman" w:eastAsiaTheme="minorEastAsia"/>
                <w:szCs w:val="21"/>
                <w:lang w:val="en-US" w:eastAsia="zh-CN"/>
              </w:rPr>
              <w:t>）中附录</w:t>
            </w:r>
            <w:r>
              <w:rPr>
                <w:rFonts w:hint="default" w:ascii="Times New Roman" w:hAnsi="Times New Roman" w:cs="Times New Roman" w:eastAsiaTheme="minorEastAsia"/>
                <w:szCs w:val="21"/>
                <w:lang w:val="en-US" w:eastAsia="zh-CN"/>
              </w:rPr>
              <w:t>D</w:t>
            </w:r>
            <w:r>
              <w:rPr>
                <w:rFonts w:hint="eastAsia" w:ascii="Times New Roman" w:hAnsi="Times New Roman" w:cs="Times New Roman" w:eastAsiaTheme="minorEastAsia"/>
                <w:szCs w:val="21"/>
                <w:lang w:val="en-US" w:eastAsia="zh-CN"/>
              </w:rPr>
              <w:t>中空气质量浓度参考限值</w:t>
            </w:r>
          </w:p>
        </w:tc>
      </w:tr>
      <w:tr w14:paraId="72D6B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0443DF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地下水</w:t>
            </w:r>
          </w:p>
        </w:tc>
        <w:tc>
          <w:tcPr>
            <w:tcW w:w="887" w:type="dxa"/>
            <w:vAlign w:val="center"/>
          </w:tcPr>
          <w:p w14:paraId="0F06E91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3</w:t>
            </w:r>
            <w:r>
              <w:rPr>
                <w:rFonts w:hint="eastAsia" w:ascii="Times New Roman" w:hAnsi="Times New Roman" w:cs="Times New Roman" w:eastAsiaTheme="minorEastAsia"/>
                <w:szCs w:val="21"/>
                <w:lang w:val="en-US" w:eastAsia="zh-CN"/>
              </w:rPr>
              <w:t>眼地下水监测井</w:t>
            </w:r>
          </w:p>
        </w:tc>
        <w:tc>
          <w:tcPr>
            <w:tcW w:w="4034" w:type="dxa"/>
            <w:vAlign w:val="center"/>
          </w:tcPr>
          <w:p w14:paraId="0555B63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色、嗅和味、浑浊度、肉眼可见物、</w:t>
            </w:r>
            <w:r>
              <w:rPr>
                <w:rFonts w:hint="default" w:ascii="Times New Roman" w:hAnsi="Times New Roman" w:cs="Times New Roman" w:eastAsiaTheme="minorEastAsia"/>
                <w:szCs w:val="21"/>
                <w:lang w:val="en-US" w:eastAsia="zh-CN"/>
              </w:rPr>
              <w:t>pH</w:t>
            </w:r>
            <w:r>
              <w:rPr>
                <w:rFonts w:hint="eastAsia" w:ascii="Times New Roman" w:hAnsi="Times New Roman" w:cs="Times New Roman" w:eastAsiaTheme="minorEastAsia"/>
                <w:szCs w:val="21"/>
                <w:lang w:val="en-US" w:eastAsia="zh-CN"/>
              </w:rPr>
              <w:t>、总硬度、溶解性总固体、硫酸盐、氯化物、铁、锰、铜、锌、铝、挥发性酚类</w:t>
            </w: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以苯酚计</w:t>
            </w: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、阴离子表面活性剂、耗氧量、氨氮、钠、总大肠菌群、菌落总数、硝酸盐氮</w:t>
            </w: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以</w:t>
            </w:r>
            <w:r>
              <w:rPr>
                <w:rFonts w:hint="default" w:ascii="Times New Roman" w:hAnsi="Times New Roman" w:cs="Times New Roman" w:eastAsiaTheme="minorEastAsia"/>
                <w:szCs w:val="21"/>
                <w:lang w:val="en-US" w:eastAsia="zh-CN"/>
              </w:rPr>
              <w:t>N</w:t>
            </w:r>
            <w:r>
              <w:rPr>
                <w:rFonts w:hint="eastAsia" w:ascii="Times New Roman" w:hAnsi="Times New Roman" w:cs="Times New Roman" w:eastAsiaTheme="minorEastAsia"/>
                <w:szCs w:val="21"/>
                <w:lang w:val="en-US" w:eastAsia="zh-CN"/>
              </w:rPr>
              <w:t>计</w:t>
            </w: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、亚硝酸盐氮</w:t>
            </w: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以</w:t>
            </w:r>
            <w:r>
              <w:rPr>
                <w:rFonts w:hint="default" w:ascii="Times New Roman" w:hAnsi="Times New Roman" w:cs="Times New Roman" w:eastAsiaTheme="minorEastAsia"/>
                <w:szCs w:val="21"/>
                <w:lang w:val="en-US" w:eastAsia="zh-CN"/>
              </w:rPr>
              <w:t>N</w:t>
            </w:r>
            <w:r>
              <w:rPr>
                <w:rFonts w:hint="eastAsia" w:ascii="Times New Roman" w:hAnsi="Times New Roman" w:cs="Times New Roman" w:eastAsiaTheme="minorEastAsia"/>
                <w:szCs w:val="21"/>
                <w:lang w:val="en-US" w:eastAsia="zh-CN"/>
              </w:rPr>
              <w:t>计</w:t>
            </w: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、氰化物、氟化物、碘化物、砷、汞、硒、镉、铬</w:t>
            </w: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六价</w:t>
            </w:r>
            <w:r>
              <w:rPr>
                <w:rFonts w:hint="eastAsia" w:ascii="Times New Roman" w:hAnsi="Times New Roman" w:cs="Times New Roman"/>
                <w:szCs w:val="21"/>
                <w:lang w:val="en-US" w:eastAsia="zh-CN"/>
              </w:rPr>
              <w:t>）</w:t>
            </w:r>
            <w:r>
              <w:rPr>
                <w:rFonts w:hint="eastAsia" w:ascii="Times New Roman" w:hAnsi="Times New Roman" w:cs="Times New Roman" w:eastAsiaTheme="minorEastAsia"/>
                <w:szCs w:val="21"/>
                <w:lang w:val="en-US" w:eastAsia="zh-CN"/>
              </w:rPr>
              <w:t>、铅、石油类、硫化物</w:t>
            </w:r>
          </w:p>
        </w:tc>
        <w:tc>
          <w:tcPr>
            <w:tcW w:w="896" w:type="dxa"/>
            <w:vAlign w:val="center"/>
          </w:tcPr>
          <w:p w14:paraId="10A88AA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每年监测一次</w:t>
            </w:r>
          </w:p>
        </w:tc>
        <w:tc>
          <w:tcPr>
            <w:tcW w:w="2001" w:type="dxa"/>
            <w:vAlign w:val="center"/>
          </w:tcPr>
          <w:p w14:paraId="55EDC7E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《地下水质量标准》（</w:t>
            </w:r>
            <w:r>
              <w:rPr>
                <w:rFonts w:hint="default" w:ascii="Times New Roman" w:hAnsi="Times New Roman" w:cs="Times New Roman" w:eastAsiaTheme="minorEastAsia"/>
                <w:szCs w:val="21"/>
                <w:lang w:val="en-US" w:eastAsia="zh-CN"/>
              </w:rPr>
              <w:t>GB/T14848-2017</w:t>
            </w:r>
            <w:r>
              <w:rPr>
                <w:rFonts w:hint="eastAsia" w:ascii="Times New Roman" w:hAnsi="Times New Roman" w:cs="Times New Roman" w:eastAsiaTheme="minorEastAsia"/>
                <w:szCs w:val="21"/>
                <w:lang w:val="en-US" w:eastAsia="zh-CN"/>
              </w:rPr>
              <w:t>）</w:t>
            </w:r>
            <w:r>
              <w:rPr>
                <w:rFonts w:hint="eastAsia" w:ascii="Times New Roman" w:hAnsi="Times New Roman" w:cs="Times New Roman"/>
                <w:szCs w:val="21"/>
                <w:lang w:val="en-US" w:eastAsia="zh-CN"/>
              </w:rPr>
              <w:t>Ⅲ类</w:t>
            </w:r>
            <w:r>
              <w:rPr>
                <w:rFonts w:hint="eastAsia" w:ascii="Times New Roman" w:hAnsi="Times New Roman" w:cs="Times New Roman" w:eastAsiaTheme="minorEastAsia"/>
                <w:szCs w:val="21"/>
                <w:lang w:val="en-US" w:eastAsia="zh-CN"/>
              </w:rPr>
              <w:t>水体标准</w:t>
            </w:r>
          </w:p>
        </w:tc>
      </w:tr>
      <w:tr w14:paraId="3E777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DA6DC2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土壤</w:t>
            </w:r>
          </w:p>
        </w:tc>
        <w:tc>
          <w:tcPr>
            <w:tcW w:w="887" w:type="dxa"/>
            <w:vAlign w:val="center"/>
          </w:tcPr>
          <w:p w14:paraId="355389D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厂区内及周边</w:t>
            </w:r>
          </w:p>
        </w:tc>
        <w:tc>
          <w:tcPr>
            <w:tcW w:w="4034" w:type="dxa"/>
            <w:vAlign w:val="center"/>
          </w:tcPr>
          <w:p w14:paraId="00978CA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砷、镉、六价铬、铜、铅、汞、镍、四氯化碳、氯仿、氯甲烷、</w:t>
            </w:r>
            <w:r>
              <w:rPr>
                <w:rFonts w:hint="default" w:ascii="Times New Roman" w:hAnsi="Times New Roman" w:cs="Times New Roman" w:eastAsiaTheme="minorEastAsia"/>
                <w:szCs w:val="21"/>
                <w:lang w:val="en-US" w:eastAsia="zh-CN"/>
              </w:rPr>
              <w:t>1,1-</w:t>
            </w:r>
            <w:r>
              <w:rPr>
                <w:rFonts w:hint="eastAsia" w:ascii="Times New Roman" w:hAnsi="Times New Roman" w:cs="Times New Roman" w:eastAsiaTheme="minorEastAsia"/>
                <w:szCs w:val="21"/>
                <w:lang w:val="en-US" w:eastAsia="zh-CN"/>
              </w:rPr>
              <w:t>二氯乙烷、</w:t>
            </w:r>
            <w:r>
              <w:rPr>
                <w:rFonts w:hint="default" w:ascii="Times New Roman" w:hAnsi="Times New Roman" w:cs="Times New Roman" w:eastAsiaTheme="minorEastAsia"/>
                <w:szCs w:val="21"/>
                <w:lang w:val="en-US" w:eastAsia="zh-CN"/>
              </w:rPr>
              <w:t>1,2-</w:t>
            </w:r>
            <w:r>
              <w:rPr>
                <w:rFonts w:hint="eastAsia" w:ascii="Times New Roman" w:hAnsi="Times New Roman" w:cs="Times New Roman" w:eastAsiaTheme="minorEastAsia"/>
                <w:szCs w:val="21"/>
                <w:lang w:val="en-US" w:eastAsia="zh-CN"/>
              </w:rPr>
              <w:t>二氯乙烷、</w:t>
            </w:r>
            <w:r>
              <w:rPr>
                <w:rFonts w:hint="default" w:ascii="Times New Roman" w:hAnsi="Times New Roman" w:cs="Times New Roman" w:eastAsiaTheme="minorEastAsia"/>
                <w:szCs w:val="21"/>
                <w:lang w:val="en-US" w:eastAsia="zh-CN"/>
              </w:rPr>
              <w:t>1,1-</w:t>
            </w:r>
            <w:r>
              <w:rPr>
                <w:rFonts w:hint="eastAsia" w:ascii="Times New Roman" w:hAnsi="Times New Roman" w:cs="Times New Roman" w:eastAsiaTheme="minorEastAsia"/>
                <w:szCs w:val="21"/>
                <w:lang w:val="en-US" w:eastAsia="zh-CN"/>
              </w:rPr>
              <w:t>二氯乙烯、顺</w:t>
            </w:r>
            <w:r>
              <w:rPr>
                <w:rFonts w:hint="default" w:ascii="Times New Roman" w:hAnsi="Times New Roman" w:cs="Times New Roman" w:eastAsiaTheme="minorEastAsia"/>
                <w:szCs w:val="21"/>
                <w:lang w:val="en-US" w:eastAsia="zh-CN"/>
              </w:rPr>
              <w:t>-1,2-</w:t>
            </w:r>
            <w:r>
              <w:rPr>
                <w:rFonts w:hint="eastAsia" w:ascii="Times New Roman" w:hAnsi="Times New Roman" w:cs="Times New Roman" w:eastAsiaTheme="minorEastAsia"/>
                <w:szCs w:val="21"/>
                <w:lang w:val="en-US" w:eastAsia="zh-CN"/>
              </w:rPr>
              <w:t>二氯乙烯、反</w:t>
            </w:r>
            <w:r>
              <w:rPr>
                <w:rFonts w:hint="default" w:ascii="Times New Roman" w:hAnsi="Times New Roman" w:cs="Times New Roman" w:eastAsiaTheme="minorEastAsia"/>
                <w:szCs w:val="21"/>
                <w:lang w:val="en-US" w:eastAsia="zh-CN"/>
              </w:rPr>
              <w:t>-1,2-</w:t>
            </w:r>
            <w:r>
              <w:rPr>
                <w:rFonts w:hint="eastAsia" w:ascii="Times New Roman" w:hAnsi="Times New Roman" w:cs="Times New Roman" w:eastAsiaTheme="minorEastAsia"/>
                <w:szCs w:val="21"/>
                <w:lang w:val="en-US" w:eastAsia="zh-CN"/>
              </w:rPr>
              <w:t>二氯乙烯、二氯甲烷、</w:t>
            </w:r>
            <w:r>
              <w:rPr>
                <w:rFonts w:hint="default" w:ascii="Times New Roman" w:hAnsi="Times New Roman" w:cs="Times New Roman" w:eastAsiaTheme="minorEastAsia"/>
                <w:szCs w:val="21"/>
                <w:lang w:val="en-US" w:eastAsia="zh-CN"/>
              </w:rPr>
              <w:t>1,2-</w:t>
            </w:r>
            <w:r>
              <w:rPr>
                <w:rFonts w:hint="eastAsia" w:ascii="Times New Roman" w:hAnsi="Times New Roman" w:cs="Times New Roman" w:eastAsiaTheme="minorEastAsia"/>
                <w:szCs w:val="21"/>
                <w:lang w:val="en-US" w:eastAsia="zh-CN"/>
              </w:rPr>
              <w:t>二氯丙烷、</w:t>
            </w:r>
            <w:r>
              <w:rPr>
                <w:rFonts w:hint="default" w:ascii="Times New Roman" w:hAnsi="Times New Roman" w:cs="Times New Roman" w:eastAsiaTheme="minorEastAsia"/>
                <w:szCs w:val="21"/>
                <w:lang w:val="en-US" w:eastAsia="zh-CN"/>
              </w:rPr>
              <w:t>1,1,1,2-</w:t>
            </w:r>
            <w:r>
              <w:rPr>
                <w:rFonts w:hint="eastAsia" w:ascii="Times New Roman" w:hAnsi="Times New Roman" w:cs="Times New Roman" w:eastAsiaTheme="minorEastAsia"/>
                <w:szCs w:val="21"/>
                <w:lang w:val="en-US" w:eastAsia="zh-CN"/>
              </w:rPr>
              <w:t>四氯乙烷、</w:t>
            </w:r>
            <w:r>
              <w:rPr>
                <w:rFonts w:hint="default" w:ascii="Times New Roman" w:hAnsi="Times New Roman" w:cs="Times New Roman" w:eastAsiaTheme="minorEastAsia"/>
                <w:szCs w:val="21"/>
                <w:lang w:val="en-US" w:eastAsia="zh-CN"/>
              </w:rPr>
              <w:t>1,1,2,2,-</w:t>
            </w:r>
            <w:r>
              <w:rPr>
                <w:rFonts w:hint="eastAsia" w:ascii="Times New Roman" w:hAnsi="Times New Roman" w:cs="Times New Roman" w:eastAsiaTheme="minorEastAsia"/>
                <w:szCs w:val="21"/>
                <w:lang w:val="en-US" w:eastAsia="zh-CN"/>
              </w:rPr>
              <w:t>四氯乙烷、四氯乙烯、</w:t>
            </w:r>
            <w:r>
              <w:rPr>
                <w:rFonts w:hint="default" w:ascii="Times New Roman" w:hAnsi="Times New Roman" w:cs="Times New Roman" w:eastAsiaTheme="minorEastAsia"/>
                <w:szCs w:val="21"/>
                <w:lang w:val="en-US" w:eastAsia="zh-CN"/>
              </w:rPr>
              <w:t>1,1,1-</w:t>
            </w:r>
            <w:r>
              <w:rPr>
                <w:rFonts w:hint="eastAsia" w:ascii="Times New Roman" w:hAnsi="Times New Roman" w:cs="Times New Roman" w:eastAsiaTheme="minorEastAsia"/>
                <w:szCs w:val="21"/>
                <w:lang w:val="en-US" w:eastAsia="zh-CN"/>
              </w:rPr>
              <w:t>三氯乙烷、</w:t>
            </w:r>
            <w:r>
              <w:rPr>
                <w:rFonts w:hint="default" w:ascii="Times New Roman" w:hAnsi="Times New Roman" w:cs="Times New Roman" w:eastAsiaTheme="minorEastAsia"/>
                <w:szCs w:val="21"/>
                <w:lang w:val="en-US" w:eastAsia="zh-CN"/>
              </w:rPr>
              <w:t>1,1,2-</w:t>
            </w:r>
            <w:r>
              <w:rPr>
                <w:rFonts w:hint="eastAsia" w:ascii="Times New Roman" w:hAnsi="Times New Roman" w:cs="Times New Roman" w:eastAsiaTheme="minorEastAsia"/>
                <w:szCs w:val="21"/>
                <w:lang w:val="en-US" w:eastAsia="zh-CN"/>
              </w:rPr>
              <w:t>三氯乙烷、三氯乙烯、</w:t>
            </w:r>
            <w:r>
              <w:rPr>
                <w:rFonts w:hint="default" w:ascii="Times New Roman" w:hAnsi="Times New Roman" w:cs="Times New Roman" w:eastAsiaTheme="minorEastAsia"/>
                <w:szCs w:val="21"/>
                <w:lang w:val="en-US" w:eastAsia="zh-CN"/>
              </w:rPr>
              <w:t>1,2,3-</w:t>
            </w:r>
            <w:r>
              <w:rPr>
                <w:rFonts w:hint="eastAsia" w:ascii="Times New Roman" w:hAnsi="Times New Roman" w:cs="Times New Roman" w:eastAsiaTheme="minorEastAsia"/>
                <w:szCs w:val="21"/>
                <w:lang w:val="en-US" w:eastAsia="zh-CN"/>
              </w:rPr>
              <w:t>三氯丙烷、氯乙烯、苯、氯苯、</w:t>
            </w:r>
            <w:r>
              <w:rPr>
                <w:rFonts w:hint="default" w:ascii="Times New Roman" w:hAnsi="Times New Roman" w:cs="Times New Roman" w:eastAsiaTheme="minorEastAsia"/>
                <w:szCs w:val="21"/>
                <w:lang w:val="en-US" w:eastAsia="zh-CN"/>
              </w:rPr>
              <w:t>1,2-</w:t>
            </w:r>
            <w:r>
              <w:rPr>
                <w:rFonts w:hint="eastAsia" w:ascii="Times New Roman" w:hAnsi="Times New Roman" w:cs="Times New Roman" w:eastAsiaTheme="minorEastAsia"/>
                <w:szCs w:val="21"/>
                <w:lang w:val="en-US" w:eastAsia="zh-CN"/>
              </w:rPr>
              <w:t>二氯苯、</w:t>
            </w:r>
            <w:r>
              <w:rPr>
                <w:rFonts w:hint="default" w:ascii="Times New Roman" w:hAnsi="Times New Roman" w:cs="Times New Roman" w:eastAsiaTheme="minorEastAsia"/>
                <w:szCs w:val="21"/>
                <w:lang w:val="en-US" w:eastAsia="zh-CN"/>
              </w:rPr>
              <w:t>1,4-</w:t>
            </w:r>
            <w:r>
              <w:rPr>
                <w:rFonts w:hint="eastAsia" w:ascii="Times New Roman" w:hAnsi="Times New Roman" w:cs="Times New Roman" w:eastAsiaTheme="minorEastAsia"/>
                <w:szCs w:val="21"/>
                <w:lang w:val="en-US" w:eastAsia="zh-CN"/>
              </w:rPr>
              <w:t>二氯苯、乙苯、苯乙烯、甲苯、间二甲苯</w:t>
            </w:r>
            <w:r>
              <w:rPr>
                <w:rFonts w:hint="default" w:ascii="Times New Roman" w:hAnsi="Times New Roman" w:cs="Times New Roman" w:eastAsiaTheme="minorEastAsia"/>
                <w:szCs w:val="21"/>
                <w:lang w:val="en-US" w:eastAsia="zh-CN"/>
              </w:rPr>
              <w:t>+</w:t>
            </w:r>
            <w:r>
              <w:rPr>
                <w:rFonts w:hint="eastAsia" w:ascii="Times New Roman" w:hAnsi="Times New Roman" w:cs="Times New Roman" w:eastAsiaTheme="minorEastAsia"/>
                <w:szCs w:val="21"/>
                <w:lang w:val="en-US" w:eastAsia="zh-CN"/>
              </w:rPr>
              <w:t>对二甲苯、邻二甲苯、硝基苯、苯胺、</w:t>
            </w:r>
            <w:r>
              <w:rPr>
                <w:rFonts w:hint="default" w:ascii="Times New Roman" w:hAnsi="Times New Roman" w:cs="Times New Roman" w:eastAsiaTheme="minorEastAsia"/>
                <w:szCs w:val="21"/>
                <w:lang w:val="en-US" w:eastAsia="zh-CN"/>
              </w:rPr>
              <w:t>2-</w:t>
            </w:r>
            <w:r>
              <w:rPr>
                <w:rFonts w:hint="eastAsia" w:ascii="Times New Roman" w:hAnsi="Times New Roman" w:cs="Times New Roman" w:eastAsiaTheme="minorEastAsia"/>
                <w:szCs w:val="21"/>
                <w:lang w:val="en-US" w:eastAsia="zh-CN"/>
              </w:rPr>
              <w:t>氯酚、苯并</w:t>
            </w:r>
            <w:r>
              <w:rPr>
                <w:rFonts w:hint="default" w:ascii="Times New Roman" w:hAnsi="Times New Roman" w:cs="Times New Roman" w:eastAsiaTheme="minorEastAsia"/>
                <w:szCs w:val="21"/>
                <w:lang w:val="en-US" w:eastAsia="zh-CN"/>
              </w:rPr>
              <w:t>[a]</w:t>
            </w:r>
            <w:r>
              <w:rPr>
                <w:rFonts w:hint="eastAsia" w:ascii="Times New Roman" w:hAnsi="Times New Roman" w:cs="Times New Roman" w:eastAsiaTheme="minorEastAsia"/>
                <w:szCs w:val="21"/>
                <w:lang w:val="en-US" w:eastAsia="zh-CN"/>
              </w:rPr>
              <w:t>蒽、苯并</w:t>
            </w:r>
            <w:r>
              <w:rPr>
                <w:rFonts w:hint="default" w:ascii="Times New Roman" w:hAnsi="Times New Roman" w:cs="Times New Roman" w:eastAsiaTheme="minorEastAsia"/>
                <w:szCs w:val="21"/>
                <w:lang w:val="en-US" w:eastAsia="zh-CN"/>
              </w:rPr>
              <w:t>[a]</w:t>
            </w:r>
            <w:r>
              <w:rPr>
                <w:rFonts w:hint="eastAsia" w:ascii="Times New Roman" w:hAnsi="Times New Roman" w:cs="Times New Roman" w:eastAsiaTheme="minorEastAsia"/>
                <w:szCs w:val="21"/>
                <w:lang w:val="en-US" w:eastAsia="zh-CN"/>
              </w:rPr>
              <w:t>芘、苯并</w:t>
            </w:r>
            <w:r>
              <w:rPr>
                <w:rFonts w:hint="default" w:ascii="Times New Roman" w:hAnsi="Times New Roman" w:cs="Times New Roman" w:eastAsiaTheme="minorEastAsia"/>
                <w:szCs w:val="21"/>
                <w:lang w:val="en-US" w:eastAsia="zh-CN"/>
              </w:rPr>
              <w:t>[b]</w:t>
            </w:r>
            <w:r>
              <w:rPr>
                <w:rFonts w:hint="eastAsia" w:ascii="Times New Roman" w:hAnsi="Times New Roman" w:cs="Times New Roman" w:eastAsiaTheme="minorEastAsia"/>
                <w:szCs w:val="21"/>
                <w:lang w:val="en-US" w:eastAsia="zh-CN"/>
              </w:rPr>
              <w:t>荧蒽、苯并</w:t>
            </w:r>
            <w:r>
              <w:rPr>
                <w:rFonts w:hint="default" w:ascii="Times New Roman" w:hAnsi="Times New Roman" w:cs="Times New Roman" w:eastAsiaTheme="minorEastAsia"/>
                <w:szCs w:val="21"/>
                <w:lang w:val="en-US" w:eastAsia="zh-CN"/>
              </w:rPr>
              <w:t>[k]</w:t>
            </w:r>
            <w:r>
              <w:rPr>
                <w:rFonts w:hint="eastAsia" w:ascii="Times New Roman" w:hAnsi="Times New Roman" w:cs="Times New Roman" w:eastAsiaTheme="minorEastAsia"/>
                <w:szCs w:val="21"/>
                <w:lang w:val="en-US" w:eastAsia="zh-CN"/>
              </w:rPr>
              <w:t>荧蒽、䓛、二苯并</w:t>
            </w:r>
            <w:r>
              <w:rPr>
                <w:rFonts w:hint="default" w:ascii="Times New Roman" w:hAnsi="Times New Roman" w:cs="Times New Roman" w:eastAsiaTheme="minorEastAsia"/>
                <w:szCs w:val="21"/>
                <w:lang w:val="en-US" w:eastAsia="zh-CN"/>
              </w:rPr>
              <w:t>[a,h]</w:t>
            </w:r>
            <w:r>
              <w:rPr>
                <w:rFonts w:hint="eastAsia" w:ascii="Times New Roman" w:hAnsi="Times New Roman" w:cs="Times New Roman" w:eastAsiaTheme="minorEastAsia"/>
                <w:szCs w:val="21"/>
                <w:lang w:val="en-US" w:eastAsia="zh-CN"/>
              </w:rPr>
              <w:t>蒽、茚并</w:t>
            </w:r>
            <w:r>
              <w:rPr>
                <w:rFonts w:hint="default" w:ascii="Times New Roman" w:hAnsi="Times New Roman" w:cs="Times New Roman" w:eastAsiaTheme="minorEastAsia"/>
                <w:szCs w:val="21"/>
                <w:lang w:val="en-US" w:eastAsia="zh-CN"/>
              </w:rPr>
              <w:t>[1,2,3-cd]</w:t>
            </w:r>
            <w:r>
              <w:rPr>
                <w:rFonts w:hint="eastAsia" w:ascii="Times New Roman" w:hAnsi="Times New Roman" w:cs="Times New Roman" w:eastAsiaTheme="minorEastAsia"/>
                <w:szCs w:val="21"/>
                <w:lang w:val="en-US" w:eastAsia="zh-CN"/>
              </w:rPr>
              <w:t>芘、萘、二噁英</w:t>
            </w:r>
          </w:p>
        </w:tc>
        <w:tc>
          <w:tcPr>
            <w:tcW w:w="896" w:type="dxa"/>
            <w:vAlign w:val="center"/>
          </w:tcPr>
          <w:p w14:paraId="0CF4F623">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每</w:t>
            </w:r>
            <w:r>
              <w:rPr>
                <w:rFonts w:hint="eastAsia" w:ascii="Times New Roman" w:hAnsi="Times New Roman" w:cs="Times New Roman" w:eastAsiaTheme="minorEastAsia"/>
                <w:szCs w:val="21"/>
                <w:lang w:val="en-US" w:eastAsia="zh-CN"/>
              </w:rPr>
              <w:t>年监测一次</w:t>
            </w:r>
          </w:p>
        </w:tc>
        <w:tc>
          <w:tcPr>
            <w:tcW w:w="2001" w:type="dxa"/>
            <w:vAlign w:val="center"/>
          </w:tcPr>
          <w:p w14:paraId="0BE74AE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《土壤环境质量 建设用地土壤污染风险管控标准（试行）》（</w:t>
            </w:r>
            <w:r>
              <w:rPr>
                <w:rFonts w:hint="default" w:ascii="Times New Roman" w:hAnsi="Times New Roman" w:cs="Times New Roman" w:eastAsiaTheme="minorEastAsia"/>
                <w:szCs w:val="21"/>
                <w:lang w:val="en-US" w:eastAsia="zh-CN"/>
              </w:rPr>
              <w:t>GB36600</w:t>
            </w:r>
            <w:r>
              <w:rPr>
                <w:rFonts w:hint="eastAsia" w:ascii="Times New Roman" w:hAnsi="Times New Roman" w:cs="Times New Roman" w:eastAsiaTheme="minorEastAsia"/>
                <w:szCs w:val="21"/>
                <w:lang w:val="en-US" w:eastAsia="zh-CN"/>
              </w:rPr>
              <w:t>－</w:t>
            </w:r>
            <w:r>
              <w:rPr>
                <w:rFonts w:hint="default" w:ascii="Times New Roman" w:hAnsi="Times New Roman" w:cs="Times New Roman" w:eastAsiaTheme="minorEastAsia"/>
                <w:szCs w:val="21"/>
                <w:lang w:val="en-US" w:eastAsia="zh-CN"/>
              </w:rPr>
              <w:t>2018</w:t>
            </w:r>
            <w:r>
              <w:rPr>
                <w:rFonts w:hint="eastAsia" w:ascii="Times New Roman" w:hAnsi="Times New Roman" w:cs="Times New Roman" w:eastAsiaTheme="minorEastAsia"/>
                <w:szCs w:val="21"/>
                <w:lang w:val="en-US" w:eastAsia="zh-CN"/>
              </w:rPr>
              <w:t>）中的建设用地土壤污染风险筛选值</w:t>
            </w:r>
          </w:p>
        </w:tc>
      </w:tr>
    </w:tbl>
    <w:p w14:paraId="54D65DBD">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339" w:name="_Toc8909"/>
      <w:r>
        <w:rPr>
          <w:rFonts w:hint="eastAsia" w:ascii="Times New Roman" w:hAnsi="Times New Roman" w:cs="Times New Roman" w:eastAsiaTheme="minorEastAsia"/>
          <w:kern w:val="0"/>
          <w:sz w:val="24"/>
          <w:szCs w:val="24"/>
          <w:lang w:val="en-US" w:eastAsia="zh-CN"/>
        </w:rPr>
        <w:t>8.3.</w:t>
      </w:r>
      <w:r>
        <w:rPr>
          <w:rFonts w:hint="eastAsia" w:ascii="Times New Roman" w:hAnsi="Times New Roman" w:cs="Times New Roman"/>
          <w:kern w:val="0"/>
          <w:sz w:val="24"/>
          <w:szCs w:val="24"/>
          <w:lang w:val="en-US" w:eastAsia="zh-CN"/>
        </w:rPr>
        <w:t>7</w:t>
      </w:r>
      <w:r>
        <w:rPr>
          <w:rFonts w:hint="eastAsia" w:ascii="Times New Roman" w:hAnsi="Times New Roman" w:cs="Times New Roman" w:eastAsiaTheme="minorEastAsia"/>
          <w:kern w:val="0"/>
          <w:sz w:val="24"/>
          <w:szCs w:val="24"/>
          <w:lang w:val="en-US" w:eastAsia="zh-CN"/>
        </w:rPr>
        <w:t>环境保护“三同时”验收</w:t>
      </w:r>
      <w:bookmarkEnd w:id="339"/>
    </w:p>
    <w:p w14:paraId="0E6C0CA0">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根据《国务院关于修改</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建设项目环境保护管理条例</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的决定》</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国令第682号，2017年10月1日起施行</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中第十七条</w:t>
      </w:r>
      <w:r>
        <w:rPr>
          <w:rFonts w:hint="eastAsia"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编制环境影响报告书、环境影响报告表的建设项目竣工后，建设单位应当按照国务院环境保护行政主管部门规定的标准和程序，对配套建设的环境保护设施进行验收，编制验收报告。建设单位在环境保护设施验收过程中，应当如实查验、监测、记载建设项目环境保护设施的建设和调试情况，不得弄虚作假。除按照国家规定需要保密的情形外，建设单位应当依法向社会公开验收报告</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第十九条</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“编制环境影响报告书、环境影响报告表的建设项目，其配套建设的环境保护设施经验收合格，方可投入生产或者使用</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未经验收或者验收不合格的，不得投入生产或者使用。前款规定的建设项目投入生产或者使用后，应当按照国务院环境保护行政主管部门的规定开展环境影响后评价”，取消了建设项目竣工环境保护验收行政许可，改为由建设单位自主验收，建设项目环保设施验收的责任主体为建设单位，进一步强化了建设单位的环境保护</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三同时</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主体责任。</w:t>
      </w:r>
    </w:p>
    <w:p w14:paraId="19A25EB8">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基于此，建设单位应在项目设计、施工建设、投产运行阶段严格按照本环评文件及批复要求，落实项目各项环境保护措施，确保</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三废</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稳定达标排放。</w:t>
      </w:r>
    </w:p>
    <w:p w14:paraId="36BC6174">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项目环保设施“三同时”验收内容见表</w:t>
      </w:r>
      <w:r>
        <w:rPr>
          <w:rFonts w:hint="eastAsia" w:ascii="Times New Roman" w:hAnsi="Times New Roman" w:cs="Times New Roman"/>
          <w:sz w:val="24"/>
          <w:highlight w:val="none"/>
          <w:lang w:val="en-US" w:eastAsia="zh-CN"/>
        </w:rPr>
        <w:t>8</w:t>
      </w:r>
      <w:r>
        <w:rPr>
          <w:rFonts w:hint="default" w:ascii="Times New Roman" w:hAnsi="Times New Roman" w:cs="Times New Roman" w:eastAsiaTheme="minorEastAsia"/>
          <w:sz w:val="24"/>
          <w:highlight w:val="none"/>
          <w:lang w:val="en-US" w:eastAsia="zh-CN"/>
        </w:rPr>
        <w:t>.3</w:t>
      </w:r>
      <w:r>
        <w:rPr>
          <w:rFonts w:hint="eastAsia" w:ascii="Times New Roman" w:hAnsi="Times New Roman" w:cs="Times New Roman"/>
          <w:sz w:val="24"/>
          <w:highlight w:val="none"/>
          <w:lang w:val="en-US" w:eastAsia="zh-CN"/>
        </w:rPr>
        <w:t>-4</w:t>
      </w:r>
      <w:r>
        <w:rPr>
          <w:rFonts w:hint="default" w:ascii="Times New Roman" w:hAnsi="Times New Roman" w:cs="Times New Roman" w:eastAsiaTheme="minorEastAsia"/>
          <w:sz w:val="24"/>
          <w:highlight w:val="none"/>
          <w:lang w:val="en-US" w:eastAsia="zh-CN"/>
        </w:rPr>
        <w:t>。</w:t>
      </w:r>
    </w:p>
    <w:p w14:paraId="5D6B4C54">
      <w:pPr>
        <w:snapToGrid w:val="0"/>
        <w:spacing w:before="241" w:beforeLines="50"/>
        <w:jc w:val="center"/>
        <w:rPr>
          <w:rFonts w:hint="eastAsia" w:ascii="Times New Roman" w:hAnsi="Times New Roman" w:cs="Times New Roman" w:eastAsiaTheme="minorEastAsia"/>
          <w:b/>
          <w:szCs w:val="21"/>
          <w:lang w:val="en-US" w:eastAsia="zh-CN"/>
        </w:rPr>
      </w:pPr>
      <w:r>
        <w:rPr>
          <w:rFonts w:hint="eastAsia" w:ascii="Times New Roman" w:hAnsi="Times New Roman" w:cs="Times New Roman" w:eastAsiaTheme="minorEastAsia"/>
          <w:b/>
          <w:szCs w:val="21"/>
          <w:lang w:val="en-US" w:eastAsia="zh-CN"/>
        </w:rPr>
        <w:t>表</w:t>
      </w:r>
      <w:r>
        <w:rPr>
          <w:rFonts w:hint="eastAsia" w:ascii="Times New Roman" w:hAnsi="Times New Roman" w:cs="Times New Roman"/>
          <w:b/>
          <w:szCs w:val="21"/>
          <w:lang w:val="en-US" w:eastAsia="zh-CN"/>
        </w:rPr>
        <w:t>8</w:t>
      </w:r>
      <w:r>
        <w:rPr>
          <w:rFonts w:hint="eastAsia" w:ascii="Times New Roman" w:hAnsi="Times New Roman" w:cs="Times New Roman" w:eastAsiaTheme="minorEastAsia"/>
          <w:b/>
          <w:szCs w:val="21"/>
          <w:lang w:val="en-US" w:eastAsia="zh-CN"/>
        </w:rPr>
        <w:t>.3-</w:t>
      </w:r>
      <w:r>
        <w:rPr>
          <w:rFonts w:hint="eastAsia" w:ascii="Times New Roman" w:hAnsi="Times New Roman" w:cs="Times New Roman"/>
          <w:b/>
          <w:szCs w:val="21"/>
          <w:lang w:val="en-US" w:eastAsia="zh-CN"/>
        </w:rPr>
        <w:t>4</w:t>
      </w:r>
      <w:r>
        <w:rPr>
          <w:rFonts w:hint="eastAsia" w:ascii="Times New Roman" w:hAnsi="Times New Roman" w:cs="Times New Roman" w:eastAsiaTheme="minorEastAsia"/>
          <w:b/>
          <w:szCs w:val="21"/>
          <w:lang w:val="en-US" w:eastAsia="zh-CN"/>
        </w:rPr>
        <w:t xml:space="preserve">  拟建设项目环境保护“三同时”验收一览表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457"/>
        <w:gridCol w:w="1735"/>
        <w:gridCol w:w="686"/>
        <w:gridCol w:w="1575"/>
        <w:gridCol w:w="2389"/>
      </w:tblGrid>
      <w:tr w14:paraId="2F9C3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Align w:val="center"/>
          </w:tcPr>
          <w:p w14:paraId="3AA5D859">
            <w:pPr>
              <w:autoSpaceDE w:val="0"/>
              <w:autoSpaceDN w:val="0"/>
              <w:spacing w:line="300" w:lineRule="exact"/>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类别</w:t>
            </w:r>
          </w:p>
        </w:tc>
        <w:tc>
          <w:tcPr>
            <w:tcW w:w="1457" w:type="dxa"/>
            <w:vAlign w:val="center"/>
          </w:tcPr>
          <w:p w14:paraId="28DEC68A">
            <w:pPr>
              <w:autoSpaceDE w:val="0"/>
              <w:autoSpaceDN w:val="0"/>
              <w:spacing w:line="300" w:lineRule="exact"/>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污染源</w:t>
            </w:r>
          </w:p>
        </w:tc>
        <w:tc>
          <w:tcPr>
            <w:tcW w:w="1735" w:type="dxa"/>
            <w:vAlign w:val="center"/>
          </w:tcPr>
          <w:p w14:paraId="21E08451">
            <w:pPr>
              <w:autoSpaceDE w:val="0"/>
              <w:autoSpaceDN w:val="0"/>
              <w:spacing w:line="300" w:lineRule="exact"/>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治理措施</w:t>
            </w:r>
          </w:p>
        </w:tc>
        <w:tc>
          <w:tcPr>
            <w:tcW w:w="2261" w:type="dxa"/>
            <w:gridSpan w:val="2"/>
            <w:vAlign w:val="center"/>
          </w:tcPr>
          <w:p w14:paraId="5966C1B3">
            <w:pPr>
              <w:autoSpaceDE w:val="0"/>
              <w:autoSpaceDN w:val="0"/>
              <w:spacing w:line="300" w:lineRule="exact"/>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监测方案</w:t>
            </w:r>
          </w:p>
        </w:tc>
        <w:tc>
          <w:tcPr>
            <w:tcW w:w="2389" w:type="dxa"/>
            <w:vAlign w:val="center"/>
          </w:tcPr>
          <w:p w14:paraId="6C8F60BE">
            <w:pPr>
              <w:autoSpaceDE w:val="0"/>
              <w:autoSpaceDN w:val="0"/>
              <w:spacing w:line="300" w:lineRule="exact"/>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验收要求</w:t>
            </w:r>
          </w:p>
        </w:tc>
      </w:tr>
      <w:tr w14:paraId="08A18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restart"/>
            <w:vAlign w:val="center"/>
          </w:tcPr>
          <w:p w14:paraId="32136201">
            <w:pPr>
              <w:autoSpaceDE w:val="0"/>
              <w:autoSpaceDN w:val="0"/>
              <w:spacing w:line="300" w:lineRule="exact"/>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废气</w:t>
            </w:r>
          </w:p>
        </w:tc>
        <w:tc>
          <w:tcPr>
            <w:tcW w:w="1457" w:type="dxa"/>
            <w:vMerge w:val="restart"/>
            <w:vAlign w:val="center"/>
          </w:tcPr>
          <w:p w14:paraId="4171C8D3">
            <w:pPr>
              <w:autoSpaceDE w:val="0"/>
              <w:autoSpaceDN w:val="0"/>
              <w:spacing w:line="300" w:lineRule="exact"/>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焚烧废气</w:t>
            </w:r>
          </w:p>
        </w:tc>
        <w:tc>
          <w:tcPr>
            <w:tcW w:w="1735" w:type="dxa"/>
            <w:vAlign w:val="center"/>
          </w:tcPr>
          <w:p w14:paraId="4E5908E0">
            <w:pPr>
              <w:autoSpaceDE w:val="0"/>
              <w:autoSpaceDN w:val="0"/>
              <w:spacing w:line="300" w:lineRule="exact"/>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“3T+E”燃烧控制+SNCR脱硝+旋风除尘+急冷塔+干法脱酸（消石灰喷射）+活性炭喷射+布袋除尘器+湿法喷淋脱酸（5%氢氧化钠）</w:t>
            </w:r>
          </w:p>
        </w:tc>
        <w:tc>
          <w:tcPr>
            <w:tcW w:w="686" w:type="dxa"/>
            <w:vMerge w:val="restart"/>
            <w:vAlign w:val="center"/>
          </w:tcPr>
          <w:p w14:paraId="3641F296">
            <w:pPr>
              <w:autoSpaceDE w:val="0"/>
              <w:autoSpaceDN w:val="0"/>
              <w:spacing w:line="300" w:lineRule="exact"/>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有组织</w:t>
            </w:r>
          </w:p>
        </w:tc>
        <w:tc>
          <w:tcPr>
            <w:tcW w:w="1575" w:type="dxa"/>
            <w:vMerge w:val="restart"/>
            <w:vAlign w:val="center"/>
          </w:tcPr>
          <w:p w14:paraId="44CC0872">
            <w:pPr>
              <w:autoSpaceDE w:val="0"/>
              <w:autoSpaceDN w:val="0"/>
              <w:spacing w:line="300" w:lineRule="exact"/>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颗粒物、</w:t>
            </w:r>
            <w:r>
              <w:rPr>
                <w:rFonts w:hint="default" w:ascii="Times New Roman" w:hAnsi="Times New Roman" w:cs="Times New Roman" w:eastAsiaTheme="minorEastAsia"/>
                <w:color w:val="auto"/>
                <w:szCs w:val="21"/>
                <w:highlight w:val="none"/>
                <w:lang w:val="en-US" w:eastAsia="zh-CN"/>
              </w:rPr>
              <w:t>SO</w:t>
            </w:r>
            <w:r>
              <w:rPr>
                <w:rFonts w:hint="default" w:ascii="Times New Roman" w:hAnsi="Times New Roman" w:cs="Times New Roman" w:eastAsiaTheme="minorEastAsia"/>
                <w:color w:val="auto"/>
                <w:szCs w:val="21"/>
                <w:highlight w:val="none"/>
                <w:vertAlign w:val="subscript"/>
                <w:lang w:val="en-US" w:eastAsia="zh-CN"/>
              </w:rPr>
              <w:t>2</w:t>
            </w:r>
            <w:r>
              <w:rPr>
                <w:rFonts w:hint="eastAsia" w:ascii="Times New Roman" w:hAnsi="Times New Roman" w:cs="Times New Roman" w:eastAsiaTheme="minorEastAsia"/>
                <w:color w:val="auto"/>
                <w:szCs w:val="21"/>
                <w:highlight w:val="none"/>
                <w:lang w:val="en-US" w:eastAsia="zh-CN"/>
              </w:rPr>
              <w:t>、</w:t>
            </w:r>
            <w:r>
              <w:rPr>
                <w:rFonts w:hint="default" w:ascii="Times New Roman" w:hAnsi="Times New Roman" w:cs="Times New Roman" w:eastAsiaTheme="minorEastAsia"/>
                <w:color w:val="auto"/>
                <w:szCs w:val="21"/>
                <w:highlight w:val="none"/>
                <w:lang w:val="en-US" w:eastAsia="zh-CN"/>
              </w:rPr>
              <w:t>NOx</w:t>
            </w:r>
            <w:r>
              <w:rPr>
                <w:rFonts w:hint="eastAsia" w:ascii="Times New Roman" w:hAnsi="Times New Roman" w:cs="Times New Roman" w:eastAsiaTheme="minorEastAsia"/>
                <w:color w:val="auto"/>
                <w:szCs w:val="21"/>
                <w:highlight w:val="none"/>
                <w:lang w:val="en-US" w:eastAsia="zh-CN"/>
              </w:rPr>
              <w:t>、</w:t>
            </w:r>
            <w:r>
              <w:rPr>
                <w:rFonts w:hint="default" w:ascii="Times New Roman" w:hAnsi="Times New Roman" w:cs="Times New Roman" w:eastAsiaTheme="minorEastAsia"/>
                <w:color w:val="auto"/>
                <w:szCs w:val="21"/>
                <w:highlight w:val="none"/>
                <w:lang w:val="en-US" w:eastAsia="zh-CN"/>
              </w:rPr>
              <w:t>HCl</w:t>
            </w:r>
            <w:r>
              <w:rPr>
                <w:rFonts w:hint="eastAsia" w:ascii="Times New Roman" w:hAnsi="Times New Roman" w:cs="Times New Roman" w:eastAsiaTheme="minorEastAsia"/>
                <w:color w:val="auto"/>
                <w:szCs w:val="21"/>
                <w:highlight w:val="none"/>
                <w:lang w:val="en-US" w:eastAsia="zh-CN"/>
              </w:rPr>
              <w:t>、</w:t>
            </w:r>
            <w:r>
              <w:rPr>
                <w:rFonts w:hint="default" w:ascii="Times New Roman" w:hAnsi="Times New Roman" w:cs="Times New Roman" w:eastAsiaTheme="minorEastAsia"/>
                <w:color w:val="auto"/>
                <w:szCs w:val="21"/>
                <w:highlight w:val="none"/>
                <w:lang w:val="en-US" w:eastAsia="zh-CN"/>
              </w:rPr>
              <w:t>CO</w:t>
            </w:r>
            <w:r>
              <w:rPr>
                <w:rFonts w:hint="eastAsia" w:ascii="Times New Roman" w:hAnsi="Times New Roman" w:cs="Times New Roman" w:eastAsiaTheme="minorEastAsia"/>
                <w:color w:val="auto"/>
                <w:szCs w:val="21"/>
                <w:highlight w:val="none"/>
                <w:lang w:val="en-US" w:eastAsia="zh-CN"/>
              </w:rPr>
              <w:t>、</w:t>
            </w:r>
            <w:r>
              <w:rPr>
                <w:rFonts w:hint="default" w:ascii="Times New Roman" w:hAnsi="Times New Roman" w:cs="Times New Roman" w:eastAsiaTheme="minorEastAsia"/>
                <w:color w:val="auto"/>
                <w:szCs w:val="21"/>
                <w:highlight w:val="none"/>
                <w:lang w:val="en-US" w:eastAsia="zh-CN"/>
              </w:rPr>
              <w:t>HF</w:t>
            </w:r>
            <w:r>
              <w:rPr>
                <w:rFonts w:hint="eastAsia" w:ascii="Times New Roman" w:hAnsi="Times New Roman" w:cs="Times New Roman" w:eastAsiaTheme="minorEastAsia"/>
                <w:color w:val="auto"/>
                <w:szCs w:val="21"/>
                <w:highlight w:val="none"/>
                <w:lang w:val="en-US" w:eastAsia="zh-CN"/>
              </w:rPr>
              <w:t>、</w:t>
            </w:r>
            <w:r>
              <w:rPr>
                <w:rFonts w:hint="default" w:ascii="Times New Roman" w:hAnsi="Times New Roman" w:cs="Times New Roman" w:eastAsiaTheme="minorEastAsia"/>
                <w:color w:val="auto"/>
                <w:szCs w:val="21"/>
                <w:highlight w:val="none"/>
                <w:lang w:val="en-US" w:eastAsia="zh-CN"/>
              </w:rPr>
              <w:t>Hg</w:t>
            </w:r>
            <w:r>
              <w:rPr>
                <w:rFonts w:hint="eastAsia" w:ascii="Times New Roman" w:hAnsi="Times New Roman" w:cs="Times New Roman" w:eastAsiaTheme="minorEastAsia"/>
                <w:color w:val="auto"/>
                <w:szCs w:val="21"/>
                <w:highlight w:val="none"/>
                <w:lang w:val="en-US" w:eastAsia="zh-CN"/>
              </w:rPr>
              <w:t>、</w:t>
            </w:r>
            <w:r>
              <w:rPr>
                <w:rFonts w:hint="default" w:ascii="Times New Roman" w:hAnsi="Times New Roman" w:cs="Times New Roman" w:eastAsiaTheme="minorEastAsia"/>
                <w:color w:val="auto"/>
                <w:szCs w:val="21"/>
                <w:highlight w:val="none"/>
                <w:lang w:val="en-US" w:eastAsia="zh-CN"/>
              </w:rPr>
              <w:t>Cd</w:t>
            </w:r>
            <w:r>
              <w:rPr>
                <w:rFonts w:hint="eastAsia" w:ascii="Times New Roman" w:hAnsi="Times New Roman" w:cs="Times New Roman" w:eastAsiaTheme="minorEastAsia"/>
                <w:color w:val="auto"/>
                <w:szCs w:val="21"/>
                <w:highlight w:val="none"/>
                <w:lang w:val="en-US" w:eastAsia="zh-CN"/>
              </w:rPr>
              <w:t>、</w:t>
            </w:r>
            <w:r>
              <w:rPr>
                <w:rFonts w:hint="default" w:ascii="Times New Roman" w:hAnsi="Times New Roman" w:cs="Times New Roman" w:eastAsiaTheme="minorEastAsia"/>
                <w:color w:val="auto"/>
                <w:szCs w:val="21"/>
                <w:highlight w:val="none"/>
                <w:lang w:val="en-US" w:eastAsia="zh-CN"/>
              </w:rPr>
              <w:t>As</w:t>
            </w:r>
            <w:r>
              <w:rPr>
                <w:rFonts w:hint="eastAsia" w:ascii="Times New Roman" w:hAnsi="Times New Roman" w:cs="Times New Roman" w:eastAsiaTheme="minorEastAsia"/>
                <w:color w:val="auto"/>
                <w:szCs w:val="21"/>
                <w:highlight w:val="none"/>
                <w:lang w:val="en-US" w:eastAsia="zh-CN"/>
              </w:rPr>
              <w:t>、</w:t>
            </w:r>
            <w:r>
              <w:rPr>
                <w:rFonts w:hint="default" w:ascii="Times New Roman" w:hAnsi="Times New Roman" w:cs="Times New Roman" w:eastAsiaTheme="minorEastAsia"/>
                <w:color w:val="auto"/>
                <w:szCs w:val="21"/>
                <w:highlight w:val="none"/>
                <w:lang w:val="en-US" w:eastAsia="zh-CN"/>
              </w:rPr>
              <w:t>Cr</w:t>
            </w:r>
            <w:r>
              <w:rPr>
                <w:rFonts w:hint="eastAsia" w:ascii="Times New Roman" w:hAnsi="Times New Roman" w:cs="Times New Roman" w:eastAsiaTheme="minorEastAsia"/>
                <w:color w:val="auto"/>
                <w:szCs w:val="21"/>
                <w:highlight w:val="none"/>
                <w:lang w:val="en-US" w:eastAsia="zh-CN"/>
              </w:rPr>
              <w:t>、</w:t>
            </w:r>
            <w:r>
              <w:rPr>
                <w:rFonts w:hint="default" w:ascii="Times New Roman" w:hAnsi="Times New Roman" w:cs="Times New Roman" w:eastAsiaTheme="minorEastAsia"/>
                <w:color w:val="auto"/>
                <w:szCs w:val="21"/>
                <w:highlight w:val="none"/>
                <w:lang w:val="en-US" w:eastAsia="zh-CN"/>
              </w:rPr>
              <w:t>Tl</w:t>
            </w:r>
            <w:r>
              <w:rPr>
                <w:rFonts w:hint="eastAsia" w:ascii="Times New Roman" w:hAnsi="Times New Roman" w:cs="Times New Roman" w:eastAsiaTheme="minorEastAsia"/>
                <w:color w:val="auto"/>
                <w:szCs w:val="21"/>
                <w:highlight w:val="none"/>
                <w:lang w:val="en-US" w:eastAsia="zh-CN"/>
              </w:rPr>
              <w:t>、</w:t>
            </w:r>
            <w:r>
              <w:rPr>
                <w:rFonts w:hint="default" w:ascii="Times New Roman" w:hAnsi="Times New Roman" w:cs="Times New Roman" w:eastAsiaTheme="minorEastAsia"/>
                <w:color w:val="auto"/>
                <w:szCs w:val="21"/>
                <w:highlight w:val="none"/>
                <w:lang w:val="en-US" w:eastAsia="zh-CN"/>
              </w:rPr>
              <w:t>Sn+Sb+Cu+Mn+Ni</w:t>
            </w:r>
            <w:r>
              <w:rPr>
                <w:rFonts w:hint="eastAsia" w:ascii="Times New Roman" w:hAnsi="Times New Roman" w:cs="Times New Roman" w:eastAsiaTheme="minorEastAsia"/>
                <w:color w:val="auto"/>
                <w:szCs w:val="21"/>
                <w:highlight w:val="none"/>
                <w:lang w:val="en-US" w:eastAsia="zh-CN"/>
              </w:rPr>
              <w:t>、</w:t>
            </w:r>
            <w:r>
              <w:rPr>
                <w:rFonts w:hint="default" w:ascii="Times New Roman" w:hAnsi="Times New Roman" w:cs="Times New Roman" w:eastAsiaTheme="minorEastAsia"/>
                <w:color w:val="auto"/>
                <w:szCs w:val="21"/>
                <w:highlight w:val="none"/>
                <w:lang w:val="en-US" w:eastAsia="zh-CN"/>
              </w:rPr>
              <w:t>Pb</w:t>
            </w:r>
            <w:r>
              <w:rPr>
                <w:rFonts w:hint="eastAsia" w:ascii="Times New Roman" w:hAnsi="Times New Roman" w:cs="Times New Roman" w:eastAsiaTheme="minorEastAsia"/>
                <w:color w:val="auto"/>
                <w:szCs w:val="21"/>
                <w:highlight w:val="none"/>
                <w:lang w:val="en-US" w:eastAsia="zh-CN"/>
              </w:rPr>
              <w:t>、二噁英</w:t>
            </w:r>
          </w:p>
        </w:tc>
        <w:tc>
          <w:tcPr>
            <w:tcW w:w="2389" w:type="dxa"/>
            <w:vMerge w:val="restart"/>
            <w:vAlign w:val="center"/>
          </w:tcPr>
          <w:p w14:paraId="1A99B194">
            <w:pPr>
              <w:autoSpaceDE w:val="0"/>
              <w:autoSpaceDN w:val="0"/>
              <w:spacing w:line="300" w:lineRule="exact"/>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《医疗废物处理处置污染控制标准》</w:t>
            </w:r>
            <w:r>
              <w:rPr>
                <w:rFonts w:hint="eastAsia" w:ascii="Times New Roman" w:hAnsi="Times New Roman" w:cs="Times New Roman"/>
                <w:color w:val="auto"/>
                <w:szCs w:val="21"/>
                <w:highlight w:val="none"/>
                <w:lang w:val="en-US" w:eastAsia="zh-CN"/>
              </w:rPr>
              <w:t>（</w:t>
            </w:r>
            <w:r>
              <w:rPr>
                <w:rFonts w:hint="default" w:ascii="Times New Roman" w:hAnsi="Times New Roman" w:cs="Times New Roman" w:eastAsiaTheme="minorEastAsia"/>
                <w:color w:val="auto"/>
                <w:szCs w:val="21"/>
                <w:highlight w:val="none"/>
                <w:lang w:val="en-US" w:eastAsia="zh-CN"/>
              </w:rPr>
              <w:t>GB39707-2020</w:t>
            </w:r>
            <w:r>
              <w:rPr>
                <w:rFonts w:hint="eastAsia" w:ascii="Times New Roman" w:hAnsi="Times New Roman" w:cs="Times New Roman"/>
                <w:color w:val="auto"/>
                <w:szCs w:val="21"/>
                <w:highlight w:val="none"/>
                <w:lang w:val="en-US" w:eastAsia="zh-CN"/>
              </w:rPr>
              <w:t>）</w:t>
            </w:r>
          </w:p>
        </w:tc>
      </w:tr>
      <w:tr w14:paraId="60991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continue"/>
            <w:vAlign w:val="center"/>
          </w:tcPr>
          <w:p w14:paraId="41C26427">
            <w:pPr>
              <w:autoSpaceDE w:val="0"/>
              <w:autoSpaceDN w:val="0"/>
              <w:spacing w:line="300" w:lineRule="exact"/>
              <w:jc w:val="center"/>
              <w:rPr>
                <w:rFonts w:hint="eastAsia" w:ascii="Times New Roman" w:hAnsi="Times New Roman" w:cs="Times New Roman" w:eastAsiaTheme="minorEastAsia"/>
                <w:color w:val="auto"/>
                <w:szCs w:val="21"/>
                <w:highlight w:val="none"/>
                <w:lang w:val="en-US" w:eastAsia="zh-CN"/>
              </w:rPr>
            </w:pPr>
          </w:p>
        </w:tc>
        <w:tc>
          <w:tcPr>
            <w:tcW w:w="1457" w:type="dxa"/>
            <w:vMerge w:val="continue"/>
            <w:vAlign w:val="center"/>
          </w:tcPr>
          <w:p w14:paraId="21F3C675">
            <w:pPr>
              <w:autoSpaceDE w:val="0"/>
              <w:autoSpaceDN w:val="0"/>
              <w:spacing w:line="300" w:lineRule="exact"/>
              <w:jc w:val="center"/>
              <w:rPr>
                <w:rFonts w:hint="eastAsia" w:ascii="Times New Roman" w:hAnsi="Times New Roman" w:cs="Times New Roman" w:eastAsiaTheme="minorEastAsia"/>
                <w:color w:val="auto"/>
                <w:szCs w:val="21"/>
                <w:highlight w:val="none"/>
                <w:lang w:val="en-US" w:eastAsia="zh-CN"/>
              </w:rPr>
            </w:pPr>
          </w:p>
        </w:tc>
        <w:tc>
          <w:tcPr>
            <w:tcW w:w="1735" w:type="dxa"/>
            <w:vAlign w:val="center"/>
          </w:tcPr>
          <w:p w14:paraId="0D8C2B8C">
            <w:pPr>
              <w:autoSpaceDE w:val="0"/>
              <w:autoSpaceDN w:val="0"/>
              <w:spacing w:line="300" w:lineRule="exact"/>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烟气在线监测系统</w:t>
            </w:r>
          </w:p>
        </w:tc>
        <w:tc>
          <w:tcPr>
            <w:tcW w:w="686" w:type="dxa"/>
            <w:vMerge w:val="continue"/>
            <w:vAlign w:val="center"/>
          </w:tcPr>
          <w:p w14:paraId="3D646080">
            <w:pPr>
              <w:autoSpaceDE w:val="0"/>
              <w:autoSpaceDN w:val="0"/>
              <w:spacing w:line="300" w:lineRule="exact"/>
              <w:jc w:val="center"/>
              <w:rPr>
                <w:rFonts w:hint="eastAsia" w:ascii="Times New Roman" w:hAnsi="Times New Roman" w:cs="Times New Roman" w:eastAsiaTheme="minorEastAsia"/>
                <w:color w:val="auto"/>
                <w:szCs w:val="21"/>
                <w:highlight w:val="none"/>
                <w:lang w:val="en-US" w:eastAsia="zh-CN"/>
              </w:rPr>
            </w:pPr>
          </w:p>
        </w:tc>
        <w:tc>
          <w:tcPr>
            <w:tcW w:w="1575" w:type="dxa"/>
            <w:vMerge w:val="continue"/>
            <w:vAlign w:val="center"/>
          </w:tcPr>
          <w:p w14:paraId="5B01A144">
            <w:pPr>
              <w:autoSpaceDE w:val="0"/>
              <w:autoSpaceDN w:val="0"/>
              <w:spacing w:line="300" w:lineRule="exact"/>
              <w:jc w:val="center"/>
              <w:rPr>
                <w:rFonts w:hint="eastAsia" w:ascii="Times New Roman" w:hAnsi="Times New Roman" w:cs="Times New Roman" w:eastAsiaTheme="minorEastAsia"/>
                <w:color w:val="auto"/>
                <w:szCs w:val="21"/>
                <w:highlight w:val="none"/>
                <w:lang w:val="en-US" w:eastAsia="zh-CN"/>
              </w:rPr>
            </w:pPr>
          </w:p>
        </w:tc>
        <w:tc>
          <w:tcPr>
            <w:tcW w:w="2389" w:type="dxa"/>
            <w:vMerge w:val="continue"/>
            <w:vAlign w:val="center"/>
          </w:tcPr>
          <w:p w14:paraId="4AC8C231">
            <w:pPr>
              <w:autoSpaceDE w:val="0"/>
              <w:autoSpaceDN w:val="0"/>
              <w:spacing w:line="300" w:lineRule="exact"/>
              <w:jc w:val="center"/>
              <w:rPr>
                <w:rFonts w:hint="default" w:ascii="Times New Roman" w:hAnsi="Times New Roman" w:cs="Times New Roman" w:eastAsiaTheme="minorEastAsia"/>
                <w:color w:val="auto"/>
                <w:szCs w:val="21"/>
                <w:highlight w:val="none"/>
                <w:lang w:val="en-US" w:eastAsia="zh-CN"/>
              </w:rPr>
            </w:pPr>
          </w:p>
        </w:tc>
      </w:tr>
      <w:tr w14:paraId="439E9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continue"/>
            <w:vAlign w:val="center"/>
          </w:tcPr>
          <w:p w14:paraId="4D938DFF">
            <w:pPr>
              <w:autoSpaceDE w:val="0"/>
              <w:autoSpaceDN w:val="0"/>
              <w:spacing w:line="300" w:lineRule="exact"/>
              <w:jc w:val="center"/>
              <w:rPr>
                <w:rFonts w:hint="default" w:ascii="Times New Roman" w:hAnsi="Times New Roman" w:cs="Times New Roman" w:eastAsiaTheme="minorEastAsia"/>
                <w:color w:val="auto"/>
                <w:szCs w:val="21"/>
                <w:highlight w:val="none"/>
                <w:lang w:val="en-US" w:eastAsia="zh-CN"/>
              </w:rPr>
            </w:pPr>
          </w:p>
        </w:tc>
        <w:tc>
          <w:tcPr>
            <w:tcW w:w="1457" w:type="dxa"/>
            <w:vAlign w:val="center"/>
          </w:tcPr>
          <w:p w14:paraId="45FFFFE5">
            <w:pPr>
              <w:autoSpaceDE w:val="0"/>
              <w:autoSpaceDN w:val="0"/>
              <w:spacing w:line="300" w:lineRule="exact"/>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医废暂存间</w:t>
            </w:r>
          </w:p>
        </w:tc>
        <w:tc>
          <w:tcPr>
            <w:tcW w:w="1735" w:type="dxa"/>
            <w:vAlign w:val="center"/>
          </w:tcPr>
          <w:p w14:paraId="78DEFDD6">
            <w:pPr>
              <w:autoSpaceDE w:val="0"/>
              <w:autoSpaceDN w:val="0"/>
              <w:spacing w:line="300" w:lineRule="exact"/>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color w:val="auto"/>
                <w:szCs w:val="21"/>
                <w:highlight w:val="none"/>
                <w:lang w:val="en-US" w:eastAsia="zh-CN"/>
              </w:rPr>
              <w:t>UV光氧+</w:t>
            </w:r>
            <w:r>
              <w:rPr>
                <w:rFonts w:hint="eastAsia" w:ascii="Times New Roman" w:hAnsi="Times New Roman" w:cs="Times New Roman" w:eastAsiaTheme="minorEastAsia"/>
                <w:color w:val="auto"/>
                <w:szCs w:val="21"/>
                <w:highlight w:val="none"/>
                <w:lang w:val="en-US" w:eastAsia="zh-CN"/>
              </w:rPr>
              <w:t>活性炭吸附装置</w:t>
            </w:r>
          </w:p>
        </w:tc>
        <w:tc>
          <w:tcPr>
            <w:tcW w:w="686" w:type="dxa"/>
            <w:vMerge w:val="continue"/>
            <w:vAlign w:val="center"/>
          </w:tcPr>
          <w:p w14:paraId="294EBBEF">
            <w:pPr>
              <w:autoSpaceDE w:val="0"/>
              <w:autoSpaceDN w:val="0"/>
              <w:spacing w:line="300" w:lineRule="exact"/>
              <w:jc w:val="center"/>
              <w:rPr>
                <w:rFonts w:hint="default" w:ascii="Times New Roman" w:hAnsi="Times New Roman" w:cs="Times New Roman" w:eastAsiaTheme="minorEastAsia"/>
                <w:color w:val="auto"/>
                <w:szCs w:val="21"/>
                <w:highlight w:val="none"/>
                <w:lang w:val="en-US" w:eastAsia="zh-CN"/>
              </w:rPr>
            </w:pPr>
          </w:p>
        </w:tc>
        <w:tc>
          <w:tcPr>
            <w:tcW w:w="1575" w:type="dxa"/>
            <w:vAlign w:val="center"/>
          </w:tcPr>
          <w:p w14:paraId="481FE8BA">
            <w:pPr>
              <w:autoSpaceDE w:val="0"/>
              <w:autoSpaceDN w:val="0"/>
              <w:spacing w:line="300" w:lineRule="exact"/>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NH</w:t>
            </w:r>
            <w:r>
              <w:rPr>
                <w:rFonts w:hint="eastAsia" w:ascii="Times New Roman" w:hAnsi="Times New Roman" w:cs="Times New Roman" w:eastAsiaTheme="minorEastAsia"/>
                <w:color w:val="auto"/>
                <w:szCs w:val="21"/>
                <w:highlight w:val="none"/>
                <w:vertAlign w:val="subscript"/>
                <w:lang w:val="en-US" w:eastAsia="zh-CN"/>
              </w:rPr>
              <w:t>3</w:t>
            </w:r>
            <w:r>
              <w:rPr>
                <w:rFonts w:hint="eastAsia" w:ascii="Times New Roman" w:hAnsi="Times New Roman" w:cs="Times New Roman" w:eastAsiaTheme="minorEastAsia"/>
                <w:color w:val="auto"/>
                <w:szCs w:val="21"/>
                <w:highlight w:val="none"/>
                <w:lang w:val="en-US" w:eastAsia="zh-CN"/>
              </w:rPr>
              <w:t>、H</w:t>
            </w:r>
            <w:r>
              <w:rPr>
                <w:rFonts w:hint="eastAsia" w:ascii="Times New Roman" w:hAnsi="Times New Roman" w:cs="Times New Roman" w:eastAsiaTheme="minorEastAsia"/>
                <w:color w:val="auto"/>
                <w:szCs w:val="21"/>
                <w:highlight w:val="none"/>
                <w:vertAlign w:val="subscript"/>
                <w:lang w:val="en-US" w:eastAsia="zh-CN"/>
              </w:rPr>
              <w:t>2</w:t>
            </w:r>
            <w:r>
              <w:rPr>
                <w:rFonts w:hint="eastAsia" w:ascii="Times New Roman" w:hAnsi="Times New Roman" w:cs="Times New Roman" w:eastAsiaTheme="minorEastAsia"/>
                <w:color w:val="auto"/>
                <w:szCs w:val="21"/>
                <w:highlight w:val="none"/>
                <w:lang w:val="en-US" w:eastAsia="zh-CN"/>
              </w:rPr>
              <w:t>S、臭气浓度</w:t>
            </w:r>
          </w:p>
        </w:tc>
        <w:tc>
          <w:tcPr>
            <w:tcW w:w="2389" w:type="dxa"/>
            <w:vAlign w:val="center"/>
          </w:tcPr>
          <w:p w14:paraId="63BD89A0">
            <w:pPr>
              <w:autoSpaceDE w:val="0"/>
              <w:autoSpaceDN w:val="0"/>
              <w:spacing w:line="300" w:lineRule="exact"/>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《恶臭污染物排放标准》（GB14554-1993）表2恶臭污染物排放标准</w:t>
            </w:r>
          </w:p>
        </w:tc>
      </w:tr>
      <w:tr w14:paraId="79DFA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Align w:val="center"/>
          </w:tcPr>
          <w:p w14:paraId="4300161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废水</w:t>
            </w:r>
          </w:p>
        </w:tc>
        <w:tc>
          <w:tcPr>
            <w:tcW w:w="1457" w:type="dxa"/>
            <w:vAlign w:val="center"/>
          </w:tcPr>
          <w:p w14:paraId="63BC136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生产废水</w:t>
            </w:r>
          </w:p>
        </w:tc>
        <w:tc>
          <w:tcPr>
            <w:tcW w:w="1735" w:type="dxa"/>
            <w:vAlign w:val="center"/>
          </w:tcPr>
          <w:p w14:paraId="14A7324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采用“调节池+预处理（沉淀）</w:t>
            </w:r>
            <w:r>
              <w:rPr>
                <w:rFonts w:hint="default" w:ascii="Times New Roman" w:hAnsi="Times New Roman" w:cs="Times New Roman" w:eastAsiaTheme="minorEastAsia"/>
                <w:szCs w:val="21"/>
                <w:lang w:val="en-US" w:eastAsia="zh-CN"/>
              </w:rPr>
              <w:t>+MBR+DTRO</w:t>
            </w:r>
            <w:r>
              <w:rPr>
                <w:rFonts w:hint="eastAsia" w:ascii="Times New Roman" w:hAnsi="Times New Roman" w:cs="Times New Roman" w:eastAsiaTheme="minorEastAsia"/>
                <w:szCs w:val="21"/>
                <w:lang w:val="en-US" w:eastAsia="zh-CN"/>
              </w:rPr>
              <w:t>+接触池（次氯酸钠消毒）”处理工艺</w:t>
            </w:r>
          </w:p>
        </w:tc>
        <w:tc>
          <w:tcPr>
            <w:tcW w:w="2261" w:type="dxa"/>
            <w:gridSpan w:val="2"/>
            <w:vAlign w:val="center"/>
          </w:tcPr>
          <w:p w14:paraId="6FA6393F">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监测点位：污水处理系统进、出口；监测项目：pH、COD、BOD</w:t>
            </w:r>
            <w:r>
              <w:rPr>
                <w:rFonts w:hint="eastAsia" w:ascii="Times New Roman" w:hAnsi="Times New Roman" w:cs="Times New Roman" w:eastAsiaTheme="minorEastAsia"/>
                <w:szCs w:val="21"/>
                <w:vertAlign w:val="subscript"/>
                <w:lang w:val="en-US" w:eastAsia="zh-CN"/>
              </w:rPr>
              <w:t>5</w:t>
            </w:r>
            <w:r>
              <w:rPr>
                <w:rFonts w:hint="eastAsia" w:ascii="Times New Roman" w:hAnsi="Times New Roman" w:cs="Times New Roman" w:eastAsiaTheme="minorEastAsia"/>
                <w:szCs w:val="21"/>
                <w:lang w:val="en-US" w:eastAsia="zh-CN"/>
              </w:rPr>
              <w:t>、氨氮、SS、粪大肠菌群数、总汞、总铬、六价铬、总砷、总铅、总砷、总铅、总氯、石油类</w:t>
            </w:r>
          </w:p>
        </w:tc>
        <w:tc>
          <w:tcPr>
            <w:tcW w:w="2389" w:type="dxa"/>
            <w:vAlign w:val="center"/>
          </w:tcPr>
          <w:p w14:paraId="3CA2F5A4">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《医疗机构水污染物排放标准》（GB18466-2005）、《城市污水再生利用工业用水水质》和《污水综合排放标准》（GB8978-1996）三者较严格限值。</w:t>
            </w:r>
          </w:p>
        </w:tc>
      </w:tr>
      <w:tr w14:paraId="00090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restart"/>
            <w:vAlign w:val="center"/>
          </w:tcPr>
          <w:p w14:paraId="395FE817">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地下水防渗</w:t>
            </w:r>
          </w:p>
        </w:tc>
        <w:tc>
          <w:tcPr>
            <w:tcW w:w="1457" w:type="dxa"/>
            <w:vAlign w:val="center"/>
          </w:tcPr>
          <w:p w14:paraId="63622C1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柴油储罐、</w:t>
            </w:r>
            <w:r>
              <w:rPr>
                <w:rFonts w:hint="eastAsia" w:ascii="Times New Roman" w:hAnsi="Times New Roman" w:cs="Times New Roman"/>
                <w:szCs w:val="21"/>
                <w:lang w:val="en-US" w:eastAsia="zh-CN"/>
              </w:rPr>
              <w:t>危废贮存库、医疗废物暂存间、炉渣间</w:t>
            </w:r>
          </w:p>
        </w:tc>
        <w:tc>
          <w:tcPr>
            <w:tcW w:w="3996" w:type="dxa"/>
            <w:gridSpan w:val="3"/>
            <w:vAlign w:val="center"/>
          </w:tcPr>
          <w:p w14:paraId="6290DCCD">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重点防渗</w:t>
            </w:r>
          </w:p>
        </w:tc>
        <w:tc>
          <w:tcPr>
            <w:tcW w:w="2389" w:type="dxa"/>
            <w:vMerge w:val="restart"/>
            <w:vAlign w:val="center"/>
          </w:tcPr>
          <w:p w14:paraId="390A6BF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不因本工程运行造成地下水污染。</w:t>
            </w:r>
          </w:p>
        </w:tc>
      </w:tr>
      <w:tr w14:paraId="041A5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continue"/>
            <w:vAlign w:val="center"/>
          </w:tcPr>
          <w:p w14:paraId="3A3C4B5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457" w:type="dxa"/>
            <w:vAlign w:val="center"/>
          </w:tcPr>
          <w:p w14:paraId="54E65E2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焚烧车间、医疗废物周转箱放置区、污水处理站、应急事故池、消毒清洗场地、辅助设备防治区</w:t>
            </w:r>
          </w:p>
        </w:tc>
        <w:tc>
          <w:tcPr>
            <w:tcW w:w="3996" w:type="dxa"/>
            <w:gridSpan w:val="3"/>
            <w:vAlign w:val="center"/>
          </w:tcPr>
          <w:p w14:paraId="4DE38645">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一般防渗</w:t>
            </w:r>
          </w:p>
        </w:tc>
        <w:tc>
          <w:tcPr>
            <w:tcW w:w="2389" w:type="dxa"/>
            <w:vMerge w:val="continue"/>
            <w:vAlign w:val="center"/>
          </w:tcPr>
          <w:p w14:paraId="718A8018">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52EC2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continue"/>
            <w:vAlign w:val="center"/>
          </w:tcPr>
          <w:p w14:paraId="52E08F7D">
            <w:pPr>
              <w:autoSpaceDE w:val="0"/>
              <w:autoSpaceDN w:val="0"/>
              <w:spacing w:line="300" w:lineRule="exact"/>
              <w:jc w:val="center"/>
              <w:rPr>
                <w:rFonts w:hint="default" w:ascii="Times New Roman" w:hAnsi="Times New Roman" w:cs="Times New Roman" w:eastAsiaTheme="minorEastAsia"/>
                <w:szCs w:val="21"/>
                <w:lang w:val="en-US" w:eastAsia="zh-CN"/>
              </w:rPr>
            </w:pPr>
          </w:p>
        </w:tc>
        <w:tc>
          <w:tcPr>
            <w:tcW w:w="1457" w:type="dxa"/>
            <w:vAlign w:val="center"/>
          </w:tcPr>
          <w:p w14:paraId="1CF36BE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其他区域</w:t>
            </w:r>
          </w:p>
        </w:tc>
        <w:tc>
          <w:tcPr>
            <w:tcW w:w="3996" w:type="dxa"/>
            <w:gridSpan w:val="3"/>
            <w:vAlign w:val="center"/>
          </w:tcPr>
          <w:p w14:paraId="7E260E7B">
            <w:pPr>
              <w:autoSpaceDE w:val="0"/>
              <w:autoSpaceDN w:val="0"/>
              <w:spacing w:line="300" w:lineRule="exact"/>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简单防渗</w:t>
            </w:r>
          </w:p>
        </w:tc>
        <w:tc>
          <w:tcPr>
            <w:tcW w:w="2389" w:type="dxa"/>
            <w:vMerge w:val="continue"/>
            <w:vAlign w:val="center"/>
          </w:tcPr>
          <w:p w14:paraId="4955AEC5">
            <w:pPr>
              <w:autoSpaceDE w:val="0"/>
              <w:autoSpaceDN w:val="0"/>
              <w:spacing w:line="300" w:lineRule="exact"/>
              <w:jc w:val="center"/>
              <w:rPr>
                <w:rFonts w:hint="default" w:ascii="Times New Roman" w:hAnsi="Times New Roman" w:cs="Times New Roman" w:eastAsiaTheme="minorEastAsia"/>
                <w:szCs w:val="21"/>
                <w:lang w:val="en-US" w:eastAsia="zh-CN"/>
              </w:rPr>
            </w:pPr>
          </w:p>
        </w:tc>
      </w:tr>
      <w:tr w14:paraId="4392C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Align w:val="center"/>
          </w:tcPr>
          <w:p w14:paraId="15E71008">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噪声</w:t>
            </w:r>
          </w:p>
        </w:tc>
        <w:tc>
          <w:tcPr>
            <w:tcW w:w="1457" w:type="dxa"/>
            <w:vAlign w:val="center"/>
          </w:tcPr>
          <w:p w14:paraId="39A9CADE">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各类风机、泵等</w:t>
            </w:r>
          </w:p>
        </w:tc>
        <w:tc>
          <w:tcPr>
            <w:tcW w:w="1735" w:type="dxa"/>
            <w:vAlign w:val="center"/>
          </w:tcPr>
          <w:p w14:paraId="46BC739A">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选用低噪声设备、隔声、建筑消声等</w:t>
            </w:r>
          </w:p>
        </w:tc>
        <w:tc>
          <w:tcPr>
            <w:tcW w:w="2261" w:type="dxa"/>
            <w:gridSpan w:val="2"/>
            <w:vAlign w:val="center"/>
          </w:tcPr>
          <w:p w14:paraId="05B96511">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监测点位：厂界四周；监测项目：等效A声级。</w:t>
            </w:r>
          </w:p>
        </w:tc>
        <w:tc>
          <w:tcPr>
            <w:tcW w:w="2389" w:type="dxa"/>
            <w:vAlign w:val="center"/>
          </w:tcPr>
          <w:p w14:paraId="560FD99C">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《工业企业厂界环境噪声排放标准》（GB12348-2008）3类标准。</w:t>
            </w:r>
          </w:p>
        </w:tc>
      </w:tr>
      <w:tr w14:paraId="5278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restart"/>
            <w:vAlign w:val="center"/>
          </w:tcPr>
          <w:p w14:paraId="2EA26FCD">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固废</w:t>
            </w:r>
          </w:p>
        </w:tc>
        <w:tc>
          <w:tcPr>
            <w:tcW w:w="5453" w:type="dxa"/>
            <w:gridSpan w:val="4"/>
            <w:vAlign w:val="center"/>
          </w:tcPr>
          <w:p w14:paraId="59326F76">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危废贮存</w:t>
            </w:r>
            <w:r>
              <w:rPr>
                <w:rFonts w:hint="eastAsia" w:ascii="Times New Roman" w:hAnsi="Times New Roman" w:cs="Times New Roman"/>
                <w:szCs w:val="21"/>
                <w:lang w:val="en-US" w:eastAsia="zh-CN"/>
              </w:rPr>
              <w:t>库</w:t>
            </w:r>
            <w:r>
              <w:rPr>
                <w:rFonts w:hint="eastAsia" w:ascii="Times New Roman" w:hAnsi="Times New Roman" w:cs="Times New Roman" w:eastAsiaTheme="minorEastAsia"/>
                <w:szCs w:val="21"/>
                <w:lang w:val="en-US" w:eastAsia="zh-CN"/>
              </w:rPr>
              <w:t>一座</w:t>
            </w:r>
          </w:p>
        </w:tc>
        <w:tc>
          <w:tcPr>
            <w:tcW w:w="2389" w:type="dxa"/>
            <w:vAlign w:val="center"/>
          </w:tcPr>
          <w:p w14:paraId="588EB7AD">
            <w:pPr>
              <w:keepNext w:val="0"/>
              <w:keepLines w:val="0"/>
              <w:pageBreakBefore w:val="0"/>
              <w:widowControl w:val="0"/>
              <w:kinsoku/>
              <w:wordWrap w:val="0"/>
              <w:overflowPunct/>
              <w:topLinePunct w:val="0"/>
              <w:autoSpaceDE w:val="0"/>
              <w:autoSpaceDN w:val="0"/>
              <w:bidi w:val="0"/>
              <w:adjustRightInd/>
              <w:snapToGrid/>
              <w:spacing w:line="300" w:lineRule="exact"/>
              <w:jc w:val="center"/>
              <w:textAlignment w:val="auto"/>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危废临时储存满足《危险废物贮存污染控制标准》</w:t>
            </w:r>
            <w:r>
              <w:rPr>
                <w:rFonts w:hint="eastAsia" w:ascii="Times New Roman" w:hAnsi="Times New Roman" w:cs="Times New Roman"/>
                <w:szCs w:val="21"/>
                <w:lang w:val="en-US" w:eastAsia="zh-CN"/>
              </w:rPr>
              <w:t>（</w:t>
            </w:r>
            <w:r>
              <w:rPr>
                <w:rFonts w:hint="default" w:ascii="Times New Roman" w:hAnsi="Times New Roman" w:cs="Times New Roman" w:eastAsiaTheme="minorEastAsia"/>
                <w:szCs w:val="21"/>
                <w:lang w:val="en-US" w:eastAsia="zh-CN"/>
              </w:rPr>
              <w:t>GB18597-20</w:t>
            </w:r>
            <w:r>
              <w:rPr>
                <w:rFonts w:hint="eastAsia" w:ascii="Times New Roman" w:hAnsi="Times New Roman" w:cs="Times New Roman"/>
                <w:szCs w:val="21"/>
                <w:lang w:val="en-US" w:eastAsia="zh-CN"/>
              </w:rPr>
              <w:t>23）</w:t>
            </w:r>
            <w:r>
              <w:rPr>
                <w:rFonts w:hint="default" w:ascii="Times New Roman" w:hAnsi="Times New Roman" w:cs="Times New Roman" w:eastAsiaTheme="minorEastAsia"/>
                <w:szCs w:val="21"/>
                <w:lang w:val="en-US" w:eastAsia="zh-CN"/>
              </w:rPr>
              <w:t>，危废转移处置，零排放。</w:t>
            </w:r>
          </w:p>
        </w:tc>
      </w:tr>
      <w:tr w14:paraId="10D8E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continue"/>
            <w:vAlign w:val="center"/>
          </w:tcPr>
          <w:p w14:paraId="6B012272">
            <w:pPr>
              <w:autoSpaceDE w:val="0"/>
              <w:autoSpaceDN w:val="0"/>
              <w:spacing w:line="300" w:lineRule="exact"/>
              <w:jc w:val="center"/>
              <w:rPr>
                <w:rFonts w:hint="eastAsia" w:ascii="Times New Roman" w:hAnsi="Times New Roman" w:cs="Times New Roman" w:eastAsiaTheme="minorEastAsia"/>
                <w:szCs w:val="21"/>
                <w:lang w:val="en-US" w:eastAsia="zh-CN"/>
              </w:rPr>
            </w:pPr>
          </w:p>
        </w:tc>
        <w:tc>
          <w:tcPr>
            <w:tcW w:w="5453" w:type="dxa"/>
            <w:gridSpan w:val="4"/>
            <w:vAlign w:val="center"/>
          </w:tcPr>
          <w:p w14:paraId="44F2B84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炉渣间</w:t>
            </w:r>
          </w:p>
        </w:tc>
        <w:tc>
          <w:tcPr>
            <w:tcW w:w="2389" w:type="dxa"/>
            <w:vAlign w:val="center"/>
          </w:tcPr>
          <w:p w14:paraId="03E0A621">
            <w:pPr>
              <w:keepNext w:val="0"/>
              <w:keepLines w:val="0"/>
              <w:pageBreakBefore w:val="0"/>
              <w:widowControl w:val="0"/>
              <w:kinsoku/>
              <w:wordWrap w:val="0"/>
              <w:overflowPunct/>
              <w:topLinePunct w:val="0"/>
              <w:autoSpaceDE w:val="0"/>
              <w:autoSpaceDN w:val="0"/>
              <w:bidi w:val="0"/>
              <w:adjustRightInd/>
              <w:snapToGrid/>
              <w:spacing w:line="300" w:lineRule="exact"/>
              <w:jc w:val="center"/>
              <w:textAlignment w:val="auto"/>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lang w:val="en-US" w:eastAsia="zh-CN"/>
              </w:rPr>
              <w:t>符合</w:t>
            </w:r>
            <w:r>
              <w:rPr>
                <w:rFonts w:hint="eastAsia" w:ascii="Times New Roman" w:hAnsi="Times New Roman" w:cs="Times New Roman" w:eastAsiaTheme="minorEastAsia"/>
                <w:szCs w:val="21"/>
                <w:lang w:val="en-US" w:eastAsia="zh-CN"/>
              </w:rPr>
              <w:t>《一般工业固体废物贮存和填埋污染控制标准》（GB18599-2020）</w:t>
            </w:r>
            <w:r>
              <w:rPr>
                <w:rFonts w:hint="eastAsia" w:ascii="Times New Roman" w:hAnsi="Times New Roman" w:cs="Times New Roman"/>
                <w:szCs w:val="21"/>
                <w:lang w:val="en-US" w:eastAsia="zh-CN"/>
              </w:rPr>
              <w:t>标准要求。</w:t>
            </w:r>
          </w:p>
        </w:tc>
      </w:tr>
      <w:tr w14:paraId="40DD9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Align w:val="center"/>
          </w:tcPr>
          <w:p w14:paraId="183D8739">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环境风险</w:t>
            </w:r>
          </w:p>
        </w:tc>
        <w:tc>
          <w:tcPr>
            <w:tcW w:w="5453" w:type="dxa"/>
            <w:gridSpan w:val="4"/>
            <w:vAlign w:val="center"/>
          </w:tcPr>
          <w:p w14:paraId="50C395DB">
            <w:pPr>
              <w:autoSpaceDE w:val="0"/>
              <w:autoSpaceDN w:val="0"/>
              <w:spacing w:line="30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设置事故池（60m</w:t>
            </w:r>
            <w:r>
              <w:rPr>
                <w:rFonts w:hint="eastAsia" w:ascii="Times New Roman" w:hAnsi="Times New Roman" w:cs="Times New Roman" w:eastAsiaTheme="minorEastAsia"/>
                <w:szCs w:val="21"/>
                <w:vertAlign w:val="superscript"/>
                <w:lang w:val="en-US" w:eastAsia="zh-CN"/>
              </w:rPr>
              <w:t>3</w:t>
            </w:r>
            <w:r>
              <w:rPr>
                <w:rFonts w:hint="eastAsia" w:ascii="Times New Roman" w:hAnsi="Times New Roman" w:cs="Times New Roman" w:eastAsiaTheme="minorEastAsia"/>
                <w:szCs w:val="21"/>
                <w:lang w:val="en-US" w:eastAsia="zh-CN"/>
              </w:rPr>
              <w:t>）；柴油储罐设置防渗围堰；重新制定《突发环境事件应急预案》，并定期进行演练。</w:t>
            </w:r>
          </w:p>
        </w:tc>
        <w:tc>
          <w:tcPr>
            <w:tcW w:w="2389" w:type="dxa"/>
            <w:vAlign w:val="center"/>
          </w:tcPr>
          <w:p w14:paraId="2CC67E09">
            <w:pPr>
              <w:keepNext w:val="0"/>
              <w:keepLines w:val="0"/>
              <w:pageBreakBefore w:val="0"/>
              <w:widowControl w:val="0"/>
              <w:kinsoku/>
              <w:wordWrap w:val="0"/>
              <w:overflowPunct/>
              <w:topLinePunct w:val="0"/>
              <w:autoSpaceDE w:val="0"/>
              <w:autoSpaceDN w:val="0"/>
              <w:bidi w:val="0"/>
              <w:adjustRightInd/>
              <w:snapToGrid/>
              <w:spacing w:line="300" w:lineRule="exact"/>
              <w:jc w:val="center"/>
              <w:textAlignment w:val="auto"/>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规范化建设</w:t>
            </w:r>
          </w:p>
        </w:tc>
      </w:tr>
    </w:tbl>
    <w:p w14:paraId="49DBFD03">
      <w:pPr>
        <w:keepNext w:val="0"/>
        <w:keepLines w:val="0"/>
        <w:widowControl/>
        <w:suppressLineNumbers w:val="0"/>
        <w:jc w:val="both"/>
        <w:rPr>
          <w:rFonts w:hint="default" w:ascii="Times New Roman" w:hAnsi="Times New Roman" w:eastAsia="宋体" w:cs="Times New Roman"/>
          <w:b/>
          <w:bCs/>
          <w:color w:val="000000"/>
          <w:kern w:val="0"/>
          <w:sz w:val="32"/>
          <w:szCs w:val="32"/>
          <w:lang w:val="en-US" w:eastAsia="zh-CN" w:bidi="ar"/>
        </w:rPr>
        <w:sectPr>
          <w:pgSz w:w="11906" w:h="16838"/>
          <w:pgMar w:top="1440" w:right="1800" w:bottom="1440" w:left="1800" w:header="851" w:footer="992" w:gutter="0"/>
          <w:pgNumType w:fmt="decimal"/>
          <w:cols w:space="425" w:num="1"/>
          <w:docGrid w:type="lines" w:linePitch="312" w:charSpace="0"/>
        </w:sectPr>
      </w:pPr>
    </w:p>
    <w:p w14:paraId="414106F4">
      <w:pPr>
        <w:pStyle w:val="2"/>
        <w:keepNext/>
        <w:keepLines/>
        <w:pageBreakBefore/>
        <w:spacing w:before="241" w:beforeLines="50" w:after="241" w:afterLines="50" w:line="560" w:lineRule="exact"/>
        <w:ind w:left="554" w:hanging="555" w:hangingChars="152"/>
        <w:jc w:val="both"/>
        <w:rPr>
          <w:rFonts w:hint="eastAsia" w:ascii="Times New Roman" w:hAnsi="Times New Roman" w:cs="Times New Roman" w:eastAsiaTheme="minorEastAsia"/>
          <w:snapToGrid w:val="0"/>
          <w:spacing w:val="2"/>
          <w:kern w:val="44"/>
          <w:sz w:val="36"/>
          <w:szCs w:val="44"/>
          <w:lang w:val="en-US" w:eastAsia="zh-CN"/>
        </w:rPr>
      </w:pPr>
      <w:bookmarkStart w:id="340" w:name="_Toc25197"/>
      <w:r>
        <w:rPr>
          <w:rFonts w:hint="eastAsia" w:ascii="Times New Roman" w:hAnsi="Times New Roman" w:cs="Times New Roman" w:eastAsiaTheme="minorEastAsia"/>
          <w:snapToGrid w:val="0"/>
          <w:spacing w:val="2"/>
          <w:kern w:val="44"/>
          <w:sz w:val="36"/>
          <w:szCs w:val="44"/>
          <w:lang w:val="en-US" w:eastAsia="zh-CN"/>
        </w:rPr>
        <w:t>9环境影响评价结论</w:t>
      </w:r>
      <w:bookmarkEnd w:id="340"/>
    </w:p>
    <w:p w14:paraId="77BAE980">
      <w:pPr>
        <w:pStyle w:val="3"/>
        <w:spacing w:before="120" w:after="120" w:line="500" w:lineRule="exact"/>
        <w:ind w:left="375" w:hanging="375" w:firstLineChars="0"/>
        <w:contextualSpacing/>
        <w:rPr>
          <w:rFonts w:hint="eastAsia" w:ascii="Times New Roman" w:hAnsi="Times New Roman" w:cs="Times New Roman" w:eastAsiaTheme="minorEastAsia"/>
          <w:snapToGrid w:val="0"/>
          <w:kern w:val="0"/>
          <w:sz w:val="28"/>
          <w:szCs w:val="28"/>
          <w:lang w:val="en-US" w:eastAsia="zh-CN"/>
        </w:rPr>
      </w:pPr>
      <w:bookmarkStart w:id="341" w:name="_Toc3577"/>
      <w:r>
        <w:rPr>
          <w:rFonts w:hint="eastAsia" w:ascii="Times New Roman" w:hAnsi="Times New Roman" w:cs="Times New Roman" w:eastAsiaTheme="minorEastAsia"/>
          <w:snapToGrid w:val="0"/>
          <w:kern w:val="0"/>
          <w:sz w:val="28"/>
          <w:szCs w:val="28"/>
          <w:lang w:val="en-US" w:eastAsia="zh-CN"/>
        </w:rPr>
        <w:t>9.1项目概况</w:t>
      </w:r>
      <w:bookmarkEnd w:id="341"/>
    </w:p>
    <w:p w14:paraId="42918747">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（1）项目名称：莎车县海纳环保科技开发有限公司莎车县医疗废物处置中心扩建项目</w:t>
      </w:r>
    </w:p>
    <w:p w14:paraId="0C474B5A">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（2）建设单位：莎车县海纳环保科技开发有限公司</w:t>
      </w:r>
    </w:p>
    <w:p w14:paraId="57D9DDB2">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（3）建设地点：本项目建设地点位于莎车县阿斯兰巴格工业园区西南侧莎车县海纳环保科技开发有限公司厂区内，总用地面积为7826</w:t>
      </w:r>
      <w:r>
        <w:rPr>
          <w:rFonts w:hint="default" w:ascii="Times New Roman" w:hAnsi="Times New Roman" w:cs="Times New Roman" w:eastAsiaTheme="minorEastAsia"/>
          <w:sz w:val="24"/>
          <w:highlight w:val="none"/>
          <w:lang w:val="en-US" w:eastAsia="zh-CN"/>
        </w:rPr>
        <w:t>m</w:t>
      </w:r>
      <w:r>
        <w:rPr>
          <w:rFonts w:hint="default" w:ascii="Times New Roman" w:hAnsi="Times New Roman" w:cs="Times New Roman" w:eastAsiaTheme="minorEastAsia"/>
          <w:sz w:val="24"/>
          <w:highlight w:val="none"/>
          <w:vertAlign w:val="superscript"/>
          <w:lang w:val="en-US" w:eastAsia="zh-CN"/>
        </w:rPr>
        <w:t>2</w:t>
      </w:r>
      <w:r>
        <w:rPr>
          <w:rFonts w:hint="eastAsia" w:ascii="Times New Roman" w:hAnsi="Times New Roman" w:cs="Times New Roman" w:eastAsiaTheme="minorEastAsia"/>
          <w:sz w:val="24"/>
          <w:highlight w:val="none"/>
          <w:lang w:val="en-US" w:eastAsia="zh-CN"/>
        </w:rPr>
        <w:t>。</w:t>
      </w:r>
    </w:p>
    <w:p w14:paraId="0CA52279">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（4）建设性质：改扩建</w:t>
      </w:r>
    </w:p>
    <w:p w14:paraId="5DB9E3D9">
      <w:pPr>
        <w:adjustRightInd w:val="0"/>
        <w:snapToGrid w:val="0"/>
        <w:spacing w:line="500" w:lineRule="exact"/>
        <w:ind w:firstLine="480" w:firstLineChars="200"/>
        <w:jc w:val="left"/>
        <w:rPr>
          <w:rFonts w:hint="eastAsia" w:ascii="Times New Roman" w:hAnsi="Times New Roman" w:cs="Times New Roman" w:eastAsiaTheme="minorEastAsia"/>
          <w:sz w:val="24"/>
          <w:highlight w:val="yellow"/>
          <w:lang w:val="en-US" w:eastAsia="zh-CN"/>
        </w:rPr>
      </w:pPr>
      <w:r>
        <w:rPr>
          <w:rFonts w:hint="eastAsia" w:ascii="Times New Roman" w:hAnsi="Times New Roman" w:cs="Times New Roman" w:eastAsiaTheme="minorEastAsia"/>
          <w:sz w:val="24"/>
          <w:highlight w:val="none"/>
          <w:lang w:val="en-US" w:eastAsia="zh-CN"/>
        </w:rPr>
        <w:t>（5）总投资：本项目总投资800万元，其中环保投资为</w:t>
      </w:r>
      <w:r>
        <w:rPr>
          <w:rFonts w:hint="eastAsia" w:ascii="Times New Roman" w:hAnsi="Times New Roman" w:cs="Times New Roman"/>
          <w:sz w:val="24"/>
          <w:highlight w:val="none"/>
          <w:lang w:val="en-US" w:eastAsia="zh-CN"/>
        </w:rPr>
        <w:t>232</w:t>
      </w:r>
      <w:r>
        <w:rPr>
          <w:rFonts w:hint="eastAsia" w:ascii="Times New Roman" w:hAnsi="Times New Roman" w:cs="Times New Roman" w:eastAsiaTheme="minorEastAsia"/>
          <w:sz w:val="24"/>
          <w:highlight w:val="none"/>
          <w:lang w:val="en-US" w:eastAsia="zh-CN"/>
        </w:rPr>
        <w:t>万元，占总投资的</w:t>
      </w:r>
      <w:r>
        <w:rPr>
          <w:rFonts w:hint="eastAsia" w:ascii="Times New Roman" w:hAnsi="Times New Roman" w:cs="Times New Roman"/>
          <w:sz w:val="24"/>
          <w:highlight w:val="none"/>
          <w:lang w:val="en-US" w:eastAsia="zh-CN"/>
        </w:rPr>
        <w:t>29</w:t>
      </w:r>
      <w:r>
        <w:rPr>
          <w:rFonts w:hint="eastAsia"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w:t>
      </w:r>
    </w:p>
    <w:p w14:paraId="6BBB8337">
      <w:pPr>
        <w:pStyle w:val="3"/>
        <w:spacing w:before="120" w:after="120" w:line="500" w:lineRule="exact"/>
        <w:ind w:left="375" w:hanging="375" w:firstLineChars="0"/>
        <w:contextualSpacing/>
        <w:rPr>
          <w:rFonts w:hint="eastAsia" w:ascii="Times New Roman" w:hAnsi="Times New Roman" w:cs="Times New Roman" w:eastAsiaTheme="minorEastAsia"/>
          <w:snapToGrid w:val="0"/>
          <w:kern w:val="0"/>
          <w:sz w:val="28"/>
          <w:szCs w:val="28"/>
          <w:lang w:val="en-US" w:eastAsia="zh-CN"/>
        </w:rPr>
      </w:pPr>
      <w:bookmarkStart w:id="342" w:name="_Toc7036"/>
      <w:r>
        <w:rPr>
          <w:rFonts w:hint="eastAsia" w:ascii="Times New Roman" w:hAnsi="Times New Roman" w:cs="Times New Roman" w:eastAsiaTheme="minorEastAsia"/>
          <w:snapToGrid w:val="0"/>
          <w:kern w:val="0"/>
          <w:sz w:val="28"/>
          <w:szCs w:val="28"/>
          <w:lang w:val="en-US" w:eastAsia="zh-CN"/>
        </w:rPr>
        <w:t>9.2环境质量现状</w:t>
      </w:r>
      <w:bookmarkEnd w:id="342"/>
    </w:p>
    <w:p w14:paraId="5175E57E">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343" w:name="_Toc5162"/>
      <w:r>
        <w:rPr>
          <w:rFonts w:hint="eastAsia" w:ascii="Times New Roman" w:hAnsi="Times New Roman" w:cs="Times New Roman" w:eastAsiaTheme="minorEastAsia"/>
          <w:kern w:val="0"/>
          <w:sz w:val="24"/>
          <w:szCs w:val="24"/>
          <w:lang w:val="en-US" w:eastAsia="zh-CN"/>
        </w:rPr>
        <w:t>9.2.1环境空气</w:t>
      </w:r>
      <w:bookmarkEnd w:id="343"/>
    </w:p>
    <w:p w14:paraId="794A5209">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项目所在区域</w:t>
      </w:r>
      <w:r>
        <w:rPr>
          <w:rFonts w:hint="default" w:ascii="Times New Roman" w:hAnsi="Times New Roman" w:cs="Times New Roman" w:eastAsiaTheme="minorEastAsia"/>
          <w:sz w:val="24"/>
          <w:highlight w:val="none"/>
          <w:lang w:val="en-US" w:eastAsia="zh-CN"/>
        </w:rPr>
        <w:t>SO</w:t>
      </w:r>
      <w:r>
        <w:rPr>
          <w:rFonts w:hint="default" w:ascii="Times New Roman" w:hAnsi="Times New Roman" w:cs="Times New Roman" w:eastAsiaTheme="minorEastAsia"/>
          <w:sz w:val="24"/>
          <w:highlight w:val="none"/>
          <w:vertAlign w:val="subscript"/>
          <w:lang w:val="en-US" w:eastAsia="zh-CN"/>
        </w:rPr>
        <w:t>2</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NO</w:t>
      </w:r>
      <w:r>
        <w:rPr>
          <w:rFonts w:hint="default" w:ascii="Times New Roman" w:hAnsi="Times New Roman" w:cs="Times New Roman" w:eastAsiaTheme="minorEastAsia"/>
          <w:sz w:val="24"/>
          <w:highlight w:val="none"/>
          <w:vertAlign w:val="subscript"/>
          <w:lang w:val="en-US" w:eastAsia="zh-CN"/>
        </w:rPr>
        <w:t>2</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CO</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O</w:t>
      </w:r>
      <w:r>
        <w:rPr>
          <w:rFonts w:hint="default" w:ascii="Times New Roman" w:hAnsi="Times New Roman" w:cs="Times New Roman" w:eastAsiaTheme="minorEastAsia"/>
          <w:sz w:val="24"/>
          <w:highlight w:val="none"/>
          <w:vertAlign w:val="subscript"/>
          <w:lang w:val="en-US" w:eastAsia="zh-CN"/>
        </w:rPr>
        <w:t>3</w:t>
      </w:r>
      <w:r>
        <w:rPr>
          <w:rFonts w:hint="eastAsia" w:ascii="Times New Roman" w:hAnsi="Times New Roman" w:cs="Times New Roman" w:eastAsiaTheme="minorEastAsia"/>
          <w:sz w:val="24"/>
          <w:highlight w:val="none"/>
          <w:lang w:val="en-US" w:eastAsia="zh-CN"/>
        </w:rPr>
        <w:t>年平均浓度均满足《环境空气质量标准》（</w:t>
      </w:r>
      <w:r>
        <w:rPr>
          <w:rFonts w:hint="default" w:ascii="Times New Roman" w:hAnsi="Times New Roman" w:cs="Times New Roman" w:eastAsiaTheme="minorEastAsia"/>
          <w:sz w:val="24"/>
          <w:highlight w:val="none"/>
          <w:lang w:val="en-US" w:eastAsia="zh-CN"/>
        </w:rPr>
        <w:t>GB3095-20</w:t>
      </w:r>
      <w:r>
        <w:rPr>
          <w:rFonts w:hint="eastAsia" w:ascii="Times New Roman" w:hAnsi="Times New Roman" w:cs="Times New Roman"/>
          <w:sz w:val="24"/>
          <w:highlight w:val="none"/>
          <w:lang w:val="en-US" w:eastAsia="zh-CN"/>
        </w:rPr>
        <w:t>26</w:t>
      </w:r>
      <w:r>
        <w:rPr>
          <w:rFonts w:hint="eastAsia" w:ascii="Times New Roman" w:hAnsi="Times New Roman" w:cs="Times New Roman" w:eastAsiaTheme="minorEastAsia"/>
          <w:sz w:val="24"/>
          <w:highlight w:val="none"/>
          <w:lang w:val="en-US" w:eastAsia="zh-CN"/>
        </w:rPr>
        <w:t>）的二级标准要求；</w:t>
      </w:r>
      <w:r>
        <w:rPr>
          <w:rFonts w:hint="default" w:ascii="Times New Roman" w:hAnsi="Times New Roman" w:cs="Times New Roman" w:eastAsiaTheme="minorEastAsia"/>
          <w:sz w:val="24"/>
          <w:highlight w:val="none"/>
          <w:lang w:val="en-US" w:eastAsia="zh-CN"/>
        </w:rPr>
        <w:t>PM</w:t>
      </w:r>
      <w:r>
        <w:rPr>
          <w:rFonts w:hint="default" w:ascii="Times New Roman" w:hAnsi="Times New Roman" w:cs="Times New Roman" w:eastAsiaTheme="minorEastAsia"/>
          <w:sz w:val="24"/>
          <w:highlight w:val="none"/>
          <w:vertAlign w:val="subscript"/>
          <w:lang w:val="en-US" w:eastAsia="zh-CN"/>
        </w:rPr>
        <w:t>2.5</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PM</w:t>
      </w:r>
      <w:r>
        <w:rPr>
          <w:rFonts w:hint="default" w:ascii="Times New Roman" w:hAnsi="Times New Roman" w:cs="Times New Roman" w:eastAsiaTheme="minorEastAsia"/>
          <w:sz w:val="24"/>
          <w:highlight w:val="none"/>
          <w:vertAlign w:val="subscript"/>
          <w:lang w:val="en-US" w:eastAsia="zh-CN"/>
        </w:rPr>
        <w:t>10</w:t>
      </w:r>
      <w:r>
        <w:rPr>
          <w:rFonts w:hint="eastAsia" w:ascii="Times New Roman" w:hAnsi="Times New Roman" w:cs="Times New Roman" w:eastAsiaTheme="minorEastAsia"/>
          <w:sz w:val="24"/>
          <w:highlight w:val="none"/>
          <w:lang w:val="en-US" w:eastAsia="zh-CN"/>
        </w:rPr>
        <w:t>的最大年、日均浓度均超过《环境空气质量标准》（</w:t>
      </w:r>
      <w:r>
        <w:rPr>
          <w:rFonts w:hint="default" w:ascii="Times New Roman" w:hAnsi="Times New Roman" w:cs="Times New Roman" w:eastAsiaTheme="minorEastAsia"/>
          <w:sz w:val="24"/>
          <w:highlight w:val="none"/>
          <w:lang w:val="en-US" w:eastAsia="zh-CN"/>
        </w:rPr>
        <w:t>GB3095-20</w:t>
      </w:r>
      <w:r>
        <w:rPr>
          <w:rFonts w:hint="eastAsia" w:ascii="Times New Roman" w:hAnsi="Times New Roman" w:cs="Times New Roman"/>
          <w:sz w:val="24"/>
          <w:highlight w:val="none"/>
          <w:lang w:val="en-US" w:eastAsia="zh-CN"/>
        </w:rPr>
        <w:t>26</w:t>
      </w:r>
      <w:r>
        <w:rPr>
          <w:rFonts w:hint="eastAsia" w:ascii="Times New Roman" w:hAnsi="Times New Roman" w:cs="Times New Roman" w:eastAsiaTheme="minorEastAsia"/>
          <w:sz w:val="24"/>
          <w:highlight w:val="none"/>
          <w:lang w:val="en-US" w:eastAsia="zh-CN"/>
        </w:rPr>
        <w:t>）的二级标准要求，本项目所在区域为不达标区域。</w:t>
      </w:r>
    </w:p>
    <w:p w14:paraId="1BC6997C">
      <w:pPr>
        <w:adjustRightInd w:val="0"/>
        <w:snapToGrid w:val="0"/>
        <w:spacing w:line="500" w:lineRule="exact"/>
        <w:ind w:firstLine="480" w:firstLineChars="200"/>
        <w:jc w:val="left"/>
        <w:rPr>
          <w:rFonts w:hint="eastAsia"/>
          <w:highlight w:val="none"/>
          <w:lang w:val="en-US" w:eastAsia="zh-CN"/>
        </w:rPr>
      </w:pPr>
      <w:r>
        <w:rPr>
          <w:rFonts w:hint="eastAsia" w:ascii="Times New Roman" w:hAnsi="Times New Roman" w:cs="Times New Roman" w:eastAsiaTheme="minorEastAsia"/>
          <w:sz w:val="24"/>
          <w:highlight w:val="none"/>
          <w:lang w:val="en-US" w:eastAsia="zh-CN"/>
        </w:rPr>
        <w:t>评价区域内</w:t>
      </w:r>
      <w:r>
        <w:rPr>
          <w:rFonts w:hint="default" w:ascii="Times New Roman" w:hAnsi="Times New Roman" w:cs="Times New Roman" w:eastAsiaTheme="minorEastAsia"/>
          <w:sz w:val="24"/>
          <w:highlight w:val="none"/>
          <w:lang w:val="en-US" w:eastAsia="zh-CN"/>
        </w:rPr>
        <w:t>H</w:t>
      </w:r>
      <w:r>
        <w:rPr>
          <w:rFonts w:hint="default" w:ascii="Times New Roman" w:hAnsi="Times New Roman" w:cs="Times New Roman" w:eastAsiaTheme="minorEastAsia"/>
          <w:sz w:val="24"/>
          <w:highlight w:val="none"/>
          <w:vertAlign w:val="subscript"/>
          <w:lang w:val="en-US" w:eastAsia="zh-CN"/>
        </w:rPr>
        <w:t>2</w:t>
      </w:r>
      <w:r>
        <w:rPr>
          <w:rFonts w:hint="default" w:ascii="Times New Roman" w:hAnsi="Times New Roman" w:cs="Times New Roman" w:eastAsiaTheme="minorEastAsia"/>
          <w:sz w:val="24"/>
          <w:highlight w:val="none"/>
          <w:lang w:val="en-US" w:eastAsia="zh-CN"/>
        </w:rPr>
        <w:t>S</w:t>
      </w:r>
      <w:r>
        <w:rPr>
          <w:rFonts w:hint="eastAsia" w:ascii="Times New Roman" w:hAnsi="Times New Roman" w:cs="Times New Roman" w:eastAsiaTheme="minorEastAsia"/>
          <w:sz w:val="24"/>
          <w:highlight w:val="none"/>
          <w:lang w:val="en-US" w:eastAsia="zh-CN"/>
        </w:rPr>
        <w:t>、氨、氯化氢的小时浓度监测值符合《环境影响评价技术导则大气环境》（</w:t>
      </w:r>
      <w:r>
        <w:rPr>
          <w:rFonts w:hint="default" w:ascii="Times New Roman" w:hAnsi="Times New Roman" w:cs="Times New Roman" w:eastAsiaTheme="minorEastAsia"/>
          <w:sz w:val="24"/>
          <w:highlight w:val="none"/>
          <w:lang w:val="en-US" w:eastAsia="zh-CN"/>
        </w:rPr>
        <w:t>HJ2.2-2018</w:t>
      </w:r>
      <w:r>
        <w:rPr>
          <w:rFonts w:hint="eastAsia" w:ascii="Times New Roman" w:hAnsi="Times New Roman" w:cs="Times New Roman" w:eastAsiaTheme="minorEastAsia"/>
          <w:sz w:val="24"/>
          <w:highlight w:val="none"/>
          <w:lang w:val="en-US" w:eastAsia="zh-CN"/>
        </w:rPr>
        <w:t>）附录</w:t>
      </w:r>
      <w:r>
        <w:rPr>
          <w:rFonts w:hint="default" w:ascii="Times New Roman" w:hAnsi="Times New Roman" w:cs="Times New Roman" w:eastAsiaTheme="minorEastAsia"/>
          <w:sz w:val="24"/>
          <w:highlight w:val="none"/>
          <w:lang w:val="en-US" w:eastAsia="zh-CN"/>
        </w:rPr>
        <w:t>D</w:t>
      </w:r>
      <w:r>
        <w:rPr>
          <w:rFonts w:hint="eastAsia" w:ascii="Times New Roman" w:hAnsi="Times New Roman" w:cs="Times New Roman" w:eastAsiaTheme="minorEastAsia"/>
          <w:sz w:val="24"/>
          <w:highlight w:val="none"/>
          <w:lang w:val="en-US" w:eastAsia="zh-CN"/>
        </w:rPr>
        <w:t>的参考浓度限值标准，</w:t>
      </w:r>
      <w:r>
        <w:rPr>
          <w:rFonts w:hint="default" w:ascii="Times New Roman" w:hAnsi="Times New Roman" w:cs="Times New Roman" w:eastAsiaTheme="minorEastAsia"/>
          <w:sz w:val="24"/>
          <w:highlight w:val="none"/>
          <w:lang w:val="en-US" w:eastAsia="zh-CN"/>
        </w:rPr>
        <w:t>Hg</w:t>
      </w:r>
      <w:r>
        <w:rPr>
          <w:rFonts w:hint="eastAsia" w:ascii="Times New Roman" w:hAnsi="Times New Roman" w:cs="Times New Roman" w:eastAsiaTheme="minorEastAsia"/>
          <w:sz w:val="24"/>
          <w:highlight w:val="none"/>
          <w:lang w:val="en-US" w:eastAsia="zh-CN"/>
        </w:rPr>
        <w:t>、氟化物、</w:t>
      </w:r>
      <w:r>
        <w:rPr>
          <w:rFonts w:hint="default" w:ascii="Times New Roman" w:hAnsi="Times New Roman" w:cs="Times New Roman" w:eastAsiaTheme="minorEastAsia"/>
          <w:sz w:val="24"/>
          <w:highlight w:val="none"/>
          <w:lang w:val="en-US" w:eastAsia="zh-CN"/>
        </w:rPr>
        <w:t>Pb</w:t>
      </w:r>
      <w:r>
        <w:rPr>
          <w:rFonts w:hint="eastAsia" w:ascii="Times New Roman" w:hAnsi="Times New Roman"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As</w:t>
      </w:r>
      <w:r>
        <w:rPr>
          <w:rFonts w:hint="eastAsia" w:ascii="Times New Roman" w:hAnsi="Times New Roman" w:cs="Times New Roman" w:eastAsiaTheme="minorEastAsia"/>
          <w:sz w:val="24"/>
          <w:highlight w:val="none"/>
          <w:lang w:val="en-US" w:eastAsia="zh-CN"/>
        </w:rPr>
        <w:t>、镉的</w:t>
      </w:r>
      <w:r>
        <w:rPr>
          <w:rFonts w:hint="default" w:ascii="Times New Roman" w:hAnsi="Times New Roman" w:cs="Times New Roman" w:eastAsiaTheme="minorEastAsia"/>
          <w:sz w:val="24"/>
          <w:highlight w:val="none"/>
          <w:lang w:val="en-US" w:eastAsia="zh-CN"/>
        </w:rPr>
        <w:t>24</w:t>
      </w:r>
      <w:r>
        <w:rPr>
          <w:rFonts w:hint="eastAsia" w:ascii="Times New Roman" w:hAnsi="Times New Roman" w:cs="Times New Roman" w:eastAsiaTheme="minorEastAsia"/>
          <w:sz w:val="24"/>
          <w:highlight w:val="none"/>
          <w:lang w:val="en-US" w:eastAsia="zh-CN"/>
        </w:rPr>
        <w:t>小时平均值符合《环境空气质量标准》</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GB3095-20</w:t>
      </w:r>
      <w:r>
        <w:rPr>
          <w:rFonts w:hint="eastAsia" w:ascii="Times New Roman" w:hAnsi="Times New Roman" w:cs="Times New Roman"/>
          <w:sz w:val="24"/>
          <w:highlight w:val="none"/>
          <w:lang w:val="en-US" w:eastAsia="zh-CN"/>
        </w:rPr>
        <w:t>26）</w:t>
      </w:r>
      <w:r>
        <w:rPr>
          <w:rFonts w:hint="eastAsia" w:ascii="Times New Roman" w:hAnsi="Times New Roman" w:cs="Times New Roman" w:eastAsiaTheme="minorEastAsia"/>
          <w:sz w:val="24"/>
          <w:highlight w:val="none"/>
          <w:lang w:val="en-US" w:eastAsia="zh-CN"/>
        </w:rPr>
        <w:t>附录</w:t>
      </w:r>
      <w:r>
        <w:rPr>
          <w:rFonts w:hint="default" w:ascii="Times New Roman" w:hAnsi="Times New Roman" w:cs="Times New Roman" w:eastAsiaTheme="minorEastAsia"/>
          <w:sz w:val="24"/>
          <w:highlight w:val="none"/>
          <w:lang w:val="en-US" w:eastAsia="zh-CN"/>
        </w:rPr>
        <w:t>A</w:t>
      </w:r>
      <w:r>
        <w:rPr>
          <w:rFonts w:hint="eastAsia" w:ascii="Times New Roman" w:hAnsi="Times New Roman" w:cs="Times New Roman" w:eastAsiaTheme="minorEastAsia"/>
          <w:sz w:val="24"/>
          <w:highlight w:val="none"/>
          <w:lang w:val="en-US" w:eastAsia="zh-CN"/>
        </w:rPr>
        <w:t>参考浓度限值，</w:t>
      </w:r>
      <w:r>
        <w:rPr>
          <w:rFonts w:hint="eastAsia" w:ascii="Times New Roman" w:hAnsi="Times New Roman" w:eastAsia="华文中宋" w:cs="Times New Roman"/>
          <w:sz w:val="24"/>
          <w:highlight w:val="none"/>
          <w:lang w:val="en-US" w:eastAsia="zh-CN"/>
        </w:rPr>
        <w:t>二噁英执行《关于进一步加强生物质发电项目环境影响评价管理工作的通知》（环发〔2008〕82号）要求</w:t>
      </w:r>
      <w:r>
        <w:rPr>
          <w:rFonts w:hint="eastAsia" w:ascii="宋体" w:hAnsi="宋体" w:eastAsia="宋体" w:cs="宋体"/>
          <w:color w:val="000000"/>
          <w:kern w:val="0"/>
          <w:sz w:val="24"/>
          <w:szCs w:val="24"/>
          <w:highlight w:val="none"/>
          <w:lang w:val="en-US" w:eastAsia="zh-CN" w:bidi="ar"/>
        </w:rPr>
        <w:t>。</w:t>
      </w:r>
    </w:p>
    <w:p w14:paraId="2D14B517">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344" w:name="_Toc4461"/>
      <w:r>
        <w:rPr>
          <w:rFonts w:hint="eastAsia" w:ascii="Times New Roman" w:hAnsi="Times New Roman" w:cs="Times New Roman" w:eastAsiaTheme="minorEastAsia"/>
          <w:kern w:val="0"/>
          <w:sz w:val="24"/>
          <w:szCs w:val="24"/>
          <w:lang w:val="en-US" w:eastAsia="zh-CN"/>
        </w:rPr>
        <w:t>9.2.2地下水</w:t>
      </w:r>
      <w:bookmarkEnd w:id="344"/>
    </w:p>
    <w:p w14:paraId="7049409C">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项目5处地下水监测点水质均满足《地下水质量标准》（GB/T14848-2017）中</w:t>
      </w:r>
      <w:r>
        <w:rPr>
          <w:rFonts w:hint="default" w:ascii="Times New Roman" w:hAnsi="Times New Roman" w:cs="Times New Roman" w:eastAsiaTheme="minorEastAsia"/>
          <w:sz w:val="24"/>
          <w:highlight w:val="none"/>
          <w:lang w:val="en-US" w:eastAsia="zh-CN"/>
        </w:rPr>
        <w:t>Ⅲ</w:t>
      </w:r>
      <w:r>
        <w:rPr>
          <w:rFonts w:hint="eastAsia" w:ascii="Times New Roman" w:hAnsi="Times New Roman" w:cs="Times New Roman" w:eastAsiaTheme="minorEastAsia"/>
          <w:sz w:val="24"/>
          <w:highlight w:val="none"/>
          <w:lang w:val="en-US" w:eastAsia="zh-CN"/>
        </w:rPr>
        <w:t>类标准。</w:t>
      </w:r>
    </w:p>
    <w:p w14:paraId="01A9CE0E">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345" w:name="_Toc17131"/>
      <w:r>
        <w:rPr>
          <w:rFonts w:hint="eastAsia" w:ascii="Times New Roman" w:hAnsi="Times New Roman" w:cs="Times New Roman" w:eastAsiaTheme="minorEastAsia"/>
          <w:kern w:val="0"/>
          <w:sz w:val="24"/>
          <w:szCs w:val="24"/>
          <w:lang w:val="en-US" w:eastAsia="zh-CN"/>
        </w:rPr>
        <w:t>9.2.3环境噪声</w:t>
      </w:r>
      <w:bookmarkEnd w:id="345"/>
    </w:p>
    <w:p w14:paraId="22B4BB45">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项目各监测点环境噪声均满足《声环境质量标准》（GB3096-2008）3类标准限值要求。</w:t>
      </w:r>
    </w:p>
    <w:p w14:paraId="61390D3E">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346" w:name="_Toc21775"/>
      <w:r>
        <w:rPr>
          <w:rFonts w:hint="eastAsia" w:ascii="Times New Roman" w:hAnsi="Times New Roman" w:cs="Times New Roman" w:eastAsiaTheme="minorEastAsia"/>
          <w:kern w:val="0"/>
          <w:sz w:val="24"/>
          <w:szCs w:val="24"/>
          <w:lang w:val="en-US" w:eastAsia="zh-CN"/>
        </w:rPr>
        <w:t>9.2.4土壤环境</w:t>
      </w:r>
      <w:bookmarkEnd w:id="346"/>
    </w:p>
    <w:p w14:paraId="1F654E0C">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根据监测结果可知，项目所在地土壤中基本污染物和特征污染物的含量均低于《土壤环境质量 建设用地土壤污染风险管控标准</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试行</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GB36600-2018</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sz w:val="24"/>
          <w:highlight w:val="none"/>
          <w:lang w:val="en-US" w:eastAsia="zh-CN"/>
        </w:rPr>
        <w:t>表1中第二类用地筛选值标准。</w:t>
      </w:r>
    </w:p>
    <w:p w14:paraId="4E3C5C00">
      <w:pPr>
        <w:pStyle w:val="3"/>
        <w:spacing w:before="120" w:after="120" w:line="500" w:lineRule="exact"/>
        <w:ind w:left="375" w:hanging="375" w:firstLineChars="0"/>
        <w:contextualSpacing/>
        <w:rPr>
          <w:rFonts w:hint="eastAsia" w:ascii="Times New Roman" w:hAnsi="Times New Roman" w:cs="Times New Roman" w:eastAsiaTheme="minorEastAsia"/>
          <w:snapToGrid w:val="0"/>
          <w:kern w:val="0"/>
          <w:sz w:val="28"/>
          <w:szCs w:val="28"/>
          <w:lang w:val="en-US" w:eastAsia="zh-CN"/>
        </w:rPr>
      </w:pPr>
      <w:bookmarkStart w:id="347" w:name="_Toc889"/>
      <w:r>
        <w:rPr>
          <w:rFonts w:hint="eastAsia" w:ascii="Times New Roman" w:hAnsi="Times New Roman" w:cs="Times New Roman" w:eastAsiaTheme="minorEastAsia"/>
          <w:snapToGrid w:val="0"/>
          <w:kern w:val="0"/>
          <w:sz w:val="28"/>
          <w:szCs w:val="28"/>
          <w:lang w:val="en-US" w:eastAsia="zh-CN"/>
        </w:rPr>
        <w:t>9.3污染防治措施</w:t>
      </w:r>
      <w:bookmarkEnd w:id="347"/>
    </w:p>
    <w:p w14:paraId="6AE67851">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348" w:name="_Toc32683"/>
      <w:r>
        <w:rPr>
          <w:rFonts w:hint="eastAsia" w:ascii="Times New Roman" w:hAnsi="Times New Roman" w:cs="Times New Roman" w:eastAsiaTheme="minorEastAsia"/>
          <w:kern w:val="0"/>
          <w:sz w:val="24"/>
          <w:szCs w:val="24"/>
          <w:lang w:val="en-US" w:eastAsia="zh-CN"/>
        </w:rPr>
        <w:t>9.3.1施工期</w:t>
      </w:r>
      <w:bookmarkEnd w:id="348"/>
    </w:p>
    <w:p w14:paraId="2EDA2725">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主要施工内容为设备的安装焊接等，在施工期间各项施工活动对周围环境的影响主要有：机械噪声、建筑垃圾和扬尘。施工期对周围环境的影响因素主要是施工建设过程中所产生的扬尘、废水、噪声、建筑垃圾、生态破坏等。工程建设完成后，除永久性占地为持续性影响外，</w:t>
      </w:r>
      <w:r>
        <w:rPr>
          <w:rFonts w:hint="eastAsia" w:ascii="Times New Roman" w:hAnsi="Times New Roman" w:cs="Times New Roman"/>
          <w:sz w:val="24"/>
          <w:highlight w:val="none"/>
          <w:lang w:val="en-US" w:eastAsia="zh-CN"/>
        </w:rPr>
        <w:t>其他影响</w:t>
      </w:r>
      <w:r>
        <w:rPr>
          <w:rFonts w:hint="eastAsia" w:ascii="Times New Roman" w:hAnsi="Times New Roman" w:cs="Times New Roman" w:eastAsiaTheme="minorEastAsia"/>
          <w:sz w:val="24"/>
          <w:highlight w:val="none"/>
          <w:lang w:val="en-US" w:eastAsia="zh-CN"/>
        </w:rPr>
        <w:t>仅在施工期内存在，并且影响范围小，时间短。只要采取相应的防范措施，施工结束后，及时进行生态恢复，可以最大限度地减少对环境的影响。</w:t>
      </w:r>
    </w:p>
    <w:p w14:paraId="56F4AF65">
      <w:pPr>
        <w:pStyle w:val="4"/>
        <w:spacing w:before="120" w:after="120" w:line="500" w:lineRule="exact"/>
        <w:rPr>
          <w:rFonts w:hint="eastAsia" w:ascii="Times New Roman" w:hAnsi="Times New Roman" w:cs="Times New Roman" w:eastAsiaTheme="minorEastAsia"/>
          <w:kern w:val="0"/>
          <w:sz w:val="24"/>
          <w:szCs w:val="24"/>
          <w:lang w:val="en-US" w:eastAsia="zh-CN"/>
        </w:rPr>
      </w:pPr>
      <w:bookmarkStart w:id="349" w:name="_Toc4849"/>
      <w:r>
        <w:rPr>
          <w:rFonts w:hint="eastAsia" w:ascii="Times New Roman" w:hAnsi="Times New Roman" w:cs="Times New Roman" w:eastAsiaTheme="minorEastAsia"/>
          <w:kern w:val="0"/>
          <w:sz w:val="24"/>
          <w:szCs w:val="24"/>
          <w:lang w:val="en-US" w:eastAsia="zh-CN"/>
        </w:rPr>
        <w:t>9.3.2运营期</w:t>
      </w:r>
      <w:bookmarkEnd w:id="349"/>
    </w:p>
    <w:p w14:paraId="69EFFFD3">
      <w:pPr>
        <w:adjustRightInd w:val="0"/>
        <w:snapToGrid w:val="0"/>
        <w:spacing w:line="500" w:lineRule="exact"/>
        <w:ind w:firstLine="480" w:firstLineChars="200"/>
        <w:jc w:val="left"/>
        <w:rPr>
          <w:rFonts w:hint="eastAsia"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（1）大气</w:t>
      </w:r>
    </w:p>
    <w:p w14:paraId="73713691">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sz w:val="24"/>
          <w:highlight w:val="none"/>
          <w:lang w:val="en-US" w:eastAsia="zh-CN"/>
        </w:rPr>
        <w:t>1）焚烧废气</w:t>
      </w:r>
    </w:p>
    <w:p w14:paraId="4E4F1656">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本项目医废焚烧烟气中主要污染物为颗粒物、酸性气体</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SO</w:t>
      </w:r>
      <w:r>
        <w:rPr>
          <w:rFonts w:hint="eastAsia" w:ascii="Times New Roman" w:hAnsi="Times New Roman" w:cs="Times New Roman" w:eastAsiaTheme="minorEastAsia"/>
          <w:sz w:val="24"/>
          <w:highlight w:val="none"/>
          <w:vertAlign w:val="subscript"/>
          <w:lang w:val="en-US" w:eastAsia="zh-CN"/>
        </w:rPr>
        <w:t>2</w:t>
      </w:r>
      <w:r>
        <w:rPr>
          <w:rFonts w:hint="eastAsia" w:ascii="Times New Roman" w:hAnsi="Times New Roman" w:cs="Times New Roman" w:eastAsiaTheme="minorEastAsia"/>
          <w:sz w:val="24"/>
          <w:highlight w:val="none"/>
          <w:lang w:val="en-US" w:eastAsia="zh-CN"/>
        </w:rPr>
        <w:t>、HCI、HF等</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、NOx、重金属和二噁英。</w:t>
      </w:r>
    </w:p>
    <w:p w14:paraId="6802FFDB">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本项目使用了目前比较成熟的烟气净化工艺：““3T+E”燃烧控制+SNCR脱硝+</w:t>
      </w:r>
      <w:r>
        <w:rPr>
          <w:rFonts w:hint="eastAsia" w:ascii="Times New Roman" w:hAnsi="Times New Roman" w:cs="Times New Roman"/>
          <w:sz w:val="24"/>
          <w:highlight w:val="none"/>
          <w:lang w:val="en-US" w:eastAsia="zh-CN"/>
        </w:rPr>
        <w:t>旋风除尘+</w:t>
      </w:r>
      <w:r>
        <w:rPr>
          <w:rFonts w:hint="eastAsia" w:ascii="Times New Roman" w:hAnsi="Times New Roman" w:cs="Times New Roman" w:eastAsiaTheme="minorEastAsia"/>
          <w:sz w:val="24"/>
          <w:highlight w:val="none"/>
          <w:lang w:val="en-US" w:eastAsia="zh-CN"/>
        </w:rPr>
        <w:t>急冷塔+干法脱酸（消石灰喷射）+活性炭喷射+布袋除尘器+湿法喷淋脱酸（5%氢氧化钠）”。烟气净化处理系统完成燃烧烟气的冷却、脱酸和除尘，控制并吸收二噁英，并处置了重金属等有害物质。此烟气净化工艺满足《</w:t>
      </w:r>
      <w:r>
        <w:rPr>
          <w:rFonts w:hint="eastAsia" w:ascii="Times New Roman" w:hAnsi="Times New Roman" w:cs="Times New Roman"/>
          <w:sz w:val="24"/>
          <w:highlight w:val="none"/>
          <w:lang w:val="en-US" w:eastAsia="zh-CN"/>
        </w:rPr>
        <w:t>医疗废物集中焚烧处置工程技术规范</w:t>
      </w:r>
      <w:r>
        <w:rPr>
          <w:rFonts w:hint="eastAsia"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（HJ 177-2023）</w:t>
      </w:r>
      <w:r>
        <w:rPr>
          <w:rFonts w:hint="eastAsia" w:ascii="Times New Roman" w:hAnsi="Times New Roman" w:cs="Times New Roman" w:eastAsiaTheme="minorEastAsia"/>
          <w:sz w:val="24"/>
          <w:highlight w:val="none"/>
          <w:lang w:val="en-US" w:eastAsia="zh-CN"/>
        </w:rPr>
        <w:t>中的要求。</w:t>
      </w:r>
    </w:p>
    <w:p w14:paraId="285952D0">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sz w:val="24"/>
          <w:highlight w:val="none"/>
          <w:lang w:val="en-US" w:eastAsia="zh-CN"/>
        </w:rPr>
        <w:t>2</w:t>
      </w:r>
      <w:r>
        <w:rPr>
          <w:rFonts w:hint="eastAsia" w:ascii="Times New Roman" w:hAnsi="Times New Roman" w:cs="Times New Roman" w:eastAsiaTheme="minorEastAsia"/>
          <w:sz w:val="24"/>
          <w:highlight w:val="none"/>
          <w:lang w:val="en-US" w:eastAsia="zh-CN"/>
        </w:rPr>
        <w:t>）灰渣间粉尘</w:t>
      </w:r>
    </w:p>
    <w:p w14:paraId="54CAFD56">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项目出渣过程中，产生的主要废气为粉尘，项目在炉渣间设置有水雾喷淋装置，热解炉出渣进入贮存间时开启水雾喷淋降尘，并设置气体到出口与二燃室鼓风机相连。以上措施可使粉尘排放浓度满足《</w:t>
      </w:r>
      <w:r>
        <w:rPr>
          <w:rFonts w:hint="eastAsia" w:ascii="Times New Roman" w:hAnsi="Times New Roman" w:cs="Times New Roman"/>
          <w:sz w:val="24"/>
          <w:highlight w:val="none"/>
          <w:lang w:val="en-US" w:eastAsia="zh-CN"/>
        </w:rPr>
        <w:t>医疗废物集中焚烧处置工程技术规范</w:t>
      </w:r>
      <w:r>
        <w:rPr>
          <w:rFonts w:hint="eastAsia" w:ascii="Times New Roman" w:hAnsi="Times New Roman" w:cs="Times New Roman" w:eastAsiaTheme="minorEastAsia"/>
          <w:sz w:val="24"/>
          <w:highlight w:val="none"/>
          <w:lang w:val="en-US" w:eastAsia="zh-CN"/>
        </w:rPr>
        <w:t>》</w:t>
      </w:r>
      <w:r>
        <w:rPr>
          <w:rFonts w:hint="eastAsia" w:ascii="Times New Roman" w:hAnsi="Times New Roman" w:cs="Times New Roman"/>
          <w:sz w:val="24"/>
          <w:highlight w:val="none"/>
          <w:lang w:val="en-US" w:eastAsia="zh-CN"/>
        </w:rPr>
        <w:t>（HJ 177-2023）</w:t>
      </w:r>
      <w:r>
        <w:rPr>
          <w:rFonts w:hint="eastAsia" w:ascii="Times New Roman" w:hAnsi="Times New Roman" w:cs="Times New Roman" w:eastAsiaTheme="minorEastAsia"/>
          <w:sz w:val="24"/>
          <w:highlight w:val="none"/>
          <w:lang w:val="en-US" w:eastAsia="zh-CN"/>
        </w:rPr>
        <w:t>中标准限值。</w:t>
      </w:r>
    </w:p>
    <w:p w14:paraId="419BDA37">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（2）废水</w:t>
      </w:r>
    </w:p>
    <w:p w14:paraId="0E8F5733">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本项目产生的废水主要为循环系统、软化水系统和脱酸系统定排水、各类清洗废水。</w:t>
      </w:r>
    </w:p>
    <w:p w14:paraId="083E68CD">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sz w:val="24"/>
          <w:highlight w:val="none"/>
          <w:lang w:val="en-US" w:eastAsia="zh-CN"/>
        </w:rPr>
        <w:t>项目生产</w:t>
      </w:r>
      <w:r>
        <w:rPr>
          <w:rFonts w:hint="default" w:ascii="Times New Roman" w:hAnsi="Times New Roman" w:cs="Times New Roman" w:eastAsiaTheme="minorEastAsia"/>
          <w:sz w:val="24"/>
          <w:highlight w:val="none"/>
          <w:lang w:val="en-US" w:eastAsia="zh-CN"/>
        </w:rPr>
        <w:t>废水排入场内</w:t>
      </w:r>
      <w:r>
        <w:rPr>
          <w:rFonts w:hint="eastAsia" w:ascii="Times New Roman" w:hAnsi="Times New Roman" w:cs="Times New Roman" w:eastAsiaTheme="minorEastAsia"/>
          <w:sz w:val="24"/>
          <w:highlight w:val="none"/>
          <w:lang w:val="en-US" w:eastAsia="zh-CN"/>
        </w:rPr>
        <w:t>现有</w:t>
      </w:r>
      <w:r>
        <w:rPr>
          <w:rFonts w:hint="default" w:ascii="Times New Roman" w:hAnsi="Times New Roman" w:cs="Times New Roman" w:eastAsiaTheme="minorEastAsia"/>
          <w:sz w:val="24"/>
          <w:highlight w:val="none"/>
          <w:lang w:val="en-US" w:eastAsia="zh-CN"/>
        </w:rPr>
        <w:t>污水处理系统处理</w:t>
      </w:r>
      <w:r>
        <w:rPr>
          <w:rFonts w:hint="eastAsia" w:ascii="Times New Roman" w:hAnsi="Times New Roman" w:cs="Times New Roman"/>
          <w:sz w:val="24"/>
          <w:highlight w:val="none"/>
          <w:lang w:val="en-US" w:eastAsia="zh-CN"/>
        </w:rPr>
        <w:t>，处理后</w:t>
      </w:r>
      <w:r>
        <w:rPr>
          <w:rFonts w:hint="default" w:ascii="Times New Roman" w:hAnsi="Times New Roman" w:cs="Times New Roman" w:eastAsiaTheme="minorEastAsia"/>
          <w:sz w:val="24"/>
          <w:highlight w:val="none"/>
          <w:lang w:val="en-US" w:eastAsia="zh-CN"/>
        </w:rPr>
        <w:t>进入污水处理站回用水池</w:t>
      </w:r>
      <w:r>
        <w:rPr>
          <w:rFonts w:hint="eastAsia" w:ascii="Times New Roman" w:hAnsi="Times New Roman" w:cs="Times New Roman"/>
          <w:sz w:val="24"/>
          <w:highlight w:val="none"/>
          <w:lang w:val="en-US" w:eastAsia="zh-CN"/>
        </w:rPr>
        <w:t>回用</w:t>
      </w:r>
      <w:r>
        <w:rPr>
          <w:rFonts w:hint="default" w:ascii="Times New Roman" w:hAnsi="Times New Roman" w:cs="Times New Roman" w:eastAsiaTheme="minorEastAsia"/>
          <w:sz w:val="24"/>
          <w:highlight w:val="none"/>
          <w:lang w:val="en-US" w:eastAsia="zh-CN"/>
        </w:rPr>
        <w:t>。</w:t>
      </w:r>
    </w:p>
    <w:p w14:paraId="16379531">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（3）地下水</w:t>
      </w:r>
    </w:p>
    <w:p w14:paraId="230C7226">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针对I类建设项目可导致的地下水环境污染，其防治措施的制定</w:t>
      </w:r>
      <w:r>
        <w:rPr>
          <w:rFonts w:hint="eastAsia" w:ascii="Times New Roman" w:hAnsi="Times New Roman" w:cs="Times New Roman"/>
          <w:sz w:val="24"/>
          <w:highlight w:val="none"/>
          <w:lang w:val="en-US" w:eastAsia="zh-CN"/>
        </w:rPr>
        <w:t>按照</w:t>
      </w:r>
      <w:r>
        <w:rPr>
          <w:rFonts w:hint="eastAsia" w:ascii="Times New Roman" w:hAnsi="Times New Roman" w:cs="Times New Roman" w:eastAsiaTheme="minorEastAsia"/>
          <w:sz w:val="24"/>
          <w:highlight w:val="none"/>
          <w:lang w:val="en-US" w:eastAsia="zh-CN"/>
        </w:rPr>
        <w:t>“源头控制，分区防治，污染监控，应急响应”的思路，从污染物泄漏源头、入渗过程和扩散阶段分别进行控制，并制定合理有效的应急预案，从而达到保护地下水环境的目的。防治措施的制定思路为：</w:t>
      </w:r>
    </w:p>
    <w:p w14:paraId="662A04A9">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源头控制：对工艺、设备、管道、污水储存及处理建筑物采取控制措施，防止污染物跑、冒、滴、漏，将污染物泄漏事故的环境风险降到最低限度；管道铺设尽量可视化，实现对泄漏事故的早发现、早治理，减少由于地下管线泄漏造成地下水污染事故的隐患。</w:t>
      </w:r>
    </w:p>
    <w:p w14:paraId="0F5E51DF">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2）分区防治</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结合项目各生产设备、管网、污染物储存与处理装置等的布局，划分污染的重点防渗区、一般防渗区和简单防渗区，对不同的防渗区采取不同程度的防渗措施。对于污染物产生、运输、处理的环节应给与重点防护，包括严格的防渗措施和泄漏污染物收集措施等；对于厂区绿化带等不会造成污染的公共区域和公共设施，划定为非污染区；介于两者间的区域，视其污染物类型、泄漏概率、可能产生的不良影响等因素，给予行而有效、经济合理的预防措施。</w:t>
      </w:r>
    </w:p>
    <w:p w14:paraId="37920582">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3）污染监控体系：建立厂区地下水污染监控体系，包括建立完善的监测制度和管理体系、配备先进的监测仪器和设备、设计科学合理的监测</w:t>
      </w:r>
      <w:r>
        <w:rPr>
          <w:rFonts w:hint="eastAsia" w:ascii="Times New Roman" w:hAnsi="Times New Roman" w:cs="Times New Roman"/>
          <w:sz w:val="24"/>
          <w:highlight w:val="none"/>
          <w:lang w:val="en-US" w:eastAsia="zh-CN"/>
        </w:rPr>
        <w:t>井布</w:t>
      </w:r>
      <w:r>
        <w:rPr>
          <w:rFonts w:hint="eastAsia" w:ascii="Times New Roman" w:hAnsi="Times New Roman" w:cs="Times New Roman" w:eastAsiaTheme="minorEastAsia"/>
          <w:sz w:val="24"/>
          <w:highlight w:val="none"/>
          <w:lang w:val="en-US" w:eastAsia="zh-CN"/>
        </w:rPr>
        <w:t>局，以便及时发现污染、</w:t>
      </w:r>
      <w:r>
        <w:rPr>
          <w:rFonts w:hint="eastAsia" w:ascii="Times New Roman" w:hAnsi="Times New Roman" w:cs="Times New Roman"/>
          <w:sz w:val="24"/>
          <w:highlight w:val="none"/>
          <w:lang w:val="en-US" w:eastAsia="zh-CN"/>
        </w:rPr>
        <w:t>准</w:t>
      </w:r>
      <w:r>
        <w:rPr>
          <w:rFonts w:hint="eastAsia" w:ascii="Times New Roman" w:hAnsi="Times New Roman" w:cs="Times New Roman" w:eastAsiaTheme="minorEastAsia"/>
          <w:sz w:val="24"/>
          <w:highlight w:val="none"/>
          <w:lang w:val="en-US" w:eastAsia="zh-CN"/>
        </w:rPr>
        <w:t>时控制。</w:t>
      </w:r>
    </w:p>
    <w:p w14:paraId="6984C359">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4）风险事故应急响应</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制定地下水风险事故应急响应预案，明确风险事故状态下应</w:t>
      </w:r>
      <w:r>
        <w:rPr>
          <w:rFonts w:hint="eastAsia" w:ascii="Times New Roman" w:hAnsi="Times New Roman" w:cs="Times New Roman"/>
          <w:sz w:val="24"/>
          <w:highlight w:val="none"/>
          <w:lang w:val="en-US" w:eastAsia="zh-CN"/>
        </w:rPr>
        <w:t>采取</w:t>
      </w:r>
      <w:r>
        <w:rPr>
          <w:rFonts w:hint="eastAsia" w:ascii="Times New Roman" w:hAnsi="Times New Roman" w:cs="Times New Roman" w:eastAsiaTheme="minorEastAsia"/>
          <w:sz w:val="24"/>
          <w:highlight w:val="none"/>
          <w:lang w:val="en-US" w:eastAsia="zh-CN"/>
        </w:rPr>
        <w:t>封闭、截流等措施，提出防止受污染地下水扩散和对受污染地下水进行治理的具体方案。</w:t>
      </w:r>
    </w:p>
    <w:p w14:paraId="20C9D2D5">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（4）噪声</w:t>
      </w:r>
    </w:p>
    <w:p w14:paraId="3D63CBF9">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噪声主要来源于风机、各类泵、空压机等设备的机械噪声及空气动力性噪声，其噪声源强为80～90dB（A）。噪声防治措施主要有：采取低噪声工艺及设备、合理平面布置、隔声、消声、吸声等综合噪声治理技术措施等。建议企业采取如下措施：</w:t>
      </w:r>
    </w:p>
    <w:p w14:paraId="3F43C404">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1、选用低噪声设备</w:t>
      </w:r>
    </w:p>
    <w:p w14:paraId="0626FC5A">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1）优先选用振动小、噪声低的设备，使用吸声材料降低撞击噪声；强烈振动的设备、管道与基础、支架、建筑物及其他设备之间采用柔性连接或支撑等。</w:t>
      </w:r>
    </w:p>
    <w:p w14:paraId="116D5B64">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2）采用操作机械化和运行自动化的设备工艺，实现远距离的监视操作。</w:t>
      </w:r>
    </w:p>
    <w:p w14:paraId="205A0FA8">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2、隔声、消声、吸声</w:t>
      </w:r>
    </w:p>
    <w:p w14:paraId="4C8C283F">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各噪声设备均应采用隔声、消声、吸声、隔振等综合控制技术措施。</w:t>
      </w:r>
    </w:p>
    <w:p w14:paraId="626E17D8">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1）风机：在风机出风口加装消声器，在风机和基础之间安装基础隔振垫（如金属弹簧隔振器、橡胶隔振垫、玻璃纤维板等），减少扰动，防止共振，能有效降低源强。</w:t>
      </w:r>
    </w:p>
    <w:p w14:paraId="74EE484D">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2）泵类、空压机：采用单台独立基础，空压机设备加装橡胶减振、隔振措施，泵的进出口接管做挠性连接或弹性连接，并增加惰性块（钢筋混凝土基础） 的重量以增加其稳定性，从而有效地降低振动强度。</w:t>
      </w:r>
    </w:p>
    <w:p w14:paraId="0979BB37">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3、加强管理</w:t>
      </w:r>
    </w:p>
    <w:p w14:paraId="0F8E714E">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1）加强设备的维护，确保设备处于良好的运转状态，杜绝因设备不正常运转时产生的高噪声现象；</w:t>
      </w:r>
    </w:p>
    <w:p w14:paraId="383F8096">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2）加强职工环保意识教育，提倡文明生产，防止人为噪声；</w:t>
      </w:r>
    </w:p>
    <w:p w14:paraId="2D77AFF5">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3）对于厂区流动声源，要强化行车管理制度，设置降噪标准，严禁鸣笛，进入厂区低速行驶，最大限度减少流动噪声源。</w:t>
      </w:r>
    </w:p>
    <w:p w14:paraId="7830FD2C">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4）加强车辆、机械设备的维护，使其处于良好状态；并对老化和性能降低的旧设备进行及时更换。</w:t>
      </w:r>
    </w:p>
    <w:p w14:paraId="580E9F80">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5）加强出去运输车辆的管理，采取限速禁鸣，分散进出。</w:t>
      </w:r>
    </w:p>
    <w:p w14:paraId="15116DB9">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6）合理安排运输频次，避开午间休息时间运输，夜间不安排运输。</w:t>
      </w:r>
    </w:p>
    <w:p w14:paraId="3720CC2F">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7）利用自然地形（如位于噪声源和敏感目标之间的山丘、土坡、地堑、围墙等），合理布局产噪设备降低噪声。</w:t>
      </w:r>
    </w:p>
    <w:p w14:paraId="0E7FD26E">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8）结合厂区绿化，种植一些吸尘、消声能力强的树木，如常绿阔叶乔木、灌木等，组成多层次的降噪屏障，以达到消耗声能，削弱噪声目的。</w:t>
      </w:r>
    </w:p>
    <w:p w14:paraId="27C53DB2">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采取上述措施后，厂界噪声可满足《工业企业厂界环境噪声排放标准》（GB12348-2008）3类区标准限值，不会产生噪声扰民现象，环境影响可接受，措施可行。</w:t>
      </w:r>
    </w:p>
    <w:p w14:paraId="0F6AF120">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（5）固体废物</w:t>
      </w:r>
    </w:p>
    <w:p w14:paraId="708CCE45">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本项目危险废物有炉渣、飞灰、废活性炭、废滤袋、废机油。</w:t>
      </w:r>
    </w:p>
    <w:p w14:paraId="40FBA016">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本项目飞灰、废活性炭、废滤袋、废机油采用密闭容器盛装后在厂区危废贮存</w:t>
      </w:r>
      <w:r>
        <w:rPr>
          <w:rFonts w:hint="eastAsia" w:ascii="Times New Roman" w:hAnsi="Times New Roman" w:cs="Times New Roman"/>
          <w:sz w:val="24"/>
          <w:highlight w:val="none"/>
          <w:lang w:val="en-US" w:eastAsia="zh-CN"/>
        </w:rPr>
        <w:t>库</w:t>
      </w:r>
      <w:r>
        <w:rPr>
          <w:rFonts w:hint="eastAsia" w:ascii="Times New Roman" w:hAnsi="Times New Roman" w:cs="Times New Roman" w:eastAsiaTheme="minorEastAsia"/>
          <w:sz w:val="24"/>
          <w:highlight w:val="none"/>
          <w:lang w:val="en-US" w:eastAsia="zh-CN"/>
        </w:rPr>
        <w:t>储存，储存容器底部设置托盘，危险废物不直接与地面接触，危废贮存</w:t>
      </w:r>
      <w:r>
        <w:rPr>
          <w:rFonts w:hint="eastAsia" w:ascii="Times New Roman" w:hAnsi="Times New Roman" w:cs="Times New Roman"/>
          <w:sz w:val="24"/>
          <w:highlight w:val="none"/>
          <w:lang w:val="en-US" w:eastAsia="zh-CN"/>
        </w:rPr>
        <w:t>库</w:t>
      </w:r>
      <w:r>
        <w:rPr>
          <w:rFonts w:hint="eastAsia" w:ascii="Times New Roman" w:hAnsi="Times New Roman" w:cs="Times New Roman" w:eastAsiaTheme="minorEastAsia"/>
          <w:sz w:val="24"/>
          <w:highlight w:val="none"/>
          <w:lang w:val="en-US" w:eastAsia="zh-CN"/>
        </w:rPr>
        <w:t>采取合理防渗措施，危险废物定期委托有资质单位处置</w:t>
      </w:r>
      <w:r>
        <w:rPr>
          <w:rFonts w:hint="eastAsia" w:ascii="Times New Roman" w:hAnsi="Times New Roman" w:cs="Times New Roman"/>
          <w:sz w:val="24"/>
          <w:highlight w:val="none"/>
          <w:lang w:val="en-US" w:eastAsia="zh-CN"/>
        </w:rPr>
        <w:t>；</w:t>
      </w:r>
      <w:r>
        <w:rPr>
          <w:rFonts w:hint="eastAsia" w:ascii="Times New Roman" w:hAnsi="Times New Roman" w:cs="Times New Roman" w:eastAsiaTheme="minorEastAsia"/>
          <w:sz w:val="24"/>
          <w:highlight w:val="none"/>
          <w:lang w:val="en-US" w:eastAsia="zh-CN"/>
        </w:rPr>
        <w:t>炉渣</w:t>
      </w:r>
      <w:r>
        <w:rPr>
          <w:rFonts w:hint="eastAsia" w:ascii="Times New Roman" w:hAnsi="Times New Roman" w:cs="Times New Roman"/>
          <w:sz w:val="24"/>
          <w:highlight w:val="none"/>
          <w:lang w:val="en-US" w:eastAsia="zh-CN"/>
        </w:rPr>
        <w:t>储存在炉渣间，</w:t>
      </w:r>
      <w:r>
        <w:rPr>
          <w:rFonts w:hint="eastAsia" w:ascii="Times New Roman" w:hAnsi="Times New Roman" w:cs="Times New Roman" w:eastAsiaTheme="minorEastAsia"/>
          <w:sz w:val="24"/>
          <w:highlight w:val="none"/>
          <w:lang w:val="en-US" w:eastAsia="zh-CN"/>
        </w:rPr>
        <w:t>定期委托有资质单位处置。</w:t>
      </w:r>
    </w:p>
    <w:p w14:paraId="7B8A9D13">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项目产生炉渣和飞灰中含有二噁英类、重金属等有毒有害物质，逸散至外环境会对周边大气、土壤、水环境造成影响。本项目采用密度容器盛装炉渣、飞灰，贮存过程炉渣、飞灰不会发生粉尘</w:t>
      </w:r>
      <w:r>
        <w:rPr>
          <w:rFonts w:hint="eastAsia" w:ascii="Times New Roman" w:hAnsi="Times New Roman" w:cs="Times New Roman"/>
          <w:sz w:val="24"/>
          <w:highlight w:val="none"/>
          <w:lang w:val="en-US" w:eastAsia="zh-CN"/>
        </w:rPr>
        <w:t>外溢</w:t>
      </w:r>
      <w:r>
        <w:rPr>
          <w:rFonts w:hint="eastAsia" w:ascii="Times New Roman" w:hAnsi="Times New Roman" w:cs="Times New Roman" w:eastAsiaTheme="minorEastAsia"/>
          <w:sz w:val="24"/>
          <w:highlight w:val="none"/>
          <w:lang w:val="en-US" w:eastAsia="zh-CN"/>
        </w:rPr>
        <w:t>问题，此外本项目炉渣和飞灰在密闭</w:t>
      </w:r>
      <w:r>
        <w:rPr>
          <w:rFonts w:hint="eastAsia" w:ascii="Times New Roman" w:hAnsi="Times New Roman" w:cs="Times New Roman"/>
          <w:sz w:val="24"/>
          <w:highlight w:val="none"/>
          <w:lang w:val="en-US" w:eastAsia="zh-CN"/>
        </w:rPr>
        <w:t>炉渣间和</w:t>
      </w:r>
      <w:r>
        <w:rPr>
          <w:rFonts w:hint="eastAsia" w:ascii="Times New Roman" w:hAnsi="Times New Roman" w:cs="Times New Roman" w:eastAsiaTheme="minorEastAsia"/>
          <w:sz w:val="24"/>
          <w:highlight w:val="none"/>
          <w:lang w:val="en-US" w:eastAsia="zh-CN"/>
        </w:rPr>
        <w:t>危废贮存</w:t>
      </w:r>
      <w:r>
        <w:rPr>
          <w:rFonts w:hint="eastAsia" w:ascii="Times New Roman" w:hAnsi="Times New Roman" w:cs="Times New Roman"/>
          <w:sz w:val="24"/>
          <w:highlight w:val="none"/>
          <w:lang w:val="en-US" w:eastAsia="zh-CN"/>
        </w:rPr>
        <w:t>库</w:t>
      </w:r>
      <w:r>
        <w:rPr>
          <w:rFonts w:hint="eastAsia" w:ascii="Times New Roman" w:hAnsi="Times New Roman" w:cs="Times New Roman" w:eastAsiaTheme="minorEastAsia"/>
          <w:sz w:val="24"/>
          <w:highlight w:val="none"/>
          <w:lang w:val="en-US" w:eastAsia="zh-CN"/>
        </w:rPr>
        <w:t>储存，炉渣、飞灰储存过程做到防扬尘、防雨和防渗漏要求。</w:t>
      </w:r>
    </w:p>
    <w:p w14:paraId="3BD831BC">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本项目产生炉渣、飞灰在厂区合理暂存，</w:t>
      </w:r>
      <w:r>
        <w:rPr>
          <w:rFonts w:hint="eastAsia" w:ascii="Times New Roman" w:hAnsi="Times New Roman" w:cs="Times New Roman"/>
          <w:sz w:val="24"/>
          <w:highlight w:val="none"/>
          <w:lang w:val="en-US" w:eastAsia="zh-CN"/>
        </w:rPr>
        <w:t>定期交由有资质单位处置</w:t>
      </w:r>
      <w:r>
        <w:rPr>
          <w:rFonts w:hint="eastAsia" w:ascii="Times New Roman" w:hAnsi="Times New Roman" w:cs="Times New Roman" w:eastAsiaTheme="minorEastAsia"/>
          <w:sz w:val="24"/>
          <w:highlight w:val="none"/>
          <w:lang w:val="en-US" w:eastAsia="zh-CN"/>
        </w:rPr>
        <w:t>。</w:t>
      </w:r>
    </w:p>
    <w:p w14:paraId="0A43DD1C">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（6）土壤环境</w:t>
      </w:r>
    </w:p>
    <w:p w14:paraId="05AFD16B">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本项目土壤影响类型主要为大气沉降影响及垂直入渗影响，源头控制措施分别针对这两方面展开。</w:t>
      </w:r>
    </w:p>
    <w:p w14:paraId="53B82381">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（1）大气沉降影响源头控制措施本项目排放的废气主要污染物，在采取达标排放措施后，基本不会对土壤产生明显的污染，不会改变土壤的环境质量，对环境影响较小。</w:t>
      </w:r>
    </w:p>
    <w:p w14:paraId="11452314">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（2）垂直入渗影响源头控制措施主要为对可能存在土壤污染风险区域进行分区防渗，本项目主要区域均进行硬化和防渗处理。项目生产区主要防渗区域和防渗标准按照地下水章节提出的防渗要求。</w:t>
      </w:r>
    </w:p>
    <w:p w14:paraId="66F63059">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3）其他源头控制措施项目对产生的废水进行合理的治理和综合利用，以先进工艺、管道、设备、污水储存，尽可能从源头上减少污染物产生；严格按照国家相关规范要求，对工艺、管道、设备、污水储存及处理构筑物采取相应的措施，以防止和降低可能污染物的跑、冒、滴、漏，将废水泄漏的环境风险事故降低到最低程度；优化排水系统设计，工艺废水、地面冲洗废水等在厂区内收集后通过管线送对应污水处理站处理；管线铺设尽量采用“可视化” 原则，即管道尽可能地上铺设，做到污染物“早发现、早处理”，以减少由于埋地管道泄漏而可能造成的土壤污染。进行质量体系认证，实现“质量、安全、环境” 三位一体的全面质量管理目标。</w:t>
      </w:r>
    </w:p>
    <w:p w14:paraId="1DE6F472">
      <w:pPr>
        <w:pStyle w:val="3"/>
        <w:spacing w:before="120" w:after="120" w:line="500" w:lineRule="exact"/>
        <w:ind w:left="375" w:hanging="375" w:firstLineChars="0"/>
        <w:contextualSpacing/>
        <w:rPr>
          <w:rFonts w:hint="eastAsia" w:ascii="Times New Roman" w:hAnsi="Times New Roman" w:cs="Times New Roman" w:eastAsiaTheme="minorEastAsia"/>
          <w:snapToGrid w:val="0"/>
          <w:kern w:val="0"/>
          <w:sz w:val="28"/>
          <w:szCs w:val="28"/>
          <w:lang w:val="en-US" w:eastAsia="zh-CN"/>
        </w:rPr>
      </w:pPr>
      <w:bookmarkStart w:id="350" w:name="_Toc9984"/>
      <w:r>
        <w:rPr>
          <w:rFonts w:hint="eastAsia" w:ascii="Times New Roman" w:hAnsi="Times New Roman" w:cs="Times New Roman" w:eastAsiaTheme="minorEastAsia"/>
          <w:snapToGrid w:val="0"/>
          <w:kern w:val="0"/>
          <w:sz w:val="28"/>
          <w:szCs w:val="28"/>
          <w:lang w:val="en-US" w:eastAsia="zh-CN"/>
        </w:rPr>
        <w:t>9.4公众参与情况</w:t>
      </w:r>
      <w:bookmarkEnd w:id="350"/>
    </w:p>
    <w:p w14:paraId="5DDFAD83">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建设单位在环评单位的协助下，在网上进行第一次公示，第一次公示期间未收到任何公众意见及反馈。项目环境影响报告书征求意见稿完成后，分别在网站、报刊同步公开征求意见稿全本及相关信息，征求与该项目环境影响有关的意见，第二次公示期满未收到任何公众意见及反馈。向环保主管部门报批环境影响报告书前，网站公开拟报批的环境影响报告书全文和公众参与说明，第三次公示期满未收到任何公众意见及反馈。本项目整个公示期间，未收到与项目环境影响有关的公众意见，本项目对环境的影响较小，无人持反对意见。</w:t>
      </w:r>
    </w:p>
    <w:p w14:paraId="57DCE463">
      <w:pPr>
        <w:pStyle w:val="3"/>
        <w:spacing w:before="120" w:after="120" w:line="500" w:lineRule="exact"/>
        <w:ind w:left="375" w:hanging="375" w:firstLineChars="0"/>
        <w:contextualSpacing/>
        <w:rPr>
          <w:rFonts w:hint="eastAsia" w:ascii="Times New Roman" w:hAnsi="Times New Roman" w:cs="Times New Roman" w:eastAsiaTheme="minorEastAsia"/>
          <w:snapToGrid w:val="0"/>
          <w:kern w:val="0"/>
          <w:sz w:val="28"/>
          <w:szCs w:val="28"/>
          <w:lang w:val="en-US" w:eastAsia="zh-CN"/>
        </w:rPr>
      </w:pPr>
      <w:bookmarkStart w:id="351" w:name="_Toc4322"/>
      <w:r>
        <w:rPr>
          <w:rFonts w:hint="eastAsia" w:ascii="Times New Roman" w:hAnsi="Times New Roman" w:cs="Times New Roman" w:eastAsiaTheme="minorEastAsia"/>
          <w:snapToGrid w:val="0"/>
          <w:kern w:val="0"/>
          <w:sz w:val="28"/>
          <w:szCs w:val="28"/>
          <w:lang w:val="en-US" w:eastAsia="zh-CN"/>
        </w:rPr>
        <w:t>9.5总量控制</w:t>
      </w:r>
      <w:bookmarkEnd w:id="351"/>
    </w:p>
    <w:p w14:paraId="3CAA0A2E">
      <w:pPr>
        <w:adjustRightInd w:val="0"/>
        <w:snapToGrid w:val="0"/>
        <w:spacing w:line="500" w:lineRule="exact"/>
        <w:ind w:firstLine="480" w:firstLineChars="200"/>
        <w:jc w:val="left"/>
        <w:rPr>
          <w:rFonts w:hint="eastAsia" w:ascii="Times New Roman" w:hAnsi="Times New Roman" w:cs="Times New Roman" w:eastAsiaTheme="minorEastAsia"/>
          <w:sz w:val="24"/>
          <w:lang w:val="en-US" w:eastAsia="zh-CN"/>
        </w:rPr>
      </w:pPr>
      <w:r>
        <w:rPr>
          <w:rFonts w:hint="eastAsia" w:ascii="Times New Roman" w:hAnsi="Times New Roman" w:cs="Times New Roman" w:eastAsiaTheme="minorEastAsia"/>
          <w:sz w:val="24"/>
          <w:lang w:val="en-US" w:eastAsia="zh-CN"/>
        </w:rPr>
        <w:t>“十</w:t>
      </w:r>
      <w:r>
        <w:rPr>
          <w:rFonts w:hint="eastAsia" w:ascii="Times New Roman" w:hAnsi="Times New Roman" w:cs="Times New Roman"/>
          <w:sz w:val="24"/>
          <w:lang w:val="en-US" w:eastAsia="zh-CN"/>
        </w:rPr>
        <w:t>五</w:t>
      </w:r>
      <w:r>
        <w:rPr>
          <w:rFonts w:hint="eastAsia" w:ascii="Times New Roman" w:hAnsi="Times New Roman" w:cs="Times New Roman" w:eastAsiaTheme="minorEastAsia"/>
          <w:sz w:val="24"/>
          <w:lang w:val="en-US" w:eastAsia="zh-CN"/>
        </w:rPr>
        <w:t>五”期间国家确定的污染物总量控制指标为VOCs、NOx、COD、</w:t>
      </w:r>
      <w:r>
        <w:rPr>
          <w:rFonts w:hint="eastAsia" w:ascii="Times New Roman" w:hAnsi="Times New Roman" w:cs="Times New Roman"/>
          <w:sz w:val="24"/>
          <w:lang w:val="en-US" w:eastAsia="zh-CN"/>
        </w:rPr>
        <w:t>总磷</w:t>
      </w:r>
      <w:r>
        <w:rPr>
          <w:rFonts w:hint="eastAsia" w:ascii="Times New Roman" w:hAnsi="Times New Roman" w:cs="Times New Roman" w:eastAsiaTheme="minorEastAsia"/>
          <w:sz w:val="24"/>
          <w:lang w:val="en-US" w:eastAsia="zh-CN"/>
        </w:rPr>
        <w:t>，结合拟建项目污染特征因子，确定总量控制因子为NOx。</w:t>
      </w:r>
    </w:p>
    <w:p w14:paraId="56918290">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本项目废气总量控制因子为NOx，新增排放量为1.</w:t>
      </w:r>
      <w:r>
        <w:rPr>
          <w:rFonts w:hint="eastAsia" w:ascii="Times New Roman" w:hAnsi="Times New Roman" w:cs="Times New Roman"/>
          <w:sz w:val="24"/>
          <w:highlight w:val="none"/>
          <w:lang w:val="en-US" w:eastAsia="zh-CN"/>
        </w:rPr>
        <w:t>252</w:t>
      </w:r>
      <w:r>
        <w:rPr>
          <w:rFonts w:hint="eastAsia" w:ascii="Times New Roman" w:hAnsi="Times New Roman" w:cs="Times New Roman" w:eastAsiaTheme="minorEastAsia"/>
          <w:sz w:val="24"/>
          <w:highlight w:val="none"/>
          <w:lang w:val="en-US" w:eastAsia="zh-CN"/>
        </w:rPr>
        <w:t>t/a；根据环境影响预测和评价表明，按上述总量指标进行控制后，区域环境质量满足功能区标准要求，因而是合理可行的。</w:t>
      </w:r>
    </w:p>
    <w:p w14:paraId="3A8F86A7">
      <w:pPr>
        <w:adjustRightInd w:val="0"/>
        <w:snapToGrid w:val="0"/>
        <w:spacing w:line="500" w:lineRule="exact"/>
        <w:ind w:firstLine="480" w:firstLineChars="200"/>
        <w:jc w:val="left"/>
        <w:rPr>
          <w:rFonts w:hint="eastAsia"/>
          <w:lang w:val="en-US" w:eastAsia="zh-CN"/>
        </w:rPr>
      </w:pPr>
      <w:r>
        <w:rPr>
          <w:rFonts w:hint="eastAsia" w:ascii="Times New Roman" w:hAnsi="Times New Roman" w:cs="Times New Roman" w:eastAsiaTheme="minorEastAsia"/>
          <w:sz w:val="24"/>
          <w:highlight w:val="none"/>
          <w:lang w:val="en-US" w:eastAsia="zh-CN"/>
        </w:rPr>
        <w:t>本项目的生产废水处理达标后综合利用，没有污染物外排。</w:t>
      </w:r>
    </w:p>
    <w:p w14:paraId="67227C86">
      <w:pPr>
        <w:pStyle w:val="3"/>
        <w:spacing w:before="120" w:after="120" w:line="500" w:lineRule="exact"/>
        <w:ind w:left="375" w:hanging="375" w:firstLineChars="0"/>
        <w:contextualSpacing/>
        <w:rPr>
          <w:rFonts w:hint="eastAsia" w:ascii="Times New Roman" w:hAnsi="Times New Roman" w:cs="Times New Roman" w:eastAsiaTheme="minorEastAsia"/>
          <w:snapToGrid w:val="0"/>
          <w:kern w:val="0"/>
          <w:sz w:val="28"/>
          <w:szCs w:val="28"/>
          <w:lang w:val="en-US" w:eastAsia="zh-CN"/>
        </w:rPr>
      </w:pPr>
      <w:bookmarkStart w:id="352" w:name="_Toc29180"/>
      <w:r>
        <w:rPr>
          <w:rFonts w:hint="eastAsia" w:ascii="Times New Roman" w:hAnsi="Times New Roman" w:cs="Times New Roman" w:eastAsiaTheme="minorEastAsia"/>
          <w:snapToGrid w:val="0"/>
          <w:kern w:val="0"/>
          <w:sz w:val="28"/>
          <w:szCs w:val="28"/>
          <w:lang w:val="en-US" w:eastAsia="zh-CN"/>
        </w:rPr>
        <w:t>9.6环境影响评价结论</w:t>
      </w:r>
      <w:bookmarkEnd w:id="352"/>
    </w:p>
    <w:p w14:paraId="71C4E261">
      <w:pPr>
        <w:pStyle w:val="20"/>
        <w:snapToGrid w:val="0"/>
        <w:jc w:val="left"/>
        <w:rPr>
          <w:rFonts w:hint="eastAsia"/>
          <w:lang w:val="en-US" w:eastAsia="zh-CN"/>
        </w:rPr>
      </w:pPr>
      <w:r>
        <w:rPr>
          <w:rFonts w:hint="default" w:ascii="Times New Roman" w:hAnsi="Times New Roman" w:cs="Times New Roman" w:eastAsiaTheme="minorEastAsia"/>
          <w:color w:val="auto"/>
          <w:lang w:val="en-US" w:eastAsia="zh-CN"/>
        </w:rPr>
        <w:t>综上所述，本项目符合国家产业政策以及当地规划，符合规模化经营及当地环保管理要求，在促进地区经济、改善区域居民生活条件等具有一定的作用；公众对项目持支持态度；项目建设合理、生产工艺、环保设施先进，在认真贯彻执行国家环保法律法规，严格落实环评规定的各项</w:t>
      </w:r>
      <w:r>
        <w:rPr>
          <w:rFonts w:hint="eastAsia" w:ascii="Times New Roman" w:hAnsi="Times New Roman" w:cs="Times New Roman" w:eastAsiaTheme="minorEastAsia"/>
          <w:color w:val="auto"/>
          <w:lang w:val="en-US" w:eastAsia="zh-CN"/>
        </w:rPr>
        <w:t>环境治理</w:t>
      </w:r>
      <w:r>
        <w:rPr>
          <w:rFonts w:hint="default" w:ascii="Times New Roman" w:hAnsi="Times New Roman" w:cs="Times New Roman" w:eastAsiaTheme="minorEastAsia"/>
          <w:color w:val="auto"/>
          <w:lang w:val="en-US" w:eastAsia="zh-CN"/>
        </w:rPr>
        <w:t>措施</w:t>
      </w:r>
      <w:r>
        <w:rPr>
          <w:rFonts w:hint="eastAsia" w:ascii="Times New Roman" w:hAnsi="Times New Roman" w:cs="Times New Roman" w:eastAsiaTheme="minorEastAsia"/>
          <w:color w:val="auto"/>
          <w:lang w:val="en-US" w:eastAsia="zh-CN"/>
        </w:rPr>
        <w:t>，在</w:t>
      </w:r>
      <w:r>
        <w:rPr>
          <w:rFonts w:hint="default" w:ascii="Times New Roman" w:hAnsi="Times New Roman" w:cs="Times New Roman" w:eastAsiaTheme="minorEastAsia"/>
          <w:color w:val="auto"/>
          <w:lang w:val="en-US" w:eastAsia="zh-CN"/>
        </w:rPr>
        <w:t>加强企业环境管理和环境监控的情况下，污染物排放可以满足达标排放和总量控制的要求，厂址符合环境可行性要求。从环境保护角度出发，评价认为本工程的建设是可行的。</w:t>
      </w:r>
    </w:p>
    <w:p w14:paraId="01890F31">
      <w:pPr>
        <w:pStyle w:val="3"/>
        <w:spacing w:before="120" w:after="120" w:line="500" w:lineRule="exact"/>
        <w:ind w:left="375" w:hanging="375" w:firstLineChars="0"/>
        <w:contextualSpacing/>
        <w:rPr>
          <w:rFonts w:hint="eastAsia" w:ascii="Times New Roman" w:hAnsi="Times New Roman" w:cs="Times New Roman" w:eastAsiaTheme="minorEastAsia"/>
          <w:snapToGrid w:val="0"/>
          <w:kern w:val="0"/>
          <w:sz w:val="28"/>
          <w:szCs w:val="28"/>
          <w:lang w:val="en-US" w:eastAsia="zh-CN"/>
        </w:rPr>
      </w:pPr>
      <w:bookmarkStart w:id="353" w:name="_Toc32667"/>
      <w:r>
        <w:rPr>
          <w:rFonts w:hint="eastAsia" w:ascii="Times New Roman" w:hAnsi="Times New Roman" w:cs="Times New Roman" w:eastAsiaTheme="minorEastAsia"/>
          <w:snapToGrid w:val="0"/>
          <w:kern w:val="0"/>
          <w:sz w:val="28"/>
          <w:szCs w:val="28"/>
          <w:lang w:val="en-US" w:eastAsia="zh-CN"/>
        </w:rPr>
        <w:t>9.7要求与建议</w:t>
      </w:r>
      <w:bookmarkEnd w:id="353"/>
    </w:p>
    <w:p w14:paraId="641118B3">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1、企业应做到安全生产、污染预防及持续改进各项环境保护、安全生产工作，完善环保管理机构、落实人员，确保环保设施持续保持正常运行</w:t>
      </w:r>
      <w:r>
        <w:rPr>
          <w:rFonts w:hint="eastAsia" w:ascii="Times New Roman" w:hAnsi="Times New Roman" w:cs="Times New Roman" w:eastAsiaTheme="minorEastAsia"/>
          <w:sz w:val="24"/>
          <w:highlight w:val="none"/>
          <w:lang w:val="en-US" w:eastAsia="zh-CN"/>
        </w:rPr>
        <w:t>；</w:t>
      </w:r>
    </w:p>
    <w:p w14:paraId="1E0AB7F4">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2、加强绿化，改善生态环境，使企业成为环境友好型和资源优化型企业</w:t>
      </w:r>
      <w:r>
        <w:rPr>
          <w:rFonts w:hint="eastAsia" w:ascii="Times New Roman" w:hAnsi="Times New Roman" w:cs="Times New Roman" w:eastAsiaTheme="minorEastAsia"/>
          <w:sz w:val="24"/>
          <w:highlight w:val="none"/>
          <w:lang w:val="en-US" w:eastAsia="zh-CN"/>
        </w:rPr>
        <w:t>；</w:t>
      </w:r>
    </w:p>
    <w:p w14:paraId="1A84F421">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3、项目建成后，应按照相关环保要求，编制突发环境事件应急预案和开展环境保护设施验收</w:t>
      </w:r>
      <w:r>
        <w:rPr>
          <w:rFonts w:hint="eastAsia" w:ascii="Times New Roman" w:hAnsi="Times New Roman" w:cs="Times New Roman" w:eastAsiaTheme="minorEastAsia"/>
          <w:sz w:val="24"/>
          <w:highlight w:val="none"/>
          <w:lang w:val="en-US" w:eastAsia="zh-CN"/>
        </w:rPr>
        <w:t>；</w:t>
      </w:r>
    </w:p>
    <w:p w14:paraId="6A2207CA">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4、项目建成运行后，应按照相关环保要求开展污染源监测和环境监测。</w:t>
      </w:r>
    </w:p>
    <w:p w14:paraId="16214BEA"/>
    <w:sectPr>
      <w:footerReference r:id="rId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02"/>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 w:name="MS PGothic">
    <w:panose1 w:val="020B0600070205080204"/>
    <w:charset w:val="80"/>
    <w:family w:val="auto"/>
    <w:pitch w:val="default"/>
    <w:sig w:usb0="E00002FF" w:usb1="6AC7FDFB" w:usb2="08000012" w:usb3="00000000" w:csb0="4002009F" w:csb1="DFD7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FAB93">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023DF">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6A8293">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196A8293">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1DEC6">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02E551">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A02E551">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80BF8">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A5C6B8">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74A5C6B8">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EA09C8"/>
    <w:rsid w:val="1D5070E1"/>
    <w:rsid w:val="1EA935DA"/>
    <w:rsid w:val="40004FD0"/>
    <w:rsid w:val="51E01A59"/>
    <w:rsid w:val="6FEA09C8"/>
    <w:rsid w:val="70F100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1"/>
    <w:pPr>
      <w:spacing w:line="360" w:lineRule="auto"/>
      <w:ind w:left="0" w:firstLine="0"/>
      <w:jc w:val="center"/>
      <w:outlineLvl w:val="0"/>
    </w:pPr>
    <w:rPr>
      <w:rFonts w:ascii="Times New Roman" w:hAnsi="Times New Roman"/>
      <w:b/>
      <w:bCs/>
      <w:sz w:val="28"/>
      <w:szCs w:val="28"/>
    </w:rPr>
  </w:style>
  <w:style w:type="paragraph" w:styleId="3">
    <w:name w:val="heading 2"/>
    <w:basedOn w:val="1"/>
    <w:next w:val="1"/>
    <w:qFormat/>
    <w:uiPriority w:val="0"/>
    <w:pPr>
      <w:keepNext/>
      <w:keepLines/>
      <w:spacing w:before="100" w:after="100" w:line="520" w:lineRule="exact"/>
      <w:ind w:firstLine="0" w:firstLineChars="0"/>
      <w:outlineLvl w:val="1"/>
    </w:pPr>
    <w:rPr>
      <w:b/>
      <w:bCs/>
      <w:sz w:val="28"/>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0"/>
    <w:pPr>
      <w:spacing w:before="26"/>
      <w:ind w:left="102"/>
    </w:pPr>
    <w:rPr>
      <w:rFonts w:hint="eastAsia" w:ascii="宋体" w:hAnsi="宋体"/>
    </w:rPr>
  </w:style>
  <w:style w:type="paragraph" w:styleId="6">
    <w:name w:val="toc 3"/>
    <w:basedOn w:val="1"/>
    <w:next w:val="1"/>
    <w:qFormat/>
    <w:uiPriority w:val="0"/>
    <w:pPr>
      <w:ind w:left="840" w:leftChars="400"/>
    </w:pPr>
  </w:style>
  <w:style w:type="paragraph" w:styleId="7">
    <w:name w:val="footer"/>
    <w:basedOn w:val="1"/>
    <w:qFormat/>
    <w:uiPriority w:val="0"/>
    <w:pPr>
      <w:tabs>
        <w:tab w:val="center" w:pos="4153"/>
        <w:tab w:val="right" w:pos="8306"/>
      </w:tabs>
      <w:snapToGrid w:val="0"/>
      <w:jc w:val="left"/>
    </w:pPr>
    <w:rPr>
      <w:sz w:val="18"/>
    </w:rPr>
  </w:style>
  <w:style w:type="paragraph" w:styleId="8">
    <w:name w:val="toc 1"/>
    <w:basedOn w:val="1"/>
    <w:next w:val="1"/>
    <w:qFormat/>
    <w:uiPriority w:val="0"/>
  </w:style>
  <w:style w:type="paragraph" w:styleId="9">
    <w:name w:val="List"/>
    <w:basedOn w:val="1"/>
    <w:next w:val="10"/>
    <w:qFormat/>
    <w:uiPriority w:val="0"/>
    <w:pPr>
      <w:ind w:left="200" w:hanging="200" w:hangingChars="200"/>
    </w:pPr>
    <w:rPr>
      <w:rFonts w:ascii="Times New Roman" w:hAnsi="Times New Roman" w:eastAsia="宋体" w:cs="Times New Roman"/>
      <w:szCs w:val="24"/>
    </w:rPr>
  </w:style>
  <w:style w:type="paragraph" w:styleId="10">
    <w:name w:val="Body Text First Indent"/>
    <w:basedOn w:val="5"/>
    <w:next w:val="1"/>
    <w:qFormat/>
    <w:uiPriority w:val="0"/>
    <w:pPr>
      <w:ind w:firstLine="420" w:firstLineChars="100"/>
    </w:pPr>
  </w:style>
  <w:style w:type="paragraph" w:styleId="11">
    <w:name w:val="toc 2"/>
    <w:basedOn w:val="1"/>
    <w:next w:val="1"/>
    <w:qFormat/>
    <w:uiPriority w:val="0"/>
    <w:pPr>
      <w:ind w:left="420" w:left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Emphasis"/>
    <w:basedOn w:val="14"/>
    <w:qFormat/>
    <w:uiPriority w:val="0"/>
    <w:rPr>
      <w:i/>
    </w:rPr>
  </w:style>
  <w:style w:type="table" w:customStyle="1" w:styleId="16">
    <w:name w:val="Table Normal"/>
    <w:autoRedefine/>
    <w:unhideWhenUsed/>
    <w:qFormat/>
    <w:uiPriority w:val="2"/>
    <w:pPr>
      <w:widowControl w:val="0"/>
      <w:autoSpaceDE w:val="0"/>
      <w:autoSpaceDN w:val="0"/>
    </w:pPr>
    <w:rPr>
      <w:sz w:val="22"/>
      <w:lang w:val="en-US" w:eastAsia="en-US" w:bidi="ar-SA"/>
    </w:rPr>
    <w:tblPr>
      <w:tblCellMar>
        <w:top w:w="0" w:type="dxa"/>
        <w:left w:w="0" w:type="dxa"/>
        <w:bottom w:w="0" w:type="dxa"/>
        <w:right w:w="0" w:type="dxa"/>
      </w:tblCellMar>
    </w:tblPr>
  </w:style>
  <w:style w:type="paragraph" w:customStyle="1" w:styleId="17">
    <w:name w:val="Default"/>
    <w:basedOn w:val="18"/>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8">
    <w:name w:val="1 表头"/>
    <w:basedOn w:val="1"/>
    <w:autoRedefine/>
    <w:qFormat/>
    <w:uiPriority w:val="0"/>
    <w:pPr>
      <w:adjustRightInd w:val="0"/>
      <w:snapToGrid w:val="0"/>
      <w:spacing w:line="240" w:lineRule="auto"/>
      <w:ind w:firstLine="0" w:firstLineChars="0"/>
      <w:jc w:val="center"/>
    </w:pPr>
    <w:rPr>
      <w:b/>
      <w:color w:val="000000"/>
      <w:sz w:val="21"/>
      <w:szCs w:val="21"/>
    </w:rPr>
  </w:style>
  <w:style w:type="character" w:customStyle="1" w:styleId="19">
    <w:name w:val="font31"/>
    <w:basedOn w:val="14"/>
    <w:qFormat/>
    <w:uiPriority w:val="0"/>
    <w:rPr>
      <w:rFonts w:hint="default" w:ascii="Times New Roman" w:hAnsi="Times New Roman" w:cs="Times New Roman"/>
      <w:color w:val="000000"/>
      <w:sz w:val="21"/>
      <w:szCs w:val="21"/>
      <w:u w:val="none"/>
      <w:vertAlign w:val="superscript"/>
    </w:rPr>
  </w:style>
  <w:style w:type="paragraph" w:customStyle="1" w:styleId="20">
    <w:name w:val="样式 样式 正文（ＬＺＱ） + 首行缩进:  2 字符 行距: 固定值 26 磅 + 首行缩进:  2 字符"/>
    <w:basedOn w:val="1"/>
    <w:qFormat/>
    <w:uiPriority w:val="99"/>
    <w:pPr>
      <w:adjustRightInd w:val="0"/>
      <w:spacing w:line="500" w:lineRule="exact"/>
      <w:ind w:firstLine="480" w:firstLineChars="200"/>
      <w:textAlignment w:val="baseline"/>
    </w:pPr>
    <w:rPr>
      <w:rFonts w:eastAsia="华文中宋"/>
      <w:snapToGrid w:val="0"/>
      <w:color w:val="000080"/>
      <w:kern w:val="0"/>
      <w:sz w:val="24"/>
      <w:szCs w:val="20"/>
    </w:rPr>
  </w:style>
  <w:style w:type="paragraph" w:customStyle="1" w:styleId="21">
    <w:name w:val="表内文字"/>
    <w:basedOn w:val="1"/>
    <w:qFormat/>
    <w:uiPriority w:val="0"/>
    <w:pPr>
      <w:adjustRightInd w:val="0"/>
      <w:snapToGrid w:val="0"/>
      <w:spacing w:line="240" w:lineRule="auto"/>
      <w:ind w:firstLine="0" w:firstLineChars="0"/>
      <w:jc w:val="center"/>
    </w:pPr>
    <w:rPr>
      <w:rFonts w:cs="Times New Roman"/>
      <w:sz w:val="21"/>
      <w:szCs w:val="21"/>
    </w:rPr>
  </w:style>
  <w:style w:type="paragraph" w:customStyle="1" w:styleId="22">
    <w:name w:val="图表文字"/>
    <w:basedOn w:val="1"/>
    <w:autoRedefine/>
    <w:qFormat/>
    <w:uiPriority w:val="0"/>
    <w:pPr>
      <w:spacing w:line="240" w:lineRule="auto"/>
      <w:ind w:firstLine="0" w:firstLineChars="0"/>
      <w:jc w:val="center"/>
    </w:pPr>
    <w:rPr>
      <w:sz w:val="21"/>
      <w:szCs w:val="21"/>
    </w:rPr>
  </w:style>
  <w:style w:type="table" w:customStyle="1" w:styleId="23">
    <w:name w:val="网格型1"/>
    <w:basedOn w:val="12"/>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customXml" Target="../customXml/item1.xml"/><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6bde6788-2de6-4d61-b616-3c3022ae737f</errorID>
      <errorWord> </errorWord>
      <group>L1_Punc</group>
      <groupName>标点问题</groupName>
      <ability>L2_Punc_CN</ability>
      <abilityName>标点符号问题</abilityName>
      <candidateList>
        <item/>
      </candidateList>
      <explain>此处空格冗余，建议删除。</explain>
      <paraID>7BAC0FE8</paraID>
      <start>0</start>
      <end>1</end>
      <status>unmodified</status>
      <modifiedWord/>
      <trackRevisions>false</trackRevisions>
    </reviewItem>
    <reviewItem>
      <errorID>cc041b6c-8478-4971-ae12-ffc7423a002d</errorID>
      <errorWord>根据</errorWord>
      <group>L1_Punc</group>
      <groupName>标点问题</groupName>
      <ability>L2_Punc_CN</ability>
      <abilityName>标点符号问题</abilityName>
      <candidateList>
        <item>，根据</item>
      </candidateList>
      <explain/>
      <paraID>5419CAC4</paraID>
      <start>2</start>
      <end>4</end>
      <status>unmodified</status>
      <modifiedWord/>
      <trackRevisions>false</trackRevisions>
    </reviewItem>
    <reviewItem>
      <errorID>62e2bebd-eb3b-413b-911f-98f55a7f6248</errorID>
      <errorWord>为了改善和</errorWord>
      <group>L1_Grammar</group>
      <groupName>语法问题</groupName>
      <ability>L2_Grammar</ability>
      <abilityName>语法错误</abilityName>
      <candidateList>
        <item>为了</item>
      </candidateList>
      <explain/>
      <paraID>5419CAC4</paraID>
      <start>9</start>
      <end>14</end>
      <status>unmodified</status>
      <modifiedWord/>
      <trackRevisions>false</trackRevisions>
    </reviewItem>
    <reviewItem>
      <errorID>047d42b4-17b1-4398-9695-fe879c34dc50</errorID>
      <errorWord>政策</errorWord>
      <group>L1_Word</group>
      <groupName>字词问题</groupName>
      <ability>L2_Typo</ability>
      <abilityName>字词错误</abilityName>
      <candidateList>
        <item> 政策</item>
      </candidateList>
      <explain/>
      <paraID>57212BC9</paraID>
      <start>5</start>
      <end>7</end>
      <status>unmodified</status>
      <modifiedWord/>
      <trackRevisions>false</trackRevisions>
    </reviewItem>
    <reviewItem>
      <errorID>11b6bb43-9b72-4054-bfbe-d3a11a3b027c</errorID>
      <errorWord>与</errorWord>
      <group>L1_Word</group>
      <groupName>字词问题</groupName>
      <ability>L2_Typo</ability>
      <abilityName>字词错误</abilityName>
      <candidateList>
        <item> 与</item>
      </candidateList>
      <explain/>
      <paraID>2D5F313D</paraID>
      <start>7</start>
      <end>8</end>
      <status>unmodified</status>
      <modifiedWord/>
      <trackRevisions>false</trackRevisions>
    </reviewItem>
    <reviewItem>
      <errorID>5e1b43a4-6ce5-4cd5-8264-60042c7d1024</errorID>
      <errorWord>与</errorWord>
      <group>L1_Word</group>
      <groupName>字词问题</groupName>
      <ability>L2_Typo</ability>
      <abilityName>字词错误</abilityName>
      <candidateList>
        <item> 与</item>
      </candidateList>
      <explain/>
      <paraID>1F0698CF</paraID>
      <start>7</start>
      <end>8</end>
      <status>unmodified</status>
      <modifiedWord/>
      <trackRevisions>false</trackRevisions>
    </reviewItem>
    <reviewItem>
      <errorID>b8a17215-cf77-4b13-a24e-a28111affa77</errorID>
      <errorWord>与</errorWord>
      <group>L1_Word</group>
      <groupName>字词问题</groupName>
      <ability>L2_Typo</ability>
      <abilityName>字词错误</abilityName>
      <candidateList>
        <item> 与</item>
      </candidateList>
      <explain/>
      <paraID>70382FA0</paraID>
      <start>7</start>
      <end>8</end>
      <status>unmodified</status>
      <modifiedWord/>
      <trackRevisions>false</trackRevisions>
    </reviewItem>
    <reviewItem>
      <errorID>41b0097e-451e-45a8-816b-206b51bf800d</errorID>
      <errorWord>与</errorWord>
      <group>L1_Word</group>
      <groupName>字词问题</groupName>
      <ability>L2_Typo</ability>
      <abilityName>字词错误</abilityName>
      <candidateList>
        <item> 与</item>
      </candidateList>
      <explain/>
      <paraID> A626A2F</paraID>
      <start>7</start>
      <end>8</end>
      <status>unmodified</status>
      <modifiedWord/>
      <trackRevisions>false</trackRevisions>
    </reviewItem>
    <reviewItem>
      <errorID>182e4bc4-6cda-4528-907c-1e2a4c2e6815</errorID>
      <errorWord>与</errorWord>
      <group>L1_Word</group>
      <groupName>字词问题</groupName>
      <ability>L2_Typo</ability>
      <abilityName>字词错误</abilityName>
      <candidateList>
        <item> 与</item>
      </candidateList>
      <explain/>
      <paraID>21F13AA5</paraID>
      <start>7</start>
      <end>8</end>
      <status>unmodified</status>
      <modifiedWord/>
      <trackRevisions>false</trackRevisions>
    </reviewItem>
    <reviewItem>
      <errorID>a397e05e-77d3-4877-bb0c-731fa13ccc66</errorID>
      <errorWord>与</errorWord>
      <group>L1_Word</group>
      <groupName>字词问题</groupName>
      <ability>L2_Typo</ability>
      <abilityName>字词错误</abilityName>
      <candidateList>
        <item> 与</item>
      </candidateList>
      <explain/>
      <paraID>10B4D564</paraID>
      <start>7</start>
      <end>8</end>
      <status>unmodified</status>
      <modifiedWord/>
      <trackRevisions>false</trackRevisions>
    </reviewItem>
    <reviewItem>
      <errorID>c93cf81b-cdb6-4a6d-bf6d-20b24e39eb6e</errorID>
      <errorWord>。</errorWord>
      <group>L1_Punc</group>
      <groupName>标点问题</groupName>
      <ability>L2_Punc_CN</ability>
      <abilityName>标点符号问题</abilityName>
      <candidateList>
        <item>；</item>
      </candidateList>
      <explain/>
      <paraID>2F80D632</paraID>
      <start>135</start>
      <end>136</end>
      <status>unmodified</status>
      <modifiedWord/>
      <trackRevisions>false</trackRevisions>
    </reviewItem>
    <reviewItem>
      <errorID>fffac217-24a7-4032-8e7c-3920150613ca</errorID>
      <errorWord>，本项目的建设</errorWord>
      <group>L1_Grammar</group>
      <groupName>语法问题</groupName>
      <ability>L2_Grammar</ability>
      <abilityName>语法错误</abilityName>
      <candidateList>
        <item>，</item>
      </candidateList>
      <explain/>
      <paraID>5552B296</paraID>
      <start>34</start>
      <end>41</end>
      <status>unmodified</status>
      <modifiedWord/>
      <trackRevisions>false</trackRevisions>
    </reviewItem>
    <reviewItem>
      <errorID>cd60bc2c-d4bd-4ade-aacc-b645212395c4</errorID>
      <errorWord>GB39707</errorWord>
      <group>L1_Word</group>
      <groupName>字词问题</groupName>
      <ability>L2_Typo</ability>
      <abilityName>字词错误</abilityName>
      <candidateList>
        <item>GB 39707</item>
      </candidateList>
      <explain/>
      <paraID>52DFF509</paraID>
      <start>21</start>
      <end>28</end>
      <status>unmodified</status>
      <modifiedWord/>
      <trackRevisions>false</trackRevisions>
    </reviewItem>
    <reviewItem>
      <errorID>90d4667b-b30f-4d30-a25a-b69b9fdc7b6c</errorID>
      <errorWord>GB39707</errorWord>
      <group>L1_Word</group>
      <groupName>字词问题</groupName>
      <ability>L2_Typo</ability>
      <abilityName>字词错误</abilityName>
      <candidateList>
        <item>GB 39707</item>
      </candidateList>
      <explain/>
      <paraID>52029DD5</paraID>
      <start>29</start>
      <end>36</end>
      <status>unmodified</status>
      <modifiedWord/>
      <trackRevisions>false</trackRevisions>
    </reviewItem>
    <reviewItem>
      <errorID>cc29cdf9-9376-4b69-973a-17388caecf1f</errorID>
      <errorWord>项目</errorWord>
      <group>L1_Word</group>
      <groupName>字词问题</groupName>
      <ability>L2_Typo</ability>
      <abilityName>字词错误</abilityName>
      <candidateList>
        <item>本项目</item>
      </candidateList>
      <explain/>
      <paraID> B5C571E</paraID>
      <start>8</start>
      <end>10</end>
      <status>unmodified</status>
      <modifiedWord/>
      <trackRevisions>false</trackRevisions>
    </reviewItem>
    <reviewItem>
      <errorID>1977816d-cfdc-4d51-bac4-a1fbe9c86a58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7364BBC3</paraID>
      <start>28</start>
      <end>29</end>
      <status>unmodified</status>
      <modifiedWord/>
      <trackRevisions>false</trackRevisions>
    </reviewItem>
    <reviewItem>
      <errorID>18624ef6-e139-4abf-ba20-f47e52fef7ad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32A89141</paraID>
      <start>36</start>
      <end>37</end>
      <status>unmodified</status>
      <modifiedWord/>
      <trackRevisions>false</trackRevisions>
    </reviewItem>
    <reviewItem>
      <errorID>02e49730-18dd-48b8-9731-1e8c5fb15c8c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32A89141</paraID>
      <start>166</start>
      <end>167</end>
      <status>unmodified</status>
      <modifiedWord/>
      <trackRevisions>false</trackRevisions>
    </reviewItem>
    <reviewItem>
      <errorID>583ff009-4dfb-413d-9cf3-1c1a140a70a5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4EBE35CA</paraID>
      <start>28</start>
      <end>29</end>
      <status>unmodified</status>
      <modifiedWord/>
      <trackRevisions>false</trackRevisions>
    </reviewItem>
    <reviewItem>
      <errorID>133e4dbd-74b9-4276-a627-2f109af0ab72</errorID>
      <errorWord>、</errorWord>
      <group>L1_Punc</group>
      <groupName>标点问题</groupName>
      <ability>L2_Punc_CN</ability>
      <abilityName>标点符号问题</abilityName>
      <candidateList>
        <item>，</item>
      </candidateList>
      <explain/>
      <paraID>283BBC9E</paraID>
      <start>41</start>
      <end>42</end>
      <status>unmodified</status>
      <modifiedWord/>
      <trackRevisions>false</trackRevisions>
    </reviewItem>
    <reviewItem>
      <errorID>322e48b0-9e1d-4cd2-85a3-c1bdff918891</errorID>
      <errorWord>多元化</errorWord>
      <group>L1_Grammar</group>
      <groupName>语法问题</groupName>
      <ability>L2_Grammar</ability>
      <abilityName>语法错误</abilityName>
      <candidateList>
        <item>，实现多元化</item>
      </candidateList>
      <explain/>
      <paraID>283BBC9E</paraID>
      <start>55</start>
      <end>58</end>
      <status>unmodified</status>
      <modifiedWord/>
      <trackRevisions>false</trackRevisions>
    </reviewItem>
    <reviewItem>
      <errorID>631b97cf-9ea6-481f-8aec-95b68b6d5c99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42A7DC6A</paraID>
      <start>94</start>
      <end>95</end>
      <status>unmodified</status>
      <modifiedWord/>
      <trackRevisions>false</trackRevisions>
    </reviewItem>
    <reviewItem>
      <errorID>5e08ccb3-3fd4-4836-89a7-24e64530e593</errorID>
      <errorWord>系统</errorWord>
      <group>L1_Word</group>
      <groupName>字词问题</groupName>
      <ability>L2_Typo</ability>
      <abilityName>字词错误</abilityName>
      <candidateList>
        <item>体系</item>
      </candidateList>
      <explain/>
      <paraID>2F8595E6</paraID>
      <start>75</start>
      <end>77</end>
      <status>unmodified</status>
      <modifiedWord/>
      <trackRevisions>false</trackRevisions>
    </reviewItem>
    <reviewItem>
      <errorID>fbb371b9-7f0d-4992-97d2-673b6bf6a854</errorID>
      <errorWord>山水林田湖草沙治理</errorWord>
      <group>L1_Political</group>
      <groupName>政治性问题</groupName>
      <ability>L2_Keyword</ability>
      <abilityName>固定表述</abilityName>
      <candidateList>
        <item>山水林田湖草沙系统治理</item>
      </candidateList>
      <explain>词汇“山水林田湖草沙系统治理”在特定场景下为固定表述形式，请确认此处的“山水林田湖草沙治理”是否存在不当。</explain>
      <paraID> 310180B</paraID>
      <start>18</start>
      <end>27</end>
      <status>unmodified</status>
      <modifiedWord/>
      <trackRevisions>false</trackRevisions>
    </reviewItem>
    <reviewItem>
      <errorID>feddfc06-e12a-42c3-b835-6872056e4e9f</errorID>
      <errorWord>为</errorWord>
      <group>L1_Word</group>
      <groupName>字词问题</groupName>
      <ability>L2_Typo</ability>
      <abilityName>字词错误</abilityName>
      <candidateList>
        <item>旨在</item>
      </candidateList>
      <explain/>
      <paraID>5EBA25D0</paraID>
      <start>56</start>
      <end>57</end>
      <status>unmodified</status>
      <modifiedWord/>
      <trackRevisions>false</trackRevisions>
    </reviewItem>
    <reviewItem>
      <errorID>dfa3a00c-5f4f-4bbf-bf05-f783b98a5b21</errorID>
      <errorWord>大气污染物防治</errorWord>
      <group>L1_Word</group>
      <groupName>字词问题</groupName>
      <ability>L2_Typo</ability>
      <abilityName>字词错误</abilityName>
      <candidateList>
        <item>大气污染防治</item>
      </candidateList>
      <explain/>
      <paraID>5F722D0C</paraID>
      <start>124</start>
      <end>131</end>
      <status>unmodified</status>
      <modifiedWord/>
      <trackRevisions>false</trackRevisions>
    </reviewItem>
    <reviewItem>
      <errorID>17d6a5f6-36f9-4a9d-8543-773e36407bcf</errorID>
      <errorWord>+</errorWord>
      <group>L1_Word</group>
      <groupName>字词问题</groupName>
      <ability>L2_Typo</ability>
      <abilityName>字词错误</abilityName>
      <candidateList>
        <item>、</item>
      </candidateList>
      <explain/>
      <paraID>5530B840</paraID>
      <start>17</start>
      <end>18</end>
      <status>unmodified</status>
      <modifiedWord/>
      <trackRevisions>false</trackRevisions>
    </reviewItem>
    <reviewItem>
      <errorID>78a9e617-75dc-4308-9435-12ad8dc9fb87</errorID>
      <errorWord>+</errorWord>
      <group>L1_Word</group>
      <groupName>字词问题</groupName>
      <ability>L2_Typo</ability>
      <abilityName>字词错误</abilityName>
      <candidateList>
        <item>、</item>
      </candidateList>
      <explain/>
      <paraID>5530B840</paraID>
      <start>24</start>
      <end>25</end>
      <status>unmodified</status>
      <modifiedWord/>
      <trackRevisions>false</trackRevisions>
    </reviewItem>
    <reviewItem>
      <errorID>dc803691-878c-42f0-917d-d3b95e7a3013</errorID>
      <errorWord>+</errorWord>
      <group>L1_Word</group>
      <groupName>字词问题</groupName>
      <ability>L2_Typo</ability>
      <abilityName>字词错误</abilityName>
      <candidateList>
        <item>、</item>
      </candidateList>
      <explain/>
      <paraID>5530B840</paraID>
      <start>29</start>
      <end>30</end>
      <status>unmodified</status>
      <modifiedWord/>
      <trackRevisions>false</trackRevisions>
    </reviewItem>
    <reviewItem>
      <errorID>7ee9914e-d205-4da1-8156-a955a4cc2dc6</errorID>
      <errorWord>+</errorWord>
      <group>L1_Word</group>
      <groupName>字词问题</groupName>
      <ability>L2_Typo</ability>
      <abilityName>字词错误</abilityName>
      <candidateList>
        <item>、</item>
      </candidateList>
      <explain/>
      <paraID>5530B840</paraID>
      <start>33</start>
      <end>34</end>
      <status>unmodified</status>
      <modifiedWord/>
      <trackRevisions>false</trackRevisions>
    </reviewItem>
    <reviewItem>
      <errorID>8aeb8cce-6694-41ba-8acf-22bf529e32ae</errorID>
      <errorWord>+</errorWord>
      <group>L1_Word</group>
      <groupName>字词问题</groupName>
      <ability>L2_Typo</ability>
      <abilityName>字词错误</abilityName>
      <candidateList>
        <item>、</item>
      </candidateList>
      <explain/>
      <paraID>5530B840</paraID>
      <start>45</start>
      <end>46</end>
      <status>unmodified</status>
      <modifiedWord/>
      <trackRevisions>false</trackRevisions>
    </reviewItem>
    <reviewItem>
      <errorID>87647e9c-6e43-46a7-bf8b-360d64caf959</errorID>
      <errorWord>+</errorWord>
      <group>L1_Word</group>
      <groupName>字词问题</groupName>
      <ability>L2_Typo</ability>
      <abilityName>字词错误</abilityName>
      <candidateList>
        <item>、</item>
      </candidateList>
      <explain/>
      <paraID>5530B840</paraID>
      <start>51</start>
      <end>52</end>
      <status>unmodified</status>
      <modifiedWord/>
      <trackRevisions>false</trackRevisions>
    </reviewItem>
    <reviewItem>
      <errorID>2327d6d5-20da-43db-bbfb-098fe3dad089</errorID>
      <errorWord>+</errorWord>
      <group>L1_Word</group>
      <groupName>字词问题</groupName>
      <ability>L2_Typo</ability>
      <abilityName>字词错误</abilityName>
      <candidateList>
        <item>、</item>
      </candidateList>
      <explain/>
      <paraID>5530B840</paraID>
      <start>57</start>
      <end>58</end>
      <status>unmodified</status>
      <modifiedWord/>
      <trackRevisions>false</trackRevisions>
    </reviewItem>
    <reviewItem>
      <errorID>ac6603a1-a4a1-461e-afbd-ed1ddd85cc3d</errorID>
      <errorWord>GB8978</errorWord>
      <group>L1_Word</group>
      <groupName>字词问题</groupName>
      <ability>L2_Typo</ability>
      <abilityName>字词错误</abilityName>
      <candidateList>
        <item>GB 8978</item>
      </candidateList>
      <explain/>
      <paraID>1973D8A9</paraID>
      <start>28</start>
      <end>34</end>
      <status>unmodified</status>
      <modifiedWord/>
      <trackRevisions>false</trackRevisions>
    </reviewItem>
    <reviewItem>
      <errorID>3477f6d1-d82d-4cc9-83b8-151cd2da23e6</errorID>
      <errorWord>。</errorWord>
      <group>L1_Grammar</group>
      <groupName>语法问题</groupName>
      <ability>L2_Grammar</ability>
      <abilityName>语法错误</abilityName>
      <candidateList>
        <item>标准。</item>
      </candidateList>
      <explain/>
      <paraID>1973D8A9</paraID>
      <start>44</start>
      <end>45</end>
      <status>unmodified</status>
      <modifiedWord/>
      <trackRevisions>false</trackRevisions>
    </reviewItem>
    <reviewItem>
      <errorID>a099f17d-25a3-456c-a08d-c2a1cb4778f1</errorID>
      <errorWord>GB18466</errorWord>
      <group>L1_Word</group>
      <groupName>字词问题</groupName>
      <ability>L2_Typo</ability>
      <abilityName>字词错误</abilityName>
      <candidateList>
        <item>GB 18466</item>
      </candidateList>
      <explain/>
      <paraID>2CDE3F1D</paraID>
      <start>48</start>
      <end>55</end>
      <status>unmodified</status>
      <modifiedWord/>
      <trackRevisions>false</trackRevisions>
    </reviewItem>
    <reviewItem>
      <errorID>11c893bb-7894-435f-a226-29b77f980ec7</errorID>
      <errorWord>T19923</errorWord>
      <group>L1_Word</group>
      <groupName>字词问题</groupName>
      <ability>L2_Typo</ability>
      <abilityName>字词错误</abilityName>
      <candidateList>
        <item>T 19923</item>
      </candidateList>
      <explain/>
      <paraID>2CDE3F1D</paraID>
      <start>83</start>
      <end>89</end>
      <status>unmodified</status>
      <modifiedWord/>
      <trackRevisions>false</trackRevisions>
    </reviewItem>
    <reviewItem>
      <errorID>435224c3-3560-411d-a96a-797ae04ea411</errorID>
      <errorWord>GB8978</errorWord>
      <group>L1_Word</group>
      <groupName>字词问题</groupName>
      <ability>L2_Typo</ability>
      <abilityName>字词错误</abilityName>
      <candidateList>
        <item>GB 8978</item>
      </candidateList>
      <explain/>
      <paraID>2CDE3F1D</paraID>
      <start>107</start>
      <end>113</end>
      <status>unmodified</status>
      <modifiedWord/>
      <trackRevisions>false</trackRevisions>
    </reviewItem>
    <reviewItem>
      <errorID>4baf9f98-0bec-4ee0-8f69-df3d0d99acb1</errorID>
      <errorWord>限值</errorWord>
      <group>L1_Word</group>
      <groupName>字词问题</groupName>
      <ability>L2_Typo</ability>
      <abilityName>字词错误</abilityName>
      <candidateList>
        <item>的限值</item>
      </candidateList>
      <explain/>
      <paraID>2CDE3F1D</paraID>
      <start>126</start>
      <end>128</end>
      <status>unmodified</status>
      <modifiedWord/>
      <trackRevisions>false</trackRevisions>
    </reviewItem>
    <reviewItem>
      <errorID>a505d5e0-0937-4196-9990-6d4874effb62</errorID>
      <errorWord>严格</errorWord>
      <group>L1_Grammar</group>
      <groupName>语法问题</groupName>
      <ability>L2_Grammar</ability>
      <abilityName>语法错误</abilityName>
      <candidateList>
        <item>严格执行</item>
      </candidateList>
      <explain/>
      <paraID>7E644F79</paraID>
      <start>39</start>
      <end>41</end>
      <status>unmodified</status>
      <modifiedWord/>
      <trackRevisions>false</trackRevisions>
    </reviewItem>
    <reviewItem>
      <errorID>d00d55b5-5dbf-488b-a298-966c08ee83ab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25D27955</paraID>
      <start>0</start>
      <end>2</end>
      <status>unmodified</status>
      <modifiedWord/>
      <trackRevisions>false</trackRevisions>
    </reviewItem>
    <reviewItem>
      <errorID>8484d3ab-ecb8-4002-a246-cb3d3169f4c0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670CA2E7</paraID>
      <start>0</start>
      <end>2</end>
      <status>unmodified</status>
      <modifiedWord/>
      <trackRevisions>false</trackRevisions>
    </reviewItem>
    <reviewItem>
      <errorID>7747ccb4-615d-463b-9f8f-591f00c8aabd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62BBEDEC</paraID>
      <start>0</start>
      <end>2</end>
      <status>unmodified</status>
      <modifiedWord/>
      <trackRevisions>false</trackRevisions>
    </reviewItem>
    <reviewItem>
      <errorID>905dc17b-de9f-4c8b-b2e7-408d22fedec0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707016B1</paraID>
      <start>0</start>
      <end>2</end>
      <status>unmodified</status>
      <modifiedWord/>
      <trackRevisions>false</trackRevisions>
    </reviewItem>
    <reviewItem>
      <errorID>e4d57ef4-3891-4f63-99f2-a2020f7f7849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BAF86F3</paraID>
      <start>0</start>
      <end>2</end>
      <status>unmodified</status>
      <modifiedWord/>
      <trackRevisions>false</trackRevisions>
    </reviewItem>
    <reviewItem>
      <errorID>b8f6791e-81a5-4f26-bd32-22ccb9363fea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4D115B63</paraID>
      <start>0</start>
      <end>2</end>
      <status>unmodified</status>
      <modifiedWord/>
      <trackRevisions>false</trackRevisions>
    </reviewItem>
    <reviewItem>
      <errorID>960ea9a0-1309-4609-8932-432986748e12</errorID>
      <errorWord>，</errorWord>
      <group>L1_Punc</group>
      <groupName>标点问题</groupName>
      <ability>L2_Punc_CN</ability>
      <abilityName>标点符号问题</abilityName>
      <candidateList>
        <item>、</item>
      </candidateList>
      <explain/>
      <paraID>50CDFCEC</paraID>
      <start>27</start>
      <end>28</end>
      <status>unmodified</status>
      <modifiedWord/>
      <trackRevisions>false</trackRevisions>
    </reviewItem>
    <reviewItem>
      <errorID>c6f19f17-9843-451f-8891-c5e8f7e207ec</errorID>
      <errorWord>原则进行</errorWord>
      <group>L1_Grammar</group>
      <groupName>语法问题</groupName>
      <ability>L2_Grammar</ability>
      <abilityName>语法错误</abilityName>
      <candidateList>
        <item>原则</item>
      </candidateList>
      <explain/>
      <paraID>2BBC0E37</paraID>
      <start>36</start>
      <end>40</end>
      <status>unmodified</status>
      <modifiedWord/>
      <trackRevisions>false</trackRevisions>
    </reviewItem>
    <reviewItem>
      <errorID>dde6ee3b-6bf5-4e33-9a2c-29ddc507a820</errorID>
      <errorWord>月1日施行</errorWord>
      <group>L1_Word</group>
      <groupName>字词问题</groupName>
      <ability>L2_Typo</ability>
      <abilityName>字词错误</abilityName>
      <candidateList>
        <item>月1日起施行</item>
      </candidateList>
      <explain/>
      <paraID>315F23D9</paraID>
      <start>25</start>
      <end>30</end>
      <status>unmodified</status>
      <modifiedWord/>
      <trackRevisions>false</trackRevisions>
    </reviewItem>
    <reviewItem>
      <errorID>dfd15685-d01d-4ead-9d78-13aa81e806f5</errorID>
      <errorWord>月1日施行</errorWord>
      <group>L1_Word</group>
      <groupName>字词问题</groupName>
      <ability>L2_Typo</ability>
      <abilityName>字词错误</abilityName>
      <candidateList>
        <item>月1日起施行</item>
      </candidateList>
      <explain/>
      <paraID>224006DD</paraID>
      <start>35</start>
      <end>40</end>
      <status>unmodified</status>
      <modifiedWord/>
      <trackRevisions>false</trackRevisions>
    </reviewItem>
    <reviewItem>
      <errorID>622972bf-7f84-40be-b1f8-c9b03f618804</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2F1BD666</paraID>
      <start>27</start>
      <end>30</end>
      <status>unmodified</status>
      <modifiedWord/>
      <trackRevisions>false</trackRevisions>
    </reviewItem>
    <reviewItem>
      <errorID>cdcc13c8-1590-4d2a-a9fa-f8db26828548</errorID>
      <errorWord>部</errorWord>
      <group>L1_Punc</group>
      <groupName>标点问题</groupName>
      <ability>L2_Punc_CN</ability>
      <abilityName>标点符号问题</abilityName>
      <candidateList>
        <item>（部</item>
      </candidateList>
      <explain/>
      <paraID>1EC6EB5A</paraID>
      <start>18</start>
      <end>19</end>
      <status>unmodified</status>
      <modifiedWord/>
      <trackRevisions>false</trackRevisions>
    </reviewItem>
    <reviewItem>
      <errorID>56212159-c1c8-4ac4-ad4f-922c988c6b54</errorID>
      <errorWord>（</errorWord>
      <group>L1_Punc</group>
      <groupName>标点问题</groupName>
      <ability>L2_Punc_CN</ability>
      <abilityName>标点符号问题</abilityName>
      <candidateList>
        <item>，</item>
      </candidateList>
      <explain/>
      <paraID>1EC6EB5A</paraID>
      <start>23</start>
      <end>24</end>
      <status>unmodified</status>
      <modifiedWord/>
      <trackRevisions>false</trackRevisions>
    </reviewItem>
    <reviewItem>
      <errorID>cac69bfe-d212-4331-85f3-392404482059</errorID>
      <errorWord>，新疆维吾尔自治区人民政府，2002年12月。</errorWord>
      <group>L1_Punc</group>
      <groupName>标点问题</groupName>
      <ability>L2_Punc_CN</ability>
      <abilityName>标点符号问题</abilityName>
      <candidateList>
        <item>（新疆维吾尔自治区人民政府，2002年12月）；</item>
      </candidateList>
      <explain/>
      <paraID>528DBCB1</paraID>
      <start>20</start>
      <end>43</end>
      <status>unmodified</status>
      <modifiedWord/>
      <trackRevisions>false</trackRevisions>
    </reviewItem>
    <reviewItem>
      <errorID>8f576d6c-ecc1-4016-82ae-af8435a76536</errorID>
      <errorWord>，2012年12月27日</errorWord>
      <group>L1_Punc</group>
      <groupName>标点问题</groupName>
      <ability>L2_Punc_CN</ability>
      <abilityName>标点符号问题</abilityName>
      <candidateList>
        <item>（2012年12月27日）</item>
      </candidateList>
      <explain/>
      <paraID>4F8FCC68</paraID>
      <start>21</start>
      <end>33</end>
      <status>unmodified</status>
      <modifiedWord/>
      <trackRevisions>false</trackRevisions>
    </reviewItem>
    <reviewItem>
      <errorID>f7a16a14-1429-4494-b8e8-fdc5d0590003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4BFC57AB</paraID>
      <start>0</start>
      <end>2</end>
      <status>unmodified</status>
      <modifiedWord/>
      <trackRevisions>false</trackRevisions>
    </reviewItem>
    <reviewItem>
      <errorID>6b5ce3d3-4e59-4f8e-8bf2-89149844c50f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4B4A2CF2</paraID>
      <start>0</start>
      <end>2</end>
      <status>unmodified</status>
      <modifiedWord/>
      <trackRevisions>false</trackRevisions>
    </reviewItem>
    <reviewItem>
      <errorID>3b2c3a05-009c-4d8c-9da4-f06f9f594264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2A62991</paraID>
      <start>0</start>
      <end>2</end>
      <status>unmodified</status>
      <modifiedWord/>
      <trackRevisions>false</trackRevisions>
    </reviewItem>
    <reviewItem>
      <errorID>abff9a50-0e81-4426-a1b9-b83018ac5359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63E02C3D</paraID>
      <start>0</start>
      <end>2</end>
      <status>unmodified</status>
      <modifiedWord/>
      <trackRevisions>false</trackRevisions>
    </reviewItem>
    <reviewItem>
      <errorID>fbc4dd3a-4a3c-48ab-904b-f61abd1ee8c5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3A1F35F7</paraID>
      <start>0</start>
      <end>2</end>
      <status>unmodified</status>
      <modifiedWord/>
      <trackRevisions>false</trackRevisions>
    </reviewItem>
    <reviewItem>
      <errorID>7556b170-8d62-4d86-8dde-d6ee6ea5f201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1012A413</paraID>
      <start>0</start>
      <end>2</end>
      <status>unmodified</status>
      <modifiedWord/>
      <trackRevisions>false</trackRevisions>
    </reviewItem>
    <reviewItem>
      <errorID>68c9c0fb-7681-4cf4-9cc9-fdd976750768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3787CABA</paraID>
      <start>0</start>
      <end>2</end>
      <status>unmodified</status>
      <modifiedWord/>
      <trackRevisions>false</trackRevisions>
    </reviewItem>
    <reviewItem>
      <errorID>835b8af3-853d-4aad-8d68-b59190e06cb7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5EED6100</paraID>
      <start>0</start>
      <end>2</end>
      <status>unmodified</status>
      <modifiedWord/>
      <trackRevisions>false</trackRevisions>
    </reviewItem>
    <reviewItem>
      <errorID>25241e5e-f9ad-4224-8a11-298e60776d4e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720F4566</paraID>
      <start>0</start>
      <end>2</end>
      <status>unmodified</status>
      <modifiedWord/>
      <trackRevisions>false</trackRevisions>
    </reviewItem>
    <reviewItem>
      <errorID>1ff7a346-7ecb-4c66-acf9-14238c89652c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598AC55D</paraID>
      <start>0</start>
      <end>2</end>
      <status>unmodified</status>
      <modifiedWord/>
      <trackRevisions>false</trackRevisions>
    </reviewItem>
    <reviewItem>
      <errorID>ede7d921-5d4c-4971-bb96-29de4601382f</errorID>
      <errorWord>GB16297</errorWord>
      <group>L1_Word</group>
      <groupName>字词问题</groupName>
      <ability>L2_Typo</ability>
      <abilityName>字词错误</abilityName>
      <candidateList>
        <item>GB 16297</item>
      </candidateList>
      <explain/>
      <paraID>309D6C6E</paraID>
      <start>30</start>
      <end>37</end>
      <status>unmodified</status>
      <modifiedWord/>
      <trackRevisions>false</trackRevisions>
    </reviewItem>
    <reviewItem>
      <errorID>dc4e0102-c4b9-48ed-8f4b-a266d8161676</errorID>
      <errorWord>m3</errorWord>
      <group>L1_Word</group>
      <groupName>字词问题</groupName>
      <ability>L2_Typo</ability>
      <abilityName>字词错误</abilityName>
      <candidateList>
        <item>m³</item>
      </candidateList>
      <explain/>
      <paraID>309D6C6E</paraID>
      <start>78</start>
      <end>80</end>
      <status>unmodified</status>
      <modifiedWord/>
      <trackRevisions>false</trackRevisions>
    </reviewItem>
    <reviewItem>
      <errorID>220c3524-ffaf-4b18-b649-46f23d1c4aec</errorID>
      <errorWord>GB39707</errorWord>
      <group>L1_Word</group>
      <groupName>字词问题</groupName>
      <ability>L2_Typo</ability>
      <abilityName>字词错误</abilityName>
      <candidateList>
        <item>GB 39707</item>
      </candidateList>
      <explain/>
      <paraID>1A723FE2</paraID>
      <start>33</start>
      <end>40</end>
      <status>unmodified</status>
      <modifiedWord/>
      <trackRevisions>false</trackRevisions>
    </reviewItem>
    <reviewItem>
      <errorID>72718218-7a25-4caa-b362-57742ae60a48</errorID>
      <errorWord>GB14554</errorWord>
      <group>L1_Word</group>
      <groupName>字词问题</groupName>
      <ability>L2_Typo</ability>
      <abilityName>字词错误</abilityName>
      <candidateList>
        <item>GB 14554</item>
      </candidateList>
      <explain/>
      <paraID>1A723FE2</paraID>
      <start>72</start>
      <end>79</end>
      <status>unmodified</status>
      <modifiedWord/>
      <trackRevisions>false</trackRevisions>
    </reviewItem>
    <reviewItem>
      <errorID>bc1df34a-431a-4f16-8629-fc3f238a7c01</errorID>
      <errorWord>GB18466</errorWord>
      <group>L1_Word</group>
      <groupName>字词问题</groupName>
      <ability>L2_Typo</ability>
      <abilityName>字词错误</abilityName>
      <candidateList>
        <item>GB 18466</item>
      </candidateList>
      <explain/>
      <paraID>26409559</paraID>
      <start>21</start>
      <end>28</end>
      <status>unmodified</status>
      <modifiedWord/>
      <trackRevisions>false</trackRevisions>
    </reviewItem>
    <reviewItem>
      <errorID>cdcd3654-86db-462c-a1e5-890fdf2c637f</errorID>
      <errorWord>工业用水</errorWord>
      <group>L1_Word</group>
      <groupName>字词问题</groupName>
      <ability>L2_Typo</ability>
      <abilityName>字词错误</abilityName>
      <candidateList>
        <item> 工业用水</item>
      </candidateList>
      <explain/>
      <paraID>26409559</paraID>
      <start>44</start>
      <end>48</end>
      <status>unmodified</status>
      <modifiedWord/>
      <trackRevisions>false</trackRevisions>
    </reviewItem>
    <reviewItem>
      <errorID>e9f92f52-d730-4152-b821-42abe027e73a</errorID>
      <errorWord>T19923</errorWord>
      <group>L1_Word</group>
      <groupName>字词问题</groupName>
      <ability>L2_Typo</ability>
      <abilityName>字词错误</abilityName>
      <candidateList>
        <item>T 19923</item>
      </candidateList>
      <explain/>
      <paraID>26409559</paraID>
      <start>55</start>
      <end>61</end>
      <status>unmodified</status>
      <modifiedWord/>
      <trackRevisions>false</trackRevisions>
    </reviewItem>
    <reviewItem>
      <errorID>d947277d-cee5-4e86-a8f1-5eec6fb47af9</errorID>
      <errorWord>GB8978</errorWord>
      <group>L1_Word</group>
      <groupName>字词问题</groupName>
      <ability>L2_Typo</ability>
      <abilityName>字词错误</abilityName>
      <candidateList>
        <item>GB 8978</item>
      </candidateList>
      <explain/>
      <paraID>26409559</paraID>
      <start>79</start>
      <end>85</end>
      <status>unmodified</status>
      <modifiedWord/>
      <trackRevisions>false</trackRevisions>
    </reviewItem>
    <reviewItem>
      <errorID>305f0fab-fc58-4251-99be-3ca6ace28e59</errorID>
      <errorWord>较严</errorWord>
      <group>L1_Grammar</group>
      <groupName>语法问题</groupName>
      <ability>L2_Grammar</ability>
      <abilityName>语法错误</abilityName>
      <candidateList>
        <item>采用较严</item>
      </candidateList>
      <explain/>
      <paraID>26409559</paraID>
      <start>94</start>
      <end>96</end>
      <status>unmodified</status>
      <modifiedWord/>
      <trackRevisions>false</trackRevisions>
    </reviewItem>
    <reviewItem>
      <errorID>53f342c8-0abd-40a1-a672-1e3211da8d65</errorID>
      <errorWord>（</errorWord>
      <group>L1_Punc</group>
      <groupName>标点问题</groupName>
      <ability>L2_Punc_CN</ability>
      <abilityName>标点符号问题</abilityName>
      <candidateList/>
      <explain>同一形式括号套用。</explain>
      <paraID>26409559</paraID>
      <start>145</start>
      <end>146</end>
      <status>unmodified</status>
      <modifiedWord/>
      <trackRevisions>false</trackRevisions>
    </reviewItem>
    <reviewItem>
      <errorID>e09dcf2a-c07a-457a-b8ee-69c75a78016d</errorID>
      <errorWord>）</errorWord>
      <group>L1_Punc</group>
      <groupName>标点问题</groupName>
      <ability>L2_Punc_CN</ability>
      <abilityName>标点符号问题</abilityName>
      <candidateList/>
      <explain>同一形式括号套用。</explain>
      <paraID>26409559</paraID>
      <start>159</start>
      <end>160</end>
      <status>unmodified</status>
      <modifiedWord/>
      <trackRevisions>false</trackRevisions>
    </reviewItem>
    <reviewItem>
      <errorID>40153efa-08d5-4fad-b870-a31ef2be4f41</errorID>
      <errorWord>工业用水</errorWord>
      <group>L1_Word</group>
      <groupName>字词问题</groupName>
      <ability>L2_Typo</ability>
      <abilityName>字词错误</abilityName>
      <candidateList>
        <item> 工业用水</item>
      </candidateList>
      <explain/>
      <paraID>26409559</paraID>
      <start>170</start>
      <end>174</end>
      <status>unmodified</status>
      <modifiedWord/>
      <trackRevisions>false</trackRevisions>
    </reviewItem>
    <reviewItem>
      <errorID>40f415b8-0c8d-4b55-af4c-680400dfcd63</errorID>
      <errorWord>（</errorWord>
      <group>L1_Punc</group>
      <groupName>标点问题</groupName>
      <ability>L2_Punc_CN</ability>
      <abilityName>标点符号问题</abilityName>
      <candidateList/>
      <explain>同一形式括号套用。</explain>
      <paraID>26409559</paraID>
      <start>177</start>
      <end>178</end>
      <status>unmodified</status>
      <modifiedWord/>
      <trackRevisions>false</trackRevisions>
    </reviewItem>
    <reviewItem>
      <errorID>5b094b7b-a43f-4065-8a5f-45811c0e10bc</errorID>
      <errorWord>T19923</errorWord>
      <group>L1_Word</group>
      <groupName>字词问题</groupName>
      <ability>L2_Typo</ability>
      <abilityName>字词错误</abilityName>
      <candidateList>
        <item>T 19923</item>
      </candidateList>
      <explain/>
      <paraID>26409559</paraID>
      <start>181</start>
      <end>187</end>
      <status>unmodified</status>
      <modifiedWord/>
      <trackRevisions>false</trackRevisions>
    </reviewItem>
    <reviewItem>
      <errorID>5cbc3b04-9a29-4780-b27d-8d89c76efa89</errorID>
      <errorWord>）</errorWord>
      <group>L1_Punc</group>
      <groupName>标点问题</groupName>
      <ability>L2_Punc_CN</ability>
      <abilityName>标点符号问题</abilityName>
      <candidateList/>
      <explain>同一形式括号套用。</explain>
      <paraID>26409559</paraID>
      <start>192</start>
      <end>193</end>
      <status>unmodified</status>
      <modifiedWord/>
      <trackRevisions>false</trackRevisions>
    </reviewItem>
    <reviewItem>
      <errorID>af4b8150-ea41-4bb2-878a-805a855921bf</errorID>
      <errorWord>（</errorWord>
      <group>L1_Punc</group>
      <groupName>标点问题</groupName>
      <ability>L2_Punc_CN</ability>
      <abilityName>标点符号问题</abilityName>
      <candidateList/>
      <explain>同一形式括号套用。</explain>
      <paraID>26409559</paraID>
      <start>210</start>
      <end>211</end>
      <status>unmodified</status>
      <modifiedWord/>
      <trackRevisions>false</trackRevisions>
    </reviewItem>
    <reviewItem>
      <errorID>8a74b95a-d544-4240-9952-d03ff76561dd</errorID>
      <errorWord>GB8978</errorWord>
      <group>L1_Word</group>
      <groupName>字词问题</groupName>
      <ability>L2_Typo</ability>
      <abilityName>字词错误</abilityName>
      <candidateList>
        <item>GB 8978</item>
      </candidateList>
      <explain/>
      <paraID>26409559</paraID>
      <start>211</start>
      <end>217</end>
      <status>unmodified</status>
      <modifiedWord/>
      <trackRevisions>false</trackRevisions>
    </reviewItem>
    <reviewItem>
      <errorID>a536aee6-cabc-4916-a45b-cd6f35c2f4ff</errorID>
      <errorWord>）</errorWord>
      <group>L1_Punc</group>
      <groupName>标点问题</groupName>
      <ability>L2_Punc_CN</ability>
      <abilityName>标点符号问题</abilityName>
      <candidateList/>
      <explain>同一形式括号套用。</explain>
      <paraID>26409559</paraID>
      <start>222</start>
      <end>223</end>
      <status>unmodified</status>
      <modifiedWord/>
      <trackRevisions>false</trackRevisions>
    </reviewItem>
    <reviewItem>
      <errorID>da2a6ab0-28fc-4a4c-a166-09e71f3a7653</errorID>
      <errorWord>GB12523</errorWord>
      <group>L1_Word</group>
      <groupName>字词问题</groupName>
      <ability>L2_Typo</ability>
      <abilityName>字词错误</abilityName>
      <candidateList>
        <item>GB 12523</item>
      </candidateList>
      <explain/>
      <paraID>40DE178E</paraID>
      <start>19</start>
      <end>26</end>
      <status>unmodified</status>
      <modifiedWord/>
      <trackRevisions>false</trackRevisions>
    </reviewItem>
    <reviewItem>
      <errorID>3ff5652e-618d-42a1-97cc-affd2d5ec63a</errorID>
      <errorWord>GB12348</errorWord>
      <group>L1_Word</group>
      <groupName>字词问题</groupName>
      <ability>L2_Typo</ability>
      <abilityName>字词错误</abilityName>
      <candidateList>
        <item>GB 12348</item>
      </candidateList>
      <explain/>
      <paraID>40DE178E</paraID>
      <start>61</start>
      <end>68</end>
      <status>unmodified</status>
      <modifiedWord/>
      <trackRevisions>false</trackRevisions>
    </reviewItem>
    <reviewItem>
      <errorID>de1ddf6e-64ce-4c81-a65c-8eb995e38e21</errorID>
      <errorWord>GB18599</errorWord>
      <group>L1_Word</group>
      <groupName>字词问题</groupName>
      <ability>L2_Typo</ability>
      <abilityName>字词错误</abilityName>
      <candidateList>
        <item>GB 18599</item>
      </candidateList>
      <explain/>
      <paraID>37EB549A</paraID>
      <start>62</start>
      <end>69</end>
      <status>unmodified</status>
      <modifiedWord/>
      <trackRevisions>false</trackRevisions>
    </reviewItem>
    <reviewItem>
      <errorID>51025077-fac9-43a6-8dae-4cda831f80ca</errorID>
      <errorWord>GB18597</errorWord>
      <group>L1_Word</group>
      <groupName>字词问题</groupName>
      <ability>L2_Typo</ability>
      <abilityName>字词错误</abilityName>
      <candidateList>
        <item>GB 18597</item>
      </candidateList>
      <explain/>
      <paraID>37EB549A</paraID>
      <start>106</start>
      <end>113</end>
      <status>unmodified</status>
      <modifiedWord/>
      <trackRevisions>false</trackRevisions>
    </reviewItem>
    <reviewItem>
      <errorID>6e035ba6-edc9-4b1b-ab2a-4550819d0381</errorID>
      <errorWord>HJ2</errorWord>
      <group>L1_Word</group>
      <groupName>字词问题</groupName>
      <ability>L2_Typo</ability>
      <abilityName>字词错误</abilityName>
      <candidateList>
        <item>HJ 2</item>
      </candidateList>
      <explain/>
      <paraID>3C83E633</paraID>
      <start>20</start>
      <end>23</end>
      <status>unmodified</status>
      <modifiedWord/>
      <trackRevisions>false</trackRevisions>
    </reviewItem>
    <reviewItem>
      <errorID>78b2ec12-184f-4afc-8089-dfa8f46e8e9c</errorID>
      <errorWord>HJ2</errorWord>
      <group>L1_Word</group>
      <groupName>字词问题</groupName>
      <ability>L2_Typo</ability>
      <abilityName>字词错误</abilityName>
      <candidateList>
        <item>HJ 2</item>
      </candidateList>
      <explain/>
      <paraID>7AEB0E94</paraID>
      <start>21</start>
      <end>24</end>
      <status>unmodified</status>
      <modifiedWord/>
      <trackRevisions>false</trackRevisions>
    </reviewItem>
    <reviewItem>
      <errorID>4b283cfb-ae60-4abe-a896-1b2bae5d1df4</errorID>
      <errorWord>），根据</errorWord>
      <group>L1_Grammar</group>
      <groupName>语法问题</groupName>
      <ability>L2_Grammar</ability>
      <abilityName>语法错误</abilityName>
      <candidateList>
        <item>）</item>
      </candidateList>
      <explain/>
      <paraID>7AEB0E94</paraID>
      <start>31</start>
      <end>35</end>
      <status>unmodified</status>
      <modifiedWord/>
      <trackRevisions>false</trackRevisions>
    </reviewItem>
    <reviewItem>
      <errorID>bf793373-d1a8-4acb-b73b-e7b9dacde213</errorID>
      <errorWord>1h</errorWord>
      <group>L1_Word</group>
      <groupName>字词问题</groupName>
      <ability>L2_Typo</ability>
      <abilityName>字词错误</abilityName>
      <candidateList>
        <item>1 h</item>
      </candidateList>
      <explain/>
      <paraID>6C718040</paraID>
      <start>23</start>
      <end>25</end>
      <status>unmodified</status>
      <modifiedWord/>
      <trackRevisions>false</trackRevisions>
    </reviewItem>
    <reviewItem>
      <errorID>9898b023-59ee-4481-ab3d-fc9b7693bfd0</errorID>
      <errorWord>m3</errorWord>
      <group>L1_Word</group>
      <groupName>字词问题</groupName>
      <ability>L2_Typo</ability>
      <abilityName>字词错误</abilityName>
      <candidateList>
        <item>m³</item>
      </candidateList>
      <explain/>
      <paraID>6C718040</paraID>
      <start>37</start>
      <end>39</end>
      <status>unmodified</status>
      <modifiedWord/>
      <trackRevisions>false</trackRevisions>
    </reviewItem>
    <reviewItem>
      <errorID>5e9ee719-ffb0-4b5b-8c97-12862c763aff</errorID>
      <errorWord>GB3095</errorWord>
      <group>L1_Word</group>
      <groupName>字词问题</groupName>
      <ability>L2_Typo</ability>
      <abilityName>字词错误</abilityName>
      <candidateList>
        <item>GB 3095</item>
      </candidateList>
      <explain/>
      <paraID>3F62FAD0</paraID>
      <start>25</start>
      <end>31</end>
      <status>unmodified</status>
      <modifiedWord/>
      <trackRevisions>false</trackRevisions>
    </reviewItem>
    <reviewItem>
      <errorID>d987a840-f3fd-4d32-9ab4-4d91859dfd38</errorID>
      <errorWord>小时</errorWord>
      <group>L1_Word</group>
      <groupName>字词问题</groupName>
      <ability>L2_Typo</ability>
      <abilityName>字词错误</abilityName>
      <candidateList>
        <item> h</item>
      </candidateList>
      <explain/>
      <paraID>3F62FAD0</paraID>
      <start>33</start>
      <end>35</end>
      <status>unmodified</status>
      <modifiedWord/>
      <trackRevisions>false</trackRevisions>
    </reviewItem>
    <reviewItem>
      <errorID>c31db6d6-6386-4728-8644-f23398c2bd2e</errorID>
      <errorWord>8h</errorWord>
      <group>L1_Word</group>
      <groupName>字词问题</groupName>
      <ability>L2_Typo</ability>
      <abilityName>字词错误</abilityName>
      <candidateList>
        <item>8 h</item>
      </candidateList>
      <explain/>
      <paraID>3F62FAD0</paraID>
      <start>55</start>
      <end>57</end>
      <status>unmodified</status>
      <modifiedWord/>
      <trackRevisions>false</trackRevisions>
    </reviewItem>
    <reviewItem>
      <errorID>63dc100d-d35f-4fd9-8d0f-e23a0bb64ba7</errorID>
      <errorWord>1h</errorWord>
      <group>L1_Word</group>
      <groupName>字词问题</groupName>
      <ability>L2_Typo</ability>
      <abilityName>字词错误</abilityName>
      <candidateList>
        <item>1 h</item>
      </candidateList>
      <explain/>
      <paraID>3F62FAD0</paraID>
      <start>102</start>
      <end>104</end>
      <status>unmodified</status>
      <modifiedWord/>
      <trackRevisions>false</trackRevisions>
    </reviewItem>
    <reviewItem>
      <errorID>c065644a-ad96-4a34-9b33-baa3bb0ebf0e</errorID>
      <errorWord>m3</errorWord>
      <group>L1_Word</group>
      <groupName>字词问题</groupName>
      <ability>L2_Typo</ability>
      <abilityName>字词错误</abilityName>
      <candidateList>
        <item>m³</item>
      </candidateList>
      <explain/>
      <paraID>3F62FAD0</paraID>
      <start>117</start>
      <end>119</end>
      <status>unmodified</status>
      <modifiedWord/>
      <trackRevisions>false</trackRevisions>
    </reviewItem>
    <reviewItem>
      <errorID>5f2a94f2-42e2-40b5-8f01-32d7ace67695</errorID>
      <errorWord>μ</errorWord>
      <group>L1_Word</group>
      <groupName>字词问题</groupName>
      <ability>L2_Typo</ability>
      <abilityName>字词错误</abilityName>
      <candidateList>
        <item> μ</item>
      </candidateList>
      <explain/>
      <paraID>36AFAF92</paraID>
      <start>67</start>
      <end>68</end>
      <status>unmodified</status>
      <modifiedWord/>
      <trackRevisions>false</trackRevisions>
    </reviewItem>
    <reviewItem>
      <errorID>eefbc309-527b-4b34-901c-305cc44c7c42</errorID>
      <errorWord>HJ2</errorWord>
      <group>L1_Word</group>
      <groupName>字词问题</groupName>
      <ability>L2_Typo</ability>
      <abilityName>字词错误</abilityName>
      <candidateList>
        <item>HJ 2</item>
      </candidateList>
      <explain/>
      <paraID> A058EF7</paraID>
      <start>20</start>
      <end>23</end>
      <status>unmodified</status>
      <modifiedWord/>
      <trackRevisions>false</trackRevisions>
    </reviewItem>
    <reviewItem>
      <errorID>84dc8758-d10c-4c05-bff7-620bf17d91f4</errorID>
      <errorWord>以</errorWord>
      <group>L1_Word</group>
      <groupName>字词问题</groupName>
      <ability>L2_Typo</ability>
      <abilityName>字词错误</abilityName>
      <candidateList>
        <item>为以</item>
      </candidateList>
      <explain/>
      <paraID> A058EF7</paraID>
      <start>220</start>
      <end>221</end>
      <status>unmodified</status>
      <modifiedWord/>
      <trackRevisions>false</trackRevisions>
    </reviewItem>
    <reviewItem>
      <errorID>ac5f6937-7e29-44f1-a08b-c0c8bafe4ec2</errorID>
      <errorWord>，</errorWord>
      <group>L1_Punc</group>
      <groupName>标点问题</groupName>
      <ability>L2_Punc_CN</ability>
      <abilityName>标点符号问题</abilityName>
      <candidateList>
        <item>、</item>
      </candidateList>
      <explain/>
      <paraID> A058EF7</paraID>
      <start>228</start>
      <end>229</end>
      <status>unmodified</status>
      <modifiedWord/>
      <trackRevisions>false</trackRevisions>
    </reviewItem>
    <reviewItem>
      <errorID>ab844c04-378e-47b0-9afb-93c8bc493777</errorID>
      <errorWord>HJ2</errorWord>
      <group>L1_Word</group>
      <groupName>字词问题</groupName>
      <ability>L2_Typo</ability>
      <abilityName>字词错误</abilityName>
      <candidateList>
        <item>HJ 2</item>
      </candidateList>
      <explain/>
      <paraID>7BEA3C99</paraID>
      <start>21</start>
      <end>24</end>
      <status>unmodified</status>
      <modifiedWord/>
      <trackRevisions>false</trackRevisions>
    </reviewItem>
    <reviewItem>
      <errorID>0bfc7ad8-8299-459a-a8e1-a88360a154d8</errorID>
      <errorWord>按照</errorWord>
      <group>L1_Word</group>
      <groupName>字词问题</groupName>
      <ability>L2_Typo</ability>
      <abilityName>字词错误</abilityName>
      <candidateList>
        <item>应按照</item>
      </candidateList>
      <explain/>
      <paraID>7BEA3C99</paraID>
      <start>56</start>
      <end>58</end>
      <status>unmodified</status>
      <modifiedWord/>
      <trackRevisions>false</trackRevisions>
    </reviewItem>
    <reviewItem>
      <errorID>8161e95b-de21-435e-b2bd-3e2864b99ec2</errorID>
      <errorWord>HJ2</errorWord>
      <group>L1_Word</group>
      <groupName>字词问题</groupName>
      <ability>L2_Typo</ability>
      <abilityName>字词错误</abilityName>
      <candidateList>
        <item>HJ 2</item>
      </candidateList>
      <explain/>
      <paraID> 25C7F21</paraID>
      <start>21</start>
      <end>24</end>
      <status>unmodified</status>
      <modifiedWord/>
      <trackRevisions>false</trackRevisions>
    </reviewItem>
    <reviewItem>
      <errorID>85f8328f-b4f3-43c6-8ba0-daaf2c4de36c</errorID>
      <errorWord>：</errorWord>
      <group>L1_Punc</group>
      <groupName>标点问题</groupName>
      <ability>L2_Punc_CN</ability>
      <abilityName>标点符号问题</abilityName>
      <candidateList>
        <item>，</item>
      </candidateList>
      <explain/>
      <paraID> 25C7F21</paraID>
      <start>48</start>
      <end>49</end>
      <status>unmodified</status>
      <modifiedWord/>
      <trackRevisions>false</trackRevisions>
    </reviewItem>
    <reviewItem>
      <errorID>047d3e7d-8c0a-4eec-97ac-79d512b5a746</errorID>
      <errorWord>地下水水资源</errorWord>
      <group>L1_Word</group>
      <groupName>字词问题</groupName>
      <ability>L2_Typo</ability>
      <abilityName>字词错误</abilityName>
      <candidateList>
        <item>地下水资源</item>
      </candidateList>
      <explain/>
      <paraID>4ED7E558</paraID>
      <start>93</start>
      <end>99</end>
      <status>unmodified</status>
      <modifiedWord/>
      <trackRevisions>false</trackRevisions>
    </reviewItem>
    <reviewItem>
      <errorID>47b5345e-4e46-4576-9a87-0e4d143f46d4</errorID>
      <errorWord>HJ610</errorWord>
      <group>L1_Word</group>
      <groupName>字词问题</groupName>
      <ability>L2_Typo</ability>
      <abilityName>字词错误</abilityName>
      <candidateList>
        <item>HJ 610</item>
      </candidateList>
      <explain/>
      <paraID>3524C1AB</paraID>
      <start>40</start>
      <end>45</end>
      <status>unmodified</status>
      <modifiedWord/>
      <trackRevisions>false</trackRevisions>
    </reviewItem>
    <reviewItem>
      <errorID>efdc4bf1-34a0-4fc9-9728-47925b6ee872</errorID>
      <errorWord>：</errorWord>
      <group>L1_Punc</group>
      <groupName>标点问题</groupName>
      <ability>L2_Punc_CN</ability>
      <abilityName>标点符号问题</abilityName>
      <candidateList>
        <item/>
      </candidateList>
      <explain/>
      <paraID>3524C1AB</paraID>
      <start>64</start>
      <end>65</end>
      <status>unmodified</status>
      <modifiedWord/>
      <trackRevisions>false</trackRevisions>
    </reviewItem>
    <reviewItem>
      <errorID>fa60fe41-00e8-4a48-95cb-a570e8db778f</errorID>
      <errorWord>HJ2</errorWord>
      <group>L1_Word</group>
      <groupName>字词问题</groupName>
      <ability>L2_Typo</ability>
      <abilityName>字词错误</abilityName>
      <candidateList>
        <item>HJ 2</item>
      </candidateList>
      <explain/>
      <paraID>73E6AF71</paraID>
      <start>19</start>
      <end>22</end>
      <status>unmodified</status>
      <modifiedWord/>
      <trackRevisions>false</trackRevisions>
    </reviewItem>
    <reviewItem>
      <errorID>f6591d69-9872-4176-b0ca-5e05d57f0ef8</errorID>
      <errorWord>GB3096</errorWord>
      <group>L1_Word</group>
      <groupName>字词问题</groupName>
      <ability>L2_Typo</ability>
      <abilityName>字词错误</abilityName>
      <candidateList>
        <item>GB 3096</item>
      </candidateList>
      <explain/>
      <paraID>73E6AF71</paraID>
      <start>55</start>
      <end>61</end>
      <status>unmodified</status>
      <modifiedWord/>
      <trackRevisions>false</trackRevisions>
    </reviewItem>
    <reviewItem>
      <errorID>95740124-09e7-42e9-9a3f-d6ef4a851f0f</errorID>
      <errorWord>，</errorWord>
      <group>L1_Punc</group>
      <groupName>标点问题</groupName>
      <ability>L2_Punc_CN</ability>
      <abilityName>标点符号问题</abilityName>
      <candidateList>
        <item>。</item>
      </candidateList>
      <explain/>
      <paraID>73E6AF71</paraID>
      <start>72</start>
      <end>73</end>
      <status>unmodified</status>
      <modifiedWord/>
      <trackRevisions>false</trackRevisions>
    </reviewItem>
    <reviewItem>
      <errorID>2f333213-4f31-4ca7-831c-5fa2f46ffa67</errorID>
      <errorWord>HJ2</errorWord>
      <group>L1_Word</group>
      <groupName>字词问题</groupName>
      <ability>L2_Typo</ability>
      <abilityName>字词错误</abilityName>
      <candidateList>
        <item>HJ 2</item>
      </candidateList>
      <explain/>
      <paraID>73E6AF71</paraID>
      <start>153</start>
      <end>156</end>
      <status>unmodified</status>
      <modifiedWord/>
      <trackRevisions>false</trackRevisions>
    </reviewItem>
    <reviewItem>
      <errorID>edf07370-f1e8-4461-a39f-dc66ef5408f9</errorID>
      <errorWord>HJ964</errorWord>
      <group>L1_Word</group>
      <groupName>字词问题</groupName>
      <ability>L2_Typo</ability>
      <abilityName>字词错误</abilityName>
      <candidateList>
        <item>HJ 964</item>
      </candidateList>
      <explain/>
      <paraID>4C0AC441</paraID>
      <start>24</start>
      <end>29</end>
      <status>unmodified</status>
      <modifiedWord/>
      <trackRevisions>false</trackRevisions>
    </reviewItem>
    <reviewItem>
      <errorID>ce135d24-98ed-4ef0-85a9-6d2534868d29</errorID>
      <errorWord>工作</errorWord>
      <group>L1_Punc</group>
      <groupName>标点问题</groupName>
      <ability>L2_Punc_CN</ability>
      <abilityName>标点符号问题</abilityName>
      <candidateList>
        <item>工作。</item>
      </candidateList>
      <explain/>
      <paraID> 3747B01</paraID>
      <start>19</start>
      <end>21</end>
      <status>unmodified</status>
      <modifiedWord/>
      <trackRevisions>false</trackRevisions>
    </reviewItem>
    <reviewItem>
      <errorID>c2fc86f7-981a-44d5-bb00-25df40bb9330</errorID>
      <errorWord>HJ964</errorWord>
      <group>L1_Word</group>
      <groupName>字词问题</groupName>
      <ability>L2_Typo</ability>
      <abilityName>字词错误</abilityName>
      <candidateList>
        <item>HJ 964</item>
      </candidateList>
      <explain/>
      <paraID>54403BF9</paraID>
      <start>24</start>
      <end>29</end>
      <status>unmodified</status>
      <modifiedWord/>
      <trackRevisions>false</trackRevisions>
    </reviewItem>
    <reviewItem>
      <errorID>6ef1bc95-4944-43d7-86da-7530a7e9c591</errorID>
      <errorWord>HJ19</errorWord>
      <group>L1_Word</group>
      <groupName>字词问题</groupName>
      <ability>L2_Typo</ability>
      <abilityName>字词错误</abilityName>
      <candidateList>
        <item>HJ 19</item>
      </candidateList>
      <explain/>
      <paraID>5A8D7011</paraID>
      <start>20</start>
      <end>24</end>
      <status>unmodified</status>
      <modifiedWord/>
      <trackRevisions>false</trackRevisions>
    </reviewItem>
    <reviewItem>
      <errorID>c9ac5965-13d6-4dee-967e-837b24a481a9</errorID>
      <errorWord>7826m2</errorWord>
      <group>L1_Word</group>
      <groupName>字词问题</groupName>
      <ability>L2_Typo</ability>
      <abilityName>字词错误</abilityName>
      <candidateList>
        <item>7826m²</item>
      </candidateList>
      <explain/>
      <paraID>5A8D7011</paraID>
      <start>54</start>
      <end>60</end>
      <status>unmodified</status>
      <modifiedWord/>
      <trackRevisions>false</trackRevisions>
    </reviewItem>
    <reviewItem>
      <errorID>14bb4637-c12c-4d08-b4af-087b60e23ba8</errorID>
      <errorWord>IV</errorWord>
      <group>L1_Knowledge</group>
      <groupName>知识性问题</groupName>
      <ability>L2_Knowledge</ability>
      <abilityName>其他知识</abilityName>
      <candidateList>
        <item>Ⅳ</item>
      </candidateList>
      <explain>中文环境下罗马数字格式错误。</explain>
      <paraID>6C9E131B</paraID>
      <start>16</start>
      <end>18</end>
      <status>unmodified</status>
      <modifiedWord/>
      <trackRevisions>false</trackRevisions>
    </reviewItem>
    <reviewItem>
      <errorID>c1a9bdbe-3f08-4080-b8ff-3f974f993887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66ACC605</paraID>
      <start>0</start>
      <end>2</end>
      <status>unmodified</status>
      <modifiedWord/>
      <trackRevisions>false</trackRevisions>
    </reviewItem>
    <reviewItem>
      <errorID>c1c6d1ab-6924-4863-a18f-a396f0b3dc00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7A62706B</paraID>
      <start>0</start>
      <end>2</end>
      <status>unmodified</status>
      <modifiedWord/>
      <trackRevisions>false</trackRevisions>
    </reviewItem>
    <reviewItem>
      <errorID>e3f1030e-5eff-49fa-835b-cf8956e067c7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4858823F</paraID>
      <start>0</start>
      <end>2</end>
      <status>unmodified</status>
      <modifiedWord/>
      <trackRevisions>false</trackRevisions>
    </reviewItem>
    <reviewItem>
      <errorID>6ae7aa84-933c-43cb-9899-675ac92045f9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14E70952</paraID>
      <start>0</start>
      <end>2</end>
      <status>unmodified</status>
      <modifiedWord/>
      <trackRevisions>false</trackRevisions>
    </reviewItem>
    <reviewItem>
      <errorID>faff6680-5310-4dd6-abb9-90ce0195299f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69302F2E</paraID>
      <start>0</start>
      <end>2</end>
      <status>unmodified</status>
      <modifiedWord/>
      <trackRevisions>false</trackRevisions>
    </reviewItem>
    <reviewItem>
      <errorID>aa423137-cd34-434c-858a-8196b2fe5277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751E7D93</paraID>
      <start>0</start>
      <end>2</end>
      <status>unmodified</status>
      <modifiedWord/>
      <trackRevisions>false</trackRevisions>
    </reviewItem>
    <reviewItem>
      <errorID>86634f2d-f888-4735-81f5-bd2dcbacf8b9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2B152640</paraID>
      <start>0</start>
      <end>2</end>
      <status>unmodified</status>
      <modifiedWord/>
      <trackRevisions>false</trackRevisions>
    </reviewItem>
    <reviewItem>
      <errorID>58ba0577-1c8a-4a7d-a913-23b98cc351a6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3C63E74A</paraID>
      <start>0</start>
      <end>2</end>
      <status>unmodified</status>
      <modifiedWord/>
      <trackRevisions>false</trackRevisions>
    </reviewItem>
    <reviewItem>
      <errorID>2a5342f2-fd0d-4adb-a327-9e366079677a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116B09E9</paraID>
      <start>0</start>
      <end>2</end>
      <status>unmodified</status>
      <modifiedWord/>
      <trackRevisions>false</trackRevisions>
    </reviewItem>
    <reviewItem>
      <errorID>ab716000-9a90-49f2-8812-3e2551caa851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2D32638B</paraID>
      <start>0</start>
      <end>2</end>
      <status>unmodified</status>
      <modifiedWord/>
      <trackRevisions>false</trackRevisions>
    </reviewItem>
    <reviewItem>
      <errorID>8b025e56-fc94-42d4-af62-475e54425901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6C8F2123</paraID>
      <start>0</start>
      <end>2</end>
      <status>unmodified</status>
      <modifiedWord/>
      <trackRevisions>false</trackRevisions>
    </reviewItem>
    <reviewItem>
      <errorID>7f374fa6-ff4f-4cd9-8fdb-36ec9ad16e04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536D2ED5</paraID>
      <start>0</start>
      <end>2</end>
      <status>unmodified</status>
      <modifiedWord/>
      <trackRevisions>false</trackRevisions>
    </reviewItem>
    <reviewItem>
      <errorID>696663f8-21d8-4950-a53e-8021cdd5bf49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F761330</paraID>
      <start>0</start>
      <end>2</end>
      <status>unmodified</status>
      <modifiedWord/>
      <trackRevisions>false</trackRevisions>
    </reviewItem>
    <reviewItem>
      <errorID>89239776-b9b9-46f7-a288-00ee54672ffa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44FD595E</paraID>
      <start>0</start>
      <end>2</end>
      <status>unmodified</status>
      <modifiedWord/>
      <trackRevisions>false</trackRevisions>
    </reviewItem>
    <reviewItem>
      <errorID>04622780-dda6-432a-b111-9d8594011774</errorID>
      <errorWord>0.2%-0.5%</errorWord>
      <group>L1_Knowledge</group>
      <groupName>知识性问题</groupName>
      <ability>L2_Knowledge</ability>
      <abilityName>其他知识</abilityName>
      <candidateList>
        <item>0.2%—0.5%</item>
      </candidateList>
      <explain>1. “0.2%-0.5%”中的单位“%”仅出现在后一个数字上，容易引起歧义；根据《现代汉语标点符号数字用法规范手册》，数字表示范围两边需要使用统一的格式。2. 根据标点国标 4.13 中的规则，数字、时间或地域连接符应使用（视觉上更长的）“—”或“～”。</explain>
      <paraID>66D0821B</paraID>
      <start>0</start>
      <end>9</end>
      <status>unmodified</status>
      <modifiedWord/>
      <trackRevisions>false</trackRevisions>
    </reviewItem>
    <reviewItem>
      <errorID>ae2c8be0-3488-4a13-bfe8-490486147000</errorID>
      <errorWord>两</errorWord>
      <group>L1_Word</group>
      <groupName>字词问题</groupName>
      <ability>L2_Typo</ability>
      <abilityName>字词错误</abilityName>
      <candidateList>
        <item>两个</item>
      </candidateList>
      <explain/>
      <paraID>283F82D5</paraID>
      <start>84</start>
      <end>85</end>
      <status>unmodified</status>
      <modifiedWord/>
      <trackRevisions>false</trackRevisions>
    </reviewItem>
    <reviewItem>
      <errorID>5d06a3f9-f3ed-4f31-8d72-187de59b69f6</errorID>
      <errorWord>-</errorWord>
      <group>L1_Format</group>
      <groupName>格式问题</groupName>
      <ability>L2_HalfPunc_CN</ability>
      <abilityName>全半角问题</abilityName>
      <candidateList>
        <item>－</item>
      </candidateList>
      <explain>文本全半角错误。</explain>
      <paraID>73F13AEE</paraID>
      <start>27</start>
      <end>28</end>
      <status>unmodified</status>
      <modifiedWord/>
      <trackRevisions>false</trackRevisions>
    </reviewItem>
    <reviewItem>
      <errorID>22cf38e9-88a8-47da-a669-187a0de1032b</errorID>
      <errorWord>-</errorWord>
      <group>L1_Format</group>
      <groupName>格式问题</groupName>
      <ability>L2_HalfPunc_CN</ability>
      <abilityName>全半角问题</abilityName>
      <candidateList>
        <item>－</item>
      </candidateList>
      <explain>文本全半角错误。</explain>
      <paraID>73F13AEE</paraID>
      <start>30</start>
      <end>31</end>
      <status>unmodified</status>
      <modifiedWord/>
      <trackRevisions>false</trackRevisions>
    </reviewItem>
    <reviewItem>
      <errorID>20fa2677-03ee-4612-aafa-4adbc879256d</errorID>
      <errorWord>-</errorWord>
      <group>L1_Format</group>
      <groupName>格式问题</groupName>
      <ability>L2_HalfPunc_CN</ability>
      <abilityName>全半角问题</abilityName>
      <candidateList>
        <item>－</item>
      </candidateList>
      <explain>文本全半角错误。</explain>
      <paraID>73F13AEE</paraID>
      <start>33</start>
      <end>34</end>
      <status>unmodified</status>
      <modifiedWord/>
      <trackRevisions>false</trackRevisions>
    </reviewItem>
    <reviewItem>
      <errorID>c4190f65-4aac-4f79-8024-4c12c9e689f5</errorID>
      <errorWord>-</errorWord>
      <group>L1_Format</group>
      <groupName>格式问题</groupName>
      <ability>L2_HalfPunc_CN</ability>
      <abilityName>全半角问题</abilityName>
      <candidateList>
        <item>－</item>
      </candidateList>
      <explain>文本全半角错误。</explain>
      <paraID>387F0A13</paraID>
      <start>31</start>
      <end>32</end>
      <status>unmodified</status>
      <modifiedWord/>
      <trackRevisions>false</trackRevisions>
    </reviewItem>
    <reviewItem>
      <errorID>f936cb6e-0319-4bbb-9ea8-79401d8b4e2c</errorID>
      <errorWord>-</errorWord>
      <group>L1_Format</group>
      <groupName>格式问题</groupName>
      <ability>L2_HalfPunc_CN</ability>
      <abilityName>全半角问题</abilityName>
      <candidateList>
        <item>－</item>
      </candidateList>
      <explain>文本全半角错误。</explain>
      <paraID>387F0A13</paraID>
      <start>34</start>
      <end>35</end>
      <status>unmodified</status>
      <modifiedWord/>
      <trackRevisions>false</trackRevisions>
    </reviewItem>
    <reviewItem>
      <errorID>6568ac78-37e1-4dd5-9280-3bed00a5cf5e</errorID>
      <errorWord>-</errorWord>
      <group>L1_Format</group>
      <groupName>格式问题</groupName>
      <ability>L2_HalfPunc_CN</ability>
      <abilityName>全半角问题</abilityName>
      <candidateList>
        <item>－</item>
      </candidateList>
      <explain>文本全半角错误。</explain>
      <paraID>387F0A13</paraID>
      <start>37</start>
      <end>38</end>
      <status>unmodified</status>
      <modifiedWord/>
      <trackRevisions>false</trackRevisions>
    </reviewItem>
    <reviewItem>
      <errorID>02a76109-102d-49cc-830a-e826e7faa144</errorID>
      <errorWord>-</errorWord>
      <group>L1_Format</group>
      <groupName>格式问题</groupName>
      <ability>L2_HalfPunc_CN</ability>
      <abilityName>全半角问题</abilityName>
      <candidateList>
        <item>－</item>
      </candidateList>
      <explain>文本全半角错误。</explain>
      <paraID>45AB7011</paraID>
      <start>31</start>
      <end>32</end>
      <status>unmodified</status>
      <modifiedWord/>
      <trackRevisions>false</trackRevisions>
    </reviewItem>
    <reviewItem>
      <errorID>2ac304a8-ac7b-440e-846a-d5606f6d898c</errorID>
      <errorWord>-</errorWord>
      <group>L1_Format</group>
      <groupName>格式问题</groupName>
      <ability>L2_HalfPunc_CN</ability>
      <abilityName>全半角问题</abilityName>
      <candidateList>
        <item>－</item>
      </candidateList>
      <explain>文本全半角错误。</explain>
      <paraID>45AB7011</paraID>
      <start>56</start>
      <end>57</end>
      <status>unmodified</status>
      <modifiedWord/>
      <trackRevisions>false</trackRevisions>
    </reviewItem>
    <reviewItem>
      <errorID>1a2c1517-305e-4c81-a5a9-dc970b42f1ae</errorID>
      <errorWord>-</errorWord>
      <group>L1_Format</group>
      <groupName>格式问题</groupName>
      <ability>L2_HalfPunc_CN</ability>
      <abilityName>全半角问题</abilityName>
      <candidateList>
        <item>－</item>
      </candidateList>
      <explain>文本全半角错误。</explain>
      <paraID>45AB7011</paraID>
      <start>59</start>
      <end>60</end>
      <status>unmodified</status>
      <modifiedWord/>
      <trackRevisions>false</trackRevisions>
    </reviewItem>
    <reviewItem>
      <errorID>7ee14499-5b29-471d-979d-804fb155bae6</errorID>
      <errorWord>致病微生物</errorWord>
      <group>L1_Knowledge</group>
      <groupName>知识性问题</groupName>
      <ability>L2_Term</ability>
      <abilityName>专业术语</abilityName>
      <candidateList>
        <item>致病性微生物</item>
      </candidateList>
      <explain>医学名词[致病微生物]为不规范表述或旧称，其规范书面表述为[致病性微生物]。</explain>
      <paraID>1597597F</paraID>
      <start>27</start>
      <end>32</end>
      <status>unmodified</status>
      <modifiedWord/>
      <trackRevisions>false</trackRevisions>
    </reviewItem>
    <reviewItem>
      <errorID>4a1a9e04-1d9e-49e3-a592-d348afe6fa60</errorID>
      <errorWord>致病微生物</errorWord>
      <group>L1_Knowledge</group>
      <groupName>知识性问题</groupName>
      <ability>L2_Term</ability>
      <abilityName>专业术语</abilityName>
      <candidateList>
        <item>致病性微生物</item>
      </candidateList>
      <explain>医学名词[致病微生物]为不规范表述或旧称，其规范书面表述为[致病性微生物]。</explain>
      <paraID>1597597F</paraID>
      <start>37</start>
      <end>42</end>
      <status>unmodified</status>
      <modifiedWord/>
      <trackRevisions>false</trackRevisions>
    </reviewItem>
    <reviewItem>
      <errorID>715aea75-8146-4ed3-8833-94a96064e7fe</errorID>
      <errorWord>，</errorWord>
      <group>L1_Word</group>
      <groupName>字词问题</groupName>
      <ability>L2_Typo</ability>
      <abilityName>字词错误</abilityName>
      <candidateList>
        <item>，有</item>
      </candidateList>
      <explain/>
      <paraID>218EEBA8</paraID>
      <start>131</start>
      <end>132</end>
      <status>unmodified</status>
      <modifiedWord/>
      <trackRevisions>false</trackRevisions>
    </reviewItem>
    <reviewItem>
      <errorID>f10674b8-382b-4b83-a5ee-118090a87b2f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749281E5</paraID>
      <start>38</start>
      <end>39</end>
      <status>unmodified</status>
      <modifiedWord/>
      <trackRevisions>false</trackRevisions>
    </reviewItem>
    <reviewItem>
      <errorID>cd7a2eaf-494c-49df-ab67-7f12c73ddd0e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749281E5</paraID>
      <start>72</start>
      <end>73</end>
      <status>unmodified</status>
      <modifiedWord/>
      <trackRevisions>false</trackRevisions>
    </reviewItem>
    <reviewItem>
      <errorID>1f870d08-859a-44a6-8bcd-b662248be4b7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749281E5</paraID>
      <start>160</start>
      <end>161</end>
      <status>unmodified</status>
      <modifiedWord/>
      <trackRevisions>false</trackRevisions>
    </reviewItem>
    <reviewItem>
      <errorID>35cc79aa-1b51-4f0f-a554-18161501478d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1AEAA51B</paraID>
      <start>71</start>
      <end>72</end>
      <status>unmodified</status>
      <modifiedWord/>
      <trackRevisions>false</trackRevisions>
    </reviewItem>
    <reviewItem>
      <errorID>5dcdea2f-e537-44b0-81a1-68e9d53ee448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1AEAA51B</paraID>
      <start>91</start>
      <end>92</end>
      <status>unmodified</status>
      <modifiedWord/>
      <trackRevisions>false</trackRevisions>
    </reviewItem>
    <reviewItem>
      <errorID>dc4b927c-68ab-4dca-b51b-6579c0c0b6d1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1AEAA51B</paraID>
      <start>127</start>
      <end>128</end>
      <status>unmodified</status>
      <modifiedWord/>
      <trackRevisions>false</trackRevisions>
    </reviewItem>
    <reviewItem>
      <errorID>83ffa51a-6feb-4623-8640-e0a15961a0b2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1AEAA51B</paraID>
      <start>163</start>
      <end>164</end>
      <status>unmodified</status>
      <modifiedWord/>
      <trackRevisions>false</trackRevisions>
    </reviewItem>
    <reviewItem>
      <errorID>975aa9d3-99a8-4880-914c-2349b2ac5ed9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1AEAA51B</paraID>
      <start>200</start>
      <end>201</end>
      <status>unmodified</status>
      <modifiedWord/>
      <trackRevisions>false</trackRevisions>
    </reviewItem>
    <reviewItem>
      <errorID>27e7a4e7-7117-4821-a15c-3f861c4ea262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5B1A042F</paraID>
      <start>0</start>
      <end>2</end>
      <status>unmodified</status>
      <modifiedWord/>
      <trackRevisions>false</trackRevisions>
    </reviewItem>
    <reviewItem>
      <errorID>93acfad2-bff8-42d6-ac56-eb1940a22c42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24D22986</paraID>
      <start>0</start>
      <end>2</end>
      <status>unmodified</status>
      <modifiedWord/>
      <trackRevisions>false</trackRevisions>
    </reviewItem>
    <reviewItem>
      <errorID>9828667d-4280-4709-9b30-7c50296e2730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11A4C4CE</paraID>
      <start>0</start>
      <end>2</end>
      <status>unmodified</status>
      <modifiedWord/>
      <trackRevisions>false</trackRevisions>
    </reviewItem>
    <reviewItem>
      <errorID>d810ca30-6da0-44fd-a849-001834221a9a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22A1E0C4</paraID>
      <start>0</start>
      <end>2</end>
      <status>unmodified</status>
      <modifiedWord/>
      <trackRevisions>false</trackRevisions>
    </reviewItem>
    <reviewItem>
      <errorID>1a53cf90-22db-4cc2-b1c2-09ad39b75d15</errorID>
      <errorWord>管路</errorWord>
      <group>L1_Word</group>
      <groupName>字词问题</groupName>
      <ability>L2_Typo</ability>
      <abilityName>字词错误</abilityName>
      <candidateList>
        <item>管理</item>
      </candidateList>
      <explain/>
      <paraID>6A659947</paraID>
      <start>0</start>
      <end>2</end>
      <status>unmodified</status>
      <modifiedWord/>
      <trackRevisions>false</trackRevisions>
    </reviewItem>
    <reviewItem>
      <errorID>84fed936-379b-4b02-b368-754a88a314d8</errorID>
      <errorWord>管路</errorWord>
      <group>L1_Word</group>
      <groupName>字词问题</groupName>
      <ability>L2_Typo</ability>
      <abilityName>字词错误</abilityName>
      <candidateList>
        <item>管理</item>
      </candidateList>
      <explain/>
      <paraID>28116E7E</paraID>
      <start>0</start>
      <end>2</end>
      <status>unmodified</status>
      <modifiedWord/>
      <trackRevisions>false</trackRevisions>
    </reviewItem>
    <reviewItem>
      <errorID>bfcd8bd7-a92b-4169-aa15-67fefbe8cd52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5490FC6C</paraID>
      <start>0</start>
      <end>2</end>
      <status>unmodified</status>
      <modifiedWord/>
      <trackRevisions>false</trackRevisions>
    </reviewItem>
    <reviewItem>
      <errorID>f052ae22-4b62-4a14-8c1c-2a52f44584c8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1B70BCEF</paraID>
      <start>0</start>
      <end>2</end>
      <status>unmodified</status>
      <modifiedWord/>
      <trackRevisions>false</trackRevisions>
    </reviewItem>
    <reviewItem>
      <errorID>934181e0-9631-45d9-bc61-07cd7253fe0b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2C68F029</paraID>
      <start>0</start>
      <end>2</end>
      <status>unmodified</status>
      <modifiedWord/>
      <trackRevisions>false</trackRevisions>
    </reviewItem>
    <reviewItem>
      <errorID>5165fdd1-3a6e-4629-b80d-dbfdd3e307bb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66396AE0</paraID>
      <start>0</start>
      <end>2</end>
      <status>unmodified</status>
      <modifiedWord/>
      <trackRevisions>false</trackRevisions>
    </reviewItem>
    <reviewItem>
      <errorID>8e956384-59dc-4bce-ac13-7bf164fe7d72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2C8612CB</paraID>
      <start>0</start>
      <end>2</end>
      <status>unmodified</status>
      <modifiedWord/>
      <trackRevisions>false</trackRevisions>
    </reviewItem>
    <reviewItem>
      <errorID>2807dee9-8cd4-4e60-9012-1d16f099f7f4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F39B2FC</paraID>
      <start>0</start>
      <end>2</end>
      <status>unmodified</status>
      <modifiedWord/>
      <trackRevisions>false</trackRevisions>
    </reviewItem>
    <reviewItem>
      <errorID>fe45d2a2-df26-41e1-8345-a95bd863a987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2562199A</paraID>
      <start>0</start>
      <end>2</end>
      <status>unmodified</status>
      <modifiedWord/>
      <trackRevisions>false</trackRevisions>
    </reviewItem>
    <reviewItem>
      <errorID>344a0fb9-86eb-46d4-95a6-72be2cdff504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66FCDC13</paraID>
      <start>0</start>
      <end>2</end>
      <status>unmodified</status>
      <modifiedWord/>
      <trackRevisions>false</trackRevisions>
    </reviewItem>
    <reviewItem>
      <errorID>e7a70320-7b6e-4287-84cc-b669adb5da01</errorID>
      <errorWord>鸿福</errorWord>
      <group>L1_Word</group>
      <groupName>字词问题</groupName>
      <ability>L2_Variant</ability>
      <abilityName>异形词</abilityName>
      <candidateList>
        <item>洪福</item>
      </candidateList>
      <explain>词汇[鸿福]的规范词形写作[洪福]。</explain>
      <paraID> 9E2D940</paraID>
      <start>124</start>
      <end>126</end>
      <status>unmodified</status>
      <modifiedWord/>
      <trackRevisions>false</trackRevisions>
    </reviewItem>
    <reviewItem>
      <errorID>e91be794-8f2a-4114-b8df-0d63a63a0a55</errorID>
      <errorWord>苯丙胺</errorWord>
      <group>L1_Word</group>
      <groupName>字词问题</groupName>
      <ability>L2_Typo</ability>
      <abilityName>字词错误</abilityName>
      <candidateList/>
      <explain>【违禁内容】句中涉及国家法律明令禁止的违禁内容，请注意甄别。</explain>
      <paraID>4F092FC8</paraID>
      <start>32</start>
      <end>35</end>
      <status>unmodified</status>
      <modifiedWord/>
      <trackRevisions>false</trackRevisions>
    </reviewItem>
    <reviewItem>
      <errorID>d442ab85-2a97-4cf7-85d0-59dce62e84f2</errorID>
      <errorWord>、</errorWord>
      <group>L1_Punc</group>
      <groupName>标点问题</groupName>
      <ability>L2_Punc_CN</ability>
      <abilityName>标点符号问题</abilityName>
      <candidateList>
        <item>.</item>
      </candidateList>
      <explain/>
      <paraID>3A4A675B</paraID>
      <start>1</start>
      <end>2</end>
      <status>unmodified</status>
      <modifiedWord/>
      <trackRevisions>false</trackRevisions>
    </reviewItem>
    <reviewItem>
      <errorID>63fdd62b-c447-4f31-af3e-936850b36d5f</errorID>
      <errorWord>、</errorWord>
      <group>L1_Punc</group>
      <groupName>标点问题</groupName>
      <ability>L2_Punc_CN</ability>
      <abilityName>标点符号问题</abilityName>
      <candidateList>
        <item>.</item>
      </candidateList>
      <explain/>
      <paraID>751B9BE9</paraID>
      <start>1</start>
      <end>2</end>
      <status>unmodified</status>
      <modifiedWord/>
      <trackRevisions>false</trackRevisions>
    </reviewItem>
    <reviewItem>
      <errorID>8847852a-47f2-416b-93bf-4017d706c693</errorID>
      <errorWord>、</errorWord>
      <group>L1_Punc</group>
      <groupName>标点问题</groupName>
      <ability>L2_Punc_CN</ability>
      <abilityName>标点符号问题</abilityName>
      <candidateList>
        <item>.</item>
      </candidateList>
      <explain/>
      <paraID> 3C131F6</paraID>
      <start>1</start>
      <end>2</end>
      <status>unmodified</status>
      <modifiedWord/>
      <trackRevisions>false</trackRevisions>
    </reviewItem>
    <reviewItem>
      <errorID>5aa514f5-c2c4-48f2-8e7b-2b705c19ae3d</errorID>
      <errorWord>、</errorWord>
      <group>L1_Punc</group>
      <groupName>标点问题</groupName>
      <ability>L2_Punc_CN</ability>
      <abilityName>标点符号问题</abilityName>
      <candidateList>
        <item>.</item>
      </candidateList>
      <explain/>
      <paraID>  30E613</paraID>
      <start>1</start>
      <end>2</end>
      <status>unmodified</status>
      <modifiedWord/>
      <trackRevisions>false</trackRevisions>
    </reviewItem>
    <reviewItem>
      <errorID>314f7958-a8de-40a6-b281-fe8b282e279d</errorID>
      <errorWord>、</errorWord>
      <group>L1_Punc</group>
      <groupName>标点问题</groupName>
      <ability>L2_Punc_CN</ability>
      <abilityName>标点符号问题</abilityName>
      <candidateList>
        <item>.</item>
      </candidateList>
      <explain/>
      <paraID>53E07CEF</paraID>
      <start>1</start>
      <end>2</end>
      <status>unmodified</status>
      <modifiedWord/>
      <trackRevisions>false</trackRevisions>
    </reviewItem>
    <reviewItem>
      <errorID>46ede91a-62ea-48e9-8786-96c1cd582e8c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2D08095B</paraID>
      <start>0</start>
      <end>2</end>
      <status>unmodified</status>
      <modifiedWord/>
      <trackRevisions>false</trackRevisions>
    </reviewItem>
    <reviewItem>
      <errorID>cba0e3e0-2344-4dd4-9479-f1356aa54d6e</errorID>
      <errorWord>物</errorWord>
      <group>L1_Word</group>
      <groupName>字词问题</groupName>
      <ability>L2_Typo</ability>
      <abilityName>字词错误</abilityName>
      <candidateList>
        <item>物等</item>
      </candidateList>
      <explain/>
      <paraID> 35F90F3</paraID>
      <start>18</start>
      <end>19</end>
      <status>unmodified</status>
      <modifiedWord/>
      <trackRevisions>false</trackRevisions>
    </reviewItem>
    <reviewItem>
      <errorID>b8734586-10c3-4b31-86d5-46dc151b8f4f</errorID>
      <errorWord>20%~30%</errorWord>
      <group>L1_Knowledge</group>
      <groupName>知识性问题</groupName>
      <ability>L2_Knowledge</ability>
      <abilityName>其他知识</abilityName>
      <candidateList>
        <item>20%～30%</item>
      </candidateList>
      <explain>1. “20%~30%”中的单位“%”仅出现在后一个数字上，容易引起歧义；根据《现代汉语标点符号数字用法规范手册》，数字表示范围两边需要使用统一的格式。2. 根据标点国标 4.13 中的规则，数字、时间或地域连接符应使用（视觉上更长的）“—”或“～”。</explain>
      <paraID>70E14BD6</paraID>
      <start>94</start>
      <end>101</end>
      <status>unmodified</status>
      <modifiedWord/>
      <trackRevisions>false</trackRevisions>
    </reviewItem>
    <reviewItem>
      <errorID>a519e55c-d881-4b25-af67-13945f8a8b48</errorID>
      <errorWord>时</errorWord>
      <group>L1_Word</group>
      <groupName>字词问题</groupName>
      <ability>L2_Typo</ability>
      <abilityName>字词错误</abilityName>
      <candidateList>
        <item>使</item>
      </candidateList>
      <explain>存在发音相同字词的误用。</explain>
      <paraID>4FCD6AEA</paraID>
      <start>8</start>
      <end>9</end>
      <status>unmodified</status>
      <modifiedWord/>
      <trackRevisions>false</trackRevisions>
    </reviewItem>
    <reviewItem>
      <errorID>d13f102e-21c8-43c9-bb88-2b6ec56b8f24</errorID>
      <errorWord>连动</errorWord>
      <group>L1_Word</group>
      <groupName>字词问题</groupName>
      <ability>L2_Typo</ability>
      <abilityName>字词错误</abilityName>
      <candidateList>
        <item>联动</item>
      </candidateList>
      <explain>存在发音相同字词的误用。</explain>
      <paraID>41AA5859</paraID>
      <start>3</start>
      <end>5</end>
      <status>unmodified</status>
      <modifiedWord/>
      <trackRevisions>false</trackRevisions>
    </reviewItem>
    <reviewItem>
      <errorID>2ce01ff8-65bf-4876-908c-7e9c6fc4c815</errorID>
      <errorWord>、就</errorWord>
      <group>L1_Punc</group>
      <groupName>标点问题</groupName>
      <ability>L2_Punc_CN</ability>
      <abilityName>标点符号问题</abilityName>
      <candidateList>
        <item>，就</item>
      </candidateList>
      <explain>连接词前后不宜使用顿号，建议使用逗号。</explain>
      <paraID>5F5F835C</paraID>
      <start>67</start>
      <end>69</end>
      <status>unmodified</status>
      <modifiedWord/>
      <trackRevisions>false</trackRevisions>
    </reviewItem>
    <reviewItem>
      <errorID>5cdcb1ef-cef8-4d8a-a459-b303c76a5228</errorID>
      <errorWord>出</errorWord>
      <group>L1_Word</group>
      <groupName>字词问题</groupName>
      <ability>L2_Typo</ability>
      <abilityName>字词错误</abilityName>
      <candidateList>
        <item>除</item>
      </candidateList>
      <explain/>
      <paraID>54B118B4</paraID>
      <start>38</start>
      <end>39</end>
      <status>unmodified</status>
      <modifiedWord/>
      <trackRevisions>false</trackRevisions>
    </reviewItem>
    <reviewItem>
      <errorID>e68ed147-f99e-4bf7-8eab-11bbf2e90261</errorID>
      <errorWord>效率高</errorWord>
      <group>L1_Word</group>
      <groupName>字词问题</groupName>
      <ability>L2_Typo</ability>
      <abilityName>字词错误</abilityName>
      <candidateList>
        <item>效率</item>
      </candidateList>
      <explain/>
      <paraID>6EEFF17D</paraID>
      <start>9</start>
      <end>12</end>
      <status>unmodified</status>
      <modifiedWord/>
      <trackRevisions>false</trackRevisions>
    </reviewItem>
    <reviewItem>
      <errorID>1824bb41-5cdd-48d9-af13-c26cdb5359fb</errorID>
      <errorWord>：</errorWord>
      <group>L1_Format</group>
      <groupName>格式问题</groupName>
      <ability>L2_HalfPunc_CN</ability>
      <abilityName>全半角问题</abilityName>
      <candidateList>
        <item>:</item>
      </candidateList>
      <explain>文本全半角错误。</explain>
      <paraID>59559090</paraID>
      <start>16</start>
      <end>17</end>
      <status>unmodified</status>
      <modifiedWord/>
      <trackRevisions>false</trackRevisions>
    </reviewItem>
    <reviewItem>
      <errorID>c300f905-c39c-42ca-95f7-92c580021c85</errorID>
      <errorWord>（</errorWord>
      <group>L1_Punc</group>
      <groupName>标点问题</groupName>
      <ability>L2_Punc_CN</ability>
      <abilityName>标点符号问题</abilityName>
      <candidateList/>
      <explain>同一形式括号套用。</explain>
      <paraID>545059A5</paraID>
      <start>19</start>
      <end>20</end>
      <status>unmodified</status>
      <modifiedWord/>
      <trackRevisions>false</trackRevisions>
    </reviewItem>
    <reviewItem>
      <errorID>9c5fa74e-c9b9-4f4e-a766-fafabac9688d</errorID>
      <errorWord>）</errorWord>
      <group>L1_Punc</group>
      <groupName>标点问题</groupName>
      <ability>L2_Punc_CN</ability>
      <abilityName>标点符号问题</abilityName>
      <candidateList/>
      <explain>同一形式括号套用。</explain>
      <paraID>545059A5</paraID>
      <start>22</start>
      <end>23</end>
      <status>unmodified</status>
      <modifiedWord/>
      <trackRevisions>false</trackRevisions>
    </reviewItem>
    <reviewItem>
      <errorID>c8899f05-3f77-4770-9817-45e0dd21baae</errorID>
      <errorWord>（</errorWord>
      <group>L1_Punc</group>
      <groupName>标点问题</groupName>
      <ability>L2_Punc_CN</ability>
      <abilityName>标点符号问题</abilityName>
      <candidateList/>
      <explain>同一形式括号套用。</explain>
      <paraID>545059A5</paraID>
      <start>36</start>
      <end>37</end>
      <status>unmodified</status>
      <modifiedWord/>
      <trackRevisions>false</trackRevisions>
    </reviewItem>
    <reviewItem>
      <errorID>54a85a67-927c-459c-998c-dd85f0f36db2</errorID>
      <errorWord>）</errorWord>
      <group>L1_Punc</group>
      <groupName>标点问题</groupName>
      <ability>L2_Punc_CN</ability>
      <abilityName>标点符号问题</abilityName>
      <candidateList/>
      <explain>同一形式括号套用。</explain>
      <paraID>545059A5</paraID>
      <start>43</start>
      <end>44</end>
      <status>unmodified</status>
      <modifiedWord/>
      <trackRevisions>false</trackRevisions>
    </reviewItem>
    <reviewItem>
      <errorID>ada6fd12-dee8-466a-8a91-e0dac3c562ab</errorID>
      <errorWord>（</errorWord>
      <group>L1_Punc</group>
      <groupName>标点问题</groupName>
      <ability>L2_Punc_CN</ability>
      <abilityName>标点符号问题</abilityName>
      <candidateList/>
      <explain>同一形式括号套用。</explain>
      <paraID>5DBABA98</paraID>
      <start>35</start>
      <end>36</end>
      <status>unmodified</status>
      <modifiedWord/>
      <trackRevisions>false</trackRevisions>
    </reviewItem>
    <reviewItem>
      <errorID>ea29784f-1df3-4b7e-aa58-d9d72b69dc8b</errorID>
      <errorWord>）</errorWord>
      <group>L1_Punc</group>
      <groupName>标点问题</groupName>
      <ability>L2_Punc_CN</ability>
      <abilityName>标点符号问题</abilityName>
      <candidateList/>
      <explain>同一形式括号套用。</explain>
      <paraID>5DBABA98</paraID>
      <start>43</start>
      <end>44</end>
      <status>unmodified</status>
      <modifiedWord/>
      <trackRevisions>false</trackRevisions>
    </reviewItem>
    <reviewItem>
      <errorID>456a8cd8-6c7c-4dc4-81a1-951ab8d3d2e2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283B1EC2</paraID>
      <start>0</start>
      <end>2</end>
      <status>unmodified</status>
      <modifiedWord/>
      <trackRevisions>false</trackRevisions>
    </reviewItem>
    <reviewItem>
      <errorID>d1dbaa7d-a6bd-423e-97f2-8ae3d1950a58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7747F189</paraID>
      <start>0</start>
      <end>2</end>
      <status>unmodified</status>
      <modifiedWord/>
      <trackRevisions>false</trackRevisions>
    </reviewItem>
    <reviewItem>
      <errorID>c0e1f5a7-7839-4630-b4f5-0e88b1cf6b40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2E0824AD</paraID>
      <start>0</start>
      <end>2</end>
      <status>unmodified</status>
      <modifiedWord/>
      <trackRevisions>false</trackRevisions>
    </reviewItem>
    <reviewItem>
      <errorID>a6b501b9-76f9-4ae8-a148-bb8589a80697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60C64062</paraID>
      <start>0</start>
      <end>2</end>
      <status>unmodified</status>
      <modifiedWord/>
      <trackRevisions>false</trackRevisions>
    </reviewItem>
    <reviewItem>
      <errorID>dca7f16c-b4d6-4d4e-91cc-4d994f251a91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75F659D7</paraID>
      <start>0</start>
      <end>2</end>
      <status>unmodified</status>
      <modifiedWord/>
      <trackRevisions>false</trackRevisions>
    </reviewItem>
    <reviewItem>
      <errorID>f6ec9f1f-3aef-4be6-a8dc-9863cfc12f31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72EBECA4</paraID>
      <start>172</start>
      <end>173</end>
      <status>unmodified</status>
      <modifiedWord/>
      <trackRevisions>false</trackRevisions>
    </reviewItem>
    <reviewItem>
      <errorID>231fefce-ad26-4d59-b1d0-c108b17d1997</errorID>
      <errorWord>-</errorWord>
      <group>L1_Format</group>
      <groupName>格式问题</groupName>
      <ability>L2_HalfPunc_CN</ability>
      <abilityName>全半角问题</abilityName>
      <candidateList>
        <item>－</item>
      </candidateList>
      <explain>文本全半角错误。</explain>
      <paraID>528E61FC</paraID>
      <start>33</start>
      <end>34</end>
      <status>unmodified</status>
      <modifiedWord/>
      <trackRevisions>false</trackRevisions>
    </reviewItem>
    <reviewItem>
      <errorID>e3b09710-8f4c-4b9f-8da7-7a56fd9db46f</errorID>
      <errorWord>-</errorWord>
      <group>L1_Format</group>
      <groupName>格式问题</groupName>
      <ability>L2_HalfPunc_CN</ability>
      <abilityName>全半角问题</abilityName>
      <candidateList>
        <item>－</item>
      </candidateList>
      <explain>文本全半角错误。</explain>
      <paraID>528E61FC</paraID>
      <start>92</start>
      <end>93</end>
      <status>unmodified</status>
      <modifiedWord/>
      <trackRevisions>false</trackRevisions>
    </reviewItem>
    <reviewItem>
      <errorID>c70ac291-e84d-4541-8369-6a87a856d715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528E61FC</paraID>
      <start>144</start>
      <end>145</end>
      <status>unmodified</status>
      <modifiedWord/>
      <trackRevisions>false</trackRevisions>
    </reviewItem>
    <reviewItem>
      <errorID>6b8ae6b6-9ac7-4e0c-aadf-945f0a6fe566</errorID>
      <errorWord>-</errorWord>
      <group>L1_Format</group>
      <groupName>格式问题</groupName>
      <ability>L2_HalfPunc_CN</ability>
      <abilityName>全半角问题</abilityName>
      <candidateList>
        <item>－</item>
      </candidateList>
      <explain>文本全半角错误。</explain>
      <paraID>528E61FC</paraID>
      <start>163</start>
      <end>164</end>
      <status>unmodified</status>
      <modifiedWord/>
      <trackRevisions>false</trackRevisions>
    </reviewItem>
    <reviewItem>
      <errorID>cbad55f1-9836-48c1-b425-f4fd878bd8cc</errorID>
      <errorWord>-</errorWord>
      <group>L1_Format</group>
      <groupName>格式问题</groupName>
      <ability>L2_HalfPunc_CN</ability>
      <abilityName>全半角问题</abilityName>
      <candidateList>
        <item>－</item>
      </candidateList>
      <explain>文本全半角错误。</explain>
      <paraID>528E61FC</paraID>
      <start>169</start>
      <end>170</end>
      <status>unmodified</status>
      <modifiedWord/>
      <trackRevisions>false</trackRevisions>
    </reviewItem>
    <reviewItem>
      <errorID>1e08a3f4-5720-46f4-b303-07714c335705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570CD8AF</paraID>
      <start>59</start>
      <end>60</end>
      <status>unmodified</status>
      <modifiedWord/>
      <trackRevisions>false</trackRevisions>
    </reviewItem>
    <reviewItem>
      <errorID>8215976c-6115-43bd-b334-4ff94cd84961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794593D1</paraID>
      <start>26</start>
      <end>27</end>
      <status>unmodified</status>
      <modifiedWord/>
      <trackRevisions>false</trackRevisions>
    </reviewItem>
    <reviewItem>
      <errorID>eca2b63f-3da3-4e95-acd8-769a22911d8c</errorID>
      <errorWord>-</errorWord>
      <group>L1_Format</group>
      <groupName>格式问题</groupName>
      <ability>L2_HalfPunc_CN</ability>
      <abilityName>全半角问题</abilityName>
      <candidateList>
        <item>－</item>
      </candidateList>
      <explain>文本全半角错误。</explain>
      <paraID>7BE7464F</paraID>
      <start>59</start>
      <end>60</end>
      <status>unmodified</status>
      <modifiedWord/>
      <trackRevisions>false</trackRevisions>
    </reviewItem>
    <reviewItem>
      <errorID>bcdbd9cf-93e4-42bd-9ecb-265adb858178</errorID>
      <errorWord>既</errorWord>
      <group>L1_Word</group>
      <groupName>字词问题</groupName>
      <ability>L2_Typo</ability>
      <abilityName>字词错误</abilityName>
      <candidateList>
        <item>即</item>
      </candidateList>
      <explain>存在发音相同字词的误用。</explain>
      <paraID>7BE7464F</paraID>
      <start>84</start>
      <end>85</end>
      <status>unmodified</status>
      <modifiedWord/>
      <trackRevisions>false</trackRevisions>
    </reviewItem>
    <reviewItem>
      <errorID>f2f0f7f6-b14e-4ac0-9a15-0f08abebbc9d</errorID>
      <errorWord>既</errorWord>
      <group>L1_Word</group>
      <groupName>字词问题</groupName>
      <ability>L2_Typo</ability>
      <abilityName>字词错误</abilityName>
      <candidateList>
        <item>即</item>
      </candidateList>
      <explain>存在发音相同字词的误用。</explain>
      <paraID>7BE7464F</paraID>
      <start>122</start>
      <end>123</end>
      <status>unmodified</status>
      <modifiedWord/>
      <trackRevisions>false</trackRevisions>
    </reviewItem>
    <reviewItem>
      <errorID>95d2a353-452e-4415-8ec7-5b2b9e7f6e2e</errorID>
      <errorWord>既</errorWord>
      <group>L1_Word</group>
      <groupName>字词问题</groupName>
      <ability>L2_Typo</ability>
      <abilityName>字词错误</abilityName>
      <candidateList>
        <item>即</item>
      </candidateList>
      <explain>存在发音相同字词的误用。</explain>
      <paraID>7BE7464F</paraID>
      <start>162</start>
      <end>163</end>
      <status>unmodified</status>
      <modifiedWord/>
      <trackRevisions>false</trackRevisions>
    </reviewItem>
    <reviewItem>
      <errorID>baa3b932-9282-4d9f-8aa5-3ea2c70d0bc5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7BE7464F</paraID>
      <start>247</start>
      <end>248</end>
      <status>unmodified</status>
      <modifiedWord/>
      <trackRevisions>false</trackRevisions>
    </reviewItem>
    <reviewItem>
      <errorID>4147c419-181a-4119-be4a-f4c5be66e6e2</errorID>
      <errorWord>既</errorWord>
      <group>L1_Word</group>
      <groupName>字词问题</groupName>
      <ability>L2_Typo</ability>
      <abilityName>字词错误</abilityName>
      <candidateList>
        <item>即</item>
      </candidateList>
      <explain/>
      <paraID>2DA4DD96</paraID>
      <start>4</start>
      <end>5</end>
      <status>unmodified</status>
      <modifiedWord/>
      <trackRevisions>false</trackRevisions>
    </reviewItem>
    <reviewItem>
      <errorID>e2d4a27b-4147-4b4e-8bcf-e5fead64b996</errorID>
      <errorWord>既</errorWord>
      <group>L1_Word</group>
      <groupName>字词问题</groupName>
      <ability>L2_Typo</ability>
      <abilityName>字词错误</abilityName>
      <candidateList>
        <item>即</item>
      </candidateList>
      <explain>存在发音相同字词的误用。</explain>
      <paraID>204B4686</paraID>
      <start>4</start>
      <end>5</end>
      <status>unmodified</status>
      <modifiedWord/>
      <trackRevisions>false</trackRevisions>
    </reviewItem>
    <reviewItem>
      <errorID>65f71d9d-3aad-45d8-b8cd-4febfdc70067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557FE9FF</paraID>
      <start>137</start>
      <end>138</end>
      <status>unmodified</status>
      <modifiedWord/>
      <trackRevisions>false</trackRevisions>
    </reviewItem>
    <reviewItem>
      <errorID>c613536f-14ab-4f39-87d6-c48d42472ea6</errorID>
      <errorWord>30～35万</errorWord>
      <group>L1_Knowledge</group>
      <groupName>知识性问题</groupName>
      <ability>L2_Knowledge</ability>
      <abilityName>其他知识</abilityName>
      <candidateList>
        <item>30万～35万</item>
      </candidateList>
      <explain>1. “30～35万”中的单位“万”仅出现在后一个数字上，容易引起歧义；根据《现代汉语标点符号数字用法规范手册》，数字表示范围两边需要使用统一的格式。2.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3940E4E9</paraID>
      <start>7</start>
      <end>13</end>
      <status>unmodified</status>
      <modifiedWord/>
      <trackRevisions>false</trackRevisions>
    </reviewItem>
    <reviewItem>
      <errorID>57638fbf-477b-490d-8e48-e992f9208ea3</errorID>
      <errorWord>方</errorWord>
      <group>L1_Word</group>
      <groupName>字词问题</groupName>
      <ability>L2_Typo</ability>
      <abilityName>字词错误</abilityName>
      <candidateList>
        <item>方米</item>
      </candidateList>
      <explain/>
      <paraID> 936D850</paraID>
      <start>14</start>
      <end>15</end>
      <status>unmodified</status>
      <modifiedWord/>
      <trackRevisions>false</trackRevisions>
    </reviewItem>
    <reviewItem>
      <errorID>5b30aabc-305a-4b12-b0e1-536386b45780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1E534B0B</paraID>
      <start>9</start>
      <end>10</end>
      <status>unmodified</status>
      <modifiedWord/>
      <trackRevisions>false</trackRevisions>
    </reviewItem>
    <reviewItem>
      <errorID>c77c44aa-daf0-4cb2-8930-2ab922aaef7c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10B77E78</paraID>
      <start>9</start>
      <end>10</end>
      <status>unmodified</status>
      <modifiedWord/>
      <trackRevisions>false</trackRevisions>
    </reviewItem>
    <reviewItem>
      <errorID>6ebf8b6f-3e50-4fa7-aeb1-4326299a0d4f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7D0A155D</paraID>
      <start>0</start>
      <end>2</end>
      <status>unmodified</status>
      <modifiedWord/>
      <trackRevisions>false</trackRevisions>
    </reviewItem>
    <reviewItem>
      <errorID>b87b2a5d-8ee5-4a32-95f8-216e462a370e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59EE856A</paraID>
      <start>0</start>
      <end>2</end>
      <status>unmodified</status>
      <modifiedWord/>
      <trackRevisions>false</trackRevisions>
    </reviewItem>
    <reviewItem>
      <errorID>e7b32535-adb7-43d7-92de-27d972d4e667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2D1C2F58</paraID>
      <start>0</start>
      <end>2</end>
      <status>unmodified</status>
      <modifiedWord/>
      <trackRevisions>false</trackRevisions>
    </reviewItem>
    <reviewItem>
      <errorID>09696247-935e-447b-b496-4639c43c3318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10305F30</paraID>
      <start>0</start>
      <end>2</end>
      <status>unmodified</status>
      <modifiedWord/>
      <trackRevisions>false</trackRevisions>
    </reviewItem>
    <reviewItem>
      <errorID>676e8ccd-82ac-4dc5-b086-017a18023c1f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52E717AE</paraID>
      <start>0</start>
      <end>2</end>
      <status>unmodified</status>
      <modifiedWord/>
      <trackRevisions>false</trackRevisions>
    </reviewItem>
    <reviewItem>
      <errorID>493b86db-a86a-4120-a06b-33a9613dd09c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4A70A9AD</paraID>
      <start>0</start>
      <end>2</end>
      <status>unmodified</status>
      <modifiedWord/>
      <trackRevisions>false</trackRevisions>
    </reviewItem>
    <reviewItem>
      <errorID>c41fa4ac-606c-4986-bbb2-1ad9a97e1276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71A1EF9B</paraID>
      <start>0</start>
      <end>2</end>
      <status>unmodified</status>
      <modifiedWord/>
      <trackRevisions>false</trackRevisions>
    </reviewItem>
    <reviewItem>
      <errorID>da757fc7-4643-446a-86af-77af7df5f41a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5AB3D36B</paraID>
      <start>0</start>
      <end>2</end>
      <status>unmodified</status>
      <modifiedWord/>
      <trackRevisions>false</trackRevisions>
    </reviewItem>
    <reviewItem>
      <errorID>6b01d425-32f9-48f4-89e6-9dbe1275e169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B6801C5</paraID>
      <start>0</start>
      <end>2</end>
      <status>unmodified</status>
      <modifiedWord/>
      <trackRevisions>false</trackRevisions>
    </reviewItem>
    <reviewItem>
      <errorID>b822aea4-a868-4f76-9dde-4a72d7f23e69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4EDDDFAF</paraID>
      <start>0</start>
      <end>2</end>
      <status>unmodified</status>
      <modifiedWord/>
      <trackRevisions>false</trackRevisions>
    </reviewItem>
    <reviewItem>
      <errorID>5ca6003c-f580-4f10-8885-78cf60f4e49b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2C651BFD</paraID>
      <start>0</start>
      <end>2</end>
      <status>unmodified</status>
      <modifiedWord/>
      <trackRevisions>false</trackRevisions>
    </reviewItem>
    <reviewItem>
      <errorID>1cd90eff-7a8a-4094-ab9a-5290263c109e</errorID>
      <errorWord>重碳酸盐</errorWord>
      <group>L1_Knowledge</group>
      <groupName>知识性问题</groupName>
      <ability>L2_Term</ability>
      <abilityName>专业术语</abilityName>
      <candidateList>
        <item>碳酸氢盐</item>
      </candidateList>
      <explain>医学名词[重碳酸盐]为不规范表述或旧称，其规范书面表述为[碳酸氢盐]。</explain>
      <paraID> AEFF0D9</paraID>
      <start>0</start>
      <end>4</end>
      <status>unmodified</status>
      <modifiedWord/>
      <trackRevisions>false</trackRevisions>
    </reviewItem>
    <reviewItem>
      <errorID>d665ac9d-b16a-44e4-bb49-7570ba342139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3386EDDB</paraID>
      <start>0</start>
      <end>2</end>
      <status>unmodified</status>
      <modifiedWord/>
      <trackRevisions>false</trackRevisions>
    </reviewItem>
    <reviewItem>
      <errorID>39ffa504-2f01-40ab-88d7-164296c8301e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2BABAA40</paraID>
      <start>0</start>
      <end>2</end>
      <status>unmodified</status>
      <modifiedWord/>
      <trackRevisions>false</trackRevisions>
    </reviewItem>
    <reviewItem>
      <errorID>a74d4e56-938d-4729-bbd0-e3b2e0737c90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4EC376C1</paraID>
      <start>0</start>
      <end>2</end>
      <status>unmodified</status>
      <modifiedWord/>
      <trackRevisions>false</trackRevisions>
    </reviewItem>
    <reviewItem>
      <errorID>0c66a6d3-cfab-4cda-ab4d-b91af79a5928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28D65B70</paraID>
      <start>0</start>
      <end>2</end>
      <status>unmodified</status>
      <modifiedWord/>
      <trackRevisions>false</trackRevisions>
    </reviewItem>
    <reviewItem>
      <errorID>bec36257-c671-4856-86b6-3e83545dad62</errorID>
      <errorWord>年年</errorWord>
      <group>L1_Word</group>
      <groupName>字词问题</groupName>
      <ability>L2_Typo</ability>
      <abilityName>字词错误</abilityName>
      <candidateList>
        <item>年</item>
      </candidateList>
      <explain/>
      <paraID>227799D0</paraID>
      <start>42</start>
      <end>44</end>
      <status>unmodified</status>
      <modifiedWord/>
      <trackRevisions>false</trackRevisions>
    </reviewItem>
    <reviewItem>
      <errorID>52297265-245e-4b85-97b9-8fc1e65eebdb</errorID>
      <errorWord>~</errorWord>
      <group>L1_Format</group>
      <groupName>格式问题</groupName>
      <ability>L2_HalfPunc_CN</ability>
      <abilityName>全半角问题</abilityName>
      <candidateList>
        <item>～</item>
      </candidateList>
      <explain>文本全半角错误。</explain>
      <paraID>6A065822</paraID>
      <start>3</start>
      <end>4</end>
      <status>unmodified</status>
      <modifiedWord/>
      <trackRevisions>false</trackRevisions>
    </reviewItem>
    <reviewItem>
      <errorID>c7f03e96-b9d7-40f2-8b20-1bbc16f814ac</errorID>
      <errorWord>（/</errorWord>
      <group>L1_Punc</group>
      <groupName>标点问题</groupName>
      <ability>L2_Punc_CN</ability>
      <abilityName>标点符号问题</abilityName>
      <candidateList>
        <item>（</item>
      </candidateList>
      <explain/>
      <paraID>7969617D</paraID>
      <start>1</start>
      <end>3</end>
      <status>unmodified</status>
      <modifiedWord/>
      <trackRevisions>false</trackRevisions>
    </reviewItem>
    <reviewItem>
      <errorID>eea9fb16-5f52-4c40-940a-0ce918cddd5b</errorID>
      <errorWord>（/</errorWord>
      <group>L1_Punc</group>
      <groupName>标点问题</groupName>
      <ability>L2_Punc_CN</ability>
      <abilityName>标点符号问题</abilityName>
      <candidateList>
        <item>（</item>
      </candidateList>
      <explain/>
      <paraID>7969617D</paraID>
      <start>8</start>
      <end>10</end>
      <status>unmodified</status>
      <modifiedWord/>
      <trackRevisions>false</trackRevisions>
    </reviewItem>
    <reviewItem>
      <errorID>095df1d0-2a57-4199-8f9d-01067f47fe51</errorID>
      <errorWord>（/</errorWord>
      <group>L1_Punc</group>
      <groupName>标点问题</groupName>
      <ability>L2_Punc_CN</ability>
      <abilityName>标点符号问题</abilityName>
      <candidateList>
        <item>（</item>
      </candidateList>
      <explain/>
      <paraID> 4AF7650</paraID>
      <start>24</start>
      <end>26</end>
      <status>unmodified</status>
      <modifiedWord/>
      <trackRevisions>false</trackRevisions>
    </reviewItem>
    <reviewItem>
      <errorID>200bc9a3-7c26-4a94-b04d-6ceaf0bb2583</errorID>
      <errorWord>（/</errorWord>
      <group>L1_Punc</group>
      <groupName>标点问题</groupName>
      <ability>L2_Punc_CN</ability>
      <abilityName>标点符号问题</abilityName>
      <candidateList>
        <item>（</item>
      </candidateList>
      <explain/>
      <paraID>2A857F13</paraID>
      <start>0</start>
      <end>2</end>
      <status>unmodified</status>
      <modifiedWord/>
      <trackRevisions>false</trackRevisions>
    </reviewItem>
    <reviewItem>
      <errorID>d045e7bd-be6a-4f51-b2d7-7d24e23883d8</errorID>
      <errorWord>测</errorWord>
      <group>L1_Word</group>
      <groupName>字词问题</groupName>
      <ability>L2_Typo</ability>
      <abilityName>字词错误</abilityName>
      <candidateList>
        <item>的</item>
      </candidateList>
      <explain/>
      <paraID>3010A1AC</paraID>
      <start>0</start>
      <end>1</end>
      <status>unmodified</status>
      <modifiedWord/>
      <trackRevisions>false</trackRevisions>
    </reviewItem>
    <reviewItem>
      <errorID>6cf770a3-5b15-490b-9110-12ec634f5b38</errorID>
      <errorWord>（/</errorWord>
      <group>L1_Punc</group>
      <groupName>标点问题</groupName>
      <ability>L2_Punc_CN</ability>
      <abilityName>标点符号问题</abilityName>
      <candidateList>
        <item>（</item>
      </candidateList>
      <explain/>
      <paraID>  7CB0B6</paraID>
      <start>5</start>
      <end>7</end>
      <status>unmodified</status>
      <modifiedWord/>
      <trackRevisions>false</trackRevisions>
    </reviewItem>
    <reviewItem>
      <errorID>078b4d85-90d0-469e-9892-bcf4d791c760</errorID>
      <errorWord>（/</errorWord>
      <group>L1_Punc</group>
      <groupName>标点问题</groupName>
      <ability>L2_Punc_CN</ability>
      <abilityName>标点符号问题</abilityName>
      <candidateList>
        <item>（</item>
      </candidateList>
      <explain/>
      <paraID>  7CB0B6</paraID>
      <start>24</start>
      <end>26</end>
      <status>unmodified</status>
      <modifiedWord/>
      <trackRevisions>false</trackRevisions>
    </reviewItem>
    <reviewItem>
      <errorID>2d727d9c-4446-4bec-9c8a-fb23c9fb00f2</errorID>
      <errorWord>（/</errorWord>
      <group>L1_Punc</group>
      <groupName>标点问题</groupName>
      <ability>L2_Punc_CN</ability>
      <abilityName>标点符号问题</abilityName>
      <candidateList>
        <item>（</item>
      </candidateList>
      <explain/>
      <paraID>3C2877EE</paraID>
      <start>0</start>
      <end>2</end>
      <status>unmodified</status>
      <modifiedWord/>
      <trackRevisions>false</trackRevisions>
    </reviewItem>
    <reviewItem>
      <errorID>3463981a-d82a-48f5-a875-610aad3b71e4</errorID>
      <errorWord>（/</errorWord>
      <group>L1_Punc</group>
      <groupName>标点问题</groupName>
      <ability>L2_Punc_CN</ability>
      <abilityName>标点符号问题</abilityName>
      <candidateList>
        <item>（</item>
      </candidateList>
      <explain/>
      <paraID>4FF16AC3</paraID>
      <start>0</start>
      <end>2</end>
      <status>unmodified</status>
      <modifiedWord/>
      <trackRevisions>false</trackRevisions>
    </reviewItem>
    <reviewItem>
      <errorID>5c0f0290-9db9-4c13-a7e0-c55cc8f23cde</errorID>
      <errorWord>（/</errorWord>
      <group>L1_Punc</group>
      <groupName>标点问题</groupName>
      <ability>L2_Punc_CN</ability>
      <abilityName>标点符号问题</abilityName>
      <candidateList>
        <item>（</item>
      </candidateList>
      <explain/>
      <paraID>2DA12961</paraID>
      <start>0</start>
      <end>2</end>
      <status>unmodified</status>
      <modifiedWord/>
      <trackRevisions>false</trackRevisions>
    </reviewItem>
    <reviewItem>
      <errorID>83523474-e5b7-4a79-9f5c-be4ec0126a4b</errorID>
      <errorWord>（/</errorWord>
      <group>L1_Punc</group>
      <groupName>标点问题</groupName>
      <ability>L2_Punc_CN</ability>
      <abilityName>标点符号问题</abilityName>
      <candidateList>
        <item>（</item>
      </candidateList>
      <explain/>
      <paraID>53225D70</paraID>
      <start>0</start>
      <end>2</end>
      <status>unmodified</status>
      <modifiedWord/>
      <trackRevisions>false</trackRevisions>
    </reviewItem>
    <reviewItem>
      <errorID>88be17b4-4b9d-434a-b1f6-29b9ef775d65</errorID>
      <errorWord>（/</errorWord>
      <group>L1_Punc</group>
      <groupName>标点问题</groupName>
      <ability>L2_Punc_CN</ability>
      <abilityName>标点符号问题</abilityName>
      <candidateList>
        <item>（</item>
      </candidateList>
      <explain/>
      <paraID>36E6C685</paraID>
      <start>0</start>
      <end>2</end>
      <status>unmodified</status>
      <modifiedWord/>
      <trackRevisions>false</trackRevisions>
    </reviewItem>
    <reviewItem>
      <errorID>0f4bdc2b-2d6b-4461-b8e9-063ef872d7c3</errorID>
      <errorWord>（/</errorWord>
      <group>L1_Punc</group>
      <groupName>标点问题</groupName>
      <ability>L2_Punc_CN</ability>
      <abilityName>标点符号问题</abilityName>
      <candidateList>
        <item>（</item>
      </candidateList>
      <explain/>
      <paraID> E847541</paraID>
      <start>0</start>
      <end>2</end>
      <status>unmodified</status>
      <modifiedWord/>
      <trackRevisions>false</trackRevisions>
    </reviewItem>
    <reviewItem>
      <errorID>2220c9e8-4449-4114-9226-6aff7d199fab</errorID>
      <errorWord>（/</errorWord>
      <group>L1_Punc</group>
      <groupName>标点问题</groupName>
      <ability>L2_Punc_CN</ability>
      <abilityName>标点符号问题</abilityName>
      <candidateList>
        <item>（</item>
      </candidateList>
      <explain/>
      <paraID>461F4CED</paraID>
      <start>0</start>
      <end>2</end>
      <status>unmodified</status>
      <modifiedWord/>
      <trackRevisions>false</trackRevisions>
    </reviewItem>
    <reviewItem>
      <errorID>f627c289-6cb7-4064-b5a4-205336d07dc5</errorID>
      <errorWord>（/</errorWord>
      <group>L1_Punc</group>
      <groupName>标点问题</groupName>
      <ability>L2_Punc_CN</ability>
      <abilityName>标点符号问题</abilityName>
      <candidateList>
        <item>（</item>
      </candidateList>
      <explain/>
      <paraID>3C76E909</paraID>
      <start>0</start>
      <end>2</end>
      <status>unmodified</status>
      <modifiedWord/>
      <trackRevisions>false</trackRevisions>
    </reviewItem>
    <reviewItem>
      <errorID>79e010aa-2a86-4c23-8545-32a8ed787372</errorID>
      <errorWord>（/</errorWord>
      <group>L1_Punc</group>
      <groupName>标点问题</groupName>
      <ability>L2_Punc_CN</ability>
      <abilityName>标点符号问题</abilityName>
      <candidateList>
        <item>（</item>
      </candidateList>
      <explain/>
      <paraID>646006CC</paraID>
      <start>0</start>
      <end>2</end>
      <status>unmodified</status>
      <modifiedWord/>
      <trackRevisions>false</trackRevisions>
    </reviewItem>
    <reviewItem>
      <errorID>ab074723-7498-41ed-840a-8a9a228000b9</errorID>
      <errorWord>（/</errorWord>
      <group>L1_Punc</group>
      <groupName>标点问题</groupName>
      <ability>L2_Punc_CN</ability>
      <abilityName>标点符号问题</abilityName>
      <candidateList>
        <item>（</item>
      </candidateList>
      <explain/>
      <paraID>61A0FFAD</paraID>
      <start>0</start>
      <end>2</end>
      <status>unmodified</status>
      <modifiedWord/>
      <trackRevisions>false</trackRevisions>
    </reviewItem>
    <reviewItem>
      <errorID>88c1f9ca-9c4b-4f79-a427-3c1637110f37</errorID>
      <errorWord>（/</errorWord>
      <group>L1_Punc</group>
      <groupName>标点问题</groupName>
      <ability>L2_Punc_CN</ability>
      <abilityName>标点符号问题</abilityName>
      <candidateList>
        <item>（</item>
      </candidateList>
      <explain/>
      <paraID>29EA874C</paraID>
      <start>0</start>
      <end>2</end>
      <status>unmodified</status>
      <modifiedWord/>
      <trackRevisions>false</trackRevisions>
    </reviewItem>
    <reviewItem>
      <errorID>7c701230-cd7d-4b45-bf36-d22935a9fa53</errorID>
      <errorWord>（/</errorWord>
      <group>L1_Punc</group>
      <groupName>标点问题</groupName>
      <ability>L2_Punc_CN</ability>
      <abilityName>标点符号问题</abilityName>
      <candidateList>
        <item>（</item>
      </candidateList>
      <explain/>
      <paraID>334DDA1F</paraID>
      <start>0</start>
      <end>2</end>
      <status>unmodified</status>
      <modifiedWord/>
      <trackRevisions>false</trackRevisions>
    </reviewItem>
    <reviewItem>
      <errorID>a41fddd4-f8e4-4612-8048-63f69a4ac1d7</errorID>
      <errorWord>（/</errorWord>
      <group>L1_Punc</group>
      <groupName>标点问题</groupName>
      <ability>L2_Punc_CN</ability>
      <abilityName>标点符号问题</abilityName>
      <candidateList>
        <item>（</item>
      </candidateList>
      <explain/>
      <paraID>1E90361C</paraID>
      <start>0</start>
      <end>2</end>
      <status>unmodified</status>
      <modifiedWord/>
      <trackRevisions>false</trackRevisions>
    </reviewItem>
    <reviewItem>
      <errorID>056fa8c2-fd95-4008-8bc2-e361dfa692e1</errorID>
      <errorWord>（</errorWord>
      <group>L1_Punc</group>
      <groupName>标点问题</groupName>
      <ability>L2_Punc_CN</ability>
      <abilityName>标点符号问题</abilityName>
      <candidateList/>
      <explain>同一形式括号套用。</explain>
      <paraID>298F241A</paraID>
      <start>9</start>
      <end>10</end>
      <status>unmodified</status>
      <modifiedWord/>
      <trackRevisions>false</trackRevisions>
    </reviewItem>
    <reviewItem>
      <errorID>27f1392a-9b02-439b-81dc-0779b0ffb204</errorID>
      <errorWord>）</errorWord>
      <group>L1_Punc</group>
      <groupName>标点问题</groupName>
      <ability>L2_Punc_CN</ability>
      <abilityName>标点符号问题</abilityName>
      <candidateList/>
      <explain>同一形式括号套用。</explain>
      <paraID>298F241A</paraID>
      <start>11</start>
      <end>12</end>
      <status>unmodified</status>
      <modifiedWord/>
      <trackRevisions>false</trackRevisions>
    </reviewItem>
    <reviewItem>
      <errorID>fae43afb-311d-4a97-9153-9903e3d7c7ba</errorID>
      <errorWord>（</errorWord>
      <group>L1_Punc</group>
      <groupName>标点问题</groupName>
      <ability>L2_Punc_CN</ability>
      <abilityName>标点符号问题</abilityName>
      <candidateList/>
      <explain>同一形式括号套用。</explain>
      <paraID>13E1AC6E</paraID>
      <start>6</start>
      <end>7</end>
      <status>unmodified</status>
      <modifiedWord/>
      <trackRevisions>false</trackRevisions>
    </reviewItem>
    <reviewItem>
      <errorID>82ffee3c-aeba-4d48-a3a8-e7fc449169ea</errorID>
      <errorWord>）</errorWord>
      <group>L1_Punc</group>
      <groupName>标点问题</groupName>
      <ability>L2_Punc_CN</ability>
      <abilityName>标点符号问题</abilityName>
      <candidateList/>
      <explain>同一形式括号套用。</explain>
      <paraID>13E1AC6E</paraID>
      <start>8</start>
      <end>9</end>
      <status>unmodified</status>
      <modifiedWord/>
      <trackRevisions>false</trackRevisions>
    </reviewItem>
    <reviewItem>
      <errorID>0fb067cd-c6dd-4126-8776-d90a4166ca1c</errorID>
      <errorWord>（</errorWord>
      <group>L1_Punc</group>
      <groupName>标点问题</groupName>
      <ability>L2_Punc_CN</ability>
      <abilityName>标点符号问题</abilityName>
      <candidateList/>
      <explain>同一形式括号套用。</explain>
      <paraID> 120F68C</paraID>
      <start>6</start>
      <end>7</end>
      <status>unmodified</status>
      <modifiedWord/>
      <trackRevisions>false</trackRevisions>
    </reviewItem>
    <reviewItem>
      <errorID>cb55375f-f393-4541-a1cb-767708ad9a59</errorID>
      <errorWord>）</errorWord>
      <group>L1_Punc</group>
      <groupName>标点问题</groupName>
      <ability>L2_Punc_CN</ability>
      <abilityName>标点符号问题</abilityName>
      <candidateList/>
      <explain>同一形式括号套用。</explain>
      <paraID> 120F68C</paraID>
      <start>8</start>
      <end>9</end>
      <status>unmodified</status>
      <modifiedWord/>
      <trackRevisions>false</trackRevisions>
    </reviewItem>
    <reviewItem>
      <errorID>c80897b3-e642-42cc-a33c-829cc96a2c77</errorID>
      <errorWord>（</errorWord>
      <group>L1_Punc</group>
      <groupName>标点问题</groupName>
      <ability>L2_Punc_CN</ability>
      <abilityName>标点符号问题</abilityName>
      <candidateList/>
      <explain>同一形式括号套用。</explain>
      <paraID>371C8967</paraID>
      <start>7</start>
      <end>8</end>
      <status>unmodified</status>
      <modifiedWord/>
      <trackRevisions>false</trackRevisions>
    </reviewItem>
    <reviewItem>
      <errorID>c6aa0405-a7ad-4db2-bfc0-a140c997a445</errorID>
      <errorWord>）</errorWord>
      <group>L1_Punc</group>
      <groupName>标点问题</groupName>
      <ability>L2_Punc_CN</ability>
      <abilityName>标点符号问题</abilityName>
      <candidateList/>
      <explain>同一形式括号套用。</explain>
      <paraID>371C8967</paraID>
      <start>9</start>
      <end>10</end>
      <status>unmodified</status>
      <modifiedWord/>
      <trackRevisions>false</trackRevisions>
    </reviewItem>
    <reviewItem>
      <errorID>a2364be3-183f-4a87-ad76-b65c4f8ad93b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E9D1CDD</paraID>
      <start>3</start>
      <end>4</end>
      <status>unmodified</status>
      <modifiedWord/>
      <trackRevisions>false</trackRevisions>
    </reviewItem>
    <reviewItem>
      <errorID>de9519c6-cc30-4a7e-8d98-2c5fec5cf313</errorID>
      <errorWord>洪扇区</errorWord>
      <group>L1_Knowledge</group>
      <groupName>知识性问题</groupName>
      <ability>L2_Location</ability>
      <abilityName>地名检查</abilityName>
      <candidateList>
        <item>洪山区</item>
      </candidateList>
      <explain>地名表述错误</explain>
      <paraID> 5B72543</paraID>
      <start>12</start>
      <end>15</end>
      <status>unmodified</status>
      <modifiedWord/>
      <trackRevisions>false</trackRevisions>
    </reviewItem>
    <reviewItem>
      <errorID>d6a6b22b-61f0-4f40-a825-f04eb3d9927a</errorID>
      <errorWord>m</errorWord>
      <group>L1_Word</group>
      <groupName>字词问题</groupName>
      <ability>L2_Typo</ability>
      <abilityName>字词错误</abilityName>
      <candidateList>
        <item/>
      </candidateList>
      <explain/>
      <paraID>29022C10</paraID>
      <start>116</start>
      <end>117</end>
      <status>unmodified</status>
      <modifiedWord/>
      <trackRevisions>false</trackRevisions>
    </reviewItem>
    <reviewItem>
      <errorID>2521d79a-dfbc-4c4a-bced-7e9f9651332e</errorID>
      <errorWord>）</errorWord>
      <group>L1_Word</group>
      <groupName>字词问题</groupName>
      <ability>L2_Typo</ability>
      <abilityName>字词错误</abilityName>
      <candidateList>
        <item>）和</item>
      </candidateList>
      <explain/>
      <paraID>74F987FB</paraID>
      <start>92</start>
      <end>93</end>
      <status>unmodified</status>
      <modifiedWord/>
      <trackRevisions>false</trackRevisions>
    </reviewItem>
    <reviewItem>
      <errorID>74c525cf-bd79-4166-ba1e-101a93a1bc67</errorID>
      <errorWord>的粘性</errorWord>
      <group>L1_Word</group>
      <groupName>字词问题</groupName>
      <ability>L2_Typo</ability>
      <abilityName>字词错误</abilityName>
      <candidateList>
        <item>的黏性</item>
      </candidateList>
      <explain/>
      <paraID>305D9838</paraID>
      <start>54</start>
      <end>57</end>
      <status>unmodified</status>
      <modifiedWord/>
      <trackRevisions>false</trackRevisions>
    </reviewItem>
    <reviewItem>
      <errorID>a87caab5-33c1-4ae9-b9c5-04a4061ae569</errorID>
      <errorWord>x，</errorWord>
      <group>L1_Format</group>
      <groupName>格式问题</groupName>
      <ability>L2_Ordinal</ability>
      <abilityName>序号格式</abilityName>
      <candidateList>
        <item>x.</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FFDA01F</paraID>
      <start>1</start>
      <end>3</end>
      <status>unmodified</status>
      <modifiedWord/>
      <trackRevisions>false</trackRevisions>
    </reviewItem>
    <reviewItem>
      <errorID>d4b67329-eb67-4877-99eb-7df212af86d5</errorID>
      <errorWord>点源</errorWord>
      <group>L1_Word</group>
      <groupName>字词问题</groupName>
      <ability>L2_Typo</ability>
      <abilityName>字词错误</abilityName>
      <candidateList>
        <item>源</item>
      </candidateList>
      <explain/>
      <paraID>641E5362</paraID>
      <start>127</start>
      <end>129</end>
      <status>unmodified</status>
      <modifiedWord/>
      <trackRevisions>false</trackRevisions>
    </reviewItem>
    <reviewItem>
      <errorID>24c7796d-8fe2-4c4f-9510-82d7dde0c8a1</errorID>
      <errorWord>程</errorWord>
      <group>L1_Word</group>
      <groupName>字词问题</groupName>
      <ability>L2_Typo</ability>
      <abilityName>字词错误</abilityName>
      <candidateList>
        <item>程中</item>
      </candidateList>
      <explain/>
      <paraID>1DC89E51</paraID>
      <start>55</start>
      <end>56</end>
      <status>unmodified</status>
      <modifiedWord/>
      <trackRevisions>false</trackRevisions>
    </reviewItem>
    <reviewItem>
      <errorID>0fb7c253-63d5-4b9b-9f70-cb67a0abb411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36EDD420</paraID>
      <start>109</start>
      <end>110</end>
      <status>unmodified</status>
      <modifiedWord/>
      <trackRevisions>false</trackRevisions>
    </reviewItem>
    <reviewItem>
      <errorID>1390639e-baee-4cda-8acd-500c9b3e6dd5</errorID>
      <errorWord>）</errorWord>
      <group>L1_Format</group>
      <groupName>格式问题</groupName>
      <ability>L2_HalfPunc_CN</ability>
      <abilityName>全半角问题</abilityName>
      <candidateList>
        <item>)</item>
      </candidateList>
      <explain>文本全半角错误。</explain>
      <paraID>5D273DCD</paraID>
      <start>1</start>
      <end>2</end>
      <status>unmodified</status>
      <modifiedWord/>
      <trackRevisions>false</trackRevisions>
    </reviewItem>
    <reviewItem>
      <errorID>ee40935d-255b-404f-9853-ae61cdf07ec7</errorID>
      <errorWord>措</errorWord>
      <group>L1_Word</group>
      <groupName>字词问题</groupName>
      <ability>L2_Typo</ability>
      <abilityName>字词错误</abilityName>
      <candidateList>
        <item>措施</item>
      </candidateList>
      <explain/>
      <paraID> 17667C4</paraID>
      <start>2</start>
      <end>3</end>
      <status>unmodified</status>
      <modifiedWord/>
      <trackRevisions>false</trackRevisions>
    </reviewItem>
    <reviewItem>
      <errorID>39eb0e73-30f5-49b8-86e4-c43c4e7264ae</errorID>
      <errorWord>环境影响评级</errorWord>
      <group>L1_Knowledge</group>
      <groupName>知识性问题</groupName>
      <ability>L2_Term</ability>
      <abilityName>专业术语</abilityName>
      <candidateList>
        <item>环境影响评价</item>
      </candidateList>
      <explain/>
      <paraID>43655DF1</paraID>
      <start>11</start>
      <end>17</end>
      <status>unmodified</status>
      <modifiedWord/>
      <trackRevisions>false</trackRevisions>
    </reviewItem>
    <reviewItem>
      <errorID>192f4e73-df14-409b-8567-7007db6add08</errorID>
      <errorWord>IV</errorWord>
      <group>L1_Knowledge</group>
      <groupName>知识性问题</groupName>
      <ability>L2_Knowledge</ability>
      <abilityName>其他知识</abilityName>
      <candidateList>
        <item>Ⅳ</item>
      </candidateList>
      <explain>中文环境下罗马数字格式错误。</explain>
      <paraID>1BE875AD</paraID>
      <start>0</start>
      <end>2</end>
      <status>unmodified</status>
      <modifiedWord/>
      <trackRevisions>false</trackRevisions>
    </reviewItem>
    <reviewItem>
      <errorID>a9dcde25-113c-4a8a-8b5c-68cec2ec5fd3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18FADEB7</paraID>
      <start>22</start>
      <end>25</end>
      <status>unmodified</status>
      <modifiedWord/>
      <trackRevisions>false</trackRevisions>
    </reviewItem>
    <reviewItem>
      <errorID>81b0182e-11a9-41c9-be1d-f79db42be366</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4968AAD7</paraID>
      <start>22</start>
      <end>25</end>
      <status>unmodified</status>
      <modifiedWord/>
      <trackRevisions>false</trackRevisions>
    </reviewItem>
    <reviewItem>
      <errorID>c3dc6230-ff92-4b7a-b403-208fa9232617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1A7D676F</paraID>
      <start>0</start>
      <end>2</end>
      <status>unmodified</status>
      <modifiedWord/>
      <trackRevisions>false</trackRevisions>
    </reviewItem>
    <reviewItem>
      <errorID>c28d4335-1867-45fe-9794-fffc7b7a6105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7A625DC8</paraID>
      <start>0</start>
      <end>2</end>
      <status>unmodified</status>
      <modifiedWord/>
      <trackRevisions>false</trackRevisions>
    </reviewItem>
    <reviewItem>
      <errorID>eed28a1e-6d56-4511-88b5-585c56319b4c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1B3A64BC</paraID>
      <start>0</start>
      <end>2</end>
      <status>unmodified</status>
      <modifiedWord/>
      <trackRevisions>false</trackRevisions>
    </reviewItem>
    <reviewItem>
      <errorID>f61cf441-572a-43d4-ae1e-393e99d980c9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5C2EC1A7</paraID>
      <start>0</start>
      <end>2</end>
      <status>unmodified</status>
      <modifiedWord/>
      <trackRevisions>false</trackRevisions>
    </reviewItem>
    <reviewItem>
      <errorID>7923e2cf-4ad7-4ef2-9b89-a9ab2a6611e9</errorID>
      <errorWord>&gt;</errorWord>
      <group>L1_Punc</group>
      <groupName>标点问题</groupName>
      <ability>L2_Punc_CN</ability>
      <abilityName>标点符号问题</abilityName>
      <candidateList/>
      <explain/>
      <paraID>4C96BECE</paraID>
      <start>0</start>
      <end>1</end>
      <status>unmodified</status>
      <modifiedWord/>
      <trackRevisions>false</trackRevisions>
    </reviewItem>
    <reviewItem>
      <errorID>12b4ab42-d9c5-43d2-ab87-9d30bf96f177</errorID>
      <errorWord>行而有效</errorWord>
      <group>L1_Word</group>
      <groupName>字词问题</groupName>
      <ability>L2_Typo</ability>
      <abilityName>字词错误</abilityName>
      <candidateList>
        <item>行之有效</item>
      </candidateList>
      <explain/>
      <paraID>202F290C</paraID>
      <start>193</start>
      <end>197</end>
      <status>unmodified</status>
      <modifiedWord/>
      <trackRevisions>false</trackRevisions>
    </reviewItem>
    <reviewItem>
      <errorID>7b30fc1c-39e2-43cb-86c2-992ad5859225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752863E5</paraID>
      <start>85</start>
      <end>86</end>
      <status>unmodified</status>
      <modifiedWord/>
      <trackRevisions>false</trackRevisions>
    </reviewItem>
    <reviewItem>
      <errorID>d142f707-af63-4f04-b6c1-bc0f30fc580e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752863E5</paraID>
      <start>136</start>
      <end>137</end>
      <status>unmodified</status>
      <modifiedWord/>
      <trackRevisions>false</trackRevisions>
    </reviewItem>
    <reviewItem>
      <errorID>8d341715-55e3-4bae-9ce1-682a598ab9bb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5EAE5ABD</paraID>
      <start>107</start>
      <end>108</end>
      <status>unmodified</status>
      <modifiedWord/>
      <trackRevisions>false</trackRevisions>
    </reviewItem>
    <reviewItem>
      <errorID>d30c5a31-17de-4aa8-9783-56bcfe5a88fa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4274AAB5</paraID>
      <start>179</start>
      <end>180</end>
      <status>unmodified</status>
      <modifiedWord/>
      <trackRevisions>false</trackRevisions>
    </reviewItem>
    <reviewItem>
      <errorID>1cd5a8be-1f75-4889-8374-9144ad4b2e37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4274AAB5</paraID>
      <start>218</start>
      <end>219</end>
      <status>unmodified</status>
      <modifiedWord/>
      <trackRevisions>false</trackRevisions>
    </reviewItem>
    <reviewItem>
      <errorID>60f69a80-c6ac-4535-a956-298ffff4eb90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609557A7</paraID>
      <start>66</start>
      <end>67</end>
      <status>unmodified</status>
      <modifiedWord/>
      <trackRevisions>false</trackRevisions>
    </reviewItem>
    <reviewItem>
      <errorID>99f3419e-6998-4655-a82e-04382a519f1b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2572EE7A</paraID>
      <start>110</start>
      <end>111</end>
      <status>unmodified</status>
      <modifiedWord/>
      <trackRevisions>false</trackRevisions>
    </reviewItem>
    <reviewItem>
      <errorID>1985111f-0b3d-4688-b482-5e65b34344f2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21133775</paraID>
      <start>0</start>
      <end>2</end>
      <status>unmodified</status>
      <modifiedWord/>
      <trackRevisions>false</trackRevisions>
    </reviewItem>
    <reviewItem>
      <errorID>6341759c-f771-4fed-ab09-f6891ca95537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7C4F8466</paraID>
      <start>0</start>
      <end>2</end>
      <status>unmodified</status>
      <modifiedWord/>
      <trackRevisions>false</trackRevisions>
    </reviewItem>
    <reviewItem>
      <errorID>00abf89d-f765-4ea5-922d-1cb7f6f951a1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6475CB02</paraID>
      <start>0</start>
      <end>2</end>
      <status>unmodified</status>
      <modifiedWord/>
      <trackRevisions>false</trackRevisions>
    </reviewItem>
    <reviewItem>
      <errorID>8f34d38e-490a-4501-b496-e1eb79354939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332961CB</paraID>
      <start>148</start>
      <end>149</end>
      <status>unmodified</status>
      <modifiedWord/>
      <trackRevisions>false</trackRevisions>
    </reviewItem>
    <reviewItem>
      <errorID>4e6838ad-b445-41e2-87ba-25a0f8a6b854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332961CB</paraID>
      <start>187</start>
      <end>188</end>
      <status>unmodified</status>
      <modifiedWord/>
      <trackRevisions>false</trackRevisions>
    </reviewItem>
    <reviewItem>
      <errorID>f27d6021-e803-4bd8-935b-c91f150e8880</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4A283B81</paraID>
      <start>75</start>
      <end>78</end>
      <status>unmodified</status>
      <modifiedWord/>
      <trackRevisions>false</trackRevisions>
    </reviewItem>
    <reviewItem>
      <errorID>36dea683-8491-4b8c-971a-79650c68f8e9</errorID>
      <errorWord>的</errorWord>
      <group>L1_Word</group>
      <groupName>字词问题</groupName>
      <ability>L2_Typo</ability>
      <abilityName>字词错误</abilityName>
      <candidateList>
        <item>的可</item>
      </candidateList>
      <explain/>
      <paraID> 6CA6C74</paraID>
      <start>199</start>
      <end>200</end>
      <status>unmodified</status>
      <modifiedWord/>
      <trackRevisions>false</trackRevisions>
    </reviewItem>
    <reviewItem>
      <errorID>a618fb68-7927-4a93-b2ae-bcab62069b99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BFA7984</paraID>
      <start>81</start>
      <end>82</end>
      <status>unmodified</status>
      <modifiedWord/>
      <trackRevisions>false</trackRevisions>
    </reviewItem>
    <reviewItem>
      <errorID>682bc126-edf8-43f4-8170-985fd64f5ba0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BFA7984</paraID>
      <start>120</start>
      <end>121</end>
      <status>unmodified</status>
      <modifiedWord/>
      <trackRevisions>false</trackRevisions>
    </reviewItem>
    <reviewItem>
      <errorID>580a9b48-e24f-4fd6-ba28-d0bb9ef82204</errorID>
      <errorWord>存贮设备</errorWord>
      <group>L1_Word</group>
      <groupName>字词问题</groupName>
      <ability>L2_Typo</ability>
      <abilityName>字词错误</abilityName>
      <candidateList>
        <item>存储设备</item>
      </candidateList>
      <explain/>
      <paraID>29D8A8B4</paraID>
      <start>9</start>
      <end>13</end>
      <status>unmodified</status>
      <modifiedWord/>
      <trackRevisions>false</trackRevisions>
    </reviewItem>
    <reviewItem>
      <errorID>8ece14b9-6821-4362-86bf-2cd2a17e0980</errorID>
      <errorWord>存贮设备</errorWord>
      <group>L1_Word</group>
      <groupName>字词问题</groupName>
      <ability>L2_Typo</ability>
      <abilityName>字词错误</abilityName>
      <candidateList>
        <item>存储设备</item>
      </candidateList>
      <explain/>
      <paraID>29D8A8B4</paraID>
      <start>23</start>
      <end>27</end>
      <status>unmodified</status>
      <modifiedWord/>
      <trackRevisions>false</trackRevisions>
    </reviewItem>
    <reviewItem>
      <errorID>2a63de33-9f2d-450b-a927-933e0de14624</errorID>
      <errorWord>行而有效</errorWord>
      <group>L1_Word</group>
      <groupName>字词问题</groupName>
      <ability>L2_Typo</ability>
      <abilityName>字词错误</abilityName>
      <candidateList>
        <item>行之有效</item>
      </candidateList>
      <explain/>
      <paraID> F5E51DF</paraID>
      <start>192</start>
      <end>196</end>
      <status>unmodified</status>
      <modifiedWord/>
      <trackRevisions>false</trackRevisions>
    </reviewItem>
    <reviewItem>
      <errorID>bca8828e-cc37-458d-b9cb-760d8c828eed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3F43C404</paraID>
      <start>0</start>
      <end>2</end>
      <status>unmodified</status>
      <modifiedWord/>
      <trackRevisions>false</trackRevisions>
    </reviewItem>
    <reviewItem>
      <errorID>3d880380-a241-4a52-a8a9-9a93f3160a2d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205A0FA8</paraID>
      <start>0</start>
      <end>2</end>
      <status>unmodified</status>
      <modifiedWord/>
      <trackRevisions>false</trackRevisions>
    </reviewItem>
    <reviewItem>
      <errorID>d40e713b-6594-4dfe-94fa-5bc0e59d35e3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979BB37</paraID>
      <start>0</start>
      <end>2</end>
      <status>unmodified</status>
      <modifiedWord/>
      <trackRevisions>false</trackRevisions>
    </reviewItem>
    <reviewItem>
      <errorID>10899de4-c259-431d-9e03-8547a72ea9c9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641118B3</paraID>
      <start>0</start>
      <end>2</end>
      <status>unmodified</status>
      <modifiedWord/>
      <trackRevisions>false</trackRevisions>
    </reviewItem>
    <reviewItem>
      <errorID>e4310b03-b548-411a-9c0e-b2209038e70d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1E0AB7F4</paraID>
      <start>0</start>
      <end>2</end>
      <status>unmodified</status>
      <modifiedWord/>
      <trackRevisions>false</trackRevisions>
    </reviewItem>
    <reviewItem>
      <errorID>88d0a89f-9108-4899-8f13-058b87020726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1A84F421</paraID>
      <start>0</start>
      <end>2</end>
      <status>unmodified</status>
      <modifiedWord/>
      <trackRevisions>false</trackRevisions>
    </reviewItem>
    <reviewItem>
      <errorID>fe5e1350-8c13-4c27-bd05-8b51408ea112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6A2207CA</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b24ea3-2155-4e18-a376-f33b8e3af9a0}">
  <ds:schemaRefs/>
</ds:datastoreItem>
</file>

<file path=docProps/app.xml><?xml version="1.0" encoding="utf-8"?>
<Properties xmlns="http://schemas.openxmlformats.org/officeDocument/2006/extended-properties" xmlns:vt="http://schemas.openxmlformats.org/officeDocument/2006/docPropsVTypes">
  <Template>Normal.dotm</Template>
  <Pages>271</Pages>
  <Words>6482</Words>
  <Characters>7644</Characters>
  <Lines>0</Lines>
  <Paragraphs>0</Paragraphs>
  <TotalTime>11</TotalTime>
  <ScaleCrop>false</ScaleCrop>
  <LinksUpToDate>false</LinksUpToDate>
  <CharactersWithSpaces>8239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2026-08-05T03:16:00Z</dcterms:created>
  <dc:creator>了了</dc:creator>
  <cp:lastModifiedBy>了了</cp:lastModifiedBy>
  <dcterms:modified xsi:type="dcterms:W3CDTF">2026-08-05T10:15:55Z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9933503E63274C06A50C7F4F2F3F651E_11</vt:lpwstr>
  </property>
  <property fmtid="{D5CDD505-2E9C-101B-9397-08002B2CF9AE}" pid="4" name="KSOTemplateDocerSaveRecord">
    <vt:lpwstr>eyJoZGlkIjoiNmRiYzg0YjA3NGI3MjVkMWJiNDZmMzMxM2JmYjM0MGQiLCJ1c2VySWQiOiI0MzMyMzUzMDkifQ==</vt:lpwstr>
  </property>
</Properties>
</file>